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presentation-planning-notes"/>
    <w:p>
      <w:pPr>
        <w:pStyle w:val="Heading1"/>
      </w:pPr>
      <w:r>
        <w:t xml:space="preserve">Presentation Planning Notes</w:t>
      </w:r>
    </w:p>
    <w:p>
      <w:pPr>
        <w:pStyle w:val="FirstParagraph"/>
      </w:pPr>
      <w:r>
        <w:t xml:space="preserve">Working notes for the board-pitch presentation, capturing where things stand so anyone on the team can pick up a section. Source material: the 7/23 team call with Stan (transcript in</w:t>
      </w:r>
      <w:r>
        <w:t xml:space="preserve"> </w:t>
      </w:r>
      <w:r>
        <w:rPr>
          <w:rStyle w:val="VerbatimChar"/>
        </w:rPr>
        <w:t xml:space="preserve">transcript_labeled.txt</w:t>
      </w:r>
      <w:r>
        <w:t xml:space="preserve"> </w:t>
      </w:r>
      <w:r>
        <w:t xml:space="preserve">— external, not in this repo) and this planning thread. Nothing here is final; each section needs team sign-off before it’s locked.</w:t>
      </w:r>
    </w:p>
    <w:p>
      <w:r>
        <w:pict>
          <v:rect style="width:0;height:1.5pt" o:hralign="center" o:hrstd="t" o:hr="t"/>
        </w:pict>
      </w:r>
    </w:p>
    <w:bookmarkStart w:id="9" w:name="problem-statement"/>
    <w:p>
      <w:pPr>
        <w:pStyle w:val="Heading2"/>
      </w:pPr>
      <w:r>
        <w:t xml:space="preserve">1. Problem Statement</w:t>
      </w:r>
    </w:p>
    <w:p>
      <w:pPr>
        <w:pStyle w:val="FirstParagraph"/>
      </w:pPr>
      <w:r>
        <w:rPr>
          <w:b/>
          <w:bCs/>
        </w:rPr>
        <w:t xml:space="preserve">Current draft:</w:t>
      </w:r>
      <w:r>
        <w:t xml:space="preserve"> </w:t>
      </w:r>
      <w:r>
        <w:t xml:space="preserve">&gt;</w:t>
      </w:r>
      <w:r>
        <w:t xml:space="preserve"> </w:t>
      </w:r>
      <w:r>
        <w:rPr>
          <w:i/>
          <w:iCs/>
        </w:rPr>
        <w:t xml:space="preserve">Hosts are leaving money on the table, and so is Airbnb.</w:t>
      </w:r>
      <w:r>
        <w:t xml:space="preserve"> </w:t>
      </w:r>
      <w:r>
        <w:t xml:space="preserve">&gt; Most hosts price on gut feel, or take Smart Pricing’s black-box number as-is, not on real data. Since Airbnb takes a cut of every booking, every underpriced night costs Airbnb revenue too.</w:t>
      </w:r>
    </w:p>
    <w:p>
      <w:pPr>
        <w:pStyle w:val="BodyText"/>
      </w:pPr>
      <w:r>
        <w:rPr>
          <w:b/>
          <w:bCs/>
        </w:rPr>
        <w:t xml:space="preserve">Notes:</w:t>
      </w:r>
      <w:r>
        <w:t xml:space="preserve"> </w:t>
      </w:r>
      <w:r>
        <w:t xml:space="preserve">- Format is headline + one supporting sentence, matching Stan’s board-pitch guidance (short, numbers-first, not a paragraph).</w:t>
      </w:r>
      <w:r>
        <w:t xml:space="preserve"> </w:t>
      </w:r>
      <w:r>
        <w:t xml:space="preserve">- Airbnb’s take rate is a real, sourced figure: 15.5% host-only fee (transitioning from the old 3%/14% split model), effective Sept 15 2026 (non-EU) / Oct 13 2026 (EU). Cite this directly rather than the vague</w:t>
      </w:r>
      <w:r>
        <w:t xml:space="preserve"> </w:t>
      </w:r>
      <w:r>
        <w:t xml:space="preserve">“a cut”</w:t>
      </w:r>
      <w:r>
        <w:t xml:space="preserve"> </w:t>
      </w:r>
      <w:r>
        <w:t xml:space="preserve">if we want a harder number on the slide.</w:t>
      </w:r>
      <w:r>
        <w:t xml:space="preserve"> </w:t>
      </w:r>
      <w:r>
        <w:t xml:space="preserve">- Explicitly positions against Airbnb’s existing</w:t>
      </w:r>
      <w:r>
        <w:t xml:space="preserve"> </w:t>
      </w:r>
      <w:r>
        <w:rPr>
          <w:b/>
          <w:bCs/>
        </w:rPr>
        <w:t xml:space="preserve">Smart Pricing</w:t>
      </w:r>
      <w:r>
        <w:t xml:space="preserve"> </w:t>
      </w:r>
      <w:r>
        <w:t xml:space="preserve">feature (already built into the host interface), not framed as if no pricing tool exists. Smart Pricing auto-sets one nightly rate in a host-defined min/max band, gives no explanation, and is widely reported (host-side sources, not an Airbnb statement) to lean toward optimizing occupancy over host revenue.</w:t>
      </w:r>
    </w:p>
    <w:p>
      <w:pPr>
        <w:pStyle w:val="BodyText"/>
      </w:pPr>
      <w:r>
        <w:rPr>
          <w:b/>
          <w:bCs/>
        </w:rPr>
        <w:t xml:space="preserve">Open items:</w:t>
      </w:r>
      <w:r>
        <w:t xml:space="preserve"> </w:t>
      </w:r>
      <w:r>
        <w:t xml:space="preserve">none blocking — ready for team review.</w:t>
      </w:r>
    </w:p>
    <w:p>
      <w:r>
        <w:pict>
          <v:rect style="width:0;height:1.5pt" o:hralign="center" o:hrstd="t" o:hr="t"/>
        </w:pict>
      </w:r>
    </w:p>
    <w:bookmarkEnd w:id="9"/>
    <w:bookmarkStart w:id="10" w:name="solution-statement"/>
    <w:p>
      <w:pPr>
        <w:pStyle w:val="Heading2"/>
      </w:pPr>
      <w:r>
        <w:t xml:space="preserve">2. Solution Statement</w:t>
      </w:r>
    </w:p>
    <w:p>
      <w:pPr>
        <w:pStyle w:val="FirstParagraph"/>
      </w:pPr>
      <w:r>
        <w:rPr>
          <w:b/>
          <w:bCs/>
        </w:rPr>
        <w:t xml:space="preserve">Current draft:</w:t>
      </w:r>
      <w:r>
        <w:t xml:space="preserve"> </w:t>
      </w:r>
      <w:r>
        <w:t xml:space="preserve">&gt;</w:t>
      </w:r>
      <w:r>
        <w:t xml:space="preserve"> </w:t>
      </w:r>
      <w:r>
        <w:rPr>
          <w:i/>
          <w:iCs/>
        </w:rPr>
        <w:t xml:space="preserve">We turn Airbnb’s own data into a pricing engine for hosts.</w:t>
      </w:r>
      <w:r>
        <w:t xml:space="preserve"> </w:t>
      </w:r>
      <w:r>
        <w:t xml:space="preserve">&gt; The product still gives hosts a recommended optimal price, same as Smart Pricing, but goes further: it shows the host where that price sits relative to real comps, explains why, and lets them test different price points themselves.</w:t>
      </w:r>
    </w:p>
    <w:p>
      <w:pPr>
        <w:pStyle w:val="BodyText"/>
      </w:pPr>
      <w:r>
        <w:rPr>
          <w:b/>
          <w:bCs/>
        </w:rPr>
        <w:t xml:space="preserve">Notes:</w:t>
      </w:r>
      <w:r>
        <w:t xml:space="preserve"> </w:t>
      </w:r>
      <w:r>
        <w:t xml:space="preserve">- Key differentiator is</w:t>
      </w:r>
      <w:r>
        <w:t xml:space="preserve"> </w:t>
      </w:r>
      <w:r>
        <w:rPr>
          <w:b/>
          <w:bCs/>
        </w:rPr>
        <w:t xml:space="preserve">agency + explainability</w:t>
      </w:r>
      <w:r>
        <w:t xml:space="preserve">, not a different price output. Smart Pricing gives a number; this gives the number plus the comps, the reasoning, and the ability to explore.</w:t>
      </w:r>
      <w:r>
        <w:t xml:space="preserve"> </w:t>
      </w:r>
      <w:r>
        <w:t xml:space="preserve">- The repo’s own README frames this slightly more specifically than the call did: a Ridge regression</w:t>
      </w:r>
      <w:r>
        <w:t xml:space="preserve"> </w:t>
      </w:r>
      <w:r>
        <w:t xml:space="preserve">“fair value”</w:t>
      </w:r>
      <w:r>
        <w:t xml:space="preserve"> </w:t>
      </w:r>
      <w:r>
        <w:t xml:space="preserve">price plus a KNN peer-comparable layer that also surfaces concrete amenity/operational gaps (not just a price-point simulator). Worth reconciling the pitch language with what the model actually outputs before finalizing.</w:t>
      </w:r>
      <w:r>
        <w:t xml:space="preserve"> </w:t>
      </w:r>
      <w:r>
        <w:t xml:space="preserve">-</w:t>
      </w:r>
      <w:r>
        <w:t xml:space="preserve"> </w:t>
      </w:r>
      <w:r>
        <w:rPr>
          <w:b/>
          <w:bCs/>
        </w:rPr>
        <w:t xml:space="preserve">Script-only line (not on the slide):</w:t>
      </w:r>
      <w:r>
        <w:t xml:space="preserve"> </w:t>
      </w:r>
      <w:r>
        <w:t xml:space="preserve">Brendan’s Commander’s Intent / Mission Command framing — soldiers perform better with the</w:t>
      </w:r>
      <w:r>
        <w:t xml:space="preserve"> </w:t>
      </w:r>
      <w:r>
        <w:rPr>
          <w:i/>
          <w:iCs/>
        </w:rPr>
        <w:t xml:space="preserve">why</w:t>
      </w:r>
      <w:r>
        <w:t xml:space="preserve"> </w:t>
      </w:r>
      <w:r>
        <w:t xml:space="preserve">behind an order, not just the order, because it builds buy-in. Same logic here: a host who understands why a price is optimal is more likely to act on it than one handed a bare number. This is also the mechanism that makes the revenue-lift number realizable (see adoption rate, below), so it’s worth landing this point right before or during the financials section, not just as a soft aside.</w:t>
      </w:r>
    </w:p>
    <w:p>
      <w:pPr>
        <w:pStyle w:val="BodyText"/>
      </w:pPr>
      <w:r>
        <w:rPr>
          <w:b/>
          <w:bCs/>
        </w:rPr>
        <w:t xml:space="preserve">Open items:</w:t>
      </w:r>
      <w:r>
        <w:t xml:space="preserve"> </w:t>
      </w:r>
      <w:r>
        <w:t xml:space="preserve">reconcile solution language with the actual KNN/amenity-gap output; team sign-off.</w:t>
      </w:r>
    </w:p>
    <w:p>
      <w:r>
        <w:pict>
          <v:rect style="width:0;height:1.5pt" o:hralign="center" o:hrstd="t" o:hr="t"/>
        </w:pict>
      </w:r>
    </w:p>
    <w:bookmarkEnd w:id="10"/>
    <w:bookmarkStart w:id="11" w:name="revenue-lift"/>
    <w:p>
      <w:pPr>
        <w:pStyle w:val="Heading2"/>
      </w:pPr>
      <w:r>
        <w:t xml:space="preserve">3. Revenue Lift</w:t>
      </w:r>
    </w:p>
    <w:p>
      <w:pPr>
        <w:pStyle w:val="FirstParagraph"/>
      </w:pPr>
      <w:r>
        <w:rPr>
          <w:b/>
          <w:bCs/>
        </w:rPr>
        <w:t xml:space="preserve">Data source (real, from this repo):</w:t>
      </w:r>
      <w:r>
        <w:t xml:space="preserve"> </w:t>
      </w:r>
      <w:r>
        <w:t xml:space="preserve">-</w:t>
      </w:r>
      <w:r>
        <w:t xml:space="preserve"> </w:t>
      </w:r>
      <w:r>
        <w:rPr>
          <w:rStyle w:val="VerbatimChar"/>
        </w:rPr>
        <w:t xml:space="preserve">model v2/model-iterations/ridge-model/ridge_listing_residuals.csv</w:t>
      </w:r>
      <w:r>
        <w:t xml:space="preserve"> </w:t>
      </w:r>
      <w:r>
        <w:t xml:space="preserve">(9,752 listings, actual price vs. model’s fair-value price) joined to</w:t>
      </w:r>
      <w:r>
        <w:t xml:space="preserve"> </w:t>
      </w:r>
      <w:r>
        <w:rPr>
          <w:rStyle w:val="VerbatimChar"/>
        </w:rPr>
        <w:t xml:space="preserve">active_listings_clean_v6.csv</w:t>
      </w:r>
      <w:r>
        <w:t xml:space="preserve"> </w:t>
      </w:r>
      <w:r>
        <w:t xml:space="preserve">(for</w:t>
      </w:r>
      <w:r>
        <w:t xml:space="preserve"> </w:t>
      </w:r>
      <w:r>
        <w:rPr>
          <w:rStyle w:val="VerbatimChar"/>
        </w:rPr>
        <w:t xml:space="preserve">nightly_price</w:t>
      </w:r>
      <w:r>
        <w:t xml:space="preserve">,</w:t>
      </w:r>
      <w:r>
        <w:t xml:space="preserve"> </w:t>
      </w:r>
      <w:r>
        <w:rPr>
          <w:rStyle w:val="VerbatimChar"/>
        </w:rPr>
        <w:t xml:space="preserve">estimated_annual_revenue</w:t>
      </w:r>
      <w:r>
        <w:t xml:space="preserve">,</w:t>
      </w:r>
      <w:r>
        <w:t xml:space="preserve"> </w:t>
      </w:r>
      <w:r>
        <w:rPr>
          <w:rStyle w:val="VerbatimChar"/>
        </w:rPr>
        <w:t xml:space="preserve">occupancy_rate</w:t>
      </w:r>
      <w:r>
        <w:t xml:space="preserve">).</w:t>
      </w:r>
      <w:r>
        <w:t xml:space="preserve"> </w:t>
      </w:r>
      <w:r>
        <w:t xml:space="preserve">- 5,909 listings (60.6%) are underpriced vs. fair value; 3,843 overpriced.</w:t>
      </w:r>
      <w:r>
        <w:t xml:space="preserve"> </w:t>
      </w:r>
      <w:r>
        <w:t xml:space="preserve">- Occupied nights/year backed out from Inside Airbnb’s own formula:</w:t>
      </w:r>
      <w:r>
        <w:t xml:space="preserve"> </w:t>
      </w:r>
      <w:r>
        <w:rPr>
          <w:rStyle w:val="VerbatimChar"/>
        </w:rPr>
        <w:t xml:space="preserve">estimated_annual_revenue / nightly_price</w:t>
      </w:r>
      <w:r>
        <w:t xml:space="preserve">.</w:t>
      </w:r>
    </w:p>
    <w:p>
      <w:pPr>
        <w:pStyle w:val="BodyText"/>
      </w:pPr>
      <w:r>
        <w:rPr>
          <w:b/>
          <w:bCs/>
        </w:rPr>
        <w:t xml:space="preserve">Working assumption (explicit, presentation-only — flag this on the slide):</w:t>
      </w:r>
      <w:r>
        <w:t xml:space="preserve"> </w:t>
      </w:r>
      <w:r>
        <w:t xml:space="preserve">since we’re pitching from inside Airbnb, we assume access to real occupancy-response data Airbnb would have but this team doesn’t. Simplifying stand-in: moving an underpriced listing up to fair value is treated as roughly occupancy-neutral, since</w:t>
      </w:r>
      <w:r>
        <w:t xml:space="preserve"> </w:t>
      </w:r>
      <w:r>
        <w:t xml:space="preserve">“fair value”</w:t>
      </w:r>
      <w:r>
        <w:t xml:space="preserve"> </w:t>
      </w:r>
      <w:r>
        <w:t xml:space="preserve">is itself calibrated to what comparable listings already charge and get booked at.</w:t>
      </w:r>
    </w:p>
    <w:p>
      <w:pPr>
        <w:pStyle w:val="BodyText"/>
      </w:pPr>
      <w:r>
        <w:rPr>
          <w:b/>
          <w:bCs/>
        </w:rPr>
        <w:t xml:space="preserve">The numbers so far: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Total annual host lift</w:t>
            </w:r>
          </w:p>
        </w:tc>
        <w:tc>
          <w:tcPr/>
          <w:p>
            <w:pPr>
              <w:pStyle w:val="Compact"/>
            </w:pPr>
            <w:r>
              <w:t xml:space="preserve">% of underpriced-subset revenue</w:t>
            </w:r>
          </w:p>
        </w:tc>
        <w:tc>
          <w:tcPr/>
          <w:p>
            <w:pPr>
              <w:pStyle w:val="Compact"/>
            </w:pPr>
            <w:r>
              <w:t xml:space="preserve">Airbnb’s cut (15.5%)</w:t>
            </w:r>
          </w:p>
        </w:tc>
      </w:tr>
      <w:tr>
        <w:tc>
          <w:tcPr/>
          <w:p>
            <w:pPr>
              <w:pStyle w:val="Compact"/>
            </w:pPr>
            <w:r>
              <w:t xml:space="preserve">Raw, no outlier control</w:t>
            </w:r>
          </w:p>
        </w:tc>
        <w:tc>
          <w:tcPr/>
          <w:p>
            <w:pPr>
              <w:pStyle w:val="Compact"/>
            </w:pPr>
            <w:r>
              <w:t xml:space="preserve">$64.5M</w:t>
            </w:r>
          </w:p>
        </w:tc>
        <w:tc>
          <w:tcPr/>
          <w:p>
            <w:pPr>
              <w:pStyle w:val="Compact"/>
            </w:pPr>
            <w:r>
              <w:t xml:space="preserve">34.5%</w:t>
            </w:r>
          </w:p>
        </w:tc>
        <w:tc>
          <w:tcPr/>
          <w:p>
            <w:pPr>
              <w:pStyle w:val="Compact"/>
            </w:pPr>
            <w:r>
              <w:t xml:space="preserve">$10.0M</w:t>
            </w:r>
          </w:p>
        </w:tc>
      </w:tr>
      <w:tr>
        <w:tc>
          <w:tcPr/>
          <w:p>
            <w:pPr>
              <w:pStyle w:val="Compact"/>
            </w:pPr>
            <w:r>
              <w:t xml:space="preserve">1-99 percentile trim (recommended)</w:t>
            </w:r>
          </w:p>
        </w:tc>
        <w:tc>
          <w:tcPr/>
          <w:p>
            <w:pPr>
              <w:pStyle w:val="Compact"/>
            </w:pPr>
            <w:r>
              <w:t xml:space="preserve">$54.3M</w:t>
            </w:r>
          </w:p>
        </w:tc>
        <w:tc>
          <w:tcPr/>
          <w:p>
            <w:pPr>
              <w:pStyle w:val="Compact"/>
            </w:pPr>
            <w:r>
              <w:t xml:space="preserve">30.9%</w:t>
            </w:r>
          </w:p>
        </w:tc>
        <w:tc>
          <w:tcPr/>
          <w:p>
            <w:pPr>
              <w:pStyle w:val="Compact"/>
            </w:pPr>
            <w:r>
              <w:t xml:space="preserve">$8.4M</w:t>
            </w:r>
          </w:p>
        </w:tc>
      </w:tr>
      <w:tr>
        <w:tc>
          <w:tcPr/>
          <w:p>
            <w:pPr>
              <w:pStyle w:val="Compact"/>
            </w:pPr>
            <w:r>
              <w:t xml:space="preserve">2-98 trim</w:t>
            </w:r>
          </w:p>
        </w:tc>
        <w:tc>
          <w:tcPr/>
          <w:p>
            <w:pPr>
              <w:pStyle w:val="Compact"/>
            </w:pPr>
            <w:r>
              <w:t xml:space="preserve">$50.7M</w:t>
            </w:r>
          </w:p>
        </w:tc>
        <w:tc>
          <w:tcPr/>
          <w:p>
            <w:pPr>
              <w:pStyle w:val="Compact"/>
            </w:pPr>
            <w:r>
              <w:t xml:space="preserve">30.0%</w:t>
            </w:r>
          </w:p>
        </w:tc>
        <w:tc>
          <w:tcPr/>
          <w:p>
            <w:pPr>
              <w:pStyle w:val="Compact"/>
            </w:pPr>
            <w:r>
              <w:t xml:space="preserve">$7.9M</w:t>
            </w:r>
          </w:p>
        </w:tc>
      </w:tr>
      <w:tr>
        <w:tc>
          <w:tcPr/>
          <w:p>
            <w:pPr>
              <w:pStyle w:val="Compact"/>
            </w:pPr>
            <w:r>
              <w:t xml:space="preserve">5-95 trim</w:t>
            </w:r>
          </w:p>
        </w:tc>
        <w:tc>
          <w:tcPr/>
          <w:p>
            <w:pPr>
              <w:pStyle w:val="Compact"/>
            </w:pPr>
            <w:r>
              <w:t xml:space="preserve">$42.6M</w:t>
            </w:r>
          </w:p>
        </w:tc>
        <w:tc>
          <w:tcPr/>
          <w:p>
            <w:pPr>
              <w:pStyle w:val="Compact"/>
            </w:pPr>
            <w:r>
              <w:t xml:space="preserve">27.6%</w:t>
            </w:r>
          </w:p>
        </w:tc>
        <w:tc>
          <w:tcPr/>
          <w:p>
            <w:pPr>
              <w:pStyle w:val="Compact"/>
            </w:pPr>
            <w:r>
              <w:t xml:space="preserve">$6.6M</w:t>
            </w:r>
          </w:p>
        </w:tc>
      </w:tr>
    </w:tbl>
    <w:p>
      <w:pPr>
        <w:pStyle w:val="BodyText"/>
      </w:pPr>
      <w:r>
        <w:rPr>
          <w:b/>
          <w:bCs/>
        </w:rPr>
        <w:t xml:space="preserve">Why 1-99 over the wider trims:</w:t>
      </w:r>
      <w:r>
        <w:t xml:space="preserve"> </w:t>
      </w:r>
      <w:r>
        <w:t xml:space="preserve">only 60 listings sit above the 99th percentile, and that group is exactly where the distortion lives (mean actual price $768/night, but the model’s</w:t>
      </w:r>
      <w:r>
        <w:t xml:space="preserve"> </w:t>
      </w:r>
      <w:r>
        <w:t xml:space="preserve">“fair”</w:t>
      </w:r>
      <w:r>
        <w:t xml:space="preserve"> </w:t>
      </w:r>
      <w:r>
        <w:t xml:space="preserve">price for them averages $1,490/night — a handful of luxury listings with unreliable predictions at the top of the price distribution). 5-95 cuts nearly 600 listings to get a similar cleanup, which risks discarding real signal along with genuine outliers.</w:t>
      </w:r>
    </w:p>
    <w:p>
      <w:pPr>
        <w:pStyle w:val="BodyText"/>
      </w:pPr>
      <w:r>
        <w:rPr>
          <w:b/>
          <w:bCs/>
        </w:rPr>
        <w:t xml:space="preserve">FINALIZED — both layers applied (2026-07-25):</w:t>
      </w:r>
    </w:p>
    <w:p>
      <w:pPr>
        <w:pStyle w:val="Compact"/>
        <w:numPr>
          <w:ilvl w:val="0"/>
          <w:numId w:val="1001"/>
        </w:numPr>
      </w:pPr>
      <w:r>
        <w:rPr>
          <w:b/>
          <w:bCs/>
        </w:rPr>
        <w:t xml:space="preserve">Model-noise discount</w:t>
      </w:r>
      <w:r>
        <w:t xml:space="preserve"> </w:t>
      </w:r>
      <w:r>
        <w:t xml:space="preserve">— applied per segment using the model’s own documented median error: short-stay listings discounted by 25.1%, monthly listings by 20.9% (i.e., only 74.9%/79.1% of each segment’s measured gap is treated as real, actionable mispricing rather than omitted-variable noise). Sourced from the model’s own accuracy metrics, not invented.</w:t>
      </w:r>
    </w:p>
    <w:p>
      <w:pPr>
        <w:pStyle w:val="Compact"/>
        <w:numPr>
          <w:ilvl w:val="0"/>
          <w:numId w:val="1001"/>
        </w:numPr>
      </w:pPr>
      <w:r>
        <w:rPr>
          <w:b/>
          <w:bCs/>
        </w:rPr>
        <w:t xml:space="preserve">Adoption rate</w:t>
      </w:r>
      <w:r>
        <w:t xml:space="preserve"> </w:t>
      </w:r>
      <w:r>
        <w:t xml:space="preserve">— still no external benchmark exists for this (searched revenue-management/dynamic-pricing literature, found nothing that maps: airline dynamic-pricing adoption of 89% measures a different thing).</w:t>
      </w:r>
      <w:r>
        <w:t xml:space="preserve"> </w:t>
      </w:r>
      <w:r>
        <w:rPr>
          <w:b/>
          <w:bCs/>
        </w:rPr>
        <w:t xml:space="preserve">Presented as a sensitivity table below rather than one invented number</w:t>
      </w:r>
      <w:r>
        <w:t xml:space="preserve"> </w:t>
      </w:r>
      <w:r>
        <w:t xml:space="preserve">— this is a stronger board-pitch move than picking a single figure, since it shows the reasoning and lets the audience anchor on their own comfort level. This is also the number the Commander’s Intent narrative argues the team can move.</w:t>
      </w:r>
    </w:p>
    <w:p>
      <w:pPr>
        <w:pStyle w:val="FirstParagraph"/>
      </w:pPr>
      <w:r>
        <w:rPr>
          <w:b/>
          <w:bCs/>
        </w:rPr>
        <w:t xml:space="preserve">Base after 1-99 trim + model-noise discount:</w:t>
      </w:r>
      <w:r>
        <w:t xml:space="preserve"> </w:t>
      </w:r>
      <w:r>
        <w:t xml:space="preserve">$41.4M total addressable host revenue lift (23.6% of the underpriced subset’s current revenue), before any adoption-rate haircut.</w:t>
      </w:r>
    </w:p>
    <w:p>
      <w:pPr>
        <w:pStyle w:val="BodyText"/>
      </w:pPr>
      <w:r>
        <w:rPr>
          <w:b/>
          <w:bCs/>
        </w:rPr>
        <w:t xml:space="preserve">Full sensitivity table, with payback period</w:t>
      </w:r>
      <w:r>
        <w:t xml:space="preserve"> </w:t>
      </w:r>
      <w:r>
        <w:t xml:space="preserve">(build cost $190K + annual run cost $105K from Section 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Adoption</w:t>
            </w:r>
          </w:p>
        </w:tc>
        <w:tc>
          <w:tcPr/>
          <w:p>
            <w:pPr>
              <w:pStyle w:val="Compact"/>
            </w:pPr>
            <w:r>
              <w:t xml:space="preserve">Host revenue lift</w:t>
            </w:r>
          </w:p>
        </w:tc>
        <w:tc>
          <w:tcPr/>
          <w:p>
            <w:pPr>
              <w:pStyle w:val="Compact"/>
            </w:pPr>
            <w:r>
              <w:t xml:space="preserve">Airbnb’s cut (15.5%)</w:t>
            </w:r>
          </w:p>
        </w:tc>
        <w:tc>
          <w:tcPr/>
          <w:p>
            <w:pPr>
              <w:pStyle w:val="Compact"/>
            </w:pPr>
            <w:r>
              <w:t xml:space="preserve">Year-1 net (after build)</w:t>
            </w:r>
          </w:p>
        </w:tc>
        <w:tc>
          <w:tcPr/>
          <w:p>
            <w:pPr>
              <w:pStyle w:val="Compact"/>
            </w:pPr>
            <w:r>
              <w:t xml:space="preserve">Payback</w:t>
            </w:r>
          </w:p>
        </w:tc>
      </w:tr>
      <w:tr>
        <w:tc>
          <w:tcPr/>
          <w:p>
            <w:pPr>
              <w:pStyle w:val="Compact"/>
            </w:pPr>
            <w:r>
              <w:t xml:space="preserve">15%</w:t>
            </w:r>
          </w:p>
        </w:tc>
        <w:tc>
          <w:tcPr/>
          <w:p>
            <w:pPr>
              <w:pStyle w:val="Compact"/>
            </w:pPr>
            <w:r>
              <w:t xml:space="preserve">$6.2M</w:t>
            </w:r>
          </w:p>
        </w:tc>
        <w:tc>
          <w:tcPr/>
          <w:p>
            <w:pPr>
              <w:pStyle w:val="Compact"/>
            </w:pPr>
            <w:r>
              <w:t xml:space="preserve">$962K</w:t>
            </w:r>
          </w:p>
        </w:tc>
        <w:tc>
          <w:tcPr/>
          <w:p>
            <w:pPr>
              <w:pStyle w:val="Compact"/>
            </w:pPr>
            <w:r>
              <w:t xml:space="preserve">$667K</w:t>
            </w:r>
          </w:p>
        </w:tc>
        <w:tc>
          <w:tcPr/>
          <w:p>
            <w:pPr>
              <w:pStyle w:val="Compact"/>
            </w:pPr>
            <w:r>
              <w:t xml:space="preserve">3.7 months</w:t>
            </w:r>
          </w:p>
        </w:tc>
      </w:tr>
      <w:tr>
        <w:tc>
          <w:tcPr/>
          <w:p>
            <w:pPr>
              <w:pStyle w:val="Compact"/>
            </w:pPr>
            <w:r>
              <w:t xml:space="preserve">25%</w:t>
            </w:r>
          </w:p>
        </w:tc>
        <w:tc>
          <w:tcPr/>
          <w:p>
            <w:pPr>
              <w:pStyle w:val="Compact"/>
            </w:pPr>
            <w:r>
              <w:t xml:space="preserve">$10.3M</w:t>
            </w:r>
          </w:p>
        </w:tc>
        <w:tc>
          <w:tcPr/>
          <w:p>
            <w:pPr>
              <w:pStyle w:val="Compact"/>
            </w:pPr>
            <w:r>
              <w:t xml:space="preserve">$1.60M</w:t>
            </w:r>
          </w:p>
        </w:tc>
        <w:tc>
          <w:tcPr/>
          <w:p>
            <w:pPr>
              <w:pStyle w:val="Compact"/>
            </w:pPr>
            <w:r>
              <w:t xml:space="preserve">$1.31M</w:t>
            </w:r>
          </w:p>
        </w:tc>
        <w:tc>
          <w:tcPr/>
          <w:p>
            <w:pPr>
              <w:pStyle w:val="Compact"/>
            </w:pPr>
            <w:r>
              <w:t xml:space="preserve">2.2 months</w:t>
            </w:r>
          </w:p>
        </w:tc>
      </w:tr>
      <w:tr>
        <w:tc>
          <w:tcPr/>
          <w:p>
            <w:pPr>
              <w:pStyle w:val="Compact"/>
            </w:pPr>
            <w:r>
              <w:t xml:space="preserve">35%</w:t>
            </w:r>
          </w:p>
        </w:tc>
        <w:tc>
          <w:tcPr/>
          <w:p>
            <w:pPr>
              <w:pStyle w:val="Compact"/>
            </w:pPr>
            <w:r>
              <w:t xml:space="preserve">$14.5M</w:t>
            </w:r>
          </w:p>
        </w:tc>
        <w:tc>
          <w:tcPr/>
          <w:p>
            <w:pPr>
              <w:pStyle w:val="Compact"/>
            </w:pPr>
            <w:r>
              <w:t xml:space="preserve">$2.24M</w:t>
            </w:r>
          </w:p>
        </w:tc>
        <w:tc>
          <w:tcPr/>
          <w:p>
            <w:pPr>
              <w:pStyle w:val="Compact"/>
            </w:pPr>
            <w:r>
              <w:t xml:space="preserve">$1.95M</w:t>
            </w:r>
          </w:p>
        </w:tc>
        <w:tc>
          <w:tcPr/>
          <w:p>
            <w:pPr>
              <w:pStyle w:val="Compact"/>
            </w:pPr>
            <w:r>
              <w:t xml:space="preserve">1.6 months</w:t>
            </w:r>
          </w:p>
        </w:tc>
      </w:tr>
      <w:tr>
        <w:tc>
          <w:tcPr/>
          <w:p>
            <w:pPr>
              <w:pStyle w:val="Compact"/>
            </w:pPr>
            <w:r>
              <w:t xml:space="preserve">50%</w:t>
            </w:r>
          </w:p>
        </w:tc>
        <w:tc>
          <w:tcPr/>
          <w:p>
            <w:pPr>
              <w:pStyle w:val="Compact"/>
            </w:pPr>
            <w:r>
              <w:t xml:space="preserve">$20.7M</w:t>
            </w:r>
          </w:p>
        </w:tc>
        <w:tc>
          <w:tcPr/>
          <w:p>
            <w:pPr>
              <w:pStyle w:val="Compact"/>
            </w:pPr>
            <w:r>
              <w:t xml:space="preserve">$3.21M</w:t>
            </w:r>
          </w:p>
        </w:tc>
        <w:tc>
          <w:tcPr/>
          <w:p>
            <w:pPr>
              <w:pStyle w:val="Compact"/>
            </w:pPr>
            <w:r>
              <w:t xml:space="preserve">$2.91M</w:t>
            </w:r>
          </w:p>
        </w:tc>
        <w:tc>
          <w:tcPr/>
          <w:p>
            <w:pPr>
              <w:pStyle w:val="Compact"/>
            </w:pPr>
            <w:r>
              <w:t xml:space="preserve">1.1 months</w:t>
            </w:r>
          </w:p>
        </w:tc>
      </w:tr>
      <w:tr>
        <w:tc>
          <w:tcPr/>
          <w:p>
            <w:pPr>
              <w:pStyle w:val="Compact"/>
            </w:pPr>
            <w:r>
              <w:t xml:space="preserve">75%</w:t>
            </w:r>
          </w:p>
        </w:tc>
        <w:tc>
          <w:tcPr/>
          <w:p>
            <w:pPr>
              <w:pStyle w:val="Compact"/>
            </w:pPr>
            <w:r>
              <w:t xml:space="preserve">$31.0M</w:t>
            </w:r>
          </w:p>
        </w:tc>
        <w:tc>
          <w:tcPr/>
          <w:p>
            <w:pPr>
              <w:pStyle w:val="Compact"/>
            </w:pPr>
            <w:r>
              <w:t xml:space="preserve">$4.81M</w:t>
            </w:r>
          </w:p>
        </w:tc>
        <w:tc>
          <w:tcPr/>
          <w:p>
            <w:pPr>
              <w:pStyle w:val="Compact"/>
            </w:pPr>
            <w:r>
              <w:t xml:space="preserve">$4.52M</w:t>
            </w:r>
          </w:p>
        </w:tc>
        <w:tc>
          <w:tcPr/>
          <w:p>
            <w:pPr>
              <w:pStyle w:val="Compact"/>
            </w:pPr>
            <w:r>
              <w:t xml:space="preserve">0.7 months</w:t>
            </w:r>
          </w:p>
        </w:tc>
      </w:tr>
      <w:tr>
        <w:tc>
          <w:tcPr/>
          <w:p>
            <w:pPr>
              <w:pStyle w:val="Compact"/>
            </w:pPr>
            <w:r>
              <w:t xml:space="preserve">100%</w:t>
            </w:r>
          </w:p>
        </w:tc>
        <w:tc>
          <w:tcPr/>
          <w:p>
            <w:pPr>
              <w:pStyle w:val="Compact"/>
            </w:pPr>
            <w:r>
              <w:t xml:space="preserve">$41.4M</w:t>
            </w:r>
          </w:p>
        </w:tc>
        <w:tc>
          <w:tcPr/>
          <w:p>
            <w:pPr>
              <w:pStyle w:val="Compact"/>
            </w:pPr>
            <w:r>
              <w:t xml:space="preserve">$6.41M</w:t>
            </w:r>
          </w:p>
        </w:tc>
        <w:tc>
          <w:tcPr/>
          <w:p>
            <w:pPr>
              <w:pStyle w:val="Compact"/>
            </w:pPr>
            <w:r>
              <w:t xml:space="preserve">$6.12M</w:t>
            </w:r>
          </w:p>
        </w:tc>
        <w:tc>
          <w:tcPr/>
          <w:p>
            <w:pPr>
              <w:pStyle w:val="Compact"/>
            </w:pPr>
            <w:r>
              <w:t xml:space="preserve">0.6 months</w:t>
            </w:r>
          </w:p>
        </w:tc>
      </w:tr>
    </w:tbl>
    <w:p>
      <w:pPr>
        <w:pStyle w:val="BodyText"/>
      </w:pPr>
      <w:r>
        <w:rPr>
          <w:b/>
          <w:bCs/>
        </w:rPr>
        <w:t xml:space="preserve">Honest flag for the team:</w:t>
      </w:r>
      <w:r>
        <w:t xml:space="preserve"> </w:t>
      </w:r>
      <w:r>
        <w:t xml:space="preserve">even at the most conservative adoption rate modeled (15%), payback is under 4 months. This held up through two rounds of real, sourced conservatism (outlier trim + model-error discount) — it isn’t an artifact of a loose assumption we haven’t caught yet. The underlying driver is scale: 60.6% of all 9,752 listings in the dataset are measurably underpriced, against a $389M total market.</w:t>
      </w:r>
      <w:r>
        <w:t xml:space="preserve"> </w:t>
      </w:r>
      <w:r>
        <w:rPr>
          <w:b/>
          <w:bCs/>
        </w:rPr>
        <w:t xml:space="preserve">Recommendation: present the full sensitivity table on the slide rather than a single headline number.</w:t>
      </w:r>
      <w:r>
        <w:t xml:space="preserve"> </w:t>
      </w:r>
      <w:r>
        <w:t xml:space="preserve">It reads as more rigorous than a single suspiciously strong figure, and it pre-empts the obvious board question (</w:t>
      </w:r>
      <w:r>
        <w:t xml:space="preserve">“what if adoption is low?”</w:t>
      </w:r>
      <w:r>
        <w:t xml:space="preserve">) by already having the answer.</w:t>
      </w:r>
    </w:p>
    <w:p>
      <w:r>
        <w:pict>
          <v:rect style="width:0;height:1.5pt" o:hralign="center" o:hrstd="t" o:hr="t"/>
        </w:pict>
      </w:r>
    </w:p>
    <w:bookmarkEnd w:id="11"/>
    <w:bookmarkStart w:id="13" w:name="cost-to-implement"/>
    <w:p>
      <w:pPr>
        <w:pStyle w:val="Heading2"/>
      </w:pPr>
      <w:r>
        <w:t xml:space="preserve">4. Cost to Implement</w:t>
      </w:r>
    </w:p>
    <w:p>
      <w:pPr>
        <w:pStyle w:val="FirstParagraph"/>
      </w:pPr>
      <w:r>
        <w:rPr>
          <w:b/>
          <w:bCs/>
        </w:rPr>
        <w:t xml:space="preserve">Methodology (researched, citable):</w:t>
      </w:r>
      <w:r>
        <w:t xml:space="preserve"> </w:t>
      </w:r>
      <w:r>
        <w:t xml:space="preserve">don’t present cost as an ad-hoc category list — use recognized frameworks:</w:t>
      </w:r>
      <w:r>
        <w:t xml:space="preserve"> </w:t>
      </w:r>
      <w:r>
        <w:t xml:space="preserve">-</w:t>
      </w:r>
      <w:r>
        <w:t xml:space="preserve"> </w:t>
      </w:r>
      <w:r>
        <w:rPr>
          <w:b/>
          <w:bCs/>
        </w:rPr>
        <w:t xml:space="preserve">Gartner TCO framework</w:t>
      </w:r>
      <w:r>
        <w:t xml:space="preserve"> </w:t>
      </w:r>
      <w:r>
        <w:t xml:space="preserve">(</w:t>
      </w:r>
      <w:hyperlink r:id="rId12">
        <w:r>
          <w:rPr>
            <w:rStyle w:val="Hyperlink"/>
          </w:rPr>
          <w:t xml:space="preserve">source</w:t>
        </w:r>
      </w:hyperlink>
      <w:r>
        <w:t xml:space="preserve">) for the cost-structure skeleton:</w:t>
      </w:r>
      <w:r>
        <w:t xml:space="preserve"> </w:t>
      </w:r>
      <w:r>
        <w:rPr>
          <w:b/>
          <w:bCs/>
        </w:rPr>
        <w:t xml:space="preserve">direct costs</w:t>
      </w:r>
      <w:r>
        <w:t xml:space="preserve"> </w:t>
      </w:r>
      <w:r>
        <w:t xml:space="preserve">(hardware/software, implementation, admin/operation, support) vs. </w:t>
      </w:r>
      <w:r>
        <w:rPr>
          <w:b/>
          <w:bCs/>
        </w:rPr>
        <w:t xml:space="preserve">indirect costs</w:t>
      </w:r>
      <w:r>
        <w:t xml:space="preserve"> </w:t>
      </w:r>
      <w:r>
        <w:t xml:space="preserve">(downtime, inefficiency, productivity loss).</w:t>
      </w:r>
      <w:r>
        <w:t xml:space="preserve"> </w:t>
      </w:r>
      <w:r>
        <w:t xml:space="preserve">-</w:t>
      </w:r>
      <w:r>
        <w:t xml:space="preserve"> </w:t>
      </w:r>
      <w:r>
        <w:rPr>
          <w:b/>
          <w:bCs/>
        </w:rPr>
        <w:t xml:space="preserve">“Hidden Technical Debt in Machine Learning Systems”</w:t>
      </w:r>
      <w:r>
        <w:t xml:space="preserve"> </w:t>
      </w:r>
      <w:r>
        <w:t xml:space="preserve">(Sculley et al., Google, NeurIPS 2015) to justify a distinct recurring line for retraining/data-pipeline upkeep/monitoring — the standard citation for why ML products cost more to run than to build.</w:t>
      </w:r>
      <w:r>
        <w:t xml:space="preserve"> </w:t>
      </w:r>
      <w:r>
        <w:t xml:space="preserve">-</w:t>
      </w:r>
      <w:r>
        <w:t xml:space="preserve"> </w:t>
      </w:r>
      <w:r>
        <w:rPr>
          <w:b/>
          <w:bCs/>
        </w:rPr>
        <w:t xml:space="preserve">NPV / IRR / Payback Period</w:t>
      </w:r>
      <w:r>
        <w:t xml:space="preserve"> </w:t>
      </w:r>
      <w:r>
        <w:t xml:space="preserve">(Corporate Finance Institute) as the financial-ask template once cost and lift are both known.</w:t>
      </w:r>
    </w:p>
    <w:p>
      <w:pPr>
        <w:pStyle w:val="BodyText"/>
      </w:pPr>
      <w:r>
        <w:rPr>
          <w:b/>
          <w:bCs/>
        </w:rPr>
        <w:t xml:space="preserve">Infrastructure cost estimate (researched, NYC-pilot scale, ~9,752 listings, weekly retrain):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Annual (Low–Mid–High)</w:t>
            </w:r>
          </w:p>
        </w:tc>
        <w:tc>
          <w:tcPr/>
          <w:p>
            <w:pPr>
              <w:pStyle w:val="Compact"/>
            </w:pPr>
            <w:r>
              <w:t xml:space="preserve">Basis</w:t>
            </w:r>
          </w:p>
        </w:tc>
      </w:tr>
      <w:tr>
        <w:tc>
          <w:tcPr/>
          <w:p>
            <w:pPr>
              <w:pStyle w:val="Compact"/>
            </w:pPr>
            <w:r>
              <w:t xml:space="preserve">Compute (retrain + ETL)</w:t>
            </w:r>
          </w:p>
        </w:tc>
        <w:tc>
          <w:tcPr/>
          <w:p>
            <w:pPr>
              <w:pStyle w:val="Compact"/>
            </w:pPr>
            <w:r>
              <w:t xml:space="preserve">$120 – $480 – $1,320</w:t>
            </w:r>
          </w:p>
        </w:tc>
        <w:tc>
          <w:tcPr/>
          <w:p>
            <w:pPr>
              <w:pStyle w:val="Compact"/>
            </w:pPr>
            <w:r>
              <w:t xml:space="preserve">AWS Fargate/EC2/SageMaker pricing</w:t>
            </w:r>
          </w:p>
        </w:tc>
      </w:tr>
      <w:tr>
        <w:tc>
          <w:tcPr/>
          <w:p>
            <w:pPr>
              <w:pStyle w:val="Compact"/>
            </w:pPr>
            <w:r>
              <w:t xml:space="preserve">Database</w:t>
            </w:r>
          </w:p>
        </w:tc>
        <w:tc>
          <w:tcPr/>
          <w:p>
            <w:pPr>
              <w:pStyle w:val="Compact"/>
            </w:pPr>
            <w:r>
              <w:t xml:space="preserve">$360 – $720 – $1,800</w:t>
            </w:r>
          </w:p>
        </w:tc>
        <w:tc>
          <w:tcPr/>
          <w:p>
            <w:pPr>
              <w:pStyle w:val="Compact"/>
            </w:pPr>
            <w:r>
              <w:t xml:space="preserve">AWS RDS PostgreSQL pricing</w:t>
            </w:r>
          </w:p>
        </w:tc>
      </w:tr>
      <w:tr>
        <w:tc>
          <w:tcPr/>
          <w:p>
            <w:pPr>
              <w:pStyle w:val="Compact"/>
            </w:pPr>
            <w:r>
              <w:t xml:space="preserve">Dashboard/API hosting</w:t>
            </w:r>
          </w:p>
        </w:tc>
        <w:tc>
          <w:tcPr/>
          <w:p>
            <w:pPr>
              <w:pStyle w:val="Compact"/>
            </w:pPr>
            <w:r>
              <w:t xml:space="preserve">$180 – $540 – $1,500</w:t>
            </w:r>
          </w:p>
        </w:tc>
        <w:tc>
          <w:tcPr/>
          <w:p>
            <w:pPr>
              <w:pStyle w:val="Compact"/>
            </w:pPr>
            <w:r>
              <w:t xml:space="preserve">AWS Fargate/App Runner pricing (note: App Runner is being deprecated for new customers as of Apr 2026 — recommend citing Fargate instead)</w:t>
            </w:r>
          </w:p>
        </w:tc>
      </w:tr>
      <w:tr>
        <w:tc>
          <w:tcPr/>
          <w:p>
            <w:pPr>
              <w:pStyle w:val="Compact"/>
            </w:pPr>
            <w:r>
              <w:t xml:space="preserve">Monitoring/observability</w:t>
            </w:r>
          </w:p>
        </w:tc>
        <w:tc>
          <w:tcPr/>
          <w:p>
            <w:pPr>
              <w:pStyle w:val="Compact"/>
            </w:pPr>
            <w:r>
              <w:t xml:space="preserve">$60 – $1,320 – $3,000</w:t>
            </w:r>
          </w:p>
        </w:tc>
        <w:tc>
          <w:tcPr/>
          <w:p>
            <w:pPr>
              <w:pStyle w:val="Compact"/>
            </w:pPr>
            <w:r>
              <w:t xml:space="preserve">CloudWatch/Grafana/Datadog pricing</w:t>
            </w:r>
          </w:p>
        </w:tc>
      </w:tr>
      <w:tr>
        <w:tc>
          <w:tcPr/>
          <w:p>
            <w:pPr>
              <w:pStyle w:val="Compact"/>
            </w:pPr>
            <w:r>
              <w:rPr>
                <w:b/>
                <w:bCs/>
              </w:rPr>
              <w:t xml:space="preserve">Infra subtotal</w:t>
            </w:r>
          </w:p>
        </w:tc>
        <w:tc>
          <w:tcPr/>
          <w:p>
            <w:pPr>
              <w:pStyle w:val="Compact"/>
            </w:pPr>
            <w:r>
              <w:rPr>
                <w:b/>
                <w:bCs/>
              </w:rPr>
              <w:t xml:space="preserve">~$720 – $3,060 – $7,620/yr</w:t>
            </w:r>
          </w:p>
        </w:tc>
        <w:tc>
          <w:tcPr/>
          <w:p>
            <w:pPr>
              <w:pStyle w:val="Compact"/>
            </w:pPr>
          </w:p>
        </w:tc>
      </w:tr>
      <w:tr>
        <w:tc>
          <w:tcPr/>
          <w:p>
            <w:pPr>
              <w:pStyle w:val="Compact"/>
            </w:pPr>
            <w:r>
              <w:t xml:space="preserve">LLM (host-facing explanations, weekly refresh)</w:t>
            </w:r>
          </w:p>
        </w:tc>
        <w:tc>
          <w:tcPr/>
          <w:p>
            <w:pPr>
              <w:pStyle w:val="Compact"/>
            </w:pPr>
            <w:r>
              <w:t xml:space="preserve">~$786/yr</w:t>
            </w:r>
          </w:p>
        </w:tc>
        <w:tc>
          <w:tcPr/>
          <w:p>
            <w:pPr>
              <w:pStyle w:val="Compact"/>
            </w:pPr>
            <w:r>
              <w:t xml:space="preserve">Claude Haiku 4.5, $1/$5 per MTok in/out, ~800 in / ~150 out tokens per listing</w:t>
            </w:r>
          </w:p>
        </w:tc>
      </w:tr>
      <w:tr>
        <w:tc>
          <w:tcPr/>
          <w:p>
            <w:pPr>
              <w:pStyle w:val="Compact"/>
            </w:pPr>
            <w:r>
              <w:rPr>
                <w:b/>
                <w:bCs/>
              </w:rPr>
              <w:t xml:space="preserve">Total run cost (infra + LLM)</w:t>
            </w:r>
          </w:p>
        </w:tc>
        <w:tc>
          <w:tcPr/>
          <w:p>
            <w:pPr>
              <w:pStyle w:val="Compact"/>
            </w:pPr>
            <w:r>
              <w:rPr>
                <w:b/>
                <w:bCs/>
              </w:rPr>
              <w:t xml:space="preserve">~$1,500 – $3,850 – $8,400/yr</w:t>
            </w:r>
          </w:p>
        </w:tc>
        <w:tc>
          <w:tcPr/>
          <w:p>
            <w:pPr>
              <w:pStyle w:val="Compact"/>
            </w:pPr>
          </w:p>
        </w:tc>
      </w:tr>
    </w:tbl>
    <w:p>
      <w:pPr>
        <w:pStyle w:val="BodyText"/>
      </w:pPr>
      <w:r>
        <w:rPr>
          <w:b/>
          <w:bCs/>
        </w:rPr>
        <w:t xml:space="preserve">Important finding — this is NOT the real cost story.</w:t>
      </w:r>
      <w:r>
        <w:t xml:space="preserve"> </w:t>
      </w:r>
      <w:r>
        <w:t xml:space="preserve">Infrastructure and LLM costs are a rounding error against the revenue-lift numbers in Section 3 (even the high estimate, ~$8,400/year, is nothing next to a multi-million-dollar Airbnb revenue capture). Per the Gartner TCO and ML-technical-debt frameworks above, the real cost of a product like this is</w:t>
      </w:r>
      <w:r>
        <w:t xml:space="preserve"> </w:t>
      </w:r>
      <w:r>
        <w:rPr>
          <w:b/>
          <w:bCs/>
        </w:rPr>
        <w:t xml:space="preserve">personnel/engineering time</w:t>
      </w:r>
      <w:r>
        <w:t xml:space="preserve"> </w:t>
      </w:r>
      <w:r>
        <w:t xml:space="preserve">— initial build, integration, and ongoing model maintenance — not hosting bills. Jai’s original cost category list (cloud, database, LLM, storage, monitoring) never included a personnel/dev-cost line, and that gap needs to be closed before this goes in front of the team, since presenting</w:t>
      </w:r>
      <w:r>
        <w:t xml:space="preserve"> </w:t>
      </w:r>
      <w:r>
        <w:t xml:space="preserve">“$3K/year to run”</w:t>
      </w:r>
      <w:r>
        <w:t xml:space="preserve"> </w:t>
      </w:r>
      <w:r>
        <w:t xml:space="preserve">next to</w:t>
      </w:r>
      <w:r>
        <w:t xml:space="preserve"> </w:t>
      </w:r>
      <w:r>
        <w:t xml:space="preserve">“$8M/year in Airbnb revenue”</w:t>
      </w:r>
      <w:r>
        <w:t xml:space="preserve"> </w:t>
      </w:r>
      <w:r>
        <w:t xml:space="preserve">without an engineering cost line will look incomplete or naive to a sophisticated reviewer.</w:t>
      </w:r>
    </w:p>
    <w:p>
      <w:pPr>
        <w:pStyle w:val="BodyText"/>
      </w:pPr>
      <w:r>
        <w:rPr>
          <w:b/>
          <w:bCs/>
        </w:rPr>
        <w:t xml:space="preserve">Labor cost estimate (researched):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Fully-loaded annual cost</w:t>
            </w:r>
          </w:p>
        </w:tc>
        <w:tc>
          <w:tcPr/>
          <w:p>
            <w:pPr>
              <w:pStyle w:val="Compact"/>
            </w:pPr>
            <w:r>
              <w:t xml:space="preserve">Basis</w:t>
            </w:r>
          </w:p>
        </w:tc>
      </w:tr>
      <w:tr>
        <w:tc>
          <w:tcPr/>
          <w:p>
            <w:pPr>
              <w:pStyle w:val="Compact"/>
            </w:pPr>
            <w:r>
              <w:t xml:space="preserve">Senior Data Scientist / ML Engineer</w:t>
            </w:r>
          </w:p>
        </w:tc>
        <w:tc>
          <w:tcPr/>
          <w:p>
            <w:pPr>
              <w:pStyle w:val="Compact"/>
            </w:pPr>
            <w:r>
              <w:t xml:space="preserve">~$286,000 (~$137/hr)</w:t>
            </w:r>
          </w:p>
        </w:tc>
        <w:tc>
          <w:tcPr/>
          <w:p>
            <w:pPr>
              <w:pStyle w:val="Compact"/>
            </w:pPr>
            <w:r>
              <w:t xml:space="preserve">Glassdoor 2026 avg × 1.3 loading multiplier</w:t>
            </w:r>
          </w:p>
        </w:tc>
      </w:tr>
      <w:tr>
        <w:tc>
          <w:tcPr/>
          <w:p>
            <w:pPr>
              <w:pStyle w:val="Compact"/>
            </w:pPr>
            <w:r>
              <w:t xml:space="preserve">Backend/Data Engineer</w:t>
            </w:r>
          </w:p>
        </w:tc>
        <w:tc>
          <w:tcPr/>
          <w:p>
            <w:pPr>
              <w:pStyle w:val="Compact"/>
            </w:pPr>
            <w:r>
              <w:t xml:space="preserve">~$214,500 (~$103/hr)</w:t>
            </w:r>
          </w:p>
        </w:tc>
        <w:tc>
          <w:tcPr/>
          <w:p>
            <w:pPr>
              <w:pStyle w:val="Compact"/>
            </w:pPr>
            <w:r>
              <w:t xml:space="preserve">Glassdoor 2026 avg × 1.3</w:t>
            </w:r>
          </w:p>
        </w:tc>
      </w:tr>
      <w:tr>
        <w:tc>
          <w:tcPr/>
          <w:p>
            <w:pPr>
              <w:pStyle w:val="Compact"/>
            </w:pPr>
            <w:r>
              <w:t xml:space="preserve">Product Manager</w:t>
            </w:r>
          </w:p>
        </w:tc>
        <w:tc>
          <w:tcPr/>
          <w:p>
            <w:pPr>
              <w:pStyle w:val="Compact"/>
            </w:pPr>
            <w:r>
              <w:t xml:space="preserve">~$246,000 (~$118/hr)</w:t>
            </w:r>
          </w:p>
        </w:tc>
        <w:tc>
          <w:tcPr/>
          <w:p>
            <w:pPr>
              <w:pStyle w:val="Compact"/>
            </w:pPr>
            <w:r>
              <w:t xml:space="preserve">Glassdoor 2026 avg × 1.3</w:t>
            </w:r>
          </w:p>
        </w:tc>
      </w:tr>
      <w:tr>
        <w:tc>
          <w:tcPr/>
          <w:p>
            <w:pPr>
              <w:pStyle w:val="Compact"/>
            </w:pPr>
            <w:r>
              <w:t xml:space="preserve">Frontend/Product Engineer</w:t>
            </w:r>
          </w:p>
        </w:tc>
        <w:tc>
          <w:tcPr/>
          <w:p>
            <w:pPr>
              <w:pStyle w:val="Compact"/>
            </w:pPr>
            <w:r>
              <w:t xml:space="preserve">~$190,300 (~$91/hr)</w:t>
            </w:r>
          </w:p>
        </w:tc>
        <w:tc>
          <w:tcPr/>
          <w:p>
            <w:pPr>
              <w:pStyle w:val="Compact"/>
            </w:pPr>
            <w:r>
              <w:t xml:space="preserve">Glassdoor 2026 avg × 1.3</w:t>
            </w:r>
          </w:p>
        </w:tc>
      </w:tr>
    </w:tbl>
    <w:p>
      <w:pPr>
        <w:pStyle w:val="BodyText"/>
      </w:pPr>
      <w:r>
        <w:t xml:space="preserve">The 1.3x loading multiplier (salary → fully-loaded cost) is an industry convention, not a single authoritative figure — footnote this in the deck.</w:t>
      </w:r>
    </w:p>
    <w:p>
      <w:pPr>
        <w:pStyle w:val="BodyText"/>
      </w:pPr>
      <w:r>
        <w:rPr>
          <w:b/>
          <w:bCs/>
        </w:rPr>
        <w:t xml:space="preserve">Illustrative build + maintenance cost (extrapolated from adjacent benchmarks — no single published source covers this exact scope, flag as an estimate):</w:t>
      </w:r>
      <w:r>
        <w:t xml:space="preserve"> </w:t>
      </w:r>
      <w:r>
        <w:t xml:space="preserve">-</w:t>
      </w:r>
      <w:r>
        <w:t xml:space="preserve"> </w:t>
      </w:r>
      <w:r>
        <w:rPr>
          <w:b/>
          <w:bCs/>
        </w:rPr>
        <w:t xml:space="preserve">One-time build:</w:t>
      </w:r>
      <w:r>
        <w:t xml:space="preserve"> </w:t>
      </w:r>
      <w:r>
        <w:t xml:space="preserve">~0.6 FTE Sr. DS/MLE + 1.0 FTE Backend Eng + 0.5 FTE Frontend + 0.25 FTE PM over a 4-month build ≈</w:t>
      </w:r>
      <w:r>
        <w:t xml:space="preserve"> </w:t>
      </w:r>
      <w:r>
        <w:rPr>
          <w:b/>
          <w:bCs/>
        </w:rPr>
        <w:t xml:space="preserve">$180K-$200K</w:t>
      </w:r>
      <w:r>
        <w:t xml:space="preserve"> </w:t>
      </w:r>
      <w:r>
        <w:t xml:space="preserve">-</w:t>
      </w:r>
      <w:r>
        <w:t xml:space="preserve"> </w:t>
      </w:r>
      <w:r>
        <w:rPr>
          <w:b/>
          <w:bCs/>
        </w:rPr>
        <w:t xml:space="preserve">Annual maintenance (labor):</w:t>
      </w:r>
      <w:r>
        <w:t xml:space="preserve"> </w:t>
      </w:r>
      <w:r>
        <w:t xml:space="preserve">~0.2 FTE DS/MLE + ~0.15 FTE Backend Eng ≈</w:t>
      </w:r>
      <w:r>
        <w:t xml:space="preserve"> </w:t>
      </w:r>
      <w:r>
        <w:rPr>
          <w:b/>
          <w:bCs/>
        </w:rPr>
        <w:t xml:space="preserve">$95K-$105K/year</w:t>
      </w:r>
      <w:r>
        <w:t xml:space="preserve"> </w:t>
      </w:r>
      <w:r>
        <w:t xml:space="preserve">-</w:t>
      </w:r>
      <w:r>
        <w:t xml:space="preserve"> </w:t>
      </w:r>
      <w:r>
        <w:rPr>
          <w:b/>
          <w:bCs/>
        </w:rPr>
        <w:t xml:space="preserve">Annual maintenance (infra + LLM, from above):</w:t>
      </w:r>
      <w:r>
        <w:t xml:space="preserve"> </w:t>
      </w:r>
      <w:r>
        <w:t xml:space="preserve">~$1,500-$8,400/year</w:t>
      </w:r>
      <w:r>
        <w:t xml:space="preserve"> </w:t>
      </w:r>
      <w:r>
        <w:t xml:space="preserve">-</w:t>
      </w:r>
      <w:r>
        <w:t xml:space="preserve"> </w:t>
      </w:r>
      <w:r>
        <w:rPr>
          <w:b/>
          <w:bCs/>
        </w:rPr>
        <w:t xml:space="preserve">Total annual run cost (labor + infra):</w:t>
      </w:r>
      <w:r>
        <w:t xml:space="preserve"> </w:t>
      </w:r>
      <w:r>
        <w:rPr>
          <w:b/>
          <w:bCs/>
        </w:rPr>
        <w:t xml:space="preserve">~$96,500-$113,400/year</w:t>
      </w:r>
    </w:p>
    <w:p>
      <w:pPr>
        <w:pStyle w:val="BodyText"/>
      </w:pPr>
      <w:r>
        <w:rPr>
          <w:b/>
          <w:bCs/>
        </w:rPr>
        <w:t xml:space="preserve">Sanity-check flag for the team:</w:t>
      </w:r>
      <w:r>
        <w:t xml:space="preserve"> </w:t>
      </w:r>
      <w:r>
        <w:t xml:space="preserve">even at the low end of the adoption-rate sensitivity in Section 3 (25% adoption), Airbnb’s projected revenue capture (~$2.1M/year) dwarfs the ~$100K/year total run cost and the ~$190K one-time build. Payback period comes out under one year in every adoption scenario modeled so far.</w:t>
      </w:r>
      <w:r>
        <w:t xml:space="preserve"> </w:t>
      </w:r>
      <w:r>
        <w:rPr>
          <w:b/>
          <w:bCs/>
        </w:rPr>
        <w:t xml:space="preserve">This is a signal to scrutinize the revenue-lift assumptions harder, not evidence the cost estimate is wrong.</w:t>
      </w:r>
      <w:r>
        <w:t xml:space="preserve"> </w:t>
      </w:r>
      <w:r>
        <w:t xml:space="preserve">A board pitch with a sub-1-year payback at even the conservative case will read as either an exceptional opportunity or an unbelievable one — Stan or the team should stress-test the adoption-rate and model-noise-discount assumptions in Section 3 before presenting a number this strong.</w:t>
      </w:r>
    </w:p>
    <w:p>
      <w:pPr>
        <w:pStyle w:val="BodyText"/>
      </w:pPr>
      <w:r>
        <w:rPr>
          <w:b/>
          <w:bCs/>
        </w:rPr>
        <w:t xml:space="preserve">Open items:</w:t>
      </w:r>
      <w:r>
        <w:t xml:space="preserve"> </w:t>
      </w:r>
      <w:r>
        <w:t xml:space="preserve">- Team to pick a specific adoption-rate assumption (Section 3) — this is now the single biggest lever on the whole financial story, cost is comparatively settled</w:t>
      </w:r>
      <w:r>
        <w:t xml:space="preserve"> </w:t>
      </w:r>
      <w:r>
        <w:t xml:space="preserve">- Decide whether to treat this as</w:t>
      </w:r>
      <w:r>
        <w:t xml:space="preserve"> </w:t>
      </w:r>
      <w:r>
        <w:t xml:space="preserve">“cost if built as new”</w:t>
      </w:r>
      <w:r>
        <w:t xml:space="preserve"> </w:t>
      </w:r>
      <w:r>
        <w:t xml:space="preserve">(bottoms-up, what’s estimated above) vs. </w:t>
      </w:r>
      <w:r>
        <w:t xml:space="preserve">“marginal cost to Airbnb”</w:t>
      </w:r>
      <w:r>
        <w:t xml:space="preserve"> </w:t>
      </w:r>
      <w:r>
        <w:t xml:space="preserve">(since as an internal team, some of this infra/tooling likely already exists on Airbnb’s platform) — worth a one-line acknowledgment either way</w:t>
      </w:r>
      <w:r>
        <w:t xml:space="preserve"> </w:t>
      </w:r>
      <w:r>
        <w:t xml:space="preserve">- Confirm target scale to cost against (NYC pilot, per README scope decision, not platform-wide)</w:t>
      </w:r>
    </w:p>
    <w:p>
      <w:r>
        <w:pict>
          <v:rect style="width:0;height:1.5pt" o:hralign="center" o:hrstd="t" o:hr="t"/>
        </w:pict>
      </w:r>
    </w:p>
    <w:bookmarkEnd w:id="13"/>
    <w:bookmarkStart w:id="14" w:name="roi"/>
    <w:p>
      <w:pPr>
        <w:pStyle w:val="Heading2"/>
      </w:pPr>
      <w:r>
        <w:t xml:space="preserve">5. ROI</w:t>
      </w:r>
    </w:p>
    <w:p>
      <w:pPr>
        <w:pStyle w:val="FirstParagraph"/>
      </w:pPr>
      <w:r>
        <w:rPr>
          <w:b/>
          <w:bCs/>
        </w:rPr>
        <w:t xml:space="preserve">FINALIZED first pass (2026-07-25):</w:t>
      </w:r>
      <w:r>
        <w:t xml:space="preserve"> </w:t>
      </w:r>
      <w:r>
        <w:t xml:space="preserve">Using NPV/IRR/Payback methodology (Corporate Finance Institute — see Section 4), flat steady-state adoption assumed (Section 6 will refine with a ramp curve instead of flat adoption from year 1).</w:t>
      </w:r>
    </w:p>
    <w:p>
      <w:pPr>
        <w:pStyle w:val="BodyText"/>
      </w:pPr>
      <w:r>
        <w:rPr>
          <w:b/>
          <w:bCs/>
        </w:rPr>
        <w:t xml:space="preserve">5-year net revenue and ROI, by adoption scenario</w:t>
      </w:r>
      <w:r>
        <w:t xml:space="preserve"> </w:t>
      </w:r>
      <w:r>
        <w:t xml:space="preserve">(build $190K one-time + $105K/year run cost = $715K total 5-year cost):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Adoption</w:t>
            </w:r>
          </w:p>
        </w:tc>
        <w:tc>
          <w:tcPr/>
          <w:p>
            <w:pPr>
              <w:pStyle w:val="Compact"/>
            </w:pPr>
            <w:r>
              <w:t xml:space="preserve">5-yr Airbnb revenue</w:t>
            </w:r>
          </w:p>
        </w:tc>
        <w:tc>
          <w:tcPr/>
          <w:p>
            <w:pPr>
              <w:pStyle w:val="Compact"/>
            </w:pPr>
            <w:r>
              <w:t xml:space="preserve">5-yr net revenue</w:t>
            </w:r>
          </w:p>
        </w:tc>
        <w:tc>
          <w:tcPr/>
          <w:p>
            <w:pPr>
              <w:pStyle w:val="Compact"/>
            </w:pPr>
            <w:r>
              <w:t xml:space="preserve">5-yr ROI</w:t>
            </w:r>
          </w:p>
        </w:tc>
        <w:tc>
          <w:tcPr/>
          <w:p>
            <w:pPr>
              <w:pStyle w:val="Compact"/>
            </w:pPr>
            <w:r>
              <w:t xml:space="preserve">Payback (from Section 3)</w:t>
            </w:r>
          </w:p>
        </w:tc>
      </w:tr>
      <w:tr>
        <w:tc>
          <w:tcPr/>
          <w:p>
            <w:pPr>
              <w:pStyle w:val="Compact"/>
            </w:pPr>
            <w:r>
              <w:t xml:space="preserve">15%</w:t>
            </w:r>
          </w:p>
        </w:tc>
        <w:tc>
          <w:tcPr/>
          <w:p>
            <w:pPr>
              <w:pStyle w:val="Compact"/>
            </w:pPr>
            <w:r>
              <w:t xml:space="preserve">$4.81M</w:t>
            </w:r>
          </w:p>
        </w:tc>
        <w:tc>
          <w:tcPr/>
          <w:p>
            <w:pPr>
              <w:pStyle w:val="Compact"/>
            </w:pPr>
            <w:r>
              <w:t xml:space="preserve">$4.10M</w:t>
            </w:r>
          </w:p>
        </w:tc>
        <w:tc>
          <w:tcPr/>
          <w:p>
            <w:pPr>
              <w:pStyle w:val="Compact"/>
            </w:pPr>
            <w:r>
              <w:t xml:space="preserve">573%</w:t>
            </w:r>
          </w:p>
        </w:tc>
        <w:tc>
          <w:tcPr/>
          <w:p>
            <w:pPr>
              <w:pStyle w:val="Compact"/>
            </w:pPr>
            <w:r>
              <w:t xml:space="preserve">3.7 months</w:t>
            </w:r>
          </w:p>
        </w:tc>
      </w:tr>
      <w:tr>
        <w:tc>
          <w:tcPr/>
          <w:p>
            <w:pPr>
              <w:pStyle w:val="Compact"/>
            </w:pPr>
            <w:r>
              <w:t xml:space="preserve">25%</w:t>
            </w:r>
          </w:p>
        </w:tc>
        <w:tc>
          <w:tcPr/>
          <w:p>
            <w:pPr>
              <w:pStyle w:val="Compact"/>
            </w:pPr>
            <w:r>
              <w:t xml:space="preserve">$8.02M</w:t>
            </w:r>
          </w:p>
        </w:tc>
        <w:tc>
          <w:tcPr/>
          <w:p>
            <w:pPr>
              <w:pStyle w:val="Compact"/>
            </w:pPr>
            <w:r>
              <w:t xml:space="preserve">$7.30M</w:t>
            </w:r>
          </w:p>
        </w:tc>
        <w:tc>
          <w:tcPr/>
          <w:p>
            <w:pPr>
              <w:pStyle w:val="Compact"/>
            </w:pPr>
            <w:r>
              <w:t xml:space="preserve">1,021%</w:t>
            </w:r>
          </w:p>
        </w:tc>
        <w:tc>
          <w:tcPr/>
          <w:p>
            <w:pPr>
              <w:pStyle w:val="Compact"/>
            </w:pPr>
            <w:r>
              <w:t xml:space="preserve">2.2 months</w:t>
            </w:r>
          </w:p>
        </w:tc>
      </w:tr>
      <w:tr>
        <w:tc>
          <w:tcPr/>
          <w:p>
            <w:pPr>
              <w:pStyle w:val="Compact"/>
            </w:pPr>
            <w:r>
              <w:t xml:space="preserve">35%</w:t>
            </w:r>
          </w:p>
        </w:tc>
        <w:tc>
          <w:tcPr/>
          <w:p>
            <w:pPr>
              <w:pStyle w:val="Compact"/>
            </w:pPr>
            <w:r>
              <w:t xml:space="preserve">$11.22M</w:t>
            </w:r>
          </w:p>
        </w:tc>
        <w:tc>
          <w:tcPr/>
          <w:p>
            <w:pPr>
              <w:pStyle w:val="Compact"/>
            </w:pPr>
            <w:r>
              <w:t xml:space="preserve">$10.51M</w:t>
            </w:r>
          </w:p>
        </w:tc>
        <w:tc>
          <w:tcPr/>
          <w:p>
            <w:pPr>
              <w:pStyle w:val="Compact"/>
            </w:pPr>
            <w:r>
              <w:t xml:space="preserve">1,470%</w:t>
            </w:r>
          </w:p>
        </w:tc>
        <w:tc>
          <w:tcPr/>
          <w:p>
            <w:pPr>
              <w:pStyle w:val="Compact"/>
            </w:pPr>
            <w:r>
              <w:t xml:space="preserve">1.6 months</w:t>
            </w:r>
          </w:p>
        </w:tc>
      </w:tr>
      <w:tr>
        <w:tc>
          <w:tcPr/>
          <w:p>
            <w:pPr>
              <w:pStyle w:val="Compact"/>
            </w:pPr>
            <w:r>
              <w:t xml:space="preserve">50%</w:t>
            </w:r>
          </w:p>
        </w:tc>
        <w:tc>
          <w:tcPr/>
          <w:p>
            <w:pPr>
              <w:pStyle w:val="Compact"/>
            </w:pPr>
            <w:r>
              <w:t xml:space="preserve">$16.03M</w:t>
            </w:r>
          </w:p>
        </w:tc>
        <w:tc>
          <w:tcPr/>
          <w:p>
            <w:pPr>
              <w:pStyle w:val="Compact"/>
            </w:pPr>
            <w:r>
              <w:t xml:space="preserve">$15.32M</w:t>
            </w:r>
          </w:p>
        </w:tc>
        <w:tc>
          <w:tcPr/>
          <w:p>
            <w:pPr>
              <w:pStyle w:val="Compact"/>
            </w:pPr>
            <w:r>
              <w:t xml:space="preserve">2,142%</w:t>
            </w:r>
          </w:p>
        </w:tc>
        <w:tc>
          <w:tcPr/>
          <w:p>
            <w:pPr>
              <w:pStyle w:val="Compact"/>
            </w:pPr>
            <w:r>
              <w:t xml:space="preserve">1.1 months</w:t>
            </w:r>
          </w:p>
        </w:tc>
      </w:tr>
      <w:tr>
        <w:tc>
          <w:tcPr/>
          <w:p>
            <w:pPr>
              <w:pStyle w:val="Compact"/>
            </w:pPr>
            <w:r>
              <w:t xml:space="preserve">75%</w:t>
            </w:r>
          </w:p>
        </w:tc>
        <w:tc>
          <w:tcPr/>
          <w:p>
            <w:pPr>
              <w:pStyle w:val="Compact"/>
            </w:pPr>
            <w:r>
              <w:t xml:space="preserve">$24.05M</w:t>
            </w:r>
          </w:p>
        </w:tc>
        <w:tc>
          <w:tcPr/>
          <w:p>
            <w:pPr>
              <w:pStyle w:val="Compact"/>
            </w:pPr>
            <w:r>
              <w:t xml:space="preserve">$23.34M</w:t>
            </w:r>
          </w:p>
        </w:tc>
        <w:tc>
          <w:tcPr/>
          <w:p>
            <w:pPr>
              <w:pStyle w:val="Compact"/>
            </w:pPr>
            <w:r>
              <w:t xml:space="preserve">3,264%</w:t>
            </w:r>
          </w:p>
        </w:tc>
        <w:tc>
          <w:tcPr/>
          <w:p>
            <w:pPr>
              <w:pStyle w:val="Compact"/>
            </w:pPr>
            <w:r>
              <w:t xml:space="preserve">0.7 months</w:t>
            </w:r>
          </w:p>
        </w:tc>
      </w:tr>
      <w:tr>
        <w:tc>
          <w:tcPr/>
          <w:p>
            <w:pPr>
              <w:pStyle w:val="Compact"/>
            </w:pPr>
            <w:r>
              <w:t xml:space="preserve">100%</w:t>
            </w:r>
          </w:p>
        </w:tc>
        <w:tc>
          <w:tcPr/>
          <w:p>
            <w:pPr>
              <w:pStyle w:val="Compact"/>
            </w:pPr>
            <w:r>
              <w:t xml:space="preserve">$32.07M</w:t>
            </w:r>
          </w:p>
        </w:tc>
        <w:tc>
          <w:tcPr/>
          <w:p>
            <w:pPr>
              <w:pStyle w:val="Compact"/>
            </w:pPr>
            <w:r>
              <w:t xml:space="preserve">$31.35M</w:t>
            </w:r>
          </w:p>
        </w:tc>
        <w:tc>
          <w:tcPr/>
          <w:p>
            <w:pPr>
              <w:pStyle w:val="Compact"/>
            </w:pPr>
            <w:r>
              <w:t xml:space="preserve">4,385%</w:t>
            </w:r>
          </w:p>
        </w:tc>
        <w:tc>
          <w:tcPr/>
          <w:p>
            <w:pPr>
              <w:pStyle w:val="Compact"/>
            </w:pPr>
            <w:r>
              <w:t xml:space="preserve">0.6 months</w:t>
            </w:r>
          </w:p>
        </w:tc>
      </w:tr>
    </w:tbl>
    <w:p>
      <w:pPr>
        <w:pStyle w:val="BodyText"/>
      </w:pPr>
      <w:r>
        <w:rPr>
          <w:b/>
          <w:bCs/>
        </w:rPr>
        <w:t xml:space="preserve">Recommendation for the slide (per Stan’s</w:t>
      </w:r>
      <w:r>
        <w:rPr>
          <w:b/>
          <w:bCs/>
        </w:rPr>
        <w:t xml:space="preserve"> </w:t>
      </w:r>
      <w:r>
        <w:rPr>
          <w:b/>
          <w:bCs/>
        </w:rPr>
        <w:t xml:space="preserve">“lead with big numbers, one synopsis slide”</w:t>
      </w:r>
      <w:r>
        <w:rPr>
          <w:b/>
          <w:bCs/>
        </w:rPr>
        <w:t xml:space="preserve"> </w:t>
      </w:r>
      <w:r>
        <w:rPr>
          <w:b/>
          <w:bCs/>
        </w:rPr>
        <w:t xml:space="preserve">guidance):</w:t>
      </w:r>
      <w:r>
        <w:t xml:space="preserve"> </w:t>
      </w:r>
      <w:r>
        <w:t xml:space="preserve">present the 25% and 50% adoption rows as the headline</w:t>
      </w:r>
      <w:r>
        <w:t xml:space="preserve"> </w:t>
      </w:r>
      <w:r>
        <w:t xml:space="preserve">“conservative”</w:t>
      </w:r>
      <w:r>
        <w:t xml:space="preserve"> </w:t>
      </w:r>
      <w:r>
        <w:t xml:space="preserve">and</w:t>
      </w:r>
      <w:r>
        <w:t xml:space="preserve"> </w:t>
      </w:r>
      <w:r>
        <w:t xml:space="preserve">“expected”</w:t>
      </w:r>
      <w:r>
        <w:t xml:space="preserve"> </w:t>
      </w:r>
      <w:r>
        <w:t xml:space="preserve">cases, with the full table as backup in the appendix/written submission. Don’t present the 100% row as the headline, it invites the obvious</w:t>
      </w:r>
      <w:r>
        <w:t xml:space="preserve"> </w:t>
      </w:r>
      <w:r>
        <w:t xml:space="preserve">“that assumes every single host adopts this immediately”</w:t>
      </w:r>
      <w:r>
        <w:t xml:space="preserve"> </w:t>
      </w:r>
      <w:r>
        <w:t xml:space="preserve">pushback.</w:t>
      </w:r>
    </w:p>
    <w:p>
      <w:pPr>
        <w:pStyle w:val="BodyText"/>
      </w:pPr>
      <w:r>
        <w:rPr>
          <w:b/>
          <w:bCs/>
        </w:rPr>
        <w:t xml:space="preserve">Open items:</w:t>
      </w:r>
      <w:r>
        <w:t xml:space="preserve"> </w:t>
      </w:r>
      <w:r>
        <w:t xml:space="preserve">Section 6 (financial timeline/ramp curve) should replace the flat-adoption assumption here with a year-by-year ramp once that’s built out — this table is a steady-state simplification, not the final board-ready version.</w:t>
      </w:r>
    </w:p>
    <w:p>
      <w:r>
        <w:pict>
          <v:rect style="width:0;height:1.5pt" o:hralign="center" o:hrstd="t" o:hr="t"/>
        </w:pict>
      </w:r>
    </w:p>
    <w:bookmarkEnd w:id="14"/>
    <w:bookmarkStart w:id="15" w:name="financial-timeline"/>
    <w:p>
      <w:pPr>
        <w:pStyle w:val="Heading2"/>
      </w:pPr>
      <w:r>
        <w:t xml:space="preserve">6. Financial Timeline</w:t>
      </w:r>
    </w:p>
    <w:p>
      <w:pPr>
        <w:pStyle w:val="FirstParagraph"/>
      </w:pPr>
      <w:r>
        <w:rPr>
          <w:b/>
          <w:bCs/>
        </w:rPr>
        <w:t xml:space="preserve">Not the same as the project deadline timeline</w:t>
      </w:r>
      <w:r>
        <w:t xml:space="preserve"> </w:t>
      </w:r>
      <w:r>
        <w:t xml:space="preserve">(see the reminders section at the bottom) — this is the revenue ramp/payback curve: adoption isn’t instant, so year-1 captured revenue is well below steady-state.</w:t>
      </w:r>
    </w:p>
    <w:p>
      <w:pPr>
        <w:pStyle w:val="BodyText"/>
      </w:pPr>
      <w:r>
        <w:rPr>
          <w:b/>
          <w:bCs/>
        </w:rPr>
        <w:t xml:space="preserve">FINALIZED (2026-07-25) — real, cited adoption-ramp framework:</w:t>
      </w:r>
      <w:r>
        <w:t xml:space="preserve"> </w:t>
      </w:r>
      <w:r>
        <w:t xml:space="preserve">researched rather than invented. Best-fit model is</w:t>
      </w:r>
      <w:r>
        <w:t xml:space="preserve"> </w:t>
      </w:r>
      <w:r>
        <w:rPr>
          <w:b/>
          <w:bCs/>
        </w:rPr>
        <w:t xml:space="preserve">Rogers’ Diffusion of Innovation</w:t>
      </w:r>
      <w:r>
        <w:t xml:space="preserve"> </w:t>
      </w:r>
      <w:r>
        <w:t xml:space="preserve">— this is an opt-in tool offered to independent, individually-deciding hosts who’d plausibly diffuse it through word-of-mouth within their own community, which is Rogers’ original context, not a top-down mandated enterprise rollout. The</w:t>
      </w:r>
      <w:r>
        <w:t xml:space="preserve"> </w:t>
      </w:r>
      <w:r>
        <w:rPr>
          <w:b/>
          <w:bCs/>
        </w:rPr>
        <w:t xml:space="preserve">Bass diffusion model</w:t>
      </w:r>
      <w:r>
        <w:t xml:space="preserve"> </w:t>
      </w:r>
      <w:r>
        <w:t xml:space="preserve">is the standard way to turn that shape into numbers, but the classical academic parameters (Sultan/Farley/Lehmann 1990 meta-analysis, p=0.03/q=0.38) are calibrated for durable-goods adoption over 10-15+ year horizons — plugging them in raw gives an unrealistically slow curve for a digital tool. Recalibrated instead to real SaaS feature-adoption benchmarks (Product Metrics Benchmark Report 2024, 181 SaaS companies: average adoption 24.5%, median 16.5%, top quartile &gt;45%).</w:t>
      </w:r>
    </w:p>
    <w:p>
      <w:pPr>
        <w:pStyle w:val="BodyText"/>
      </w:pPr>
      <w:r>
        <w:rPr>
          <w:b/>
          <w:bCs/>
        </w:rPr>
        <w:t xml:space="preserve">Adoption ramp used: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Cumulative adoption</w:t>
            </w:r>
          </w:p>
        </w:tc>
        <w:tc>
          <w:tcPr/>
          <w:p>
            <w:pPr>
              <w:pStyle w:val="Compact"/>
            </w:pPr>
            <w:r>
              <w:t xml:space="preserve">Basis</w:t>
            </w:r>
          </w:p>
        </w:tc>
      </w:tr>
      <w:tr>
        <w:tc>
          <w:tcPr/>
          <w:p>
            <w:pPr>
              <w:pStyle w:val="Compact"/>
            </w:pPr>
            <w:r>
              <w:t xml:space="preserve">1</w:t>
            </w:r>
          </w:p>
        </w:tc>
        <w:tc>
          <w:tcPr/>
          <w:p>
            <w:pPr>
              <w:pStyle w:val="Compact"/>
            </w:pPr>
            <w:r>
              <w:t xml:space="preserve">~10%</w:t>
            </w:r>
          </w:p>
        </w:tc>
        <w:tc>
          <w:tcPr/>
          <w:p>
            <w:pPr>
              <w:pStyle w:val="Compact"/>
            </w:pPr>
            <w:r>
              <w:t xml:space="preserve">Rogers’ innovator + early-adopter pool, scaled for a slow first-year dashboard-tool ramp</w:t>
            </w:r>
          </w:p>
        </w:tc>
      </w:tr>
      <w:tr>
        <w:tc>
          <w:tcPr/>
          <w:p>
            <w:pPr>
              <w:pStyle w:val="Compact"/>
            </w:pPr>
            <w:r>
              <w:t xml:space="preserve">2</w:t>
            </w:r>
          </w:p>
        </w:tc>
        <w:tc>
          <w:tcPr/>
          <w:p>
            <w:pPr>
              <w:pStyle w:val="Compact"/>
            </w:pPr>
            <w:r>
              <w:t xml:space="preserve">~24%</w:t>
            </w:r>
          </w:p>
        </w:tc>
        <w:tc>
          <w:tcPr/>
          <w:p>
            <w:pPr>
              <w:pStyle w:val="Compact"/>
            </w:pPr>
            <w:r>
              <w:t xml:space="preserve">Anchored to the real SaaS average adoption benchmark (24.5%)</w:t>
            </w:r>
          </w:p>
        </w:tc>
      </w:tr>
      <w:tr>
        <w:tc>
          <w:tcPr/>
          <w:p>
            <w:pPr>
              <w:pStyle w:val="Compact"/>
            </w:pPr>
            <w:r>
              <w:t xml:space="preserve">3</w:t>
            </w:r>
          </w:p>
        </w:tc>
        <w:tc>
          <w:tcPr/>
          <w:p>
            <w:pPr>
              <w:pStyle w:val="Compact"/>
            </w:pPr>
            <w:r>
              <w:t xml:space="preserve">~38%</w:t>
            </w:r>
          </w:p>
        </w:tc>
        <w:tc>
          <w:tcPr/>
          <w:p>
            <w:pPr>
              <w:pStyle w:val="Compact"/>
            </w:pPr>
            <w:r>
              <w:t xml:space="preserve">Extrapolated, crossing into early-majority adoption</w:t>
            </w:r>
          </w:p>
        </w:tc>
      </w:tr>
      <w:tr>
        <w:tc>
          <w:tcPr/>
          <w:p>
            <w:pPr>
              <w:pStyle w:val="Compact"/>
            </w:pPr>
            <w:r>
              <w:t xml:space="preserve">4+ (steady state)</w:t>
            </w:r>
          </w:p>
        </w:tc>
        <w:tc>
          <w:tcPr/>
          <w:p>
            <w:pPr>
              <w:pStyle w:val="Compact"/>
            </w:pPr>
            <w:r>
              <w:t xml:space="preserve">~42%</w:t>
            </w:r>
          </w:p>
        </w:tc>
        <w:tc>
          <w:tcPr/>
          <w:p>
            <w:pPr>
              <w:pStyle w:val="Compact"/>
            </w:pPr>
            <w:r>
              <w:t xml:space="preserve">Anchored just under the real SaaS top-quartile benchmark (&gt;45%) — most opt-in features plateau well under 100%, so steady state is deliberately not the</w:t>
            </w:r>
            <w:r>
              <w:t xml:space="preserve"> </w:t>
            </w:r>
            <w:r>
              <w:t xml:space="preserve">“100% adoption”</w:t>
            </w:r>
            <w:r>
              <w:t xml:space="preserve"> </w:t>
            </w:r>
            <w:r>
              <w:t xml:space="preserve">ceiling used elsewhere as an upper bound</w:t>
            </w:r>
          </w:p>
        </w:tc>
      </w:tr>
    </w:tbl>
    <w:p>
      <w:pPr>
        <w:pStyle w:val="BodyText"/>
      </w:pPr>
      <w:r>
        <w:rPr>
          <w:b/>
          <w:bCs/>
        </w:rPr>
        <w:t xml:space="preserve">Year-by-year financial timeline</w:t>
      </w:r>
      <w:r>
        <w:t xml:space="preserve"> </w:t>
      </w:r>
      <w:r>
        <w:t xml:space="preserve">(on the $6.41M/year Airbnb-revenue ceiling at 100% adoption from Section 3; build $190K in Year 1 + $105K/year run cost every year):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Year</w:t>
            </w:r>
          </w:p>
        </w:tc>
        <w:tc>
          <w:tcPr/>
          <w:p>
            <w:pPr>
              <w:pStyle w:val="Compact"/>
            </w:pPr>
            <w:r>
              <w:t xml:space="preserve">Adoption</w:t>
            </w:r>
          </w:p>
        </w:tc>
        <w:tc>
          <w:tcPr/>
          <w:p>
            <w:pPr>
              <w:pStyle w:val="Compact"/>
            </w:pPr>
            <w:r>
              <w:t xml:space="preserve">Airbnb revenue</w:t>
            </w:r>
          </w:p>
        </w:tc>
        <w:tc>
          <w:tcPr/>
          <w:p>
            <w:pPr>
              <w:pStyle w:val="Compact"/>
            </w:pPr>
            <w:r>
              <w:t xml:space="preserve">Cost</w:t>
            </w:r>
          </w:p>
        </w:tc>
        <w:tc>
          <w:tcPr/>
          <w:p>
            <w:pPr>
              <w:pStyle w:val="Compact"/>
            </w:pPr>
            <w:r>
              <w:t xml:space="preserve">Net cash flow</w:t>
            </w:r>
          </w:p>
        </w:tc>
        <w:tc>
          <w:tcPr/>
          <w:p>
            <w:pPr>
              <w:pStyle w:val="Compact"/>
            </w:pPr>
            <w:r>
              <w:t xml:space="preserve">Cumulative</w:t>
            </w:r>
          </w:p>
        </w:tc>
      </w:tr>
      <w:tr>
        <w:tc>
          <w:tcPr/>
          <w:p>
            <w:pPr>
              <w:pStyle w:val="Compact"/>
            </w:pPr>
            <w:r>
              <w:t xml:space="preserve">1</w:t>
            </w:r>
          </w:p>
        </w:tc>
        <w:tc>
          <w:tcPr/>
          <w:p>
            <w:pPr>
              <w:pStyle w:val="Compact"/>
            </w:pPr>
            <w:r>
              <w:t xml:space="preserve">10%</w:t>
            </w:r>
          </w:p>
        </w:tc>
        <w:tc>
          <w:tcPr/>
          <w:p>
            <w:pPr>
              <w:pStyle w:val="Compact"/>
            </w:pPr>
            <w:r>
              <w:t xml:space="preserve">$641K</w:t>
            </w:r>
          </w:p>
        </w:tc>
        <w:tc>
          <w:tcPr/>
          <w:p>
            <w:pPr>
              <w:pStyle w:val="Compact"/>
            </w:pPr>
            <w:r>
              <w:t xml:space="preserve">$295K (build+run)</w:t>
            </w:r>
          </w:p>
        </w:tc>
        <w:tc>
          <w:tcPr/>
          <w:p>
            <w:pPr>
              <w:pStyle w:val="Compact"/>
            </w:pPr>
            <w:r>
              <w:t xml:space="preserve">$346K</w:t>
            </w:r>
          </w:p>
        </w:tc>
        <w:tc>
          <w:tcPr/>
          <w:p>
            <w:pPr>
              <w:pStyle w:val="Compact"/>
            </w:pPr>
            <w:r>
              <w:t xml:space="preserve">$346K</w:t>
            </w:r>
          </w:p>
        </w:tc>
      </w:tr>
      <w:tr>
        <w:tc>
          <w:tcPr/>
          <w:p>
            <w:pPr>
              <w:pStyle w:val="Compact"/>
            </w:pPr>
            <w:r>
              <w:t xml:space="preserve">2</w:t>
            </w:r>
          </w:p>
        </w:tc>
        <w:tc>
          <w:tcPr/>
          <w:p>
            <w:pPr>
              <w:pStyle w:val="Compact"/>
            </w:pPr>
            <w:r>
              <w:t xml:space="preserve">24%</w:t>
            </w:r>
          </w:p>
        </w:tc>
        <w:tc>
          <w:tcPr/>
          <w:p>
            <w:pPr>
              <w:pStyle w:val="Compact"/>
            </w:pPr>
            <w:r>
              <w:t xml:space="preserve">$1.54M</w:t>
            </w:r>
          </w:p>
        </w:tc>
        <w:tc>
          <w:tcPr/>
          <w:p>
            <w:pPr>
              <w:pStyle w:val="Compact"/>
            </w:pPr>
            <w:r>
              <w:t xml:space="preserve">$105K</w:t>
            </w:r>
          </w:p>
        </w:tc>
        <w:tc>
          <w:tcPr/>
          <w:p>
            <w:pPr>
              <w:pStyle w:val="Compact"/>
            </w:pPr>
            <w:r>
              <w:t xml:space="preserve">$1.43M</w:t>
            </w:r>
          </w:p>
        </w:tc>
        <w:tc>
          <w:tcPr/>
          <w:p>
            <w:pPr>
              <w:pStyle w:val="Compact"/>
            </w:pPr>
            <w:r>
              <w:t xml:space="preserve">$1.78M</w:t>
            </w:r>
          </w:p>
        </w:tc>
      </w:tr>
      <w:tr>
        <w:tc>
          <w:tcPr/>
          <w:p>
            <w:pPr>
              <w:pStyle w:val="Compact"/>
            </w:pPr>
            <w:r>
              <w:t xml:space="preserve">3</w:t>
            </w:r>
          </w:p>
        </w:tc>
        <w:tc>
          <w:tcPr/>
          <w:p>
            <w:pPr>
              <w:pStyle w:val="Compact"/>
            </w:pPr>
            <w:r>
              <w:t xml:space="preserve">38%</w:t>
            </w:r>
          </w:p>
        </w:tc>
        <w:tc>
          <w:tcPr/>
          <w:p>
            <w:pPr>
              <w:pStyle w:val="Compact"/>
            </w:pPr>
            <w:r>
              <w:t xml:space="preserve">$2.44M</w:t>
            </w:r>
          </w:p>
        </w:tc>
        <w:tc>
          <w:tcPr/>
          <w:p>
            <w:pPr>
              <w:pStyle w:val="Compact"/>
            </w:pPr>
            <w:r>
              <w:t xml:space="preserve">$105K</w:t>
            </w:r>
          </w:p>
        </w:tc>
        <w:tc>
          <w:tcPr/>
          <w:p>
            <w:pPr>
              <w:pStyle w:val="Compact"/>
            </w:pPr>
            <w:r>
              <w:t xml:space="preserve">$2.33M</w:t>
            </w:r>
          </w:p>
        </w:tc>
        <w:tc>
          <w:tcPr/>
          <w:p>
            <w:pPr>
              <w:pStyle w:val="Compact"/>
            </w:pPr>
            <w:r>
              <w:t xml:space="preserve">$4.11M</w:t>
            </w:r>
          </w:p>
        </w:tc>
      </w:tr>
      <w:tr>
        <w:tc>
          <w:tcPr/>
          <w:p>
            <w:pPr>
              <w:pStyle w:val="Compact"/>
            </w:pPr>
            <w:r>
              <w:t xml:space="preserve">4</w:t>
            </w:r>
          </w:p>
        </w:tc>
        <w:tc>
          <w:tcPr/>
          <w:p>
            <w:pPr>
              <w:pStyle w:val="Compact"/>
            </w:pPr>
            <w:r>
              <w:t xml:space="preserve">42%</w:t>
            </w:r>
          </w:p>
        </w:tc>
        <w:tc>
          <w:tcPr/>
          <w:p>
            <w:pPr>
              <w:pStyle w:val="Compact"/>
            </w:pPr>
            <w:r>
              <w:t xml:space="preserve">$2.69M</w:t>
            </w:r>
          </w:p>
        </w:tc>
        <w:tc>
          <w:tcPr/>
          <w:p>
            <w:pPr>
              <w:pStyle w:val="Compact"/>
            </w:pPr>
            <w:r>
              <w:t xml:space="preserve">$105K</w:t>
            </w:r>
          </w:p>
        </w:tc>
        <w:tc>
          <w:tcPr/>
          <w:p>
            <w:pPr>
              <w:pStyle w:val="Compact"/>
            </w:pPr>
            <w:r>
              <w:t xml:space="preserve">$2.59M</w:t>
            </w:r>
          </w:p>
        </w:tc>
        <w:tc>
          <w:tcPr/>
          <w:p>
            <w:pPr>
              <w:pStyle w:val="Compact"/>
            </w:pPr>
            <w:r>
              <w:t xml:space="preserve">$6.70M</w:t>
            </w:r>
          </w:p>
        </w:tc>
      </w:tr>
      <w:tr>
        <w:tc>
          <w:tcPr/>
          <w:p>
            <w:pPr>
              <w:pStyle w:val="Compact"/>
            </w:pPr>
            <w:r>
              <w:t xml:space="preserve">5</w:t>
            </w:r>
          </w:p>
        </w:tc>
        <w:tc>
          <w:tcPr/>
          <w:p>
            <w:pPr>
              <w:pStyle w:val="Compact"/>
            </w:pPr>
            <w:r>
              <w:t xml:space="preserve">42%</w:t>
            </w:r>
          </w:p>
        </w:tc>
        <w:tc>
          <w:tcPr/>
          <w:p>
            <w:pPr>
              <w:pStyle w:val="Compact"/>
            </w:pPr>
            <w:r>
              <w:t xml:space="preserve">$2.69M</w:t>
            </w:r>
          </w:p>
        </w:tc>
        <w:tc>
          <w:tcPr/>
          <w:p>
            <w:pPr>
              <w:pStyle w:val="Compact"/>
            </w:pPr>
            <w:r>
              <w:t xml:space="preserve">$105K</w:t>
            </w:r>
          </w:p>
        </w:tc>
        <w:tc>
          <w:tcPr/>
          <w:p>
            <w:pPr>
              <w:pStyle w:val="Compact"/>
            </w:pPr>
            <w:r>
              <w:t xml:space="preserve">$2.59M</w:t>
            </w:r>
          </w:p>
        </w:tc>
        <w:tc>
          <w:tcPr/>
          <w:p>
            <w:pPr>
              <w:pStyle w:val="Compact"/>
            </w:pPr>
            <w:r>
              <w:t xml:space="preserve">$9.29M</w:t>
            </w:r>
          </w:p>
        </w:tc>
      </w:tr>
    </w:tbl>
    <w:p>
      <w:pPr>
        <w:pStyle w:val="BodyText"/>
      </w:pPr>
      <w:r>
        <w:rPr>
          <w:b/>
          <w:bCs/>
        </w:rPr>
        <w:t xml:space="preserve">Payback:</w:t>
      </w:r>
      <w:r>
        <w:t xml:space="preserve"> </w:t>
      </w:r>
      <w:r>
        <w:t xml:space="preserve">~5.5 months into Year 1 (assuming roughly linear revenue accrual through the year as adoption builds), not the sub-2-month figures the flat-adoption sensitivity table in Section 5 implied. This ramped version is the more defensible number to lead with, since it doesn’t assume instant adoption.</w:t>
      </w:r>
    </w:p>
    <w:p>
      <w:pPr>
        <w:pStyle w:val="BodyText"/>
      </w:pPr>
      <w:r>
        <w:rPr>
          <w:b/>
          <w:bCs/>
        </w:rPr>
        <w:t xml:space="preserve">Caveat to state on the slide:</w:t>
      </w:r>
      <w:r>
        <w:t xml:space="preserve"> </w:t>
      </w:r>
      <w:r>
        <w:t xml:space="preserve">no verified case study of an Airbnb-specific or directly comparable host/seller-tool adoption curve exists — this ramp is a recalibration of general SaaS/diffusion benchmarks to this context, not a number pulled from a directly analogous real-world rollout. Flag it as such rather than presenting it as more certain than it is.</w:t>
      </w:r>
    </w:p>
    <w:p>
      <w:pPr>
        <w:pStyle w:val="BodyText"/>
      </w:pPr>
      <w:r>
        <w:rPr>
          <w:b/>
          <w:bCs/>
        </w:rPr>
        <w:t xml:space="preserve">Open items:</w:t>
      </w:r>
      <w:r>
        <w:t xml:space="preserve"> </w:t>
      </w:r>
      <w:r>
        <w:t xml:space="preserve">none blocking — ready for team review alongside Sections 3-5.</w:t>
      </w:r>
    </w:p>
    <w:p>
      <w:r>
        <w:pict>
          <v:rect style="width:0;height:1.5pt" o:hralign="center" o:hrstd="t" o:hr="t"/>
        </w:pict>
      </w:r>
    </w:p>
    <w:bookmarkEnd w:id="15"/>
    <w:bookmarkStart w:id="16" w:name="slide-sequence-10-minute-board-pitch"/>
    <w:p>
      <w:pPr>
        <w:pStyle w:val="Heading2"/>
      </w:pPr>
      <w:r>
        <w:t xml:space="preserve">7. Slide Sequence (10-minute board pitch)</w:t>
      </w:r>
    </w:p>
    <w:p>
      <w:pPr>
        <w:pStyle w:val="FirstParagraph"/>
      </w:pPr>
      <w:r>
        <w:rPr>
          <w:b/>
          <w:bCs/>
        </w:rPr>
        <w:t xml:space="preserve">Stan’s constraints from the call:</w:t>
      </w:r>
      <w:r>
        <w:t xml:space="preserve"> </w:t>
      </w:r>
      <w:r>
        <w:t xml:space="preserve">- Keep it under 10 slides total.</w:t>
      </w:r>
      <w:r>
        <w:t xml:space="preserve"> </w:t>
      </w:r>
      <w:r>
        <w:t xml:space="preserve">- Board-executive framing: problem, value, how we’ll execute. Not a walkthrough of the build process.</w:t>
      </w:r>
      <w:r>
        <w:t xml:space="preserve"> </w:t>
      </w:r>
      <w:r>
        <w:t xml:space="preserve">- Technical/academic content capped at roughly one slide, not a significant share of the deck — the four-page tech narrative and other backup material belongs in the written project submission to graders, not the pitch script.</w:t>
      </w:r>
      <w:r>
        <w:t xml:space="preserve"> </w:t>
      </w:r>
      <w:r>
        <w:t xml:space="preserve">- Have an executive-summary-style slide with the big numbers (cost, value, payback period) that could stand alone if a board member only reads that one slide.</w:t>
      </w:r>
      <w:r>
        <w:t xml:space="preserve"> </w:t>
      </w:r>
      <w:r>
        <w:t xml:space="preserve">- Wants a section on risks/opportunities and facts/assumptions —</w:t>
      </w:r>
      <w:r>
        <w:t xml:space="preserve"> </w:t>
      </w:r>
      <w:r>
        <w:t xml:space="preserve">“if these things are true, here’s why our model works and here’s why our projections are”</w:t>
      </w:r>
      <w:r>
        <w:t xml:space="preserve"> </w:t>
      </w:r>
      <w:r>
        <w:t xml:space="preserve">— for building confidence, separate from the core pitch.</w:t>
      </w:r>
      <w:r>
        <w:t xml:space="preserve"> </w:t>
      </w:r>
      <w:r>
        <w:t xml:space="preserve">- Wants the live demo included (</w:t>
      </w:r>
      <w:r>
        <w:t xml:space="preserve">“we do have the UI for a live demo, and I’d like to at least show it”</w:t>
      </w:r>
      <w:r>
        <w:t xml:space="preserve">).</w:t>
      </w:r>
    </w:p>
    <w:p>
      <w:pPr>
        <w:pStyle w:val="BodyText"/>
      </w:pPr>
      <w:r>
        <w:rPr>
          <w:b/>
          <w:bCs/>
        </w:rPr>
        <w:t xml:space="preserve">FINALIZED numbered sequence (2026-07-25) — 9 slides, under Stan’s 10-slide cap: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Slide</w:t>
            </w:r>
          </w:p>
        </w:tc>
        <w:tc>
          <w:tcPr/>
          <w:p>
            <w:pPr>
              <w:pStyle w:val="Compact"/>
            </w:pPr>
            <w:r>
              <w:t xml:space="preserve">Content</w:t>
            </w:r>
          </w:p>
        </w:tc>
      </w:tr>
      <w:tr>
        <w:tc>
          <w:tcPr/>
          <w:p>
            <w:pPr>
              <w:pStyle w:val="Compact"/>
            </w:pPr>
            <w:r>
              <w:t xml:space="preserve">1</w:t>
            </w:r>
          </w:p>
        </w:tc>
        <w:tc>
          <w:tcPr/>
          <w:p>
            <w:pPr>
              <w:pStyle w:val="Compact"/>
            </w:pPr>
            <w:r>
              <w:t xml:space="preserve">Title / Intro</w:t>
            </w:r>
          </w:p>
        </w:tc>
        <w:tc>
          <w:tcPr/>
          <w:p>
            <w:pPr>
              <w:pStyle w:val="Compact"/>
            </w:pPr>
            <w:r>
              <w:t xml:space="preserve">Team, product name, one-line hook</w:t>
            </w:r>
          </w:p>
        </w:tc>
      </w:tr>
      <w:tr>
        <w:tc>
          <w:tcPr/>
          <w:p>
            <w:pPr>
              <w:pStyle w:val="Compact"/>
            </w:pPr>
            <w:r>
              <w:t xml:space="preserve">2</w:t>
            </w:r>
          </w:p>
        </w:tc>
        <w:tc>
          <w:tcPr/>
          <w:p>
            <w:pPr>
              <w:pStyle w:val="Compact"/>
            </w:pPr>
            <w:r>
              <w:t xml:space="preserve">Executive Summary</w:t>
            </w:r>
          </w:p>
        </w:tc>
        <w:tc>
          <w:tcPr/>
          <w:p>
            <w:pPr>
              <w:pStyle w:val="Compact"/>
            </w:pPr>
            <w:r>
              <w:t xml:space="preserve">The stand-alone slide per Stan’s guidance: problem in one line, solution in one line, and the headline numbers — ~5.5 month payback, $9.29M cumulative net revenue by Year 5 (ramped case, Section 6), or the 25%/50% adoption rows from Section 5 if presenting the flat sensitivity view instead</w:t>
            </w:r>
          </w:p>
        </w:tc>
      </w:tr>
      <w:tr>
        <w:tc>
          <w:tcPr/>
          <w:p>
            <w:pPr>
              <w:pStyle w:val="Compact"/>
            </w:pPr>
            <w:r>
              <w:t xml:space="preserve">3</w:t>
            </w:r>
          </w:p>
        </w:tc>
        <w:tc>
          <w:tcPr/>
          <w:p>
            <w:pPr>
              <w:pStyle w:val="Compact"/>
            </w:pPr>
            <w:r>
              <w:t xml:space="preserve">Problem Statement</w:t>
            </w:r>
          </w:p>
        </w:tc>
        <w:tc>
          <w:tcPr/>
          <w:p>
            <w:pPr>
              <w:pStyle w:val="Compact"/>
            </w:pPr>
            <w:r>
              <w:t xml:space="preserve">Section 1 draft, incl. the brief Smart Pricing acknowledgment</w:t>
            </w:r>
          </w:p>
        </w:tc>
      </w:tr>
      <w:tr>
        <w:tc>
          <w:tcPr/>
          <w:p>
            <w:pPr>
              <w:pStyle w:val="Compact"/>
            </w:pPr>
            <w:r>
              <w:t xml:space="preserve">4</w:t>
            </w:r>
          </w:p>
        </w:tc>
        <w:tc>
          <w:tcPr/>
          <w:p>
            <w:pPr>
              <w:pStyle w:val="Compact"/>
            </w:pPr>
            <w:r>
              <w:t xml:space="preserve">Solution Statement</w:t>
            </w:r>
          </w:p>
        </w:tc>
        <w:tc>
          <w:tcPr/>
          <w:p>
            <w:pPr>
              <w:pStyle w:val="Compact"/>
            </w:pPr>
            <w:r>
              <w:t xml:space="preserve">Section 2 draft — still gives an optimal price like Smart Pricing, but adds comps, the</w:t>
            </w:r>
            <w:r>
              <w:t xml:space="preserve"> </w:t>
            </w:r>
            <w:r>
              <w:t xml:space="preserve">“why,”</w:t>
            </w:r>
            <w:r>
              <w:t xml:space="preserve"> </w:t>
            </w:r>
            <w:r>
              <w:t xml:space="preserve">and price-point simulation. (Commander’s Intent line delivered here verbally, not on the slide — Section 2/8)</w:t>
            </w:r>
          </w:p>
        </w:tc>
      </w:tr>
      <w:tr>
        <w:tc>
          <w:tcPr/>
          <w:p>
            <w:pPr>
              <w:pStyle w:val="Compact"/>
            </w:pPr>
            <w:r>
              <w:t xml:space="preserve">5</w:t>
            </w:r>
          </w:p>
        </w:tc>
        <w:tc>
          <w:tcPr/>
          <w:p>
            <w:pPr>
              <w:pStyle w:val="Compact"/>
            </w:pPr>
            <w:r>
              <w:t xml:space="preserve">Tech/Model Overview (capped, per Stan)</w:t>
            </w:r>
          </w:p>
        </w:tc>
        <w:tc>
          <w:tcPr/>
          <w:p>
            <w:pPr>
              <w:pStyle w:val="Compact"/>
            </w:pPr>
            <w:r>
              <w:t xml:space="preserve">Ridge regression fair-value price + KNN peer-comparable layer, one slide only</w:t>
            </w:r>
          </w:p>
        </w:tc>
      </w:tr>
      <w:tr>
        <w:tc>
          <w:tcPr/>
          <w:p>
            <w:pPr>
              <w:pStyle w:val="Compact"/>
            </w:pPr>
            <w:r>
              <w:t xml:space="preserve">6</w:t>
            </w:r>
          </w:p>
        </w:tc>
        <w:tc>
          <w:tcPr/>
          <w:p>
            <w:pPr>
              <w:pStyle w:val="Compact"/>
            </w:pPr>
            <w:r>
              <w:t xml:space="preserve">Financial Case</w:t>
            </w:r>
          </w:p>
        </w:tc>
        <w:tc>
          <w:tcPr/>
          <w:p>
            <w:pPr>
              <w:pStyle w:val="Compact"/>
            </w:pPr>
            <w:r>
              <w:t xml:space="preserve">Revenue lift methodology (real data, 1-99 trim, model-noise discount), cost (TCO framework, build + run), ROI/payback — condensed version of Sections 3-6</w:t>
            </w:r>
          </w:p>
        </w:tc>
      </w:tr>
      <w:tr>
        <w:tc>
          <w:tcPr/>
          <w:p>
            <w:pPr>
              <w:pStyle w:val="Compact"/>
            </w:pPr>
            <w:r>
              <w:t xml:space="preserve">7</w:t>
            </w:r>
          </w:p>
        </w:tc>
        <w:tc>
          <w:tcPr/>
          <w:p>
            <w:pPr>
              <w:pStyle w:val="Compact"/>
            </w:pPr>
            <w:r>
              <w:t xml:space="preserve">Live Demo</w:t>
            </w:r>
          </w:p>
        </w:tc>
        <w:tc>
          <w:tcPr/>
          <w:p>
            <w:pPr>
              <w:pStyle w:val="Compact"/>
            </w:pPr>
            <w:r>
              <w:t xml:space="preserve">UI walkthrough — Stan explicitly asked to see this</w:t>
            </w:r>
          </w:p>
        </w:tc>
      </w:tr>
      <w:tr>
        <w:tc>
          <w:tcPr/>
          <w:p>
            <w:pPr>
              <w:pStyle w:val="Compact"/>
            </w:pPr>
            <w:r>
              <w:t xml:space="preserve">8</w:t>
            </w:r>
          </w:p>
        </w:tc>
        <w:tc>
          <w:tcPr/>
          <w:p>
            <w:pPr>
              <w:pStyle w:val="Compact"/>
            </w:pPr>
            <w:r>
              <w:t xml:space="preserve">Risks, Assumptions &amp; Academic Checkpoint</w:t>
            </w:r>
          </w:p>
        </w:tc>
        <w:tc>
          <w:tcPr/>
          <w:p>
            <w:pPr>
              <w:pStyle w:val="Compact"/>
            </w:pPr>
            <w:r>
              <w:t xml:space="preserve">Combines Stan’s requested</w:t>
            </w:r>
            <w:r>
              <w:t xml:space="preserve"> </w:t>
            </w:r>
            <w:r>
              <w:t xml:space="preserve">“risks/opportunities, facts/assumptions”</w:t>
            </w:r>
            <w:r>
              <w:t xml:space="preserve"> </w:t>
            </w:r>
            <w:r>
              <w:t xml:space="preserve">confidence-building slide with the academic-requirements checkpoint (what course concepts were applied) — both are backup/confidence content Stan wanted kept light, not central</w:t>
            </w:r>
          </w:p>
        </w:tc>
      </w:tr>
      <w:tr>
        <w:tc>
          <w:tcPr/>
          <w:p>
            <w:pPr>
              <w:pStyle w:val="Compact"/>
            </w:pPr>
            <w:r>
              <w:t xml:space="preserve">9</w:t>
            </w:r>
          </w:p>
        </w:tc>
        <w:tc>
          <w:tcPr/>
          <w:p>
            <w:pPr>
              <w:pStyle w:val="Compact"/>
            </w:pPr>
            <w:r>
              <w:t xml:space="preserve">Conclusion / Ask</w:t>
            </w:r>
          </w:p>
        </w:tc>
        <w:tc>
          <w:tcPr/>
          <w:p>
            <w:pPr>
              <w:pStyle w:val="Compact"/>
            </w:pPr>
            <w:r>
              <w:t xml:space="preserve">Recap value, proposed next step (NYC pilot), close</w:t>
            </w:r>
          </w:p>
        </w:tc>
      </w:tr>
    </w:tbl>
    <w:p>
      <w:pPr>
        <w:pStyle w:val="BodyText"/>
      </w:pPr>
      <w:r>
        <w:rPr>
          <w:b/>
          <w:bCs/>
        </w:rPr>
        <w:t xml:space="preserve">Open items:</w:t>
      </w:r>
      <w:r>
        <w:t xml:space="preserve"> </w:t>
      </w:r>
      <w:r>
        <w:t xml:space="preserve">none blocking — ready for team review. Note slide 2 and slide 6 will have overlapping numbers by design (2 is the standalone highlight version, 6 is the fuller backup); make sure they’re consistent with each other when the deck is actually built.</w:t>
      </w:r>
    </w:p>
    <w:p>
      <w:r>
        <w:pict>
          <v:rect style="width:0;height:1.5pt" o:hralign="center" o:hrstd="t" o:hr="t"/>
        </w:pict>
      </w:r>
    </w:p>
    <w:bookmarkEnd w:id="16"/>
    <w:bookmarkStart w:id="17" w:name="presentation-script"/>
    <w:p>
      <w:pPr>
        <w:pStyle w:val="Heading2"/>
      </w:pPr>
      <w:r>
        <w:t xml:space="preserve">8. Presentation Script</w:t>
      </w:r>
    </w:p>
    <w:p>
      <w:pPr>
        <w:pStyle w:val="FirstParagraph"/>
      </w:pPr>
      <w:r>
        <w:rPr>
          <w:b/>
          <w:bCs/>
        </w:rPr>
        <w:t xml:space="preserve">Not started as a full script.</w:t>
      </w:r>
      <w:r>
        <w:t xml:space="preserve"> </w:t>
      </w:r>
      <w:r>
        <w:t xml:space="preserve">One confirmed piece: the Commander’s Intent framing (see Section 2) is meant for spoken delivery only, not slide text, when presenting the solution section.</w:t>
      </w:r>
    </w:p>
    <w:p>
      <w:pPr>
        <w:pStyle w:val="BodyText"/>
      </w:pPr>
      <w:r>
        <w:rPr>
          <w:b/>
          <w:bCs/>
        </w:rPr>
        <w:t xml:space="preserve">Open items:</w:t>
      </w:r>
      <w:r>
        <w:t xml:space="preserve"> </w:t>
      </w:r>
      <w:r>
        <w:t xml:space="preserve">full script draft, once slide sequence (Section 7) is locked.</w:t>
      </w:r>
    </w:p>
    <w:p>
      <w:r>
        <w:pict>
          <v:rect style="width:0;height:1.5pt" o:hralign="center" o:hrstd="t" o:hr="t"/>
        </w:pict>
      </w:r>
    </w:p>
    <w:bookmarkEnd w:id="17"/>
    <w:bookmarkStart w:id="18" w:name="reminders-for-whoever-picks-this-up"/>
    <w:p>
      <w:pPr>
        <w:pStyle w:val="Heading2"/>
      </w:pPr>
      <w:r>
        <w:t xml:space="preserve">Reminders for whoever picks this up</w:t>
      </w:r>
    </w:p>
    <w:p>
      <w:pPr>
        <w:pStyle w:val="Compact"/>
        <w:numPr>
          <w:ilvl w:val="0"/>
          <w:numId w:val="1002"/>
        </w:numPr>
      </w:pPr>
      <w:r>
        <w:rPr>
          <w:b/>
          <w:bCs/>
        </w:rPr>
        <w:t xml:space="preserve">Sign-off rule:</w:t>
      </w:r>
      <w:r>
        <w:t xml:space="preserve"> </w:t>
      </w:r>
      <w:r>
        <w:t xml:space="preserve">none of the parent to-do items (problem statement, solution statement, revenue lift, cost, ROI, timeline, slide sequence, script) get marked done just because a draft exists here — needs the whole team’s sign-off first.</w:t>
      </w:r>
    </w:p>
    <w:p>
      <w:pPr>
        <w:pStyle w:val="Compact"/>
        <w:numPr>
          <w:ilvl w:val="0"/>
          <w:numId w:val="1002"/>
        </w:numPr>
      </w:pPr>
      <w:r>
        <w:rPr>
          <w:b/>
          <w:bCs/>
        </w:rPr>
        <w:t xml:space="preserve">Scope:</w:t>
      </w:r>
      <w:r>
        <w:t xml:space="preserve"> </w:t>
      </w:r>
      <w:r>
        <w:t xml:space="preserve">this is an NYC-only pilot, not a platform-wide launch, per the existing README’s positioning.</w:t>
      </w:r>
    </w:p>
    <w:p>
      <w:pPr>
        <w:pStyle w:val="Compact"/>
        <w:numPr>
          <w:ilvl w:val="0"/>
          <w:numId w:val="1002"/>
        </w:numPr>
      </w:pPr>
      <w:r>
        <w:rPr>
          <w:b/>
          <w:bCs/>
        </w:rPr>
        <w:t xml:space="preserve">Framing:</w:t>
      </w:r>
      <w:r>
        <w:t xml:space="preserve"> </w:t>
      </w:r>
      <w:r>
        <w:t xml:space="preserve">the team is presenting from a hypothetical</w:t>
      </w:r>
      <w:r>
        <w:t xml:space="preserve"> </w:t>
      </w:r>
      <w:r>
        <w:t xml:space="preserve">“we are Airbnb’s internal product team”</w:t>
      </w:r>
      <w:r>
        <w:t xml:space="preserve"> </w:t>
      </w:r>
      <w:r>
        <w:t xml:space="preserve">position, which is why we’re allowed to assume access to data (like real occupancy-response/elasticity data) that this project’s actual dataset doesn’t contain.</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www.gartner.com/en/information-technology/glossary/total-cost-of-ownership-tco" TargetMode="External" /></Relationships>
</file>

<file path=word/_rels/footnotes.xml.rels><?xml version="1.0" encoding="UTF-8"?><Relationships xmlns="http://schemas.openxmlformats.org/package/2006/relationships"><Relationship Type="http://schemas.openxmlformats.org/officeDocument/2006/relationships/hyperlink" Id="rId12" Target="https://www.gartner.com/en/information-technology/glossary/total-cost-of-ownership-t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2026-07-24T14:59:48Z</dcterms:created>
  <dcterms:modified xsi:type="dcterms:W3CDTF">2026-07-24T14:59:48Z</dcterms:modified>
</cp:coreProperties>
</file>

<file path=docProps/custom.xml><?xml version="1.0" encoding="utf-8"?>
<Properties xmlns="http://schemas.openxmlformats.org/officeDocument/2006/custom-properties" xmlns:vt="http://schemas.openxmlformats.org/officeDocument/2006/docPropsVTypes"/>
</file>