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8E1A" w14:textId="77777777" w:rsidR="00B03F69" w:rsidRDefault="00000000">
      <w:pPr>
        <w:jc w:val="center"/>
      </w:pPr>
      <w:r>
        <w:rPr>
          <w:b/>
          <w:color w:val="1D4ED8"/>
          <w:sz w:val="40"/>
        </w:rPr>
        <w:t>NYC Airbnb Capstone — Team Pitch</w:t>
      </w:r>
    </w:p>
    <w:p w14:paraId="369A1B79" w14:textId="596092A7" w:rsidR="00E77506" w:rsidRDefault="00000000">
      <w:pPr>
        <w:jc w:val="center"/>
        <w:rPr>
          <w:i/>
          <w:color w:val="6B7280"/>
        </w:rPr>
      </w:pPr>
      <w:r>
        <w:rPr>
          <w:i/>
          <w:color w:val="6B7280"/>
        </w:rPr>
        <w:t xml:space="preserve">BANA 5160 · Week 2 EDA Alignment </w:t>
      </w:r>
    </w:p>
    <w:p w14:paraId="395A6937" w14:textId="225DB3A7" w:rsidR="00B03F69" w:rsidRDefault="00000000">
      <w:pPr>
        <w:jc w:val="center"/>
      </w:pPr>
      <w:r>
        <w:rPr>
          <w:i/>
          <w:color w:val="6B7280"/>
        </w:rPr>
        <w:t>Brendan Meara</w:t>
      </w:r>
      <w:r w:rsidR="00E77506">
        <w:rPr>
          <w:i/>
          <w:color w:val="6B7280"/>
        </w:rPr>
        <w:t>, Jairam Manikandan, Francois Miaule, Rachael Chin, Manas Manu</w:t>
      </w:r>
    </w:p>
    <w:p w14:paraId="5C8340CA" w14:textId="2BCB8E28" w:rsidR="00B03F69" w:rsidRDefault="00000000">
      <w:pPr>
        <w:jc w:val="center"/>
      </w:pPr>
      <w:r>
        <w:rPr>
          <w:i/>
          <w:color w:val="9CA3AF"/>
          <w:sz w:val="20"/>
        </w:rPr>
        <w:t xml:space="preserve">Data: Inside Airbnb NYC · Full listings.csv + calendar.csv </w:t>
      </w:r>
    </w:p>
    <w:p w14:paraId="32596F1C" w14:textId="77777777" w:rsidR="00B03F69" w:rsidRDefault="00B03F69">
      <w:pPr>
        <w:pBdr>
          <w:bottom w:val="single" w:sz="6" w:space="1" w:color="CCCCCC"/>
        </w:pBdr>
        <w:spacing w:before="40" w:after="40"/>
      </w:pPr>
    </w:p>
    <w:p w14:paraId="2C0843F7" w14:textId="77777777" w:rsidR="00B03F69" w:rsidRDefault="00000000">
      <w:pPr>
        <w:spacing w:before="280" w:after="80"/>
      </w:pPr>
      <w:r>
        <w:rPr>
          <w:b/>
          <w:color w:val="1D4ED8"/>
          <w:sz w:val="32"/>
        </w:rPr>
        <w:t>1. Purpose of This Document</w:t>
      </w:r>
    </w:p>
    <w:p w14:paraId="54241673" w14:textId="53D12118" w:rsidR="00B03F69" w:rsidRDefault="00000000">
      <w:r>
        <w:t>This document presents the first-pass EDA findings and viable courses of action</w:t>
      </w:r>
      <w:r w:rsidR="00E77506">
        <w:t xml:space="preserve"> as per our hypothesis</w:t>
      </w:r>
      <w:r>
        <w:t xml:space="preserve">. </w:t>
      </w:r>
    </w:p>
    <w:p w14:paraId="077E0AB4" w14:textId="77777777" w:rsidR="00B03F69" w:rsidRDefault="00B03F69">
      <w:pPr>
        <w:pBdr>
          <w:bottom w:val="single" w:sz="6" w:space="1" w:color="CCCCCC"/>
        </w:pBdr>
        <w:spacing w:before="40" w:after="40"/>
      </w:pPr>
    </w:p>
    <w:p w14:paraId="096D5577" w14:textId="77777777" w:rsidR="00B03F69" w:rsidRDefault="00000000" w:rsidP="00C1756D">
      <w:pPr>
        <w:pStyle w:val="Heading1"/>
      </w:pPr>
      <w:r>
        <w:rPr>
          <w:color w:val="1D4ED8"/>
          <w:sz w:val="32"/>
        </w:rPr>
        <w:t>2. What We're Working With</w:t>
      </w:r>
    </w:p>
    <w:p w14:paraId="427460F1" w14:textId="11B03C99" w:rsidR="00B03F69" w:rsidRDefault="00000000">
      <w:r>
        <w:t xml:space="preserve">We have advisor approval to use the full Inside Airbnb NYC dataset — </w:t>
      </w:r>
      <w:r w:rsidR="00E77506">
        <w:t>as opposed to</w:t>
      </w:r>
      <w:r>
        <w:t xml:space="preserve"> the stripped-down Kaggle file (AB_NYC_2019.csv, 16 columns). Here is what we </w:t>
      </w:r>
      <w:proofErr w:type="gramStart"/>
      <w:r>
        <w:t>actually have</w:t>
      </w:r>
      <w:proofErr w:type="gramEnd"/>
      <w: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39"/>
        <w:gridCol w:w="3247"/>
      </w:tblGrid>
      <w:tr w:rsidR="00B03F69" w14:paraId="3984005F" w14:textId="77777777" w:rsidTr="00B03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5B7C590" w14:textId="77777777" w:rsidR="00B03F69" w:rsidRDefault="00000000">
            <w:r>
              <w:t>File</w:t>
            </w:r>
          </w:p>
        </w:tc>
        <w:tc>
          <w:tcPr>
            <w:tcW w:w="3249" w:type="dxa"/>
          </w:tcPr>
          <w:p w14:paraId="7622C7C7" w14:textId="77777777" w:rsidR="00B03F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3249" w:type="dxa"/>
          </w:tcPr>
          <w:p w14:paraId="2F570C6A" w14:textId="77777777" w:rsidR="00B03F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</w:tr>
      <w:tr w:rsidR="00B03F69" w14:paraId="018AC849" w14:textId="77777777" w:rsidTr="00B03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80F0964" w14:textId="77777777" w:rsidR="00B03F69" w:rsidRDefault="00000000">
            <w:r>
              <w:t>listings.csv</w:t>
            </w:r>
          </w:p>
        </w:tc>
        <w:tc>
          <w:tcPr>
            <w:tcW w:w="3249" w:type="dxa"/>
          </w:tcPr>
          <w:p w14:paraId="13E802BE" w14:textId="77777777" w:rsidR="00B03F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 MB · 30,259 listings · 90 columns</w:t>
            </w:r>
          </w:p>
        </w:tc>
        <w:tc>
          <w:tcPr>
            <w:tcW w:w="3249" w:type="dxa"/>
          </w:tcPr>
          <w:p w14:paraId="46BDFC74" w14:textId="77777777" w:rsidR="00B03F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price, amenities, room_type, bedrooms, review_scores_*, host_listings_count, estimated_revenue_l365d, estimated_occupancy_l365d</w:t>
            </w:r>
          </w:p>
        </w:tc>
      </w:tr>
      <w:tr w:rsidR="00B03F69" w14:paraId="5A32B94E" w14:textId="77777777" w:rsidTr="00B03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4323957" w14:textId="77777777" w:rsidR="00B03F69" w:rsidRDefault="00000000">
            <w:r>
              <w:t>calendar.csv</w:t>
            </w:r>
          </w:p>
        </w:tc>
        <w:tc>
          <w:tcPr>
            <w:tcW w:w="3249" w:type="dxa"/>
          </w:tcPr>
          <w:p w14:paraId="55CE8783" w14:textId="77777777" w:rsidR="00B03F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369 MB · 365 days × all listings</w:t>
            </w:r>
          </w:p>
        </w:tc>
        <w:tc>
          <w:tcPr>
            <w:tcW w:w="3249" w:type="dxa"/>
          </w:tcPr>
          <w:p w14:paraId="6F3187C6" w14:textId="77777777" w:rsidR="00B03F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date, available — availability patterns by month (note: no daily price in this version)</w:t>
            </w:r>
          </w:p>
        </w:tc>
      </w:tr>
      <w:tr w:rsidR="00B03F69" w14:paraId="10E2E529" w14:textId="77777777" w:rsidTr="00B03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6FBC145" w14:textId="77777777" w:rsidR="00B03F69" w:rsidRDefault="00000000">
            <w:r>
              <w:t>Snapshot date</w:t>
            </w:r>
          </w:p>
        </w:tc>
        <w:tc>
          <w:tcPr>
            <w:tcW w:w="3249" w:type="dxa"/>
          </w:tcPr>
          <w:p w14:paraId="63326F66" w14:textId="77777777" w:rsidR="00B03F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June 14, 2026</w:t>
            </w:r>
          </w:p>
        </w:tc>
        <w:tc>
          <w:tcPr>
            <w:tcW w:w="3249" w:type="dxa"/>
          </w:tcPr>
          <w:p w14:paraId="20E87526" w14:textId="77777777" w:rsidR="00B03F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market, not historical Kaggle 2019 data</w:t>
            </w:r>
          </w:p>
        </w:tc>
      </w:tr>
      <w:tr w:rsidR="00B03F69" w14:paraId="7DCCA8F1" w14:textId="77777777" w:rsidTr="00B03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B7E0BC4" w14:textId="77777777" w:rsidR="00B03F69" w:rsidRDefault="00000000">
            <w:r>
              <w:t>Scope</w:t>
            </w:r>
          </w:p>
        </w:tc>
        <w:tc>
          <w:tcPr>
            <w:tcW w:w="3249" w:type="dxa"/>
          </w:tcPr>
          <w:p w14:paraId="5D964F0B" w14:textId="77777777" w:rsidR="00B03F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NYC only (all 5 boroughs)</w:t>
            </w:r>
          </w:p>
        </w:tc>
        <w:tc>
          <w:tcPr>
            <w:tcW w:w="3249" w:type="dxa"/>
          </w:tcPr>
          <w:p w14:paraId="6A6347F6" w14:textId="77777777" w:rsidR="00B03F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Manhattan 45% · Brooklyn 35% · Queens 16% · Bronx 3% · SI 1%</w:t>
            </w:r>
          </w:p>
        </w:tc>
      </w:tr>
    </w:tbl>
    <w:p w14:paraId="2F7A1A11" w14:textId="77777777" w:rsidR="00B03F69" w:rsidRDefault="00B03F69"/>
    <w:p w14:paraId="7A46C308" w14:textId="77777777" w:rsidR="00B03F69" w:rsidRDefault="00000000">
      <w:pPr>
        <w:spacing w:before="200" w:after="80"/>
      </w:pPr>
      <w:r>
        <w:rPr>
          <w:b/>
          <w:color w:val="1D4ED8"/>
          <w:sz w:val="26"/>
        </w:rPr>
        <w:t>Fields that matter for our hypothesis</w:t>
      </w:r>
    </w:p>
    <w:p w14:paraId="07B50757" w14:textId="77777777" w:rsidR="00B03F69" w:rsidRDefault="00000000">
      <w:pPr>
        <w:pStyle w:val="ListBullet"/>
        <w:spacing w:after="60"/>
      </w:pPr>
      <w:r>
        <w:rPr>
          <w:b/>
        </w:rPr>
        <w:t>calculated_host_listings_count</w:t>
      </w:r>
      <w:r>
        <w:t xml:space="preserve"> — host scale segmentation (0% null)</w:t>
      </w:r>
    </w:p>
    <w:p w14:paraId="46E74AA1" w14:textId="77777777" w:rsidR="00B03F69" w:rsidRPr="00C1756D" w:rsidRDefault="00000000">
      <w:pPr>
        <w:pStyle w:val="ListBullet"/>
        <w:spacing w:after="60"/>
      </w:pPr>
      <w:r w:rsidRPr="00C1756D">
        <w:rPr>
          <w:b/>
        </w:rPr>
        <w:t>estimated_revenue_l365d</w:t>
      </w:r>
      <w:r w:rsidRPr="00C1756D">
        <w:t xml:space="preserve"> — our primary performance metric (71% populated; 29% have no price/booking data)</w:t>
      </w:r>
    </w:p>
    <w:p w14:paraId="3226DAE8" w14:textId="77777777" w:rsidR="00B03F69" w:rsidRPr="00C1756D" w:rsidRDefault="00000000">
      <w:pPr>
        <w:pStyle w:val="ListBullet"/>
        <w:spacing w:after="60"/>
      </w:pPr>
      <w:r w:rsidRPr="00C1756D">
        <w:rPr>
          <w:b/>
        </w:rPr>
        <w:t>estimated_occupancy_l365d</w:t>
      </w:r>
      <w:r w:rsidRPr="00C1756D">
        <w:t xml:space="preserve"> — all listings have this (0% null)</w:t>
      </w:r>
    </w:p>
    <w:p w14:paraId="17A8B6A6" w14:textId="77777777" w:rsidR="00B03F69" w:rsidRPr="00C1756D" w:rsidRDefault="00000000">
      <w:pPr>
        <w:pStyle w:val="ListBullet"/>
        <w:spacing w:after="60"/>
      </w:pPr>
      <w:r w:rsidRPr="00C1756D">
        <w:rPr>
          <w:b/>
        </w:rPr>
        <w:t>amenities</w:t>
      </w:r>
      <w:r w:rsidRPr="00C1756D">
        <w:t xml:space="preserve"> — 0% null, but needs parsing from raw text list</w:t>
      </w:r>
    </w:p>
    <w:p w14:paraId="3E73B2E8" w14:textId="77777777" w:rsidR="00B03F69" w:rsidRPr="00C1756D" w:rsidRDefault="00000000">
      <w:pPr>
        <w:pStyle w:val="ListBullet"/>
        <w:spacing w:after="60"/>
      </w:pPr>
      <w:r w:rsidRPr="00C1756D">
        <w:rPr>
          <w:b/>
        </w:rPr>
        <w:t>price</w:t>
      </w:r>
      <w:r w:rsidRPr="00C1756D">
        <w:t xml:space="preserve"> — 28% null (only priced listings)</w:t>
      </w:r>
    </w:p>
    <w:p w14:paraId="77A33563" w14:textId="77777777" w:rsidR="00B03F69" w:rsidRPr="00C1756D" w:rsidRDefault="00000000">
      <w:pPr>
        <w:pStyle w:val="ListBullet"/>
        <w:spacing w:after="60"/>
      </w:pPr>
      <w:r w:rsidRPr="00C1756D">
        <w:rPr>
          <w:b/>
        </w:rPr>
        <w:t>review_scores_rating</w:t>
      </w:r>
      <w:r w:rsidRPr="00C1756D">
        <w:t xml:space="preserve"> — 28% null</w:t>
      </w:r>
    </w:p>
    <w:p w14:paraId="4B43FF44" w14:textId="384391C6" w:rsidR="00B03F69" w:rsidRDefault="00000000" w:rsidP="00E77506">
      <w:pPr>
        <w:pStyle w:val="ListBullet"/>
        <w:spacing w:after="60"/>
      </w:pPr>
      <w:r w:rsidRPr="00C1756D">
        <w:rPr>
          <w:b/>
        </w:rPr>
        <w:t xml:space="preserve"> </w:t>
      </w:r>
      <w:r w:rsidR="00E77506" w:rsidRPr="00C1756D">
        <w:t>bedrooms / bathrooms</w:t>
      </w:r>
      <w:r w:rsidRPr="00C1756D">
        <w:rPr>
          <w:b/>
        </w:rPr>
        <w:t>—</w:t>
      </w:r>
      <w:r w:rsidRPr="00E77506">
        <w:rPr>
          <w:b/>
        </w:rPr>
        <w:t xml:space="preserve"> 33–36% null (use accommodates as backup capacity proxy)</w:t>
      </w:r>
    </w:p>
    <w:p w14:paraId="0AA4A78D" w14:textId="5FE396D5" w:rsidR="00B03F69" w:rsidRDefault="00E77506">
      <w:pPr>
        <w:pStyle w:val="ListBullet"/>
        <w:spacing w:after="60"/>
      </w:pPr>
      <w:proofErr w:type="spellStart"/>
      <w:r>
        <w:t>i</w:t>
      </w:r>
      <w:r>
        <w:t>nstant_bookable</w:t>
      </w:r>
      <w:proofErr w:type="spellEnd"/>
      <w:r w:rsidR="00000000">
        <w:rPr>
          <w:b/>
        </w:rPr>
        <w:t xml:space="preserve"> — 100% </w:t>
      </w:r>
      <w:proofErr w:type="gramStart"/>
      <w:r w:rsidR="00000000">
        <w:rPr>
          <w:b/>
        </w:rPr>
        <w:t xml:space="preserve">null </w:t>
      </w:r>
      <w:r>
        <w:rPr>
          <w:b/>
        </w:rPr>
        <w:t xml:space="preserve"> good</w:t>
      </w:r>
      <w:proofErr w:type="gramEnd"/>
      <w:r>
        <w:rPr>
          <w:b/>
        </w:rPr>
        <w:t xml:space="preserve"> candidate to d</w:t>
      </w:r>
      <w:r w:rsidR="00000000">
        <w:rPr>
          <w:b/>
        </w:rPr>
        <w:t>rop from analysis.</w:t>
      </w:r>
      <w:r>
        <w:rPr>
          <w:b/>
        </w:rPr>
        <w:t xml:space="preserve"> </w:t>
      </w:r>
    </w:p>
    <w:p w14:paraId="69BC8983" w14:textId="77777777" w:rsidR="00B03F69" w:rsidRDefault="00B03F69">
      <w:pPr>
        <w:pBdr>
          <w:bottom w:val="single" w:sz="6" w:space="1" w:color="CCCCCC"/>
        </w:pBdr>
        <w:spacing w:before="40" w:after="40"/>
      </w:pPr>
    </w:p>
    <w:p w14:paraId="00F456C3" w14:textId="77777777" w:rsidR="00B03F69" w:rsidRDefault="00000000">
      <w:pPr>
        <w:spacing w:before="280" w:after="80"/>
        <w:rPr>
          <w:b/>
          <w:color w:val="1D4ED8"/>
          <w:sz w:val="32"/>
        </w:rPr>
      </w:pPr>
      <w:r>
        <w:rPr>
          <w:b/>
          <w:color w:val="1D4ED8"/>
          <w:sz w:val="32"/>
        </w:rPr>
        <w:lastRenderedPageBreak/>
        <w:t>3. What the Data Actually Says — First Pass EDA</w:t>
      </w:r>
    </w:p>
    <w:p w14:paraId="2067BD72" w14:textId="5F832BDB" w:rsidR="00157094" w:rsidRPr="00351C6D" w:rsidRDefault="00157094">
      <w:pPr>
        <w:spacing w:before="280" w:after="80"/>
        <w:rPr>
          <w:color w:val="000000" w:themeColor="text1"/>
          <w:sz w:val="20"/>
          <w:szCs w:val="20"/>
        </w:rPr>
      </w:pPr>
      <w:r w:rsidRPr="00351C6D">
        <w:rPr>
          <w:b/>
          <w:color w:val="000000" w:themeColor="text1"/>
          <w:sz w:val="20"/>
          <w:szCs w:val="20"/>
        </w:rPr>
        <w:t>Since our combined datasets have 100+ columns/ variables, we focused our analysis on the ones important to our hypothesis</w:t>
      </w:r>
      <w:r w:rsidR="00E77506" w:rsidRPr="00351C6D">
        <w:rPr>
          <w:b/>
          <w:color w:val="000000" w:themeColor="text1"/>
          <w:sz w:val="20"/>
          <w:szCs w:val="20"/>
        </w:rPr>
        <w:t xml:space="preserve"> (listed above)</w:t>
      </w:r>
      <w:r w:rsidRPr="00351C6D">
        <w:rPr>
          <w:b/>
          <w:color w:val="000000" w:themeColor="text1"/>
          <w:sz w:val="20"/>
          <w:szCs w:val="20"/>
        </w:rPr>
        <w:t xml:space="preserve">. </w:t>
      </w:r>
    </w:p>
    <w:p w14:paraId="38B12718" w14:textId="77777777" w:rsidR="00B03F69" w:rsidRDefault="00000000">
      <w:pPr>
        <w:spacing w:before="200" w:after="80"/>
      </w:pPr>
      <w:proofErr w:type="gramStart"/>
      <w:r>
        <w:rPr>
          <w:b/>
          <w:color w:val="1D4ED8"/>
          <w:sz w:val="26"/>
        </w:rPr>
        <w:t>3.1  Market</w:t>
      </w:r>
      <w:proofErr w:type="gramEnd"/>
      <w:r>
        <w:rPr>
          <w:b/>
          <w:color w:val="1D4ED8"/>
          <w:sz w:val="26"/>
        </w:rPr>
        <w:t xml:space="preserve"> Structure</w:t>
      </w:r>
    </w:p>
    <w:p w14:paraId="7F359CA8" w14:textId="77777777" w:rsidR="00B03F69" w:rsidRDefault="00000000">
      <w:pPr>
        <w:jc w:val="center"/>
      </w:pPr>
      <w:r>
        <w:rPr>
          <w:noProof/>
        </w:rPr>
        <w:drawing>
          <wp:inline distT="0" distB="0" distL="0" distR="0" wp14:anchorId="7F4502A8" wp14:editId="1583F027">
            <wp:extent cx="5303520" cy="2271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host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D5A3" w14:textId="77777777" w:rsidR="00B03F69" w:rsidRDefault="00000000">
      <w:pPr>
        <w:jc w:val="center"/>
      </w:pPr>
      <w:r>
        <w:rPr>
          <w:i/>
          <w:color w:val="6B7280"/>
          <w:sz w:val="18"/>
        </w:rPr>
        <w:t>Figure 1. Host scale distribution and median nightly price by tier.</w:t>
      </w:r>
    </w:p>
    <w:p w14:paraId="7B5BAABF" w14:textId="77777777" w:rsidR="00B03F69" w:rsidRDefault="00000000">
      <w:pPr>
        <w:pStyle w:val="ListBullet"/>
        <w:spacing w:after="60"/>
      </w:pPr>
      <w:r>
        <w:t>30,259 total listings across NYC</w:t>
      </w:r>
    </w:p>
    <w:p w14:paraId="06B26E1B" w14:textId="77777777" w:rsidR="00B03F69" w:rsidRDefault="00000000">
      <w:pPr>
        <w:pStyle w:val="ListBullet"/>
        <w:spacing w:after="60"/>
      </w:pPr>
      <w:r>
        <w:t>Individual hosts (1 listing): 43.9% of market — median price $173/night</w:t>
      </w:r>
    </w:p>
    <w:p w14:paraId="0636B9EF" w14:textId="77777777" w:rsidR="00B03F69" w:rsidRDefault="00000000">
      <w:pPr>
        <w:pStyle w:val="ListBullet"/>
        <w:spacing w:after="60"/>
      </w:pPr>
      <w:r>
        <w:t>Small-Multi (2–5 listings): 22.8% — median price $147/night</w:t>
      </w:r>
    </w:p>
    <w:p w14:paraId="7C87BB2B" w14:textId="77777777" w:rsidR="00B03F69" w:rsidRDefault="00000000">
      <w:pPr>
        <w:pStyle w:val="ListBullet"/>
        <w:spacing w:after="60"/>
      </w:pPr>
      <w:r>
        <w:t>Mid-Multi (6–20): 12.4% — median price $188/night</w:t>
      </w:r>
    </w:p>
    <w:p w14:paraId="7E246D68" w14:textId="77777777" w:rsidR="00B03F69" w:rsidRDefault="00000000">
      <w:pPr>
        <w:pStyle w:val="ListBullet"/>
        <w:spacing w:after="60"/>
      </w:pPr>
      <w:r>
        <w:t>Enterprise (20+ listings): 21.0% — median price $220/night</w:t>
      </w:r>
    </w:p>
    <w:p w14:paraId="56863AAC" w14:textId="77777777" w:rsidR="00B03F69" w:rsidRDefault="00000000">
      <w:pPr>
        <w:pStyle w:val="ListBullet"/>
        <w:spacing w:after="60"/>
      </w:pPr>
      <w:r>
        <w:t>Entire home/apt is 55.5% of listings at $223 median; Private room is 42% at $103 median</w:t>
      </w:r>
    </w:p>
    <w:p w14:paraId="7685B71E" w14:textId="77777777" w:rsidR="00B03F69" w:rsidRDefault="00000000">
      <w:pPr>
        <w:spacing w:before="200" w:after="80"/>
      </w:pPr>
      <w:r>
        <w:rPr>
          <w:b/>
          <w:color w:val="1D4ED8"/>
          <w:sz w:val="26"/>
        </w:rPr>
        <w:t>3.2  The Occupancy Gap</w:t>
      </w:r>
    </w:p>
    <w:p w14:paraId="02CEE38D" w14:textId="77777777" w:rsidR="00B03F69" w:rsidRDefault="00000000">
      <w:pPr>
        <w:jc w:val="center"/>
      </w:pPr>
      <w:r>
        <w:rPr>
          <w:noProof/>
        </w:rPr>
        <w:drawing>
          <wp:inline distT="0" distB="0" distL="0" distR="0" wp14:anchorId="01A0CB15" wp14:editId="109B9FFA">
            <wp:extent cx="5303520" cy="262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occupancy_by_ti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500B" w14:textId="77777777" w:rsidR="00B03F69" w:rsidRDefault="00000000">
      <w:pPr>
        <w:jc w:val="center"/>
      </w:pPr>
      <w:r>
        <w:rPr>
          <w:i/>
          <w:color w:val="6B7280"/>
          <w:sz w:val="18"/>
        </w:rPr>
        <w:t>Figure 2. Mean estimated occupancy rate by host scale tier.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03F69" w14:paraId="12503815" w14:textId="77777777">
        <w:trPr>
          <w:jc w:val="center"/>
        </w:trPr>
        <w:tc>
          <w:tcPr>
            <w:tcW w:w="9746" w:type="dxa"/>
            <w:shd w:val="clear" w:color="auto" w:fill="DBEAFE"/>
            <w:vAlign w:val="center"/>
          </w:tcPr>
          <w:p w14:paraId="4B979C33" w14:textId="77777777" w:rsidR="00B03F69" w:rsidRDefault="00000000">
            <w:pPr>
              <w:spacing w:before="120" w:after="120"/>
              <w:ind w:left="227" w:right="227"/>
            </w:pPr>
            <w:r>
              <w:lastRenderedPageBreak/>
              <w:t>Key finding: Small-Multi operators (2–5 listings) have mean occupancy of 71.5% — nearly 25 points higher than individual hosts (47.3%). Enterprise operators (20+) have the lowest occupancy at 37.2%, despite pricing highest.</w:t>
            </w:r>
          </w:p>
        </w:tc>
      </w:tr>
    </w:tbl>
    <w:p w14:paraId="2A843228" w14:textId="77777777" w:rsidR="00B03F69" w:rsidRDefault="00B03F69">
      <w:pPr>
        <w:spacing w:after="120"/>
      </w:pPr>
    </w:p>
    <w:p w14:paraId="2C84E8AC" w14:textId="77777777" w:rsidR="00B03F69" w:rsidRDefault="00000000">
      <w:pPr>
        <w:pStyle w:val="ListBullet"/>
        <w:spacing w:after="60"/>
      </w:pPr>
      <w:r>
        <w:t>Individual hosts: 47.3% mean occupancy</w:t>
      </w:r>
    </w:p>
    <w:p w14:paraId="01DED48C" w14:textId="77777777" w:rsidR="00B03F69" w:rsidRDefault="00000000">
      <w:pPr>
        <w:pStyle w:val="ListBullet"/>
        <w:spacing w:after="60"/>
      </w:pPr>
      <w:r>
        <w:t>Small-Multi (2–5): 71.5% — the market outperformer</w:t>
      </w:r>
    </w:p>
    <w:p w14:paraId="5C8CABF7" w14:textId="77777777" w:rsidR="00B03F69" w:rsidRDefault="00000000">
      <w:pPr>
        <w:pStyle w:val="ListBullet"/>
        <w:spacing w:after="60"/>
      </w:pPr>
      <w:r>
        <w:t>Mid-Multi (6–20): 61.1%</w:t>
      </w:r>
    </w:p>
    <w:p w14:paraId="1BAE09E9" w14:textId="77777777" w:rsidR="00B03F69" w:rsidRDefault="00000000">
      <w:pPr>
        <w:pStyle w:val="ListBullet"/>
        <w:spacing w:after="60"/>
      </w:pPr>
      <w:r>
        <w:t>Enterprise (20+): 37.2% — lowest occupancy despite highest prices</w:t>
      </w:r>
    </w:p>
    <w:p w14:paraId="003DBE59" w14:textId="77777777" w:rsidR="00B03F69" w:rsidRDefault="00000000">
      <w:pPr>
        <w:spacing w:before="200" w:after="80"/>
      </w:pPr>
      <w:proofErr w:type="gramStart"/>
      <w:r>
        <w:rPr>
          <w:b/>
          <w:color w:val="1D4ED8"/>
          <w:sz w:val="26"/>
        </w:rPr>
        <w:t>3.3  Quality</w:t>
      </w:r>
      <w:proofErr w:type="gramEnd"/>
      <w:r>
        <w:rPr>
          <w:b/>
          <w:color w:val="1D4ED8"/>
          <w:sz w:val="26"/>
        </w:rPr>
        <w:t xml:space="preserve"> Inversion</w:t>
      </w:r>
    </w:p>
    <w:p w14:paraId="5BBBFAFA" w14:textId="77777777" w:rsidR="00B03F69" w:rsidRDefault="00000000">
      <w:pPr>
        <w:jc w:val="center"/>
      </w:pPr>
      <w:r>
        <w:rPr>
          <w:noProof/>
        </w:rPr>
        <w:drawing>
          <wp:inline distT="0" distB="0" distL="0" distR="0" wp14:anchorId="3D54E7E7" wp14:editId="7D516317">
            <wp:extent cx="5303520" cy="22028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quality_by_ti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2DD3" w14:textId="77777777" w:rsidR="00B03F69" w:rsidRDefault="00000000">
      <w:pPr>
        <w:jc w:val="center"/>
      </w:pPr>
      <w:r>
        <w:rPr>
          <w:i/>
          <w:color w:val="6B7280"/>
          <w:sz w:val="18"/>
        </w:rPr>
        <w:t>Figure 3. Median review score and superhost rate by host scale tier.</w:t>
      </w:r>
    </w:p>
    <w:p w14:paraId="4A22DA2F" w14:textId="77777777" w:rsidR="00B03F69" w:rsidRDefault="00000000">
      <w:pPr>
        <w:pStyle w:val="ListBullet"/>
        <w:spacing w:after="60"/>
      </w:pPr>
      <w:r>
        <w:t>Individual hosts score highest on reviews: median 4.89 vs Enterprise 4.78</w:t>
      </w:r>
    </w:p>
    <w:p w14:paraId="36191172" w14:textId="77777777" w:rsidR="00B03F69" w:rsidRDefault="00000000">
      <w:pPr>
        <w:pStyle w:val="ListBullet"/>
        <w:spacing w:after="60"/>
      </w:pPr>
      <w:r>
        <w:t>Superhost rate peaks at Small-Multi (35.5%) and Mid-Multi (37.0%)</w:t>
      </w:r>
    </w:p>
    <w:p w14:paraId="7ABF0A1E" w14:textId="77777777" w:rsidR="00B03F69" w:rsidRDefault="00000000">
      <w:pPr>
        <w:pStyle w:val="ListBullet"/>
        <w:spacing w:after="60"/>
      </w:pPr>
      <w:r>
        <w:t>Individual superhost rate is only 16.4% — high quality but low recognition</w:t>
      </w:r>
    </w:p>
    <w:p w14:paraId="0DF41A96" w14:textId="5B3260C3" w:rsidR="00B03F69" w:rsidRDefault="00000000">
      <w:pPr>
        <w:pStyle w:val="ListBullet"/>
        <w:spacing w:after="60"/>
      </w:pPr>
      <w:r>
        <w:t xml:space="preserve">Enterprise has lower review scores </w:t>
      </w:r>
      <w:r w:rsidR="00E77506">
        <w:t>and</w:t>
      </w:r>
      <w:r>
        <w:t xml:space="preserve"> lower occupancy than individual hosts</w:t>
      </w:r>
    </w:p>
    <w:p w14:paraId="68AC9F5E" w14:textId="77777777" w:rsidR="00B03F69" w:rsidRDefault="00000000">
      <w:pPr>
        <w:spacing w:before="200" w:after="80"/>
      </w:pPr>
      <w:r>
        <w:rPr>
          <w:b/>
          <w:color w:val="1D4ED8"/>
          <w:sz w:val="26"/>
        </w:rPr>
        <w:t>3.4  The Mispricing Signal</w:t>
      </w:r>
    </w:p>
    <w:p w14:paraId="416ABFCD" w14:textId="77777777" w:rsidR="00B03F69" w:rsidRDefault="00000000">
      <w:pPr>
        <w:jc w:val="center"/>
      </w:pPr>
      <w:r>
        <w:rPr>
          <w:noProof/>
        </w:rPr>
        <w:drawing>
          <wp:inline distT="0" distB="0" distL="0" distR="0" wp14:anchorId="36536D9B" wp14:editId="39A09DB7">
            <wp:extent cx="5303520" cy="26220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ice_vari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EF78" w14:textId="77777777" w:rsidR="00B03F69" w:rsidRDefault="00000000">
      <w:pPr>
        <w:jc w:val="center"/>
      </w:pPr>
      <w:r>
        <w:rPr>
          <w:i/>
          <w:color w:val="6B7280"/>
          <w:sz w:val="18"/>
        </w:rPr>
        <w:lastRenderedPageBreak/>
        <w:t>Figure 4. Price spread (P10–P90) within identical neighborhood × room type segments.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03F69" w14:paraId="0F98F538" w14:textId="77777777">
        <w:trPr>
          <w:jc w:val="center"/>
        </w:trPr>
        <w:tc>
          <w:tcPr>
            <w:tcW w:w="9746" w:type="dxa"/>
            <w:shd w:val="clear" w:color="auto" w:fill="ECFDF5"/>
            <w:vAlign w:val="center"/>
          </w:tcPr>
          <w:p w14:paraId="1D8B99D3" w14:textId="77777777" w:rsidR="00B03F69" w:rsidRDefault="00000000">
            <w:pPr>
              <w:spacing w:before="120" w:after="120"/>
              <w:ind w:left="227" w:right="227"/>
            </w:pPr>
            <w:r>
              <w:t>Within the same borough and room type, prices vary by a factor of 5–7x. Manhattan private rooms range from $84 (P10) to $550 (P90) — a CV of 1.81. This is not quality variation we can explain with the data we have. It is pricing noise — and the gap between a listing's actual price and its 'fair' price is the actionable signal.</w:t>
            </w:r>
          </w:p>
        </w:tc>
      </w:tr>
    </w:tbl>
    <w:p w14:paraId="7A041658" w14:textId="77777777" w:rsidR="00B03F69" w:rsidRDefault="00B03F69">
      <w:pPr>
        <w:spacing w:after="120"/>
      </w:pPr>
    </w:p>
    <w:p w14:paraId="09DA263B" w14:textId="77777777" w:rsidR="00B03F69" w:rsidRDefault="00000000">
      <w:pPr>
        <w:jc w:val="center"/>
      </w:pPr>
      <w:r>
        <w:rPr>
          <w:noProof/>
        </w:rPr>
        <w:drawing>
          <wp:inline distT="0" distB="0" distL="0" distR="0" wp14:anchorId="61CF371E" wp14:editId="6582583B">
            <wp:extent cx="5303520" cy="2625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individual_vs_enterpri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6D71" w14:textId="77777777" w:rsidR="00B03F69" w:rsidRDefault="00000000">
      <w:pPr>
        <w:jc w:val="center"/>
      </w:pPr>
      <w:r>
        <w:rPr>
          <w:i/>
          <w:color w:val="6B7280"/>
          <w:sz w:val="18"/>
        </w:rPr>
        <w:t>Figure 5. Median price: Individual (1 listing) vs. Enterprise (20+), matched by segment.</w:t>
      </w:r>
    </w:p>
    <w:p w14:paraId="4BE850E1" w14:textId="77777777" w:rsidR="00B03F69" w:rsidRDefault="00000000">
      <w:pPr>
        <w:pStyle w:val="ListBullet"/>
        <w:spacing w:after="60"/>
      </w:pPr>
      <w:r>
        <w:t>Entire homes: Enterprise prices 4–31% higher than individuals in same borough</w:t>
      </w:r>
    </w:p>
    <w:p w14:paraId="2A73B6DC" w14:textId="41A15331" w:rsidR="00B03F69" w:rsidRDefault="00000000">
      <w:pPr>
        <w:pStyle w:val="ListBullet"/>
        <w:spacing w:after="60"/>
      </w:pPr>
      <w:r>
        <w:t xml:space="preserve">Private rooms: Individual hosts price 26–57% </w:t>
      </w:r>
      <w:r w:rsidR="00E77506">
        <w:t>higher</w:t>
      </w:r>
      <w:r>
        <w:t xml:space="preserve"> than enterprise — opposite direction</w:t>
      </w:r>
    </w:p>
    <w:p w14:paraId="343AD7B6" w14:textId="77777777" w:rsidR="00B03F69" w:rsidRDefault="00000000">
      <w:pPr>
        <w:pStyle w:val="ListBullet"/>
        <w:spacing w:after="60"/>
      </w:pPr>
      <w:r>
        <w:t>Enterprise operators appear to use volume/discount strategy on private rooms</w:t>
      </w:r>
    </w:p>
    <w:p w14:paraId="50722706" w14:textId="77777777" w:rsidR="00B03F69" w:rsidRDefault="00000000">
      <w:pPr>
        <w:pStyle w:val="ListBullet"/>
        <w:spacing w:after="60"/>
      </w:pPr>
      <w:r>
        <w:t>Individual hosts on private rooms may be overpriced relative to competition, hurting occupancy</w:t>
      </w:r>
    </w:p>
    <w:p w14:paraId="464FFD14" w14:textId="77777777" w:rsidR="00B03F69" w:rsidRDefault="00000000">
      <w:pPr>
        <w:spacing w:before="200" w:after="80"/>
      </w:pPr>
      <w:r>
        <w:rPr>
          <w:b/>
          <w:color w:val="1D4ED8"/>
          <w:sz w:val="26"/>
        </w:rPr>
        <w:t>3.5  Seasonal Availability Patterns</w:t>
      </w:r>
    </w:p>
    <w:p w14:paraId="05ACB153" w14:textId="77777777" w:rsidR="00B03F69" w:rsidRDefault="00000000">
      <w:pPr>
        <w:jc w:val="center"/>
      </w:pPr>
      <w:r>
        <w:rPr>
          <w:noProof/>
        </w:rPr>
        <w:drawing>
          <wp:inline distT="0" distB="0" distL="0" distR="0" wp14:anchorId="547FC392" wp14:editId="447EA6B5">
            <wp:extent cx="5303520" cy="21790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seas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473" w14:textId="77777777" w:rsidR="00B03F69" w:rsidRDefault="00000000">
      <w:pPr>
        <w:jc w:val="center"/>
      </w:pPr>
      <w:r>
        <w:rPr>
          <w:i/>
          <w:color w:val="6B7280"/>
          <w:sz w:val="18"/>
        </w:rPr>
        <w:t>Figure 6. Estimated booking rate by month (1 − availability rate), 1M calendar records.</w:t>
      </w:r>
    </w:p>
    <w:p w14:paraId="314F3B91" w14:textId="77777777" w:rsidR="00B03F69" w:rsidRDefault="00000000">
      <w:pPr>
        <w:pStyle w:val="ListBullet"/>
        <w:spacing w:after="60"/>
      </w:pPr>
      <w:r>
        <w:t>Calendar file contains availability but not daily price (field absent in this export)</w:t>
      </w:r>
    </w:p>
    <w:p w14:paraId="47ACF0B5" w14:textId="77777777" w:rsidR="00B03F69" w:rsidRDefault="00000000">
      <w:pPr>
        <w:pStyle w:val="ListBullet"/>
        <w:spacing w:after="60"/>
      </w:pPr>
      <w:r>
        <w:t>Seasonal booking patterns visible — useful context for any seasonal pricing recommendations</w:t>
      </w:r>
    </w:p>
    <w:p w14:paraId="509B3116" w14:textId="77777777" w:rsidR="00B03F69" w:rsidRDefault="00000000">
      <w:pPr>
        <w:pStyle w:val="ListBullet"/>
        <w:spacing w:after="60"/>
      </w:pPr>
      <w:r>
        <w:lastRenderedPageBreak/>
        <w:t>Pricing model will use listings.csv price field + availability_365 as demand proxy</w:t>
      </w:r>
    </w:p>
    <w:p w14:paraId="3893C13F" w14:textId="77777777" w:rsidR="00F61D9C" w:rsidRDefault="00F61D9C" w:rsidP="00F61D9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E96B401" w14:textId="281AC549" w:rsidR="00F61D9C" w:rsidRDefault="00F61D9C" w:rsidP="00F61D9C">
      <w:pPr>
        <w:spacing w:before="200" w:after="80"/>
        <w:rPr>
          <w:b/>
          <w:color w:val="1D4ED8"/>
          <w:sz w:val="26"/>
        </w:rPr>
      </w:pPr>
      <w:proofErr w:type="gramStart"/>
      <w:r>
        <w:rPr>
          <w:b/>
          <w:color w:val="1D4ED8"/>
          <w:sz w:val="26"/>
        </w:rPr>
        <w:t>3.</w:t>
      </w:r>
      <w:r>
        <w:rPr>
          <w:b/>
          <w:color w:val="1D4ED8"/>
          <w:sz w:val="26"/>
        </w:rPr>
        <w:t>6</w:t>
      </w:r>
      <w:r>
        <w:rPr>
          <w:b/>
          <w:color w:val="1D4ED8"/>
          <w:sz w:val="26"/>
        </w:rPr>
        <w:t xml:space="preserve">  </w:t>
      </w:r>
      <w:r w:rsidR="00DA0C84">
        <w:rPr>
          <w:b/>
          <w:color w:val="1D4ED8"/>
          <w:sz w:val="26"/>
        </w:rPr>
        <w:t>Revenue</w:t>
      </w:r>
      <w:proofErr w:type="gramEnd"/>
      <w:r w:rsidR="00DA0C84">
        <w:rPr>
          <w:b/>
          <w:color w:val="1D4ED8"/>
          <w:sz w:val="26"/>
        </w:rPr>
        <w:t xml:space="preserve">, Amenities, </w:t>
      </w:r>
      <w:r w:rsidR="00977949">
        <w:rPr>
          <w:b/>
          <w:color w:val="1D4ED8"/>
          <w:sz w:val="26"/>
        </w:rPr>
        <w:t>Bedrooms/Bathrooms</w:t>
      </w:r>
    </w:p>
    <w:p w14:paraId="33146DEB" w14:textId="3E66CFFD" w:rsidR="00977949" w:rsidRDefault="00977949" w:rsidP="00F61D9C">
      <w:pPr>
        <w:spacing w:before="200" w:after="80"/>
      </w:pPr>
      <w:r>
        <w:rPr>
          <w:noProof/>
        </w:rPr>
        <w:drawing>
          <wp:inline distT="0" distB="0" distL="0" distR="0" wp14:anchorId="0945ECA3" wp14:editId="11E86EB6">
            <wp:extent cx="6188710" cy="2320925"/>
            <wp:effectExtent l="0" t="0" r="0" b="3175"/>
            <wp:docPr id="173030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9757" name="Picture 17303097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65D0" w14:textId="42AF7B67" w:rsidR="00F61D9C" w:rsidRDefault="00B83B91" w:rsidP="00B83B91">
      <w:pPr>
        <w:pStyle w:val="ListBullet"/>
        <w:numPr>
          <w:ilvl w:val="0"/>
          <w:numId w:val="0"/>
        </w:numPr>
        <w:spacing w:after="60"/>
        <w:ind w:left="360" w:hanging="360"/>
        <w:jc w:val="center"/>
        <w:rPr>
          <w:i/>
          <w:color w:val="6B7280"/>
          <w:sz w:val="18"/>
        </w:rPr>
      </w:pPr>
      <w:r w:rsidRPr="00B83B91">
        <w:rPr>
          <w:i/>
          <w:color w:val="6B7280"/>
          <w:sz w:val="18"/>
        </w:rPr>
        <w:t xml:space="preserve">Figure 7. Median annual revenue (active listings) and average amenity </w:t>
      </w:r>
      <w:proofErr w:type="gramStart"/>
      <w:r w:rsidRPr="00B83B91">
        <w:rPr>
          <w:i/>
          <w:color w:val="6B7280"/>
          <w:sz w:val="18"/>
        </w:rPr>
        <w:t>counts</w:t>
      </w:r>
      <w:proofErr w:type="gramEnd"/>
      <w:r w:rsidRPr="00B83B91">
        <w:rPr>
          <w:i/>
          <w:color w:val="6B7280"/>
          <w:sz w:val="18"/>
        </w:rPr>
        <w:t xml:space="preserve"> by host scale.</w:t>
      </w:r>
    </w:p>
    <w:p w14:paraId="0DDF6954" w14:textId="77777777" w:rsidR="00C1756D" w:rsidRDefault="00C1756D" w:rsidP="00B83B91">
      <w:pPr>
        <w:pStyle w:val="ListBullet"/>
        <w:numPr>
          <w:ilvl w:val="0"/>
          <w:numId w:val="0"/>
        </w:numPr>
        <w:spacing w:after="60"/>
        <w:ind w:left="360" w:hanging="360"/>
        <w:jc w:val="center"/>
        <w:rPr>
          <w:i/>
          <w:color w:val="6B7280"/>
          <w:sz w:val="18"/>
        </w:rPr>
      </w:pPr>
    </w:p>
    <w:p w14:paraId="5EDC46D1" w14:textId="77777777" w:rsidR="00C1756D" w:rsidRDefault="00C1756D" w:rsidP="00B83B91">
      <w:pPr>
        <w:pStyle w:val="ListBullet"/>
        <w:numPr>
          <w:ilvl w:val="0"/>
          <w:numId w:val="0"/>
        </w:numPr>
        <w:spacing w:after="60"/>
        <w:ind w:left="360" w:hanging="360"/>
        <w:jc w:val="center"/>
        <w:rPr>
          <w:i/>
          <w:color w:val="6B7280"/>
          <w:sz w:val="18"/>
        </w:rPr>
      </w:pPr>
    </w:p>
    <w:p w14:paraId="5F2FCF3E" w14:textId="35F12FEA" w:rsidR="00C1756D" w:rsidRDefault="00C1756D" w:rsidP="00B83B91">
      <w:pPr>
        <w:pStyle w:val="ListBullet"/>
        <w:numPr>
          <w:ilvl w:val="0"/>
          <w:numId w:val="0"/>
        </w:numPr>
        <w:spacing w:after="60"/>
        <w:ind w:left="360" w:hanging="360"/>
        <w:jc w:val="center"/>
      </w:pPr>
      <w:r>
        <w:rPr>
          <w:noProof/>
        </w:rPr>
        <w:drawing>
          <wp:inline distT="0" distB="0" distL="0" distR="0" wp14:anchorId="00C7ED4B" wp14:editId="25608788">
            <wp:extent cx="6188710" cy="3713480"/>
            <wp:effectExtent l="0" t="0" r="0" b="0"/>
            <wp:docPr id="208231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15701" name="Picture 20823157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9CC0" w14:textId="6DD36483" w:rsidR="00C1756D" w:rsidRDefault="00C1756D" w:rsidP="00B83B91">
      <w:pPr>
        <w:pStyle w:val="ListBullet"/>
        <w:numPr>
          <w:ilvl w:val="0"/>
          <w:numId w:val="0"/>
        </w:numPr>
        <w:spacing w:after="60"/>
        <w:ind w:left="360" w:hanging="360"/>
        <w:jc w:val="center"/>
      </w:pPr>
      <w:r w:rsidRPr="00C1756D">
        <w:rPr>
          <w:i/>
          <w:color w:val="6B7280"/>
          <w:sz w:val="18"/>
        </w:rPr>
        <w:t>Figure 8. Distribution of estimated annual revenue across host scale segments (log scale).</w:t>
      </w:r>
    </w:p>
    <w:p w14:paraId="7FDF923D" w14:textId="77777777" w:rsidR="00F61D9C" w:rsidRDefault="00F61D9C" w:rsidP="00F61D9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242B3E1" w14:textId="7453BDE5" w:rsidR="00B83B91" w:rsidRPr="00351C6D" w:rsidRDefault="00B83B91" w:rsidP="00B83B91">
      <w:pPr>
        <w:pStyle w:val="NormalWeb"/>
        <w:spacing w:before="0" w:beforeAutospacing="0"/>
        <w:rPr>
          <w:rFonts w:asciiTheme="minorHAnsi" w:hAnsiTheme="minorHAnsi" w:cs="Arial"/>
        </w:rPr>
      </w:pPr>
      <w:r w:rsidRPr="00351C6D">
        <w:rPr>
          <w:rFonts w:asciiTheme="minorHAnsi" w:hAnsiTheme="minorHAnsi" w:cs="Arial"/>
        </w:rPr>
        <w:t xml:space="preserve">Among active market listings (listings generating </w:t>
      </w:r>
      <w:r w:rsidRPr="00351C6D">
        <w:rPr>
          <w:rStyle w:val="math-inline"/>
          <w:rFonts w:asciiTheme="minorHAnsi" w:hAnsiTheme="minorHAnsi" w:cs="Arial"/>
        </w:rPr>
        <w:t>&gt; $0</w:t>
      </w:r>
      <w:r w:rsidRPr="00351C6D">
        <w:rPr>
          <w:rFonts w:asciiTheme="minorHAnsi" w:hAnsiTheme="minorHAnsi" w:cs="Arial"/>
        </w:rPr>
        <w:t xml:space="preserve"> in trailing revenue), </w:t>
      </w:r>
      <w:r w:rsidRPr="00351C6D">
        <w:rPr>
          <w:rFonts w:asciiTheme="minorHAnsi" w:hAnsiTheme="minorHAnsi" w:cs="Arial"/>
        </w:rPr>
        <w:t>i</w:t>
      </w:r>
      <w:r w:rsidRPr="00351C6D">
        <w:rPr>
          <w:rFonts w:asciiTheme="minorHAnsi" w:hAnsiTheme="minorHAnsi" w:cs="Arial"/>
        </w:rPr>
        <w:t xml:space="preserve">ndividual hosts capture the highest median annual yield at </w:t>
      </w:r>
      <w:r w:rsidRPr="00351C6D">
        <w:rPr>
          <w:rStyle w:val="math-inline"/>
          <w:rFonts w:asciiTheme="minorHAnsi" w:hAnsiTheme="minorHAnsi" w:cs="Arial"/>
        </w:rPr>
        <w:t>$$32,010</w:t>
      </w:r>
      <w:r w:rsidRPr="00351C6D">
        <w:rPr>
          <w:rFonts w:asciiTheme="minorHAnsi" w:hAnsiTheme="minorHAnsi" w:cs="Arial"/>
        </w:rPr>
        <w:t xml:space="preserve">, followed by Small-Multi operators at </w:t>
      </w:r>
      <w:r w:rsidRPr="00351C6D">
        <w:rPr>
          <w:rStyle w:val="math-inline"/>
          <w:rFonts w:asciiTheme="minorHAnsi" w:hAnsiTheme="minorHAnsi" w:cs="Arial"/>
        </w:rPr>
        <w:t>$21,820</w:t>
      </w:r>
      <w:r w:rsidRPr="00351C6D">
        <w:rPr>
          <w:rFonts w:asciiTheme="minorHAnsi" w:hAnsiTheme="minorHAnsi" w:cs="Arial"/>
        </w:rPr>
        <w:t xml:space="preserve">. Despite their premium nightly pricing strategy, Enterprise operators pull in a significantly lower median annual revenue of </w:t>
      </w:r>
      <w:r w:rsidRPr="00351C6D">
        <w:rPr>
          <w:rStyle w:val="math-inline"/>
          <w:rFonts w:asciiTheme="minorHAnsi" w:hAnsiTheme="minorHAnsi" w:cs="Arial"/>
        </w:rPr>
        <w:t>$18,066</w:t>
      </w:r>
      <w:r w:rsidRPr="00351C6D">
        <w:rPr>
          <w:rFonts w:asciiTheme="minorHAnsi" w:hAnsiTheme="minorHAnsi" w:cs="Arial"/>
        </w:rPr>
        <w:t xml:space="preserve"> due to their severe occupancy penalty (37.2%).</w:t>
      </w:r>
    </w:p>
    <w:p w14:paraId="73FB73EF" w14:textId="3203E6A0" w:rsidR="00B83B91" w:rsidRPr="00351C6D" w:rsidRDefault="00B83B91" w:rsidP="00B83B91">
      <w:pPr>
        <w:pStyle w:val="NormalWeb"/>
        <w:spacing w:before="0" w:beforeAutospacing="0"/>
        <w:rPr>
          <w:rFonts w:asciiTheme="minorHAnsi" w:hAnsiTheme="minorHAnsi" w:cs="Arial"/>
        </w:rPr>
      </w:pPr>
      <w:r w:rsidRPr="00351C6D">
        <w:rPr>
          <w:rFonts w:asciiTheme="minorHAnsi" w:hAnsiTheme="minorHAnsi" w:cs="Arial"/>
        </w:rPr>
        <w:lastRenderedPageBreak/>
        <w:t xml:space="preserve">Small-Multi operators provide the highest average amenity count in the city at </w:t>
      </w:r>
      <w:r w:rsidRPr="00351C6D">
        <w:rPr>
          <w:rStyle w:val="math-inline"/>
          <w:rFonts w:asciiTheme="minorHAnsi" w:hAnsiTheme="minorHAnsi" w:cs="Arial"/>
        </w:rPr>
        <w:t>30.9</w:t>
      </w:r>
      <w:r w:rsidRPr="00351C6D">
        <w:rPr>
          <w:rFonts w:asciiTheme="minorHAnsi" w:hAnsiTheme="minorHAnsi" w:cs="Arial"/>
        </w:rPr>
        <w:t xml:space="preserve"> items per listing, followed closely by Mid-Multi hosts at </w:t>
      </w:r>
      <w:r w:rsidRPr="00351C6D">
        <w:rPr>
          <w:rStyle w:val="math-inline"/>
          <w:rFonts w:asciiTheme="minorHAnsi" w:hAnsiTheme="minorHAnsi" w:cs="Arial"/>
        </w:rPr>
        <w:t>29.2</w:t>
      </w:r>
      <w:r w:rsidRPr="00351C6D">
        <w:rPr>
          <w:rFonts w:asciiTheme="minorHAnsi" w:hAnsiTheme="minorHAnsi" w:cs="Arial"/>
        </w:rPr>
        <w:t xml:space="preserve">. Conversely, Enterprise operators provide the leanest amenity footprints, averaging just </w:t>
      </w:r>
      <w:r w:rsidRPr="00351C6D">
        <w:rPr>
          <w:rStyle w:val="math-inline"/>
          <w:rFonts w:asciiTheme="minorHAnsi" w:hAnsiTheme="minorHAnsi" w:cs="Arial"/>
        </w:rPr>
        <w:t>27.1</w:t>
      </w:r>
      <w:r w:rsidRPr="00351C6D">
        <w:rPr>
          <w:rStyle w:val="math-inline"/>
          <w:rFonts w:asciiTheme="minorHAnsi" w:hAnsiTheme="minorHAnsi" w:cs="Arial"/>
        </w:rPr>
        <w:t xml:space="preserve"> </w:t>
      </w:r>
      <w:r w:rsidRPr="00351C6D">
        <w:rPr>
          <w:rFonts w:asciiTheme="minorHAnsi" w:hAnsiTheme="minorHAnsi" w:cs="Arial"/>
        </w:rPr>
        <w:t>items. This establishes a clear structural correlation between amenity density and superior occupancy rates.</w:t>
      </w:r>
    </w:p>
    <w:p w14:paraId="109B96AE" w14:textId="1C3F1693" w:rsidR="00B83B91" w:rsidRPr="00351C6D" w:rsidRDefault="00B83B91" w:rsidP="00B83B91">
      <w:pPr>
        <w:pStyle w:val="NormalWeb"/>
        <w:spacing w:before="0" w:beforeAutospacing="0"/>
        <w:rPr>
          <w:rFonts w:asciiTheme="minorHAnsi" w:hAnsiTheme="minorHAnsi" w:cs="Arial"/>
        </w:rPr>
      </w:pPr>
      <w:r w:rsidRPr="00351C6D">
        <w:rPr>
          <w:rFonts w:asciiTheme="minorHAnsi" w:hAnsiTheme="minorHAnsi" w:cs="Arial"/>
        </w:rPr>
        <w:t xml:space="preserve">When evaluating property layout limits, Enterprise operators intentionally select smaller physical blueprints, maintaining the lowest average capacity profile at </w:t>
      </w:r>
      <w:r w:rsidRPr="00351C6D">
        <w:rPr>
          <w:rStyle w:val="math-inline"/>
          <w:rFonts w:asciiTheme="minorHAnsi" w:hAnsiTheme="minorHAnsi" w:cs="Arial"/>
        </w:rPr>
        <w:t>1.43</w:t>
      </w:r>
      <w:r w:rsidRPr="00351C6D">
        <w:rPr>
          <w:rStyle w:val="math-inline"/>
          <w:rFonts w:asciiTheme="minorHAnsi" w:hAnsiTheme="minorHAnsi" w:cs="Arial"/>
        </w:rPr>
        <w:t xml:space="preserve"> </w:t>
      </w:r>
      <w:r w:rsidRPr="00351C6D">
        <w:rPr>
          <w:rFonts w:asciiTheme="minorHAnsi" w:hAnsiTheme="minorHAnsi" w:cs="Arial"/>
        </w:rPr>
        <w:t xml:space="preserve">bedrooms and an accommodation threshold of </w:t>
      </w:r>
      <w:r w:rsidRPr="00351C6D">
        <w:rPr>
          <w:rStyle w:val="math-inline"/>
          <w:rFonts w:asciiTheme="minorHAnsi" w:hAnsiTheme="minorHAnsi" w:cs="Arial"/>
        </w:rPr>
        <w:t>2.76</w:t>
      </w:r>
      <w:r w:rsidRPr="00351C6D">
        <w:rPr>
          <w:rFonts w:asciiTheme="minorHAnsi" w:hAnsiTheme="minorHAnsi" w:cs="Arial"/>
        </w:rPr>
        <w:t xml:space="preserve"> guests. Small-Multi hosts manage significantly larger spaces, averaging </w:t>
      </w:r>
      <w:r w:rsidRPr="00351C6D">
        <w:rPr>
          <w:rStyle w:val="math-inline"/>
          <w:rFonts w:asciiTheme="minorHAnsi" w:hAnsiTheme="minorHAnsi" w:cs="Arial"/>
        </w:rPr>
        <w:t>1.70</w:t>
      </w:r>
      <w:r w:rsidRPr="00351C6D">
        <w:rPr>
          <w:rFonts w:asciiTheme="minorHAnsi" w:hAnsiTheme="minorHAnsi" w:cs="Arial"/>
        </w:rPr>
        <w:t xml:space="preserve"> bedrooms per listing. </w:t>
      </w:r>
    </w:p>
    <w:p w14:paraId="244F3B09" w14:textId="70DBF87B" w:rsidR="00B83B91" w:rsidRPr="00351C6D" w:rsidRDefault="00C1756D" w:rsidP="00F61D9C">
      <w:pPr>
        <w:pStyle w:val="ListBullet"/>
        <w:numPr>
          <w:ilvl w:val="0"/>
          <w:numId w:val="0"/>
        </w:numPr>
        <w:spacing w:after="60"/>
        <w:ind w:left="360" w:hanging="360"/>
        <w:rPr>
          <w:i/>
          <w:iCs/>
        </w:rPr>
      </w:pPr>
      <w:r w:rsidRPr="00351C6D">
        <w:rPr>
          <w:i/>
          <w:iCs/>
        </w:rPr>
        <w:t>Box plot:</w:t>
      </w:r>
    </w:p>
    <w:p w14:paraId="68280DEB" w14:textId="38F8C38A" w:rsidR="00C1756D" w:rsidRPr="00351C6D" w:rsidRDefault="00C1756D" w:rsidP="00C1756D">
      <w:pPr>
        <w:pStyle w:val="NormalWeb"/>
        <w:spacing w:before="0" w:beforeAutospacing="0"/>
        <w:rPr>
          <w:rFonts w:asciiTheme="minorHAnsi" w:hAnsiTheme="minorHAnsi" w:cs="Arial"/>
        </w:rPr>
      </w:pPr>
      <w:r w:rsidRPr="00351C6D">
        <w:rPr>
          <w:rFonts w:asciiTheme="minorHAnsi" w:hAnsiTheme="minorHAnsi" w:cs="Arial"/>
        </w:rPr>
        <w:t xml:space="preserve">Individual hosts make the highest median annual revenue </w:t>
      </w:r>
      <w:r w:rsidRPr="00351C6D">
        <w:rPr>
          <w:rStyle w:val="math-inline"/>
          <w:rFonts w:asciiTheme="minorHAnsi" w:hAnsiTheme="minorHAnsi" w:cs="Arial"/>
        </w:rPr>
        <w:t>$32,010</w:t>
      </w:r>
      <w:r w:rsidRPr="00351C6D">
        <w:rPr>
          <w:rFonts w:asciiTheme="minorHAnsi" w:hAnsiTheme="minorHAnsi" w:cs="Arial"/>
        </w:rPr>
        <w:t xml:space="preserve"> by keeping their occupancy balanced, whereas Enterprise hosts suffer a massive revenue penalty (</w:t>
      </w:r>
      <w:r w:rsidRPr="00351C6D">
        <w:rPr>
          <w:rStyle w:val="math-inline"/>
          <w:rFonts w:asciiTheme="minorHAnsi" w:hAnsiTheme="minorHAnsi" w:cs="Arial"/>
        </w:rPr>
        <w:t>$18,066</w:t>
      </w:r>
      <w:r w:rsidRPr="00351C6D">
        <w:rPr>
          <w:rFonts w:asciiTheme="minorHAnsi" w:hAnsiTheme="minorHAnsi" w:cs="Arial"/>
        </w:rPr>
        <w:t xml:space="preserve"> because they overprice their entire apartments and let them sit vacant</w:t>
      </w:r>
      <w:r w:rsidR="00351C6D">
        <w:rPr>
          <w:rFonts w:asciiTheme="minorHAnsi" w:hAnsiTheme="minorHAnsi" w:cs="Arial"/>
        </w:rPr>
        <w:t>)</w:t>
      </w:r>
    </w:p>
    <w:p w14:paraId="32090649" w14:textId="1FF9F3E2" w:rsidR="00C1756D" w:rsidRPr="00351C6D" w:rsidRDefault="00351C6D" w:rsidP="00351C6D">
      <w:pPr>
        <w:pStyle w:val="NormalWeb"/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There is also a p</w:t>
      </w:r>
      <w:r w:rsidR="00C1756D" w:rsidRPr="00351C6D">
        <w:rPr>
          <w:rFonts w:asciiTheme="minorHAnsi" w:hAnsiTheme="minorHAnsi" w:cs="Arial"/>
        </w:rPr>
        <w:t>resence of extreme outliers s</w:t>
      </w:r>
      <w:r w:rsidR="00C1756D" w:rsidRPr="00351C6D">
        <w:rPr>
          <w:rFonts w:asciiTheme="minorHAnsi" w:hAnsiTheme="minorHAnsi" w:cs="Arial"/>
        </w:rPr>
        <w:t xml:space="preserve">tretching into the </w:t>
      </w:r>
      <w:r w:rsidR="00C1756D" w:rsidRPr="00351C6D">
        <w:rPr>
          <w:rStyle w:val="math-inline"/>
          <w:rFonts w:asciiTheme="minorHAnsi" w:hAnsiTheme="minorHAnsi" w:cs="Arial"/>
        </w:rPr>
        <w:t>$100,000</w:t>
      </w:r>
      <w:r w:rsidR="00C1756D" w:rsidRPr="00351C6D">
        <w:rPr>
          <w:rFonts w:asciiTheme="minorHAnsi" w:hAnsiTheme="minorHAnsi" w:cs="Arial"/>
        </w:rPr>
        <w:t xml:space="preserve">to </w:t>
      </w:r>
      <w:r w:rsidR="00C1756D" w:rsidRPr="00351C6D">
        <w:rPr>
          <w:rStyle w:val="math-inline"/>
          <w:rFonts w:asciiTheme="minorHAnsi" w:hAnsiTheme="minorHAnsi" w:cs="Arial"/>
        </w:rPr>
        <w:t>$1,000,000+</w:t>
      </w:r>
      <w:r w:rsidR="00C1756D" w:rsidRPr="00351C6D">
        <w:rPr>
          <w:rFonts w:asciiTheme="minorHAnsi" w:hAnsiTheme="minorHAnsi" w:cs="Arial"/>
        </w:rPr>
        <w:t xml:space="preserve"> annual threshold</w:t>
      </w:r>
      <w:r>
        <w:rPr>
          <w:rFonts w:asciiTheme="minorHAnsi" w:hAnsiTheme="minorHAnsi" w:cs="Arial"/>
        </w:rPr>
        <w:t>.</w:t>
      </w:r>
    </w:p>
    <w:p w14:paraId="2107BDFB" w14:textId="77777777" w:rsidR="00F61D9C" w:rsidRDefault="00F61D9C" w:rsidP="00C1756D">
      <w:pPr>
        <w:pStyle w:val="ListBullet"/>
        <w:numPr>
          <w:ilvl w:val="0"/>
          <w:numId w:val="0"/>
        </w:numPr>
        <w:spacing w:after="60"/>
      </w:pPr>
    </w:p>
    <w:p w14:paraId="21A9835D" w14:textId="77777777" w:rsidR="00F61D9C" w:rsidRDefault="00F61D9C" w:rsidP="00F61D9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CB6F0F5" w14:textId="77777777" w:rsidR="00B03F69" w:rsidRDefault="00B03F69">
      <w:pPr>
        <w:pBdr>
          <w:bottom w:val="single" w:sz="6" w:space="1" w:color="CCCCCC"/>
        </w:pBdr>
        <w:spacing w:before="40" w:after="40"/>
      </w:pPr>
    </w:p>
    <w:p w14:paraId="4146CA49" w14:textId="77777777" w:rsidR="00B03F69" w:rsidRDefault="00000000">
      <w:pPr>
        <w:spacing w:before="280" w:after="80"/>
      </w:pPr>
      <w:r>
        <w:rPr>
          <w:b/>
          <w:color w:val="1D4ED8"/>
          <w:sz w:val="32"/>
        </w:rPr>
        <w:t>4. Courses of Action — Group Vote Needed</w:t>
      </w:r>
    </w:p>
    <w:p w14:paraId="53CB1FEB" w14:textId="70BAD69F" w:rsidR="00B03F69" w:rsidRDefault="00000000">
      <w:r>
        <w:t xml:space="preserve">Based on the EDA, </w:t>
      </w:r>
      <w:r w:rsidR="00BB77F4">
        <w:t>there are multiple</w:t>
      </w:r>
      <w:r>
        <w:t xml:space="preserve"> defensible directions. </w:t>
      </w:r>
    </w:p>
    <w:p w14:paraId="32946C90" w14:textId="59ACD87E" w:rsidR="00B03F69" w:rsidRDefault="00000000">
      <w:pPr>
        <w:spacing w:before="200" w:after="80"/>
      </w:pPr>
      <w:r>
        <w:rPr>
          <w:b/>
          <w:color w:val="16A34A"/>
          <w:sz w:val="26"/>
        </w:rPr>
        <w:t xml:space="preserve">Option </w:t>
      </w:r>
      <w:proofErr w:type="gramStart"/>
      <w:r>
        <w:rPr>
          <w:b/>
          <w:color w:val="16A34A"/>
          <w:sz w:val="26"/>
        </w:rPr>
        <w:t>A  —</w:t>
      </w:r>
      <w:proofErr w:type="gramEnd"/>
      <w:r>
        <w:rPr>
          <w:b/>
          <w:color w:val="16A34A"/>
          <w:sz w:val="26"/>
        </w:rPr>
        <w:t xml:space="preserve"> The Mispricing Diagnostic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03F69" w14:paraId="7024F7BC" w14:textId="77777777">
        <w:trPr>
          <w:jc w:val="center"/>
        </w:trPr>
        <w:tc>
          <w:tcPr>
            <w:tcW w:w="9746" w:type="dxa"/>
            <w:shd w:val="clear" w:color="auto" w:fill="F0FDF4"/>
            <w:vAlign w:val="center"/>
          </w:tcPr>
          <w:p w14:paraId="0315A343" w14:textId="77777777" w:rsidR="00B03F69" w:rsidRDefault="00000000">
            <w:pPr>
              <w:spacing w:before="120" w:after="120"/>
              <w:ind w:left="227" w:right="227"/>
            </w:pPr>
            <w:r>
              <w:t>Core question: How far is any given listing priced from its 'fair value' given its segment, and what's the revenue impact of closing that gap?</w:t>
            </w:r>
          </w:p>
        </w:tc>
      </w:tr>
    </w:tbl>
    <w:p w14:paraId="5540E28E" w14:textId="77777777" w:rsidR="00B03F69" w:rsidRDefault="00B03F69">
      <w:pPr>
        <w:spacing w:after="120"/>
      </w:pPr>
    </w:p>
    <w:p w14:paraId="35404AB6" w14:textId="77777777" w:rsidR="00B03F69" w:rsidRDefault="00000000">
      <w:pPr>
        <w:pStyle w:val="ListBullet"/>
        <w:spacing w:after="60"/>
      </w:pPr>
      <w:r>
        <w:t>Hedonic pricing regression: predict price from room type, borough, capacity, amenity count, review scores</w:t>
      </w:r>
    </w:p>
    <w:p w14:paraId="7E7EFBE2" w14:textId="77777777" w:rsidR="00B03F69" w:rsidRDefault="00000000">
      <w:pPr>
        <w:pStyle w:val="ListBullet"/>
        <w:spacing w:after="60"/>
      </w:pPr>
      <w:r>
        <w:t>Residual = mispricing signal. Positive residual = overpriced. Negative = underpriced.</w:t>
      </w:r>
    </w:p>
    <w:p w14:paraId="68921026" w14:textId="77777777" w:rsidR="00B03F69" w:rsidRDefault="00000000">
      <w:pPr>
        <w:pStyle w:val="ListBullet"/>
        <w:spacing w:after="60"/>
      </w:pPr>
      <w:r>
        <w:t>Output: a listing-level diagnostic — 'you are priced $X above/below comparables; estimated revenue impact is $Y/year'</w:t>
      </w:r>
    </w:p>
    <w:p w14:paraId="4682762B" w14:textId="77777777" w:rsidR="00B03F69" w:rsidRDefault="00000000">
      <w:pPr>
        <w:pStyle w:val="ListBullet"/>
        <w:spacing w:after="60"/>
      </w:pPr>
      <w:r>
        <w:t>Simpler model, cleaner deliverable, lower execution risk</w:t>
      </w:r>
    </w:p>
    <w:p w14:paraId="15FC2CD6" w14:textId="088ED552" w:rsidR="00B03F69" w:rsidRDefault="00000000">
      <w:pPr>
        <w:pStyle w:val="ListBullet"/>
        <w:spacing w:after="60"/>
      </w:pPr>
      <w:r>
        <w:t>Limitation: doesn't explain WHY the gap exists</w:t>
      </w:r>
      <w:r w:rsidR="00D96135">
        <w:t xml:space="preserve">, </w:t>
      </w:r>
      <w:r>
        <w:t>just that it does</w:t>
      </w:r>
    </w:p>
    <w:p w14:paraId="62D7D59A" w14:textId="40445B2F" w:rsidR="00B03F69" w:rsidRDefault="00000000">
      <w:pPr>
        <w:spacing w:before="200" w:after="80"/>
      </w:pPr>
      <w:r>
        <w:rPr>
          <w:b/>
          <w:color w:val="1D4ED8"/>
          <w:sz w:val="26"/>
        </w:rPr>
        <w:t xml:space="preserve">Option </w:t>
      </w:r>
      <w:proofErr w:type="gramStart"/>
      <w:r>
        <w:rPr>
          <w:b/>
          <w:color w:val="1D4ED8"/>
          <w:sz w:val="26"/>
        </w:rPr>
        <w:t>B  —</w:t>
      </w:r>
      <w:proofErr w:type="gramEnd"/>
      <w:r>
        <w:rPr>
          <w:b/>
          <w:color w:val="1D4ED8"/>
          <w:sz w:val="26"/>
        </w:rPr>
        <w:t xml:space="preserve"> Individual vs. Small-Multi Benchmarking Tool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03F69" w14:paraId="2BE67DA4" w14:textId="77777777">
        <w:trPr>
          <w:jc w:val="center"/>
        </w:trPr>
        <w:tc>
          <w:tcPr>
            <w:tcW w:w="9746" w:type="dxa"/>
            <w:shd w:val="clear" w:color="auto" w:fill="EFF6FF"/>
            <w:vAlign w:val="center"/>
          </w:tcPr>
          <w:p w14:paraId="0D2A5408" w14:textId="77777777" w:rsidR="00B03F69" w:rsidRDefault="00000000">
            <w:pPr>
              <w:spacing w:before="120" w:after="120"/>
              <w:ind w:left="227" w:right="227"/>
            </w:pPr>
            <w:r>
              <w:t>Core question: What specific practices separate Small-Multi operators (the occupancy leaders) from Individual hosts — and can we build a tool that shows an individual host exactly how to close that gap?</w:t>
            </w:r>
          </w:p>
        </w:tc>
      </w:tr>
    </w:tbl>
    <w:p w14:paraId="446EC209" w14:textId="77777777" w:rsidR="00B03F69" w:rsidRDefault="00B03F69">
      <w:pPr>
        <w:spacing w:after="120"/>
      </w:pPr>
    </w:p>
    <w:p w14:paraId="6816BBB8" w14:textId="77777777" w:rsidR="00B03F69" w:rsidRDefault="00000000">
      <w:pPr>
        <w:pStyle w:val="ListBullet"/>
        <w:spacing w:after="60"/>
      </w:pPr>
      <w:r>
        <w:lastRenderedPageBreak/>
        <w:t>Segment the market by host tier; characterize Small-Multi vs. Individual on pricing, occupancy, amenities, review velocity</w:t>
      </w:r>
    </w:p>
    <w:p w14:paraId="4B2C63A0" w14:textId="77777777" w:rsidR="00B03F69" w:rsidRDefault="00000000">
      <w:pPr>
        <w:pStyle w:val="ListBullet"/>
        <w:spacing w:after="60"/>
      </w:pPr>
      <w:r>
        <w:t>Build a matched-segment benchmark: for your listing's borough/room type/capacity, here is how the top-tier hosts are positioned</w:t>
      </w:r>
    </w:p>
    <w:p w14:paraId="00F6CC8B" w14:textId="77777777" w:rsidR="00B03F69" w:rsidRDefault="00000000">
      <w:pPr>
        <w:pStyle w:val="ListBullet"/>
        <w:spacing w:after="60"/>
      </w:pPr>
      <w:r>
        <w:t>Layer A's mispricing diagnostic underneath as the pricing recommendation mechanism</w:t>
      </w:r>
    </w:p>
    <w:p w14:paraId="171194B0" w14:textId="77777777" w:rsidR="00B03F69" w:rsidRDefault="00000000">
      <w:pPr>
        <w:pStyle w:val="ListBullet"/>
        <w:spacing w:after="60"/>
      </w:pPr>
      <w:r>
        <w:t>Output: a host-facing benchmarking report — 'operators like you but higher-performing are doing X, Y, Z differently'</w:t>
      </w:r>
    </w:p>
    <w:p w14:paraId="7A4A24AE" w14:textId="77777777" w:rsidR="006670D2" w:rsidRDefault="006670D2" w:rsidP="006670D2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18CCC647" w14:textId="1C7D043B" w:rsidR="006670D2" w:rsidRDefault="006670D2" w:rsidP="006670D2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color w:val="1D4ED8"/>
          <w:sz w:val="26"/>
        </w:rPr>
      </w:pPr>
      <w:r>
        <w:rPr>
          <w:b/>
          <w:color w:val="1D4ED8"/>
          <w:sz w:val="26"/>
        </w:rPr>
        <w:t xml:space="preserve">Option </w:t>
      </w:r>
      <w:r>
        <w:rPr>
          <w:b/>
          <w:color w:val="1D4ED8"/>
          <w:sz w:val="26"/>
        </w:rPr>
        <w:t xml:space="preserve">C (Recommended) – Hybrid Approach – Revenue Optimizer </w:t>
      </w:r>
    </w:p>
    <w:p w14:paraId="4BEE330E" w14:textId="77777777" w:rsidR="006670D2" w:rsidRDefault="006670D2" w:rsidP="006670D2">
      <w:pPr>
        <w:pStyle w:val="ListBullet"/>
        <w:numPr>
          <w:ilvl w:val="0"/>
          <w:numId w:val="0"/>
        </w:numPr>
        <w:spacing w:after="6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670D2" w14:paraId="4D2B8955" w14:textId="77777777" w:rsidTr="002F30B2">
        <w:trPr>
          <w:jc w:val="center"/>
        </w:trPr>
        <w:tc>
          <w:tcPr>
            <w:tcW w:w="9746" w:type="dxa"/>
            <w:shd w:val="clear" w:color="auto" w:fill="EFF6FF"/>
            <w:vAlign w:val="center"/>
          </w:tcPr>
          <w:p w14:paraId="395A02D5" w14:textId="28B8B1FA" w:rsidR="006670D2" w:rsidRDefault="006670D2" w:rsidP="002F30B2">
            <w:pPr>
              <w:spacing w:before="120" w:after="120"/>
              <w:ind w:left="227" w:right="227"/>
            </w:pPr>
            <w:r w:rsidRPr="006670D2">
              <w:t>Core question: What is the exact monetary value of an individual host's pricing error, and what specific operational and amenity changes must they make to match the efficiency of the market's top-performing operators?</w:t>
            </w:r>
          </w:p>
        </w:tc>
      </w:tr>
    </w:tbl>
    <w:p w14:paraId="4A48FB8C" w14:textId="77777777" w:rsidR="006670D2" w:rsidRDefault="006670D2" w:rsidP="006670D2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4C075D0F" w14:textId="4E40E69B" w:rsidR="006670D2" w:rsidRPr="006670D2" w:rsidRDefault="006670D2" w:rsidP="006670D2">
      <w:pPr>
        <w:pStyle w:val="NormalWeb"/>
        <w:spacing w:before="0" w:beforeAutospacing="0"/>
        <w:rPr>
          <w:rFonts w:asciiTheme="minorHAnsi" w:hAnsiTheme="minorHAnsi" w:cs="Arial"/>
          <w:sz w:val="22"/>
          <w:szCs w:val="22"/>
        </w:rPr>
      </w:pPr>
      <w:r w:rsidRPr="006670D2">
        <w:rPr>
          <w:rFonts w:asciiTheme="minorHAnsi" w:hAnsiTheme="minorHAnsi" w:cs="Arial"/>
          <w:b/>
          <w:bCs/>
          <w:sz w:val="22"/>
          <w:szCs w:val="22"/>
        </w:rPr>
        <w:t>Integrated Architecture:</w:t>
      </w:r>
      <w:r w:rsidRPr="006670D2">
        <w:rPr>
          <w:rFonts w:asciiTheme="minorHAnsi" w:hAnsiTheme="minorHAnsi" w:cs="Arial"/>
          <w:sz w:val="22"/>
          <w:szCs w:val="22"/>
        </w:rPr>
        <w:t xml:space="preserve"> Employs the Hedonic Pricing Regression model to establish an objective asset-valuation engine, while evaluating the results directly against matched competitive cohorts.</w:t>
      </w:r>
    </w:p>
    <w:p w14:paraId="5189DC25" w14:textId="24242737" w:rsidR="006670D2" w:rsidRPr="006670D2" w:rsidRDefault="006670D2" w:rsidP="006670D2">
      <w:pPr>
        <w:pStyle w:val="NormalWeb"/>
        <w:spacing w:before="0" w:beforeAutospacing="0"/>
        <w:rPr>
          <w:rFonts w:asciiTheme="minorHAnsi" w:hAnsiTheme="minorHAnsi" w:cs="Arial"/>
          <w:sz w:val="22"/>
          <w:szCs w:val="22"/>
        </w:rPr>
      </w:pPr>
      <w:r w:rsidRPr="006670D2">
        <w:rPr>
          <w:rFonts w:asciiTheme="minorHAnsi" w:hAnsiTheme="minorHAnsi" w:cs="Arial"/>
          <w:b/>
          <w:bCs/>
          <w:sz w:val="22"/>
          <w:szCs w:val="22"/>
        </w:rPr>
        <w:t>Actionable Prescriptive Analytics:</w:t>
      </w:r>
      <w:r w:rsidRPr="006670D2">
        <w:rPr>
          <w:rFonts w:asciiTheme="minorHAnsi" w:hAnsiTheme="minorHAnsi" w:cs="Arial"/>
          <w:sz w:val="22"/>
          <w:szCs w:val="22"/>
        </w:rPr>
        <w:t xml:space="preserve"> Pinpoints the exact pricing residual (the dollar value gap) and immediately explains the </w:t>
      </w:r>
      <w:r w:rsidRPr="006670D2">
        <w:rPr>
          <w:rFonts w:asciiTheme="minorHAnsi" w:hAnsiTheme="minorHAnsi" w:cs="Arial"/>
          <w:b/>
          <w:bCs/>
          <w:i/>
          <w:iCs/>
          <w:sz w:val="22"/>
          <w:szCs w:val="22"/>
        </w:rPr>
        <w:t>why</w:t>
      </w:r>
      <w:r w:rsidRPr="006670D2">
        <w:rPr>
          <w:rFonts w:asciiTheme="minorHAnsi" w:hAnsiTheme="minorHAnsi" w:cs="Arial"/>
          <w:sz w:val="22"/>
          <w:szCs w:val="22"/>
        </w:rPr>
        <w:t xml:space="preserve"> by </w:t>
      </w:r>
      <w:r w:rsidRPr="006670D2">
        <w:rPr>
          <w:rFonts w:asciiTheme="minorHAnsi" w:hAnsiTheme="minorHAnsi" w:cs="Arial"/>
          <w:b/>
          <w:bCs/>
          <w:sz w:val="22"/>
          <w:szCs w:val="22"/>
          <w:highlight w:val="yellow"/>
        </w:rPr>
        <w:t>exposing the listing's operational and amenity deficiencies relative to high-occupancy Small-Multi hosts.</w:t>
      </w:r>
    </w:p>
    <w:p w14:paraId="30CF4D29" w14:textId="65ED969E" w:rsidR="006670D2" w:rsidRDefault="006670D2" w:rsidP="006670D2">
      <w:pPr>
        <w:pStyle w:val="NormalWeb"/>
        <w:spacing w:before="0" w:beforeAutospacing="0"/>
        <w:rPr>
          <w:rFonts w:asciiTheme="minorHAnsi" w:hAnsiTheme="minorHAnsi" w:cs="Arial"/>
          <w:sz w:val="22"/>
          <w:szCs w:val="22"/>
        </w:rPr>
      </w:pPr>
      <w:r w:rsidRPr="006670D2">
        <w:rPr>
          <w:rFonts w:asciiTheme="minorHAnsi" w:hAnsiTheme="minorHAnsi" w:cs="Arial"/>
          <w:b/>
          <w:bCs/>
          <w:sz w:val="22"/>
          <w:szCs w:val="22"/>
        </w:rPr>
        <w:t>Output:</w:t>
      </w:r>
      <w:r w:rsidRPr="006670D2">
        <w:rPr>
          <w:rFonts w:asciiTheme="minorHAnsi" w:hAnsiTheme="minorHAnsi" w:cs="Arial"/>
          <w:sz w:val="22"/>
          <w:szCs w:val="22"/>
        </w:rPr>
        <w:t xml:space="preserve"> A holistic commercial real estate audit — "Your listing is underpriced by </w:t>
      </w:r>
      <w:r w:rsidRPr="006670D2">
        <w:rPr>
          <w:rStyle w:val="math-inline"/>
          <w:rFonts w:asciiTheme="minorHAnsi" w:hAnsiTheme="minorHAnsi" w:cs="Arial"/>
          <w:sz w:val="22"/>
          <w:szCs w:val="22"/>
        </w:rPr>
        <w:t>$X</w:t>
      </w:r>
      <w:r w:rsidRPr="006670D2">
        <w:rPr>
          <w:rFonts w:asciiTheme="minorHAnsi" w:hAnsiTheme="minorHAnsi" w:cs="Arial"/>
          <w:sz w:val="22"/>
          <w:szCs w:val="22"/>
        </w:rPr>
        <w:t xml:space="preserve">/night relative to its intrinsic value, but to successfully capture that missing </w:t>
      </w:r>
      <w:r w:rsidRPr="006670D2">
        <w:rPr>
          <w:rStyle w:val="math-inline"/>
          <w:rFonts w:asciiTheme="minorHAnsi" w:hAnsiTheme="minorHAnsi" w:cs="Arial"/>
          <w:sz w:val="22"/>
          <w:szCs w:val="22"/>
        </w:rPr>
        <w:t>$Y</w:t>
      </w:r>
      <w:r w:rsidRPr="006670D2">
        <w:rPr>
          <w:rFonts w:asciiTheme="minorHAnsi" w:hAnsiTheme="minorHAnsi" w:cs="Arial"/>
          <w:sz w:val="22"/>
          <w:szCs w:val="22"/>
        </w:rPr>
        <w:t>/year in yield without hurting occupancy, you must close your operational feature gap by adding a dedicated workspace and enabling self-check-in."</w:t>
      </w:r>
    </w:p>
    <w:p w14:paraId="722EA94F" w14:textId="77777777" w:rsidR="00C1756D" w:rsidRPr="006670D2" w:rsidRDefault="00C1756D" w:rsidP="006670D2">
      <w:pPr>
        <w:pStyle w:val="NormalWeb"/>
        <w:spacing w:before="0" w:beforeAutospacing="0"/>
        <w:rPr>
          <w:rFonts w:asciiTheme="minorHAnsi" w:hAnsiTheme="minorHAnsi" w:cs="Arial"/>
          <w:sz w:val="22"/>
          <w:szCs w:val="22"/>
        </w:rPr>
      </w:pPr>
    </w:p>
    <w:p w14:paraId="734B25B7" w14:textId="77777777" w:rsidR="00351C6D" w:rsidRDefault="00351C6D" w:rsidP="00351C6D">
      <w:pPr>
        <w:pBdr>
          <w:bottom w:val="single" w:sz="6" w:space="1" w:color="CCCCCC"/>
        </w:pBdr>
        <w:spacing w:before="40" w:after="40"/>
      </w:pPr>
    </w:p>
    <w:p w14:paraId="24F2D5F8" w14:textId="2AADF6B1" w:rsidR="00351C6D" w:rsidRDefault="00351C6D" w:rsidP="00351C6D">
      <w:pPr>
        <w:spacing w:before="280" w:after="80"/>
      </w:pPr>
      <w:r>
        <w:rPr>
          <w:b/>
          <w:color w:val="1D4ED8"/>
          <w:sz w:val="32"/>
        </w:rPr>
        <w:t>5</w:t>
      </w:r>
      <w:r>
        <w:rPr>
          <w:b/>
          <w:color w:val="1D4ED8"/>
          <w:sz w:val="32"/>
        </w:rPr>
        <w:t xml:space="preserve">. </w:t>
      </w:r>
      <w:r>
        <w:rPr>
          <w:b/>
          <w:color w:val="1D4ED8"/>
          <w:sz w:val="32"/>
        </w:rPr>
        <w:t>Approach Summary</w:t>
      </w:r>
    </w:p>
    <w:p w14:paraId="60A2BD9E" w14:textId="77777777" w:rsidR="002963D1" w:rsidRDefault="002963D1" w:rsidP="002963D1">
      <w:pPr>
        <w:pStyle w:val="ListBullet"/>
        <w:spacing w:after="60"/>
      </w:pPr>
      <w:r>
        <w:t>Dataset: same listings.csv + calendar.csv</w:t>
      </w:r>
    </w:p>
    <w:p w14:paraId="5E51521B" w14:textId="77777777" w:rsidR="002963D1" w:rsidRDefault="002963D1" w:rsidP="002963D1">
      <w:pPr>
        <w:pStyle w:val="ListBullet"/>
        <w:spacing w:after="60"/>
      </w:pPr>
      <w:r>
        <w:t>EDA submission: same charts, same descriptive statistics</w:t>
      </w:r>
    </w:p>
    <w:p w14:paraId="70C7AB60" w14:textId="77777777" w:rsidR="002963D1" w:rsidRDefault="002963D1" w:rsidP="002963D1">
      <w:pPr>
        <w:pStyle w:val="ListBullet"/>
        <w:spacing w:after="60"/>
      </w:pPr>
      <w:r>
        <w:t>Timeline: Week 2 EDA → Week 3 modeling → Week 4 dashboard → Week 5 delivery</w:t>
      </w:r>
    </w:p>
    <w:p w14:paraId="37066C59" w14:textId="77777777" w:rsidR="002963D1" w:rsidRDefault="002963D1" w:rsidP="002963D1">
      <w:pPr>
        <w:pStyle w:val="ListBullet"/>
        <w:spacing w:after="60"/>
      </w:pPr>
      <w:r>
        <w:t>Team roles: Jai (data), Manas (modeling), Rachael (viz), Francois (insights), Brendan (PM/narrative)</w:t>
      </w:r>
    </w:p>
    <w:p w14:paraId="351F2724" w14:textId="77777777" w:rsidR="002963D1" w:rsidRPr="002963D1" w:rsidRDefault="002963D1" w:rsidP="002963D1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</w:p>
    <w:p w14:paraId="3FD0DA91" w14:textId="56ECD82F" w:rsidR="002963D1" w:rsidRPr="002963D1" w:rsidRDefault="002963D1" w:rsidP="002963D1">
      <w:pPr>
        <w:pStyle w:val="NormalWeb"/>
        <w:spacing w:before="0" w:beforeAutospacing="0"/>
        <w:rPr>
          <w:rFonts w:asciiTheme="minorHAnsi" w:hAnsiTheme="minorHAnsi" w:cs="Arial"/>
          <w:b/>
          <w:bCs/>
          <w:color w:val="7F7F7F" w:themeColor="text1" w:themeTint="80"/>
        </w:rPr>
      </w:pPr>
      <w:r w:rsidRPr="002963D1">
        <w:rPr>
          <w:rFonts w:asciiTheme="minorHAnsi" w:hAnsiTheme="minorHAnsi" w:cs="Arial"/>
          <w:b/>
          <w:bCs/>
          <w:color w:val="7F7F7F" w:themeColor="text1" w:themeTint="80"/>
        </w:rPr>
        <w:t xml:space="preserve">Here is the </w:t>
      </w:r>
      <w:proofErr w:type="gramStart"/>
      <w:r w:rsidRPr="002963D1">
        <w:rPr>
          <w:rFonts w:asciiTheme="minorHAnsi" w:hAnsiTheme="minorHAnsi" w:cs="Arial"/>
          <w:b/>
          <w:bCs/>
          <w:color w:val="7F7F7F" w:themeColor="text1" w:themeTint="80"/>
        </w:rPr>
        <w:t>brief summary</w:t>
      </w:r>
      <w:proofErr w:type="gramEnd"/>
      <w:r w:rsidRPr="002963D1">
        <w:rPr>
          <w:rFonts w:asciiTheme="minorHAnsi" w:hAnsiTheme="minorHAnsi" w:cs="Arial"/>
          <w:b/>
          <w:bCs/>
          <w:color w:val="7F7F7F" w:themeColor="text1" w:themeTint="80"/>
        </w:rPr>
        <w:t xml:space="preserve"> of the exact methodology, models, and approaches we plan to use:</w:t>
      </w:r>
    </w:p>
    <w:p w14:paraId="4A5DB787" w14:textId="77777777" w:rsidR="002963D1" w:rsidRPr="002963D1" w:rsidRDefault="002963D1" w:rsidP="002963D1">
      <w:pPr>
        <w:pStyle w:val="Heading3"/>
        <w:spacing w:before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>1. The Core Analytical Engine (Predicting Fair Value &amp; Residuals)</w:t>
      </w:r>
    </w:p>
    <w:p w14:paraId="0856A17E" w14:textId="77777777" w:rsidR="002963D1" w:rsidRPr="002963D1" w:rsidRDefault="002963D1" w:rsidP="002963D1">
      <w:pPr>
        <w:pStyle w:val="NormalWeb"/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 xml:space="preserve">To isolate the "Mispricing Diagnostic," we will build a statistical baseline to determine what a listing </w:t>
      </w:r>
      <w:r w:rsidRPr="002963D1">
        <w:rPr>
          <w:rFonts w:asciiTheme="minorHAnsi" w:hAnsiTheme="minorHAnsi" w:cs="Arial"/>
          <w:i/>
          <w:iCs/>
        </w:rPr>
        <w:t>should</w:t>
      </w:r>
      <w:r w:rsidRPr="002963D1">
        <w:rPr>
          <w:rFonts w:asciiTheme="minorHAnsi" w:hAnsiTheme="minorHAnsi" w:cs="Arial"/>
        </w:rPr>
        <w:t xml:space="preserve"> charge based on its physical and spatial assets.</w:t>
      </w:r>
    </w:p>
    <w:p w14:paraId="7E7E2461" w14:textId="77777777" w:rsidR="002963D1" w:rsidRPr="002963D1" w:rsidRDefault="002963D1" w:rsidP="002963D1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lastRenderedPageBreak/>
        <w:t>Approach:</w:t>
      </w:r>
      <w:r w:rsidRPr="002963D1">
        <w:rPr>
          <w:rFonts w:asciiTheme="minorHAnsi" w:hAnsiTheme="minorHAnsi" w:cs="Arial"/>
        </w:rPr>
        <w:t xml:space="preserve"> </w:t>
      </w:r>
      <w:r w:rsidRPr="002963D1">
        <w:rPr>
          <w:rFonts w:asciiTheme="minorHAnsi" w:hAnsiTheme="minorHAnsi" w:cs="Arial"/>
          <w:b/>
          <w:bCs/>
        </w:rPr>
        <w:t>Hedonic Price Modeling via Ordinary Least Squares (OLS) Regression</w:t>
      </w:r>
      <w:r w:rsidRPr="002963D1">
        <w:rPr>
          <w:rFonts w:asciiTheme="minorHAnsi" w:hAnsiTheme="minorHAnsi" w:cs="Arial"/>
        </w:rPr>
        <w:t xml:space="preserve"> or a </w:t>
      </w:r>
      <w:r w:rsidRPr="002963D1">
        <w:rPr>
          <w:rFonts w:asciiTheme="minorHAnsi" w:hAnsiTheme="minorHAnsi" w:cs="Arial"/>
          <w:b/>
          <w:bCs/>
        </w:rPr>
        <w:t>Log-Linear Regression Model</w:t>
      </w:r>
      <w:r w:rsidRPr="002963D1">
        <w:rPr>
          <w:rFonts w:asciiTheme="minorHAnsi" w:hAnsiTheme="minorHAnsi" w:cs="Arial"/>
        </w:rPr>
        <w:t xml:space="preserve"> (to handle right-skewed pricing data).</w:t>
      </w:r>
    </w:p>
    <w:p w14:paraId="484693A0" w14:textId="77777777" w:rsidR="002963D1" w:rsidRPr="002963D1" w:rsidRDefault="002963D1" w:rsidP="002963D1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Independent Variables:</w:t>
      </w:r>
      <w:r w:rsidRPr="002963D1">
        <w:rPr>
          <w:rFonts w:asciiTheme="minorHAnsi" w:hAnsiTheme="minorHAnsi" w:cs="Arial"/>
        </w:rPr>
        <w:t xml:space="preserve"> </w:t>
      </w:r>
      <w:proofErr w:type="spellStart"/>
      <w:r w:rsidRPr="002963D1">
        <w:rPr>
          <w:rStyle w:val="HTMLCode"/>
          <w:rFonts w:asciiTheme="minorHAnsi" w:hAnsiTheme="minorHAnsi" w:cs="Arial"/>
        </w:rPr>
        <w:t>room_type</w:t>
      </w:r>
      <w:proofErr w:type="spellEnd"/>
      <w:r w:rsidRPr="002963D1">
        <w:rPr>
          <w:rFonts w:asciiTheme="minorHAnsi" w:hAnsiTheme="minorHAnsi" w:cs="Arial"/>
        </w:rPr>
        <w:t xml:space="preserve">, </w:t>
      </w:r>
      <w:proofErr w:type="spellStart"/>
      <w:r w:rsidRPr="002963D1">
        <w:rPr>
          <w:rStyle w:val="HTMLCode"/>
          <w:rFonts w:asciiTheme="minorHAnsi" w:hAnsiTheme="minorHAnsi" w:cs="Arial"/>
        </w:rPr>
        <w:t>neighbourhood_cleansed</w:t>
      </w:r>
      <w:proofErr w:type="spellEnd"/>
      <w:r w:rsidRPr="002963D1">
        <w:rPr>
          <w:rFonts w:asciiTheme="minorHAnsi" w:hAnsiTheme="minorHAnsi" w:cs="Arial"/>
        </w:rPr>
        <w:t xml:space="preserve"> (neighborhood fixed effects), </w:t>
      </w:r>
      <w:r w:rsidRPr="002963D1">
        <w:rPr>
          <w:rStyle w:val="HTMLCode"/>
          <w:rFonts w:asciiTheme="minorHAnsi" w:hAnsiTheme="minorHAnsi" w:cs="Arial"/>
        </w:rPr>
        <w:t>accommodates</w:t>
      </w:r>
      <w:r w:rsidRPr="002963D1">
        <w:rPr>
          <w:rFonts w:asciiTheme="minorHAnsi" w:hAnsiTheme="minorHAnsi" w:cs="Arial"/>
        </w:rPr>
        <w:t xml:space="preserve"> (capacity), </w:t>
      </w:r>
      <w:r w:rsidRPr="002963D1">
        <w:rPr>
          <w:rStyle w:val="HTMLCode"/>
          <w:rFonts w:asciiTheme="minorHAnsi" w:hAnsiTheme="minorHAnsi" w:cs="Arial"/>
        </w:rPr>
        <w:t>bedrooms</w:t>
      </w:r>
      <w:r w:rsidRPr="002963D1">
        <w:rPr>
          <w:rFonts w:asciiTheme="minorHAnsi" w:hAnsiTheme="minorHAnsi" w:cs="Arial"/>
        </w:rPr>
        <w:t xml:space="preserve">, </w:t>
      </w:r>
      <w:r w:rsidRPr="002963D1">
        <w:rPr>
          <w:rStyle w:val="HTMLCode"/>
          <w:rFonts w:asciiTheme="minorHAnsi" w:hAnsiTheme="minorHAnsi" w:cs="Arial"/>
        </w:rPr>
        <w:t>beds</w:t>
      </w:r>
      <w:r w:rsidRPr="002963D1">
        <w:rPr>
          <w:rFonts w:asciiTheme="minorHAnsi" w:hAnsiTheme="minorHAnsi" w:cs="Arial"/>
        </w:rPr>
        <w:t xml:space="preserve">, </w:t>
      </w:r>
      <w:proofErr w:type="spellStart"/>
      <w:r w:rsidRPr="002963D1">
        <w:rPr>
          <w:rStyle w:val="HTMLCode"/>
          <w:rFonts w:asciiTheme="minorHAnsi" w:hAnsiTheme="minorHAnsi" w:cs="Arial"/>
        </w:rPr>
        <w:t>review_scores_rating</w:t>
      </w:r>
      <w:proofErr w:type="spellEnd"/>
      <w:r w:rsidRPr="002963D1">
        <w:rPr>
          <w:rFonts w:asciiTheme="minorHAnsi" w:hAnsiTheme="minorHAnsi" w:cs="Arial"/>
        </w:rPr>
        <w:t>, and our flattened top binary amenities.</w:t>
      </w:r>
    </w:p>
    <w:p w14:paraId="569A3AAA" w14:textId="3D9A4DB3" w:rsidR="002963D1" w:rsidRPr="002963D1" w:rsidRDefault="002963D1" w:rsidP="002963D1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The Output:</w:t>
      </w:r>
      <w:r w:rsidRPr="002963D1">
        <w:rPr>
          <w:rFonts w:asciiTheme="minorHAnsi" w:hAnsiTheme="minorHAnsi" w:cs="Arial"/>
        </w:rPr>
        <w:t xml:space="preserve"> For each listing, the model yields a </w:t>
      </w:r>
      <w:r w:rsidRPr="002963D1">
        <w:rPr>
          <w:rFonts w:asciiTheme="minorHAnsi" w:hAnsiTheme="minorHAnsi" w:cs="Arial"/>
          <w:b/>
          <w:bCs/>
        </w:rPr>
        <w:t xml:space="preserve">Residual </w:t>
      </w:r>
      <w:r w:rsidRPr="002963D1">
        <w:rPr>
          <w:rStyle w:val="math-inline"/>
          <w:rFonts w:asciiTheme="minorHAnsi" w:hAnsiTheme="minorHAnsi" w:cs="Arial"/>
          <w:b/>
          <w:bCs/>
        </w:rPr>
        <w:t>= Actual Price - Predicted Price</w:t>
      </w:r>
      <w:r w:rsidRPr="002963D1">
        <w:rPr>
          <w:rFonts w:asciiTheme="minorHAnsi" w:hAnsiTheme="minorHAnsi" w:cs="Arial"/>
        </w:rPr>
        <w:t>. This residual serves as our objective mispricing signal.</w:t>
      </w:r>
    </w:p>
    <w:p w14:paraId="75C967EB" w14:textId="77777777" w:rsidR="002963D1" w:rsidRPr="002963D1" w:rsidRDefault="002963D1" w:rsidP="002963D1">
      <w:pPr>
        <w:pStyle w:val="Heading3"/>
        <w:spacing w:before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>2. Feature Work &amp; Parsing the Amenities Block (Resolving the 100+ Unique Fields)</w:t>
      </w:r>
    </w:p>
    <w:p w14:paraId="37991FB7" w14:textId="77777777" w:rsidR="002963D1" w:rsidRPr="002963D1" w:rsidRDefault="002963D1" w:rsidP="002963D1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Approach:</w:t>
      </w:r>
      <w:r w:rsidRPr="002963D1">
        <w:rPr>
          <w:rFonts w:asciiTheme="minorHAnsi" w:hAnsiTheme="minorHAnsi" w:cs="Arial"/>
        </w:rPr>
        <w:t xml:space="preserve"> </w:t>
      </w:r>
      <w:r w:rsidRPr="002963D1">
        <w:rPr>
          <w:rFonts w:asciiTheme="minorHAnsi" w:hAnsiTheme="minorHAnsi" w:cs="Arial"/>
          <w:b/>
          <w:bCs/>
        </w:rPr>
        <w:t>Top</w:t>
      </w:r>
      <w:r>
        <w:rPr>
          <w:rStyle w:val="math-inline"/>
          <w:rFonts w:asciiTheme="minorHAnsi" w:hAnsiTheme="minorHAnsi" w:cs="Arial"/>
          <w:b/>
          <w:bCs/>
        </w:rPr>
        <w:t xml:space="preserve"> </w:t>
      </w:r>
      <w:r w:rsidRPr="002963D1">
        <w:rPr>
          <w:rStyle w:val="math-inline"/>
          <w:rFonts w:asciiTheme="minorHAnsi" w:hAnsiTheme="minorHAnsi" w:cs="Arial"/>
          <w:b/>
          <w:bCs/>
        </w:rPr>
        <w:t>N</w:t>
      </w:r>
      <w:r w:rsidRPr="002963D1">
        <w:rPr>
          <w:rFonts w:asciiTheme="minorHAnsi" w:hAnsiTheme="minorHAnsi" w:cs="Arial"/>
          <w:b/>
          <w:bCs/>
        </w:rPr>
        <w:t xml:space="preserve"> Frequency Regular Expressions &amp; Binary Hot-Encoding</w:t>
      </w:r>
    </w:p>
    <w:p w14:paraId="25A519B1" w14:textId="0E89031C" w:rsidR="002963D1" w:rsidRPr="002963D1" w:rsidRDefault="002963D1" w:rsidP="002963D1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 xml:space="preserve"> </w:t>
      </w:r>
      <w:r w:rsidRPr="002963D1">
        <w:rPr>
          <w:rFonts w:asciiTheme="minorHAnsi" w:hAnsiTheme="minorHAnsi" w:cs="Arial"/>
          <w:b/>
          <w:bCs/>
        </w:rPr>
        <w:t>Method:</w:t>
      </w:r>
      <w:r w:rsidRPr="002963D1">
        <w:rPr>
          <w:rFonts w:asciiTheme="minorHAnsi" w:hAnsiTheme="minorHAnsi" w:cs="Arial"/>
        </w:rPr>
        <w:t xml:space="preserve"> We will write a python parsing script to aggregate the total count of all string elements across the entire NYC </w:t>
      </w:r>
      <w:r w:rsidRPr="002963D1">
        <w:rPr>
          <w:rStyle w:val="HTMLCode"/>
          <w:rFonts w:asciiTheme="minorHAnsi" w:hAnsiTheme="minorHAnsi" w:cs="Arial"/>
        </w:rPr>
        <w:t>amenities</w:t>
      </w:r>
      <w:r w:rsidRPr="002963D1">
        <w:rPr>
          <w:rFonts w:asciiTheme="minorHAnsi" w:hAnsiTheme="minorHAnsi" w:cs="Arial"/>
        </w:rPr>
        <w:t xml:space="preserve"> column, extract the top 20 most frequent, high-impact business features (e.g., </w:t>
      </w:r>
      <w:r w:rsidRPr="002963D1">
        <w:rPr>
          <w:rFonts w:asciiTheme="minorHAnsi" w:hAnsiTheme="minorHAnsi" w:cs="Arial"/>
          <w:i/>
          <w:iCs/>
        </w:rPr>
        <w:t>Wireless Internet, Air Conditioning, Self Check-in, Dedicated Workspace</w:t>
      </w:r>
      <w:r w:rsidRPr="002963D1">
        <w:rPr>
          <w:rFonts w:asciiTheme="minorHAnsi" w:hAnsiTheme="minorHAnsi" w:cs="Arial"/>
        </w:rPr>
        <w:t>), and map them into simple binary (</w:t>
      </w:r>
      <w:r w:rsidRPr="002963D1">
        <w:rPr>
          <w:rStyle w:val="math-inline"/>
          <w:rFonts w:asciiTheme="minorHAnsi" w:hAnsiTheme="minorHAnsi" w:cs="Arial"/>
        </w:rPr>
        <w:t>0</w:t>
      </w:r>
      <w:r w:rsidRPr="002963D1">
        <w:rPr>
          <w:rFonts w:asciiTheme="minorHAnsi" w:hAnsiTheme="minorHAnsi" w:cs="Arial"/>
        </w:rPr>
        <w:t xml:space="preserve"> or </w:t>
      </w:r>
      <w:r w:rsidRPr="002963D1">
        <w:rPr>
          <w:rStyle w:val="math-inline"/>
          <w:rFonts w:asciiTheme="minorHAnsi" w:hAnsiTheme="minorHAnsi" w:cs="Arial"/>
        </w:rPr>
        <w:t>1</w:t>
      </w:r>
      <w:r w:rsidRPr="002963D1">
        <w:rPr>
          <w:rFonts w:asciiTheme="minorHAnsi" w:hAnsiTheme="minorHAnsi" w:cs="Arial"/>
        </w:rPr>
        <w:t>) indicator columns.</w:t>
      </w:r>
    </w:p>
    <w:p w14:paraId="49D755BF" w14:textId="77777777" w:rsidR="002963D1" w:rsidRPr="002963D1" w:rsidRDefault="002963D1" w:rsidP="002963D1">
      <w:pPr>
        <w:pStyle w:val="Heading3"/>
        <w:spacing w:before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>3. Cleaning the Performance Proxy &amp; Nulls (Handling the 29% Missing Revenue Data)</w:t>
      </w:r>
    </w:p>
    <w:p w14:paraId="65014DF0" w14:textId="77777777" w:rsidR="002963D1" w:rsidRPr="002963D1" w:rsidRDefault="002963D1" w:rsidP="002963D1">
      <w:pPr>
        <w:pStyle w:val="NormalWeb"/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>Because inactive or orphaned listings will skew our baseline pricing coefficients downward, we must rigorously define our target universe.</w:t>
      </w:r>
    </w:p>
    <w:p w14:paraId="7E17C9F3" w14:textId="77777777" w:rsidR="002963D1" w:rsidRPr="002963D1" w:rsidRDefault="002963D1" w:rsidP="002963D1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Approach:</w:t>
      </w:r>
      <w:r w:rsidRPr="002963D1">
        <w:rPr>
          <w:rFonts w:asciiTheme="minorHAnsi" w:hAnsiTheme="minorHAnsi" w:cs="Arial"/>
        </w:rPr>
        <w:t xml:space="preserve"> </w:t>
      </w:r>
      <w:r w:rsidRPr="002963D1">
        <w:rPr>
          <w:rFonts w:asciiTheme="minorHAnsi" w:hAnsiTheme="minorHAnsi" w:cs="Arial"/>
          <w:b/>
          <w:bCs/>
        </w:rPr>
        <w:t>Strict Rule-Based Filtering &amp; Multi-Criteria Segmentation.</w:t>
      </w:r>
    </w:p>
    <w:p w14:paraId="71AB6057" w14:textId="20238C3D" w:rsidR="002963D1" w:rsidRPr="002963D1" w:rsidRDefault="002963D1" w:rsidP="002963D1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Method:</w:t>
      </w:r>
      <w:r w:rsidRPr="002963D1">
        <w:rPr>
          <w:rFonts w:asciiTheme="minorHAnsi" w:hAnsiTheme="minorHAnsi" w:cs="Arial"/>
        </w:rPr>
        <w:t xml:space="preserve"> We will restrict our modeling and benchmarking exclusively to </w:t>
      </w:r>
      <w:r w:rsidRPr="002963D1">
        <w:rPr>
          <w:rFonts w:asciiTheme="minorHAnsi" w:hAnsiTheme="minorHAnsi" w:cs="Arial"/>
          <w:b/>
          <w:bCs/>
        </w:rPr>
        <w:t>"Active Market Listings"</w:t>
      </w:r>
      <w:r w:rsidRPr="002963D1">
        <w:rPr>
          <w:rFonts w:asciiTheme="minorHAnsi" w:hAnsiTheme="minorHAnsi" w:cs="Arial"/>
        </w:rPr>
        <w:t xml:space="preserve"> by dropping rows that fail to meet a baseline market footprint. Our filtering rule will </w:t>
      </w:r>
      <w:proofErr w:type="gramStart"/>
      <w:r w:rsidRPr="002963D1">
        <w:rPr>
          <w:rFonts w:asciiTheme="minorHAnsi" w:hAnsiTheme="minorHAnsi" w:cs="Arial"/>
        </w:rPr>
        <w:t>require:</w:t>
      </w:r>
      <w:proofErr w:type="gramEnd"/>
      <w:r w:rsidRPr="002963D1">
        <w:rPr>
          <w:rFonts w:asciiTheme="minorHAnsi" w:hAnsiTheme="minorHAnsi" w:cs="Arial"/>
        </w:rPr>
        <w:t xml:space="preserve"> </w:t>
      </w:r>
      <w:r w:rsidRPr="002963D1">
        <w:rPr>
          <w:rStyle w:val="HTMLCode"/>
          <w:rFonts w:asciiTheme="minorHAnsi" w:hAnsiTheme="minorHAnsi" w:cs="Arial"/>
        </w:rPr>
        <w:t>price</w:t>
      </w:r>
      <w:r w:rsidRPr="002963D1">
        <w:rPr>
          <w:rFonts w:asciiTheme="minorHAnsi" w:hAnsiTheme="minorHAnsi" w:cs="Arial"/>
        </w:rPr>
        <w:t xml:space="preserve"> </w:t>
      </w:r>
      <w:r w:rsidRPr="002963D1">
        <w:rPr>
          <w:rStyle w:val="math-inline"/>
          <w:rFonts w:asciiTheme="minorHAnsi" w:hAnsiTheme="minorHAnsi" w:cs="Arial"/>
        </w:rPr>
        <w:t>&gt; 0</w:t>
      </w:r>
      <w:r w:rsidRPr="002963D1">
        <w:rPr>
          <w:rFonts w:asciiTheme="minorHAnsi" w:hAnsiTheme="minorHAnsi" w:cs="Arial"/>
        </w:rPr>
        <w:t xml:space="preserve">, </w:t>
      </w:r>
      <w:r w:rsidRPr="002963D1">
        <w:rPr>
          <w:rStyle w:val="HTMLCode"/>
          <w:rFonts w:asciiTheme="minorHAnsi" w:hAnsiTheme="minorHAnsi" w:cs="Arial"/>
        </w:rPr>
        <w:t>availability_365</w:t>
      </w:r>
      <w:r w:rsidRPr="002963D1">
        <w:rPr>
          <w:rFonts w:asciiTheme="minorHAnsi" w:hAnsiTheme="minorHAnsi" w:cs="Arial"/>
        </w:rPr>
        <w:t xml:space="preserve"> </w:t>
      </w:r>
      <w:r w:rsidRPr="002963D1">
        <w:rPr>
          <w:rStyle w:val="math-inline"/>
          <w:rFonts w:asciiTheme="minorHAnsi" w:hAnsiTheme="minorHAnsi" w:cs="Arial"/>
        </w:rPr>
        <w:t>&gt; 0</w:t>
      </w:r>
      <w:r w:rsidRPr="002963D1">
        <w:rPr>
          <w:rFonts w:asciiTheme="minorHAnsi" w:hAnsiTheme="minorHAnsi" w:cs="Arial"/>
        </w:rPr>
        <w:t xml:space="preserve">, and </w:t>
      </w:r>
      <w:proofErr w:type="spellStart"/>
      <w:r w:rsidRPr="002963D1">
        <w:rPr>
          <w:rStyle w:val="HTMLCode"/>
          <w:rFonts w:asciiTheme="minorHAnsi" w:hAnsiTheme="minorHAnsi" w:cs="Arial"/>
        </w:rPr>
        <w:t>number_of_reviews_</w:t>
      </w:r>
      <w:proofErr w:type="gramStart"/>
      <w:r w:rsidRPr="002963D1">
        <w:rPr>
          <w:rStyle w:val="HTMLCode"/>
          <w:rFonts w:asciiTheme="minorHAnsi" w:hAnsiTheme="minorHAnsi" w:cs="Arial"/>
        </w:rPr>
        <w:t>ltm</w:t>
      </w:r>
      <w:proofErr w:type="spellEnd"/>
      <w:r w:rsidRPr="002963D1">
        <w:rPr>
          <w:rFonts w:asciiTheme="minorHAnsi" w:hAnsiTheme="minorHAnsi" w:cs="Arial"/>
        </w:rPr>
        <w:t xml:space="preserve">  (</w:t>
      </w:r>
      <w:proofErr w:type="gramEnd"/>
      <w:r w:rsidRPr="002963D1">
        <w:rPr>
          <w:rFonts w:asciiTheme="minorHAnsi" w:hAnsiTheme="minorHAnsi" w:cs="Arial"/>
        </w:rPr>
        <w:t>at least one review in the last twelve months). This standardizes our target audience and eliminates data sparsity.</w:t>
      </w:r>
    </w:p>
    <w:p w14:paraId="569BED8E" w14:textId="77777777" w:rsidR="002963D1" w:rsidRPr="002963D1" w:rsidRDefault="002963D1" w:rsidP="002963D1">
      <w:pPr>
        <w:pStyle w:val="Heading3"/>
        <w:spacing w:before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</w:rPr>
        <w:t>4. Matched-Segment Benchmarking (Structuring the Individual vs. Small-Multi Comparison)</w:t>
      </w:r>
    </w:p>
    <w:p w14:paraId="781181CD" w14:textId="77777777" w:rsidR="002963D1" w:rsidRPr="002963D1" w:rsidRDefault="002963D1" w:rsidP="002963D1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Approach:</w:t>
      </w:r>
      <w:r w:rsidRPr="002963D1">
        <w:rPr>
          <w:rFonts w:asciiTheme="minorHAnsi" w:hAnsiTheme="minorHAnsi" w:cs="Arial"/>
        </w:rPr>
        <w:t xml:space="preserve"> </w:t>
      </w:r>
      <w:r w:rsidRPr="002963D1">
        <w:rPr>
          <w:rFonts w:asciiTheme="minorHAnsi" w:hAnsiTheme="minorHAnsi" w:cs="Arial"/>
          <w:b/>
          <w:bCs/>
        </w:rPr>
        <w:t>K-Nearest Neighbors (KNN) Distance Metric or Exact Cohort Stratification.</w:t>
      </w:r>
    </w:p>
    <w:p w14:paraId="210C989B" w14:textId="07982EBB" w:rsidR="00DA0C84" w:rsidRPr="00DA0C84" w:rsidRDefault="002963D1" w:rsidP="00DA0C84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="Arial"/>
        </w:rPr>
      </w:pPr>
      <w:r w:rsidRPr="002963D1">
        <w:rPr>
          <w:rFonts w:asciiTheme="minorHAnsi" w:hAnsiTheme="minorHAnsi" w:cs="Arial"/>
          <w:b/>
          <w:bCs/>
        </w:rPr>
        <w:t>Method:</w:t>
      </w:r>
      <w:r w:rsidRPr="002963D1">
        <w:rPr>
          <w:rFonts w:asciiTheme="minorHAnsi" w:hAnsiTheme="minorHAnsi" w:cs="Arial"/>
        </w:rPr>
        <w:t xml:space="preserve"> We will bucket listings into distinct operational cells based on exact matches of </w:t>
      </w:r>
      <w:proofErr w:type="spellStart"/>
      <w:r w:rsidRPr="002963D1">
        <w:rPr>
          <w:rStyle w:val="HTMLCode"/>
          <w:rFonts w:asciiTheme="minorHAnsi" w:hAnsiTheme="minorHAnsi" w:cs="Arial"/>
        </w:rPr>
        <w:t>neighbourhood_group_</w:t>
      </w:r>
      <w:proofErr w:type="gramStart"/>
      <w:r w:rsidRPr="002963D1">
        <w:rPr>
          <w:rStyle w:val="HTMLCode"/>
          <w:rFonts w:asciiTheme="minorHAnsi" w:hAnsiTheme="minorHAnsi" w:cs="Arial"/>
        </w:rPr>
        <w:t>cleansed</w:t>
      </w:r>
      <w:proofErr w:type="spellEnd"/>
      <w:r w:rsidRPr="002963D1">
        <w:rPr>
          <w:rFonts w:asciiTheme="minorHAnsi" w:hAnsiTheme="minorHAnsi" w:cs="Arial"/>
        </w:rPr>
        <w:t xml:space="preserve"> </w:t>
      </w:r>
      <w:r w:rsidR="00157094">
        <w:rPr>
          <w:rStyle w:val="math-inline"/>
          <w:rFonts w:asciiTheme="minorHAnsi" w:hAnsiTheme="minorHAnsi" w:cs="Arial"/>
        </w:rPr>
        <w:t xml:space="preserve"> x</w:t>
      </w:r>
      <w:proofErr w:type="gramEnd"/>
      <w:r w:rsidR="00157094">
        <w:rPr>
          <w:rStyle w:val="math-inline"/>
          <w:rFonts w:asciiTheme="minorHAnsi" w:hAnsiTheme="minorHAnsi" w:cs="Arial"/>
        </w:rPr>
        <w:t xml:space="preserve"> </w:t>
      </w:r>
      <w:proofErr w:type="spellStart"/>
      <w:r w:rsidRPr="002963D1">
        <w:rPr>
          <w:rStyle w:val="HTMLCode"/>
          <w:rFonts w:asciiTheme="minorHAnsi" w:hAnsiTheme="minorHAnsi" w:cs="Arial"/>
        </w:rPr>
        <w:t>room_type</w:t>
      </w:r>
      <w:proofErr w:type="spellEnd"/>
      <w:r w:rsidRPr="002963D1">
        <w:rPr>
          <w:rFonts w:asciiTheme="minorHAnsi" w:hAnsiTheme="minorHAnsi" w:cs="Arial"/>
        </w:rPr>
        <w:t xml:space="preserve"> </w:t>
      </w:r>
      <w:r w:rsidR="00157094">
        <w:rPr>
          <w:rStyle w:val="math-inline"/>
          <w:rFonts w:asciiTheme="minorHAnsi" w:hAnsiTheme="minorHAnsi" w:cs="Arial"/>
        </w:rPr>
        <w:t xml:space="preserve">x </w:t>
      </w:r>
      <w:r w:rsidRPr="002963D1">
        <w:rPr>
          <w:rStyle w:val="HTMLCode"/>
          <w:rFonts w:asciiTheme="minorHAnsi" w:hAnsiTheme="minorHAnsi" w:cs="Arial"/>
        </w:rPr>
        <w:t>accommodates</w:t>
      </w:r>
      <w:r w:rsidRPr="002963D1">
        <w:rPr>
          <w:rFonts w:asciiTheme="minorHAnsi" w:hAnsiTheme="minorHAnsi" w:cs="Arial"/>
        </w:rPr>
        <w:t xml:space="preserve"> ranges. Within each matched cell, we will calculate the median occupancy (</w:t>
      </w:r>
      <w:r w:rsidRPr="002963D1">
        <w:rPr>
          <w:rStyle w:val="HTMLCode"/>
          <w:rFonts w:asciiTheme="minorHAnsi" w:hAnsiTheme="minorHAnsi" w:cs="Arial"/>
        </w:rPr>
        <w:t>estimated_occupancy_l365d</w:t>
      </w:r>
      <w:r w:rsidRPr="002963D1">
        <w:rPr>
          <w:rFonts w:asciiTheme="minorHAnsi" w:hAnsiTheme="minorHAnsi" w:cs="Arial"/>
        </w:rPr>
        <w:t xml:space="preserve">) and amenity saturation for the </w:t>
      </w:r>
      <w:r w:rsidRPr="002963D1">
        <w:rPr>
          <w:rFonts w:asciiTheme="minorHAnsi" w:hAnsiTheme="minorHAnsi" w:cs="Arial"/>
          <w:b/>
          <w:bCs/>
        </w:rPr>
        <w:t>Small-Multi Host Cohort</w:t>
      </w:r>
      <w:r w:rsidRPr="002963D1">
        <w:rPr>
          <w:rFonts w:asciiTheme="minorHAnsi" w:hAnsiTheme="minorHAnsi" w:cs="Arial"/>
        </w:rPr>
        <w:t xml:space="preserve"> (</w:t>
      </w:r>
      <w:proofErr w:type="spellStart"/>
      <w:r w:rsidRPr="002963D1">
        <w:rPr>
          <w:rStyle w:val="HTMLCode"/>
          <w:rFonts w:asciiTheme="minorHAnsi" w:hAnsiTheme="minorHAnsi" w:cs="Arial"/>
        </w:rPr>
        <w:t>calculated_host_listings_count</w:t>
      </w:r>
      <w:proofErr w:type="spellEnd"/>
      <w:r w:rsidRPr="002963D1">
        <w:rPr>
          <w:rFonts w:asciiTheme="minorHAnsi" w:hAnsiTheme="minorHAnsi" w:cs="Arial"/>
        </w:rPr>
        <w:t xml:space="preserve"> between 2 and 5), providing the explicit operational roadmap an individual host needs to close their revenue gap.</w:t>
      </w:r>
    </w:p>
    <w:p w14:paraId="65F6D25F" w14:textId="77777777" w:rsidR="00351C6D" w:rsidRDefault="00351C6D" w:rsidP="00351C6D">
      <w:pPr>
        <w:pBdr>
          <w:bottom w:val="single" w:sz="6" w:space="1" w:color="CCCCCC"/>
        </w:pBdr>
        <w:spacing w:before="40" w:after="40"/>
      </w:pPr>
    </w:p>
    <w:p w14:paraId="48F16DEA" w14:textId="2481D51A" w:rsidR="00351C6D" w:rsidRDefault="00351C6D" w:rsidP="00351C6D">
      <w:pPr>
        <w:spacing w:before="280" w:after="80"/>
      </w:pPr>
      <w:r>
        <w:rPr>
          <w:b/>
          <w:color w:val="1D4ED8"/>
          <w:sz w:val="32"/>
        </w:rPr>
        <w:t>5</w:t>
      </w:r>
      <w:r>
        <w:rPr>
          <w:b/>
          <w:color w:val="1D4ED8"/>
          <w:sz w:val="32"/>
        </w:rPr>
        <w:t xml:space="preserve">. </w:t>
      </w:r>
      <w:r>
        <w:rPr>
          <w:b/>
          <w:color w:val="1D4ED8"/>
          <w:sz w:val="32"/>
        </w:rPr>
        <w:t>Business Proposal /End User Target</w:t>
      </w:r>
    </w:p>
    <w:p w14:paraId="2DC95744" w14:textId="6AF420AF" w:rsidR="00DA0C84" w:rsidRPr="00DA0C84" w:rsidRDefault="00DA0C84" w:rsidP="00DA0C84">
      <w:pPr>
        <w:pStyle w:val="NormalWeb"/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The data shows </w:t>
      </w:r>
      <w:proofErr w:type="gramStart"/>
      <w:r>
        <w:rPr>
          <w:rFonts w:asciiTheme="minorHAnsi" w:hAnsiTheme="minorHAnsi" w:cs="Arial"/>
        </w:rPr>
        <w:t>a</w:t>
      </w:r>
      <w:proofErr w:type="gramEnd"/>
      <w:r w:rsidRPr="00DA0C84">
        <w:rPr>
          <w:rFonts w:asciiTheme="minorHAnsi" w:hAnsiTheme="minorHAnsi" w:cs="Arial"/>
        </w:rPr>
        <w:t xml:space="preserve"> "Occupancy Gap" where Small-Multi operators drastically outperform individual hosts (71.5% vs 47.3% occupancy). </w:t>
      </w:r>
    </w:p>
    <w:p w14:paraId="2025A94A" w14:textId="191D427A" w:rsidR="00DA0C84" w:rsidRPr="00DA0C84" w:rsidRDefault="00DA0C84" w:rsidP="00DA0C84">
      <w:pPr>
        <w:pStyle w:val="NormalWeb"/>
        <w:spacing w:before="0" w:beforeAutospacing="0"/>
        <w:rPr>
          <w:rFonts w:asciiTheme="minorHAnsi" w:hAnsiTheme="minorHAnsi" w:cs="Arial"/>
        </w:rPr>
      </w:pPr>
      <w:r w:rsidRPr="00DA0C84">
        <w:rPr>
          <w:rFonts w:asciiTheme="minorHAnsi" w:hAnsiTheme="minorHAnsi" w:cs="Arial"/>
          <w:b/>
          <w:bCs/>
        </w:rPr>
        <w:t>The Value Proposition:</w:t>
      </w:r>
      <w:r w:rsidRPr="00DA0C84">
        <w:rPr>
          <w:rFonts w:asciiTheme="minorHAnsi" w:hAnsiTheme="minorHAnsi" w:cs="Arial"/>
        </w:rPr>
        <w:t xml:space="preserve"> We are positioning this tool </w:t>
      </w:r>
      <w:proofErr w:type="gramStart"/>
      <w:r w:rsidRPr="00DA0C84">
        <w:rPr>
          <w:rFonts w:asciiTheme="minorHAnsi" w:hAnsiTheme="minorHAnsi" w:cs="Arial"/>
        </w:rPr>
        <w:t>as a way to</w:t>
      </w:r>
      <w:proofErr w:type="gramEnd"/>
      <w:r w:rsidRPr="00DA0C84">
        <w:rPr>
          <w:rFonts w:asciiTheme="minorHAnsi" w:hAnsiTheme="minorHAnsi" w:cs="Arial"/>
        </w:rPr>
        <w:t xml:space="preserve"> help individual hosts run their properties with the exact same algorithmic and operational efficiency as a property management firm. </w:t>
      </w:r>
    </w:p>
    <w:p w14:paraId="5FDC50B3" w14:textId="67A7D486" w:rsidR="00DA0C84" w:rsidRPr="00DA0C84" w:rsidRDefault="00DA0C84" w:rsidP="00DA0C84">
      <w:pPr>
        <w:pStyle w:val="NormalWeb"/>
        <w:spacing w:before="0" w:beforeAutospacing="0"/>
        <w:rPr>
          <w:rFonts w:asciiTheme="minorHAnsi" w:hAnsiTheme="minorHAnsi" w:cs="Arial"/>
        </w:rPr>
      </w:pPr>
      <w:r w:rsidRPr="00DA0C84">
        <w:rPr>
          <w:rFonts w:asciiTheme="minorHAnsi" w:hAnsiTheme="minorHAnsi" w:cs="Arial"/>
          <w:b/>
          <w:bCs/>
        </w:rPr>
        <w:lastRenderedPageBreak/>
        <w:t>The Business Model Framework:</w:t>
      </w:r>
      <w:r w:rsidRPr="00DA0C84">
        <w:rPr>
          <w:rFonts w:asciiTheme="minorHAnsi" w:hAnsiTheme="minorHAnsi" w:cs="Arial"/>
        </w:rPr>
        <w:t xml:space="preserve"> In our final narrative, we can pitch this under two commercial lenses:</w:t>
      </w:r>
    </w:p>
    <w:p w14:paraId="2210D48C" w14:textId="77777777" w:rsidR="00DA0C84" w:rsidRPr="00DA0C84" w:rsidRDefault="00DA0C84" w:rsidP="00DA0C84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="Arial"/>
        </w:rPr>
      </w:pPr>
      <w:r w:rsidRPr="00DA0C84">
        <w:rPr>
          <w:rFonts w:asciiTheme="minorHAnsi" w:hAnsiTheme="minorHAnsi" w:cs="Arial"/>
          <w:b/>
          <w:bCs/>
        </w:rPr>
        <w:t>Direct-to-Consumer (SaaS):</w:t>
      </w:r>
      <w:r w:rsidRPr="00DA0C84">
        <w:rPr>
          <w:rFonts w:asciiTheme="minorHAnsi" w:hAnsiTheme="minorHAnsi" w:cs="Arial"/>
        </w:rPr>
        <w:t xml:space="preserve"> A premium subscription tool for independent hosts looking to maximize their yield. </w:t>
      </w:r>
    </w:p>
    <w:p w14:paraId="6FA67566" w14:textId="5D098CD9" w:rsidR="00DA0C84" w:rsidRPr="00351C6D" w:rsidRDefault="00DA0C84" w:rsidP="00351C6D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="Arial"/>
        </w:rPr>
      </w:pPr>
      <w:r w:rsidRPr="00DA0C84">
        <w:rPr>
          <w:rFonts w:asciiTheme="minorHAnsi" w:hAnsiTheme="minorHAnsi" w:cs="Arial"/>
          <w:b/>
          <w:bCs/>
        </w:rPr>
        <w:t>B2B Enterprise Integration:</w:t>
      </w:r>
      <w:r w:rsidRPr="00DA0C84">
        <w:rPr>
          <w:rFonts w:asciiTheme="minorHAnsi" w:hAnsiTheme="minorHAnsi" w:cs="Arial"/>
        </w:rPr>
        <w:t xml:space="preserve"> A value-add dashboard </w:t>
      </w:r>
      <w:r>
        <w:rPr>
          <w:rFonts w:asciiTheme="minorHAnsi" w:hAnsiTheme="minorHAnsi" w:cs="Arial"/>
        </w:rPr>
        <w:t xml:space="preserve">that Airbnb would </w:t>
      </w:r>
      <w:r w:rsidRPr="00DA0C84">
        <w:rPr>
          <w:rFonts w:asciiTheme="minorHAnsi" w:hAnsiTheme="minorHAnsi" w:cs="Arial"/>
        </w:rPr>
        <w:t>provide to their individual host ecosystem to increase total marketplace transaction volume and improve overall inventory quality</w:t>
      </w:r>
      <w:r>
        <w:rPr>
          <w:rFonts w:asciiTheme="minorHAnsi" w:hAnsiTheme="minorHAnsi" w:cs="Arial"/>
        </w:rPr>
        <w:t xml:space="preserve">, ultimately helping revenue for Airbnb. </w:t>
      </w:r>
      <w:r w:rsidRPr="00DA0C84">
        <w:rPr>
          <w:rFonts w:asciiTheme="minorHAnsi" w:hAnsiTheme="minorHAnsi" w:cs="Arial"/>
        </w:rPr>
        <w:t xml:space="preserve"> </w:t>
      </w:r>
    </w:p>
    <w:p w14:paraId="636B27BF" w14:textId="77777777" w:rsidR="00DA0C84" w:rsidRPr="00DA0C84" w:rsidRDefault="00DA0C84" w:rsidP="00DA0C84">
      <w:pPr>
        <w:spacing w:before="200" w:after="80"/>
        <w:rPr>
          <w:color w:val="4F81BD" w:themeColor="accent1"/>
        </w:rPr>
      </w:pPr>
    </w:p>
    <w:p w14:paraId="357C9D6D" w14:textId="77777777" w:rsidR="00B03F69" w:rsidRDefault="00B03F69">
      <w:pPr>
        <w:pBdr>
          <w:bottom w:val="single" w:sz="6" w:space="1" w:color="CCCCCC"/>
        </w:pBdr>
        <w:spacing w:before="40" w:after="40"/>
      </w:pPr>
    </w:p>
    <w:p w14:paraId="08B023C3" w14:textId="6F8B6BD5" w:rsidR="00B03F69" w:rsidRDefault="00000000">
      <w:pPr>
        <w:spacing w:before="280" w:after="80"/>
      </w:pPr>
      <w:r>
        <w:rPr>
          <w:b/>
          <w:color w:val="1D4ED8"/>
          <w:sz w:val="32"/>
        </w:rPr>
        <w:t>Open Questions for the Group</w:t>
      </w:r>
    </w:p>
    <w:p w14:paraId="6858960D" w14:textId="77777777" w:rsidR="00B03F69" w:rsidRDefault="00000000">
      <w:pPr>
        <w:pStyle w:val="ListBullet"/>
        <w:spacing w:after="60"/>
      </w:pPr>
      <w:r>
        <w:t>Option A or B? Or a hybrid where B's benchmarking frames A's pricing diagnostic?</w:t>
      </w:r>
    </w:p>
    <w:p w14:paraId="298162FD" w14:textId="77777777" w:rsidR="00B03F69" w:rsidRDefault="00000000">
      <w:pPr>
        <w:pStyle w:val="ListBullet"/>
        <w:spacing w:after="60"/>
      </w:pPr>
      <w:r>
        <w:t>Do we target individual hosts as the end user, or frame this as a tool a platform (e.g. Airbnb, a property manager) would offer?</w:t>
      </w:r>
    </w:p>
    <w:p w14:paraId="63BF5DD2" w14:textId="77777777" w:rsidR="00B03F69" w:rsidRDefault="00000000">
      <w:pPr>
        <w:pStyle w:val="ListBullet"/>
        <w:spacing w:after="60"/>
      </w:pPr>
      <w:r>
        <w:t>Amenities field needs real parsing work (100+ unique values). Who owns that and when?</w:t>
      </w:r>
    </w:p>
    <w:p w14:paraId="3F7F404B" w14:textId="77777777" w:rsidR="00B03F69" w:rsidRDefault="00000000">
      <w:pPr>
        <w:pStyle w:val="ListBullet"/>
        <w:spacing w:after="60"/>
      </w:pPr>
      <w:r>
        <w:t>Revenue proxy: estimated_revenue_l365d has 29% nulls and many zeros. Do we filter to active listings only (has price + recent review) or model on full population?</w:t>
      </w:r>
    </w:p>
    <w:p w14:paraId="0FD25285" w14:textId="77777777" w:rsidR="00B03F69" w:rsidRDefault="00000000">
      <w:pPr>
        <w:pStyle w:val="ListBullet"/>
        <w:spacing w:after="60"/>
      </w:pPr>
      <w:r>
        <w:t>Calendar has no daily price. Does this change our seasonal pricing ambitions, or do we deprioritize that layer?</w:t>
      </w:r>
    </w:p>
    <w:p w14:paraId="12B4608E" w14:textId="77777777" w:rsidR="00B03F69" w:rsidRDefault="00B03F69">
      <w:pPr>
        <w:pBdr>
          <w:bottom w:val="single" w:sz="6" w:space="1" w:color="CCCCCC"/>
        </w:pBdr>
        <w:spacing w:before="40" w:after="40"/>
      </w:pPr>
    </w:p>
    <w:p w14:paraId="2CE8EFD1" w14:textId="52B4CFE6" w:rsidR="00B03F69" w:rsidRDefault="00B03F69">
      <w:pPr>
        <w:jc w:val="center"/>
      </w:pPr>
    </w:p>
    <w:sectPr w:rsidR="00B03F69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D8D8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57BAA"/>
    <w:multiLevelType w:val="multilevel"/>
    <w:tmpl w:val="DE9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E1BE2"/>
    <w:multiLevelType w:val="multilevel"/>
    <w:tmpl w:val="DE90F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27770"/>
    <w:multiLevelType w:val="multilevel"/>
    <w:tmpl w:val="BD4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B3242"/>
    <w:multiLevelType w:val="multilevel"/>
    <w:tmpl w:val="9E9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B31F8"/>
    <w:multiLevelType w:val="multilevel"/>
    <w:tmpl w:val="62A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D7DA1"/>
    <w:multiLevelType w:val="multilevel"/>
    <w:tmpl w:val="C20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560439">
    <w:abstractNumId w:val="8"/>
  </w:num>
  <w:num w:numId="2" w16cid:durableId="1629510726">
    <w:abstractNumId w:val="6"/>
  </w:num>
  <w:num w:numId="3" w16cid:durableId="157501128">
    <w:abstractNumId w:val="5"/>
  </w:num>
  <w:num w:numId="4" w16cid:durableId="888765045">
    <w:abstractNumId w:val="4"/>
  </w:num>
  <w:num w:numId="5" w16cid:durableId="1213270368">
    <w:abstractNumId w:val="7"/>
  </w:num>
  <w:num w:numId="6" w16cid:durableId="1508592489">
    <w:abstractNumId w:val="3"/>
  </w:num>
  <w:num w:numId="7" w16cid:durableId="461188692">
    <w:abstractNumId w:val="2"/>
  </w:num>
  <w:num w:numId="8" w16cid:durableId="2039620728">
    <w:abstractNumId w:val="1"/>
  </w:num>
  <w:num w:numId="9" w16cid:durableId="854804285">
    <w:abstractNumId w:val="0"/>
  </w:num>
  <w:num w:numId="10" w16cid:durableId="737358734">
    <w:abstractNumId w:val="9"/>
  </w:num>
  <w:num w:numId="11" w16cid:durableId="1140729543">
    <w:abstractNumId w:val="13"/>
  </w:num>
  <w:num w:numId="12" w16cid:durableId="1807434351">
    <w:abstractNumId w:val="11"/>
  </w:num>
  <w:num w:numId="13" w16cid:durableId="77138435">
    <w:abstractNumId w:val="12"/>
  </w:num>
  <w:num w:numId="14" w16cid:durableId="165874281">
    <w:abstractNumId w:val="14"/>
  </w:num>
  <w:num w:numId="15" w16cid:durableId="1190530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094"/>
    <w:rsid w:val="0029639D"/>
    <w:rsid w:val="002963D1"/>
    <w:rsid w:val="00326F90"/>
    <w:rsid w:val="00351C6D"/>
    <w:rsid w:val="00602DE2"/>
    <w:rsid w:val="006670D2"/>
    <w:rsid w:val="00977949"/>
    <w:rsid w:val="00AA1D8D"/>
    <w:rsid w:val="00B03F69"/>
    <w:rsid w:val="00B47730"/>
    <w:rsid w:val="00B83B91"/>
    <w:rsid w:val="00BB77F4"/>
    <w:rsid w:val="00C1756D"/>
    <w:rsid w:val="00CB0664"/>
    <w:rsid w:val="00D96135"/>
    <w:rsid w:val="00DA0C84"/>
    <w:rsid w:val="00E77506"/>
    <w:rsid w:val="00F61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4CEF8"/>
  <w14:defaultImageDpi w14:val="300"/>
  <w15:docId w15:val="{7240CBD3-97D3-BD4C-A3CA-68A21F52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67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670D2"/>
  </w:style>
  <w:style w:type="character" w:styleId="HTMLCode">
    <w:name w:val="HTML Code"/>
    <w:basedOn w:val="DefaultParagraphFont"/>
    <w:uiPriority w:val="99"/>
    <w:semiHidden/>
    <w:unhideWhenUsed/>
    <w:rsid w:val="002963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1905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Manikandan, Jairam</cp:lastModifiedBy>
  <cp:revision>2</cp:revision>
  <dcterms:created xsi:type="dcterms:W3CDTF">2026-06-29T04:38:00Z</dcterms:created>
  <dcterms:modified xsi:type="dcterms:W3CDTF">2026-06-29T04:38:00Z</dcterms:modified>
  <cp:category/>
</cp:coreProperties>
</file>