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resentation-planning-notes"/>
    <w:p>
      <w:pPr>
        <w:pStyle w:val="Heading1"/>
      </w:pPr>
      <w:r>
        <w:t xml:space="preserve">Presentation Planning Notes</w:t>
      </w:r>
    </w:p>
    <w:p>
      <w:pPr>
        <w:pStyle w:val="FirstParagraph"/>
      </w:pPr>
      <w:r>
        <w:t xml:space="preserve">Working notes for the final presentation, capturing where things stand so anyone on the team can pick up a section. Source material: the 7/23 team call with Stan (transcript in</w:t>
      </w:r>
      <w:r>
        <w:t xml:space="preserve"> </w:t>
      </w:r>
      <w:r>
        <w:rPr>
          <w:rStyle w:val="VerbatimChar"/>
        </w:rPr>
        <w:t xml:space="preserve">transcript_labeled.txt</w:t>
      </w:r>
      <w:r>
        <w:t xml:space="preserve"> </w:t>
      </w:r>
      <w:r>
        <w:t xml:space="preserve">— external, not in this repo), this planning thread, and the faculty guidance email received 7/26 (Jamie, Vidur, Rob). Nothing here is final; each section needs team sign-off before it’s locked.</w:t>
      </w:r>
      <w:r>
        <w:t xml:space="preserve"> </w:t>
      </w:r>
      <w:r>
        <w:rPr>
          <w:b/>
          <w:bCs/>
        </w:rPr>
        <w:t xml:space="preserve">This is a breadcrumb document, not a finished deck or script</w:t>
      </w:r>
      <w:r>
        <w:t xml:space="preserve"> </w:t>
      </w:r>
      <w:r>
        <w:t xml:space="preserve">— it exists to give whoever picks up a section enough context to finish it, not to hand over completed slides.</w:t>
      </w:r>
    </w:p>
    <w:p>
      <w:r>
        <w:pict>
          <v:rect style="width:0;height:1.5pt" o:hralign="center" o:hrstd="t" o:hr="t"/>
        </w:pict>
      </w:r>
    </w:p>
    <w:bookmarkStart w:id="12" w:name="X96bfb4d44fb042ad259c0636a04a25d43927b2d"/>
    <w:p>
      <w:pPr>
        <w:pStyle w:val="Heading2"/>
      </w:pPr>
      <w:r>
        <w:t xml:space="preserve">0. IMPORTANT — Read This First: Faculty Guidance Changes the Plan</w:t>
      </w:r>
    </w:p>
    <w:p>
      <w:pPr>
        <w:pStyle w:val="FirstParagraph"/>
      </w:pPr>
      <w:r>
        <w:t xml:space="preserve">An email from the faculty (7/26) makes clear the actual presentation context is different from what Sections 1-7 below were originally built for.</w:t>
      </w:r>
      <w:r>
        <w:t xml:space="preserve"> </w:t>
      </w:r>
      <w:r>
        <w:rPr>
          <w:b/>
          <w:bCs/>
        </w:rPr>
        <w:t xml:space="preserve">Sections 1-6 (problem/solution statements, revenue lift, cost, ROI, financial timeline) are still valid</w:t>
      </w:r>
      <w:r>
        <w:t xml:space="preserve"> </w:t>
      </w:r>
      <w:r>
        <w:t xml:space="preserve">— that’s real analysis and doesn’t change.</w:t>
      </w:r>
      <w:r>
        <w:t xml:space="preserve"> </w:t>
      </w:r>
      <w:r>
        <w:rPr>
          <w:b/>
          <w:bCs/>
        </w:rPr>
        <w:t xml:space="preserve">Section 7 (slide sequence) needed a rebuild</w:t>
      </w:r>
      <w:r>
        <w:t xml:space="preserve"> </w:t>
      </w:r>
      <w:r>
        <w:t xml:space="preserve">and has been redone below to reflect the real requirements. Key differences from the original plan: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is ~25 minutes, not 10.</w:t>
      </w:r>
      <w:r>
        <w:t xml:space="preserve"> </w:t>
      </w:r>
      <w:r>
        <w:t xml:space="preserve">The original 9-slide sequence was built for a 10-minute board-style pitch per Stan’s coaching. Stan’s advice is still good</w:t>
      </w:r>
      <w:r>
        <w:t xml:space="preserve"> </w:t>
      </w:r>
      <w:r>
        <w:rPr>
          <w:i/>
          <w:iCs/>
        </w:rPr>
        <w:t xml:space="preserve">advice</w:t>
      </w:r>
      <w:r>
        <w:t xml:space="preserve"> </w:t>
      </w:r>
      <w:r>
        <w:t xml:space="preserve">(business-first framing, one message per slide, don’t over-index on technical depth), but the actual grading rubric requires more content than a 10-minute pitch allows.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demo should be pre-recorded and narrated, not live.</w:t>
      </w:r>
      <w:r>
        <w:t xml:space="preserve"> </w:t>
      </w:r>
      <w:r>
        <w:t xml:space="preserve">Faculty explicitly warn:</w:t>
      </w:r>
      <w:r>
        <w:t xml:space="preserve"> </w:t>
      </w:r>
      <w:r>
        <w:t xml:space="preserve">“Murphy’s law prevails… if something will go wrong it will.”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There’s a formal grading rubric</w:t>
      </w:r>
      <w:r>
        <w:t xml:space="preserve"> </w:t>
      </w:r>
      <w:r>
        <w:t xml:space="preserve">(below) with required content items that weren’t all in the original plan — most notably 2-4 slides on key variables/relationships (EDA), which didn’t exist before at all.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 has two parts:</w:t>
      </w:r>
      <w:r>
        <w:t xml:space="preserve"> </w:t>
      </w:r>
      <w:r>
        <w:t xml:space="preserve">the slide deck (PPT or PDF) goes to Canvas; a link to this GitHub repo (with model outputs/interim work) needs to go to the faculty member and CA separately, by email or Canvas comment.</w:t>
      </w:r>
      <w:r>
        <w:t xml:space="preserve"> </w:t>
      </w:r>
      <w:r>
        <w:rPr>
          <w:b/>
          <w:bCs/>
        </w:rPr>
        <w:t xml:space="preserve">This hasn’t been done yet — someone needs to send that email.</w:t>
      </w:r>
    </w:p>
    <w:bookmarkStart w:id="9" w:name="Xe17144e15cb8d1305b87ebea97fb76157ea8c5b"/>
    <w:p>
      <w:pPr>
        <w:pStyle w:val="Heading3"/>
      </w:pPr>
      <w:r>
        <w:t xml:space="preserve">The grading rubric (50 points total = 25% of overall grade)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Coverage (10 pts):</w:t>
      </w:r>
      <w:r>
        <w:t xml:space="preserve"> </w:t>
      </w:r>
      <w:r>
        <w:t xml:space="preserve">all required components below are covered; -1 per missing item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Communication (25 pts):</w:t>
      </w:r>
      <w:r>
        <w:t xml:space="preserve"> </w:t>
      </w:r>
      <w:r>
        <w:t xml:space="preserve">clear</w:t>
      </w:r>
      <w:r>
        <w:t xml:space="preserve"> </w:t>
      </w:r>
      <w:r>
        <w:t xml:space="preserve">“what/how/so what”</w:t>
      </w:r>
      <w:r>
        <w:t xml:space="preserve"> </w:t>
      </w:r>
      <w:r>
        <w:t xml:space="preserve">narrative, persuasive with evidence, professional Q&amp;A — this is half the grade, weight the prep time accordingly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(10 pts):</w:t>
      </w:r>
      <w:r>
        <w:t xml:space="preserve"> </w:t>
      </w:r>
      <w:r>
        <w:t xml:space="preserve">clean, captioned, easy-to-read slides; straightforward text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(5 pts):</w:t>
      </w:r>
      <w:r>
        <w:t xml:space="preserve"> </w:t>
      </w:r>
      <w:r>
        <w:t xml:space="preserve">staying within the limit</w:t>
      </w:r>
    </w:p>
    <w:bookmarkEnd w:id="9"/>
    <w:bookmarkStart w:id="10" w:name="Xe4062848900d2cb3351302d3fd3c02543c68810"/>
    <w:p>
      <w:pPr>
        <w:pStyle w:val="Heading3"/>
      </w:pPr>
      <w:r>
        <w:t xml:space="preserve">Required content checklist (from the grading criteria — cross-reference against Section 7’s slide list)</w:t>
      </w:r>
    </w:p>
    <w:p>
      <w:pPr>
        <w:pStyle w:val="Compact"/>
        <w:numPr>
          <w:ilvl w:val="0"/>
          <w:numId w:val="1003"/>
        </w:numPr>
      </w:pPr>
      <w:r>
        <w:t xml:space="preserve">Introduction: team members + industry coach (Stan)</w:t>
      </w:r>
    </w:p>
    <w:p>
      <w:pPr>
        <w:pStyle w:val="Compact"/>
        <w:numPr>
          <w:ilvl w:val="0"/>
          <w:numId w:val="1004"/>
        </w:numPr>
      </w:pPr>
      <w:r>
        <w:t xml:space="preserve">Company/industry background</w:t>
      </w:r>
    </w:p>
    <w:p>
      <w:pPr>
        <w:pStyle w:val="Compact"/>
        <w:numPr>
          <w:ilvl w:val="0"/>
          <w:numId w:val="1005"/>
        </w:numPr>
      </w:pPr>
      <w:r>
        <w:t xml:space="preserve">Business situation and context (</w:t>
      </w:r>
      <w:r>
        <w:t xml:space="preserve">“why”</w:t>
      </w:r>
      <w:r>
        <w:t xml:space="preserve"> </w:t>
      </w:r>
      <w:r>
        <w:t xml:space="preserve">this question)</w:t>
      </w:r>
    </w:p>
    <w:p>
      <w:pPr>
        <w:pStyle w:val="Compact"/>
        <w:numPr>
          <w:ilvl w:val="0"/>
          <w:numId w:val="1006"/>
        </w:numPr>
      </w:pPr>
      <w:r>
        <w:t xml:space="preserve">Key question + sub-questions + potential business benefit</w:t>
      </w:r>
    </w:p>
    <w:p>
      <w:pPr>
        <w:pStyle w:val="Compact"/>
        <w:numPr>
          <w:ilvl w:val="0"/>
          <w:numId w:val="1007"/>
        </w:numPr>
      </w:pPr>
      <w:r>
        <w:t xml:space="preserve">Dataset(s) used</w:t>
      </w:r>
    </w:p>
    <w:p>
      <w:pPr>
        <w:pStyle w:val="Compact"/>
        <w:numPr>
          <w:ilvl w:val="0"/>
          <w:numId w:val="1008"/>
        </w:numPr>
      </w:pPr>
      <w:r>
        <w:t xml:space="preserve">Key variables + key relationships (</w:t>
      </w:r>
      <w:r>
        <w:rPr>
          <w:b/>
          <w:bCs/>
        </w:rPr>
        <w:t xml:space="preserve">2-4 slides</w:t>
      </w:r>
      <w:r>
        <w:t xml:space="preserve">, faculty-specified — this is new, wasn’t in the original plan)</w:t>
      </w:r>
    </w:p>
    <w:p>
      <w:pPr>
        <w:pStyle w:val="Compact"/>
        <w:numPr>
          <w:ilvl w:val="0"/>
          <w:numId w:val="1009"/>
        </w:numPr>
      </w:pPr>
      <w:r>
        <w:t xml:space="preserve">Model/approach overview + tools (</w:t>
      </w:r>
      <w:r>
        <w:t xml:space="preserve">“the how”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Insights and learnings from the model</w:t>
      </w:r>
    </w:p>
    <w:p>
      <w:pPr>
        <w:pStyle w:val="Compact"/>
        <w:numPr>
          <w:ilvl w:val="0"/>
          <w:numId w:val="1011"/>
        </w:numPr>
      </w:pPr>
      <w:r>
        <w:t xml:space="preserve">Challenges, caveats, data mitigation</w:t>
      </w:r>
    </w:p>
    <w:p>
      <w:pPr>
        <w:pStyle w:val="Compact"/>
        <w:numPr>
          <w:ilvl w:val="0"/>
          <w:numId w:val="1012"/>
        </w:numPr>
      </w:pPr>
      <w:r>
        <w:t xml:space="preserve">Predictions/prescriptions/recommendations (</w:t>
      </w:r>
      <w:r>
        <w:t xml:space="preserve">“so what,”</w:t>
      </w:r>
      <w:r>
        <w:t xml:space="preserve"> </w:t>
      </w:r>
      <w:r>
        <w:t xml:space="preserve">what should the business do)</w:t>
      </w:r>
    </w:p>
    <w:p>
      <w:pPr>
        <w:pStyle w:val="Compact"/>
        <w:numPr>
          <w:ilvl w:val="0"/>
          <w:numId w:val="1013"/>
        </w:numPr>
      </w:pPr>
      <w:r>
        <w:t xml:space="preserve">Relevance to team members’ current company/career, if applicable</w:t>
      </w:r>
    </w:p>
    <w:p>
      <w:pPr>
        <w:pStyle w:val="Compact"/>
        <w:numPr>
          <w:ilvl w:val="0"/>
          <w:numId w:val="1014"/>
        </w:numPr>
      </w:pPr>
      <w:r>
        <w:t xml:space="preserve">Next steps: what would the team explore further, what other data would help</w:t>
      </w:r>
    </w:p>
    <w:bookmarkEnd w:id="10"/>
    <w:bookmarkStart w:id="11" w:name="X3a4ae5efe3de6c17ce21d5a2c84e9d3b66c3da0"/>
    <w:p>
      <w:pPr>
        <w:pStyle w:val="Heading3"/>
      </w:pPr>
      <w:r>
        <w:t xml:space="preserve">Other faculty tips worth remembering while building slides</w:t>
      </w:r>
    </w:p>
    <w:p>
      <w:pPr>
        <w:pStyle w:val="Compact"/>
        <w:numPr>
          <w:ilvl w:val="0"/>
          <w:numId w:val="1015"/>
        </w:numPr>
      </w:pPr>
      <w:r>
        <w:t xml:space="preserve">The Canvas item list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slide-order template — be creative with structure, just cover the bases</w:t>
      </w:r>
    </w:p>
    <w:p>
      <w:pPr>
        <w:pStyle w:val="Compact"/>
        <w:numPr>
          <w:ilvl w:val="0"/>
          <w:numId w:val="1015"/>
        </w:numPr>
      </w:pPr>
      <w:r>
        <w:t xml:space="preserve">Figure out the</w:t>
      </w:r>
      <w:r>
        <w:t xml:space="preserve"> </w:t>
      </w:r>
      <w:r>
        <w:t xml:space="preserve">“punchline”</w:t>
      </w:r>
      <w:r>
        <w:t xml:space="preserve"> </w:t>
      </w:r>
      <w:r>
        <w:t xml:space="preserve">/ story first, then build slides to support it</w:t>
      </w:r>
    </w:p>
    <w:p>
      <w:pPr>
        <w:pStyle w:val="Compact"/>
        <w:numPr>
          <w:ilvl w:val="0"/>
          <w:numId w:val="1015"/>
        </w:numPr>
      </w:pPr>
      <w:r>
        <w:t xml:space="preserve">If presenting as a consulting team, pick one client lens (we’re doing</w:t>
      </w:r>
      <w:r>
        <w:t xml:space="preserve"> </w:t>
      </w:r>
      <w:r>
        <w:t xml:space="preserve">“internal Airbnb team,”</w:t>
      </w:r>
      <w:r>
        <w:t xml:space="preserve"> </w:t>
      </w:r>
      <w:r>
        <w:t xml:space="preserve">which already satisfies this)</w:t>
      </w:r>
    </w:p>
    <w:p>
      <w:pPr>
        <w:pStyle w:val="Compact"/>
        <w:numPr>
          <w:ilvl w:val="0"/>
          <w:numId w:val="1015"/>
        </w:numPr>
      </w:pPr>
      <w:r>
        <w:t xml:space="preserve">Give every team member a meaningful role, with smooth/natural transitions between speakers</w:t>
      </w:r>
    </w:p>
    <w:p>
      <w:pPr>
        <w:pStyle w:val="Compact"/>
        <w:numPr>
          <w:ilvl w:val="0"/>
          <w:numId w:val="1015"/>
        </w:numPr>
      </w:pPr>
      <w:r>
        <w:t xml:space="preserve">One message per slide — topic sentence/tagline carries the point, body supports it</w:t>
      </w:r>
    </w:p>
    <w:p>
      <w:pPr>
        <w:pStyle w:val="Compact"/>
        <w:numPr>
          <w:ilvl w:val="0"/>
          <w:numId w:val="1015"/>
        </w:numPr>
      </w:pPr>
      <w:r>
        <w:t xml:space="preserve">Prepare a separate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(not part of the timed presentation) for technical Q&amp;A backup</w:t>
      </w:r>
    </w:p>
    <w:p>
      <w:pPr>
        <w:pStyle w:val="Compact"/>
        <w:numPr>
          <w:ilvl w:val="0"/>
          <w:numId w:val="1015"/>
        </w:numPr>
      </w:pPr>
      <w:r>
        <w:t xml:space="preserve">No phone notes during presentation — put notes on slides if needed</w:t>
      </w:r>
    </w:p>
    <w:p>
      <w:pPr>
        <w:pStyle w:val="Compact"/>
        <w:numPr>
          <w:ilvl w:val="0"/>
          <w:numId w:val="1015"/>
        </w:numPr>
      </w:pPr>
      <w:r>
        <w:t xml:space="preserve">This is an MS in</w:t>
      </w:r>
      <w:r>
        <w:t xml:space="preserve"> </w:t>
      </w:r>
      <w:r>
        <w:rPr>
          <w:i/>
          <w:iCs/>
        </w:rPr>
        <w:t xml:space="preserve">Business Analytics</w:t>
      </w:r>
      <w:r>
        <w:t xml:space="preserve"> </w:t>
      </w:r>
      <w:r>
        <w:t xml:space="preserve">— the business story matters as much as the analytics</w:t>
      </w:r>
    </w:p>
    <w:p>
      <w:pPr>
        <w:pStyle w:val="Compact"/>
        <w:numPr>
          <w:ilvl w:val="0"/>
          <w:numId w:val="1015"/>
        </w:numPr>
      </w:pPr>
      <w:r>
        <w:t xml:space="preserve">Think about how you want the class to remember this presentation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rPr>
          <w:b/>
          <w:bCs/>
        </w:rPr>
        <w:t xml:space="preserve">Current draft: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Hosts are leaving money on the table, and so is Airbnb.</w:t>
      </w:r>
      <w:r>
        <w:t xml:space="preserve"> </w:t>
      </w:r>
      <w:r>
        <w:t xml:space="preserve">&gt; Most hosts price on gut feel, or take Smart Pricing’s black-box number as-is, not on real data. Since Airbnb takes a cut of every booking, every underpriced night costs Airbnb revenue too.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Format is headline + one supporting sentence, matching Stan’s guidance (short, numbers-first). Still fine to use in the expanded deck, just note it now shares billing with a fuller</w:t>
      </w:r>
      <w:r>
        <w:t xml:space="preserve"> </w:t>
      </w:r>
      <w:r>
        <w:t xml:space="preserve">“Context &amp; Problem”</w:t>
      </w:r>
      <w:r>
        <w:t xml:space="preserve"> </w:t>
      </w:r>
      <w:r>
        <w:t xml:space="preserve">slide (Section 7, Slide 3) rather than standing alone.</w:t>
      </w:r>
      <w:r>
        <w:t xml:space="preserve"> </w:t>
      </w:r>
      <w:r>
        <w:t xml:space="preserve">- Airbnb’s take rate is a real, sourced figure: 15.5% host-only fee (transitioning from the old 3%/14% split model), effective Sept 15 2026 (non-EU) / Oct 13 2026 (EU).</w:t>
      </w:r>
      <w:r>
        <w:t xml:space="preserve"> </w:t>
      </w:r>
      <w:r>
        <w:t xml:space="preserve">- Positions explicitly against Airbnb’s existing</w:t>
      </w:r>
      <w:r>
        <w:t xml:space="preserve"> </w:t>
      </w:r>
      <w:r>
        <w:rPr>
          <w:b/>
          <w:bCs/>
        </w:rPr>
        <w:t xml:space="preserve">Smart Pricing</w:t>
      </w:r>
      <w:r>
        <w:t xml:space="preserve"> </w:t>
      </w:r>
      <w:r>
        <w:t xml:space="preserve">feature — auto-sets one nightly rate in a host-defined band, gives no explanation, widely reported (host-side sources, not an Airbnb statement) to lean toward optimizing occupancy over host revenue.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— ready for team review.</w:t>
      </w:r>
    </w:p>
    <w:p>
      <w:r>
        <w:pict>
          <v:rect style="width:0;height:1.5pt" o:hralign="center" o:hrstd="t" o:hr="t"/>
        </w:pict>
      </w:r>
    </w:p>
    <w:bookmarkEnd w:id="13"/>
    <w:bookmarkStart w:id="14" w:name="solution-statement"/>
    <w:p>
      <w:pPr>
        <w:pStyle w:val="Heading2"/>
      </w:pPr>
      <w:r>
        <w:t xml:space="preserve">2. Solution Statement</w:t>
      </w:r>
    </w:p>
    <w:p>
      <w:pPr>
        <w:pStyle w:val="FirstParagraph"/>
      </w:pPr>
      <w:r>
        <w:rPr>
          <w:b/>
          <w:bCs/>
        </w:rPr>
        <w:t xml:space="preserve">Current draft: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We turn Airbnb’s own data into a pricing engine for hosts.</w:t>
      </w:r>
      <w:r>
        <w:t xml:space="preserve"> </w:t>
      </w:r>
      <w:r>
        <w:t xml:space="preserve">&gt; The product still gives hosts a recommended optimal price, same as Smart Pricing, but goes further: it shows the host where that price sits relative to real comps, explains why, and lets them test different price points themselves.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Key differentiator is agency + explainability, not a different price output.</w:t>
      </w:r>
      <w:r>
        <w:t xml:space="preserve"> </w:t>
      </w:r>
      <w:r>
        <w:t xml:space="preserve">- Current model output is a</w:t>
      </w:r>
      <w:r>
        <w:t xml:space="preserve"> </w:t>
      </w:r>
      <w:r>
        <w:rPr>
          <w:b/>
          <w:bCs/>
        </w:rPr>
        <w:t xml:space="preserve">GBM quantile-regression</w:t>
      </w:r>
      <w:r>
        <w:rPr>
          <w:b/>
          <w:bCs/>
        </w:rPr>
        <w:t xml:space="preserve"> </w:t>
      </w:r>
      <w:r>
        <w:rPr>
          <w:b/>
          <w:bCs/>
        </w:rPr>
        <w:t xml:space="preserve">“fair value”</w:t>
      </w:r>
      <w:r>
        <w:rPr>
          <w:b/>
          <w:bCs/>
        </w:rPr>
        <w:t xml:space="preserve"> </w:t>
      </w:r>
      <w:r>
        <w:rPr>
          <w:b/>
          <w:bCs/>
        </w:rPr>
        <w:t xml:space="preserve">price (with a calibrated confidence interval)</w:t>
      </w:r>
      <w:r>
        <w:t xml:space="preserve"> </w:t>
      </w:r>
      <w:r>
        <w:t xml:space="preserve">plus a</w:t>
      </w:r>
      <w:r>
        <w:t xml:space="preserve"> </w:t>
      </w:r>
      <w:r>
        <w:rPr>
          <w:b/>
          <w:bCs/>
        </w:rPr>
        <w:t xml:space="preserve">KNN peer-comparable layer</w:t>
      </w:r>
      <w:r>
        <w:t xml:space="preserve"> </w:t>
      </w:r>
      <w:r>
        <w:t xml:space="preserve">that also surfaces amenity/operational gaps — reconcile pitch language with this before finalizing.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Script-only line (not on the slide):</w:t>
      </w:r>
      <w:r>
        <w:t xml:space="preserve"> </w:t>
      </w:r>
      <w:r>
        <w:t xml:space="preserve">Brendan’s Commander’s Intent / Mission Command framing — soldiers perform better knowing the</w:t>
      </w:r>
      <w:r>
        <w:t xml:space="preserve"> </w:t>
      </w:r>
      <w:r>
        <w:rPr>
          <w:i/>
          <w:iCs/>
        </w:rPr>
        <w:t xml:space="preserve">why</w:t>
      </w:r>
      <w:r>
        <w:t xml:space="preserve">, not just the order, because it builds buy-in. Same logic: a host who understands why a price is optimal is more likely to act on it. This is also the mechanism that makes the revenue-lift number realizable (see adoption rate, Section 3) — land this line during the Solution Statement slide delivery (Section 7, Slide 7).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reconcile solution language with the actual KNN/amenity-gap output; team sign-off.</w:t>
      </w:r>
    </w:p>
    <w:p>
      <w:r>
        <w:pict>
          <v:rect style="width:0;height:1.5pt" o:hralign="center" o:hrstd="t" o:hr="t"/>
        </w:pict>
      </w:r>
    </w:p>
    <w:bookmarkEnd w:id="14"/>
    <w:bookmarkStart w:id="15" w:name="revenue-lift"/>
    <w:p>
      <w:pPr>
        <w:pStyle w:val="Heading2"/>
      </w:pPr>
      <w:r>
        <w:t xml:space="preserve">3. Revenue Lift</w:t>
      </w:r>
    </w:p>
    <w:p>
      <w:pPr>
        <w:pStyle w:val="FirstParagraph"/>
      </w:pPr>
      <w:r>
        <w:rPr>
          <w:b/>
          <w:bCs/>
        </w:rPr>
        <w:t xml:space="preserve">Data source (real, from this repo — GBM model, current as of 2026-07-26):</w:t>
      </w:r>
      <w:r>
        <w:t xml:space="preserve"> </w:t>
      </w:r>
      <w:r>
        <w:rPr>
          <w:rStyle w:val="VerbatimChar"/>
        </w:rPr>
        <w:t xml:space="preserve">outputs_gbm/v3_gbm_listing_pricing_signals.csv</w:t>
      </w:r>
      <w:r>
        <w:t xml:space="preserve"> </w:t>
      </w:r>
      <w:r>
        <w:t xml:space="preserve">(GBM quantile regression, supersedes the earlier Ridge output), 9,752 listings, joined to</w:t>
      </w:r>
      <w:r>
        <w:t xml:space="preserve"> </w:t>
      </w:r>
      <w:r>
        <w:rPr>
          <w:rStyle w:val="VerbatimChar"/>
        </w:rPr>
        <w:t xml:space="preserve">active_listings_clean_v6.csv</w:t>
      </w:r>
      <w:r>
        <w:t xml:space="preserve">.</w:t>
      </w:r>
      <w:r>
        <w:t xml:space="preserve"> </w:t>
      </w:r>
      <w:r>
        <w:t xml:space="preserve">- 4,931 listings (50.6%) underpriced vs. fair value; 4,821 (49.4%) overpriced. (Under the earlier Ridge model this was a much less balanced 60.6%/39.4% — the GBM model is better calibrated, so less of the old gap survives as genuine mispricing vs. model noise.)</w:t>
      </w:r>
      <w:r>
        <w:t xml:space="preserve"> </w:t>
      </w:r>
      <w:r>
        <w:t xml:space="preserve">- Occupied nights/year backed out from Inside Airbnb’s own formula:</w:t>
      </w:r>
      <w:r>
        <w:t xml:space="preserve"> </w:t>
      </w:r>
      <w:r>
        <w:rPr>
          <w:rStyle w:val="VerbatimChar"/>
        </w:rPr>
        <w:t xml:space="preserve">estimated_annual_revenue / nightly_price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Working assumption (explicit, presentation-only):</w:t>
      </w:r>
      <w:r>
        <w:t xml:space="preserve"> </w:t>
      </w:r>
      <w:r>
        <w:t xml:space="preserve">presenting from inside Airbnb, so assuming access to real occupancy-response data Airbnb would have but this team’s dataset doesn’t. Moving an underpriced listing to fair value is treated as roughly occupancy-neutral.</w:t>
      </w:r>
    </w:p>
    <w:p>
      <w:pPr>
        <w:pStyle w:val="BodyText"/>
      </w:pPr>
      <w:r>
        <w:rPr>
          <w:b/>
          <w:bCs/>
        </w:rPr>
        <w:t xml:space="preserve">Outlier control — 1-99 percentile trim (recommended):</w:t>
      </w:r>
      <w:r>
        <w:t xml:space="preserve"> </w:t>
      </w:r>
      <w:r>
        <w:t xml:space="preserve">only ~50 listings sit above the 99th percentile, and that’s exactly where prediction reliability breaks down (luxury listings, mean actual price ~$927/night vs. model</w:t>
      </w:r>
      <w:r>
        <w:t xml:space="preserve"> </w:t>
      </w:r>
      <w:r>
        <w:t xml:space="preserve">“fair”</w:t>
      </w:r>
      <w:r>
        <w:t xml:space="preserve"> </w:t>
      </w:r>
      <w:r>
        <w:t xml:space="preserve">price ~$1,153/night). Wider trims (2-98, 5-95) cut hundreds more listings for little additional cleanup — risks discarding real signal.</w:t>
      </w:r>
    </w:p>
    <w:p>
      <w:pPr>
        <w:pStyle w:val="BodyText"/>
      </w:pPr>
      <w:r>
        <w:rPr>
          <w:b/>
          <w:bCs/>
        </w:rPr>
        <w:t xml:space="preserve">Model-noise discount:</w:t>
      </w:r>
      <w:r>
        <w:t xml:space="preserve"> </w:t>
      </w:r>
      <w:r>
        <w:t xml:space="preserve">applied per segment using the GBM model’s own documented median error — short-stay 19.2%, monthly 15.2% (down from 25.1%/20.9% under Ridge, since GBM is better calibrated). Sourced from the model’s own accuracy metrics, not invented.</w:t>
      </w:r>
    </w:p>
    <w:p>
      <w:pPr>
        <w:pStyle w:val="BodyText"/>
      </w:pPr>
      <w:r>
        <w:rPr>
          <w:b/>
          <w:bCs/>
        </w:rPr>
        <w:t xml:space="preserve">Base after 1-99 trim + model-noise discount: $25.6M total addressable host revenue lift</w:t>
      </w:r>
      <w:r>
        <w:t xml:space="preserve"> </w:t>
      </w:r>
      <w:r>
        <w:t xml:space="preserve">(17.9% of the underpriced subset’s current revenue), before any adoption-rate haircut. (Down from $41.4M under Ridge — smaller, more balanced underpriced pool, partly offset by the lighter noise discount.)</w:t>
      </w:r>
    </w:p>
    <w:p>
      <w:pPr>
        <w:pStyle w:val="BodyText"/>
      </w:pPr>
      <w:r>
        <w:rPr>
          <w:b/>
          <w:bCs/>
        </w:rPr>
        <w:t xml:space="preserve">Adoption rate:</w:t>
      </w:r>
      <w:r>
        <w:t xml:space="preserve"> </w:t>
      </w:r>
      <w:r>
        <w:t xml:space="preserve">no external benchmark exists for</w:t>
      </w:r>
      <w:r>
        <w:t xml:space="preserve"> </w:t>
      </w:r>
      <w:r>
        <w:t xml:space="preserve">“% of a measured pricing gap a host base actually captures”</w:t>
      </w:r>
      <w:r>
        <w:t xml:space="preserve"> </w:t>
      </w:r>
      <w:r>
        <w:t xml:space="preserve">— searched revenue-management/dynamic-pricing literature, found nothing that maps cleanly.</w:t>
      </w:r>
      <w:r>
        <w:t xml:space="preserve"> </w:t>
      </w:r>
      <w:r>
        <w:rPr>
          <w:b/>
          <w:bCs/>
        </w:rPr>
        <w:t xml:space="preserve">Presented as a sensitivity table, not one invented number</w:t>
      </w:r>
      <w:r>
        <w:t xml:space="preserve"> </w:t>
      </w:r>
      <w:r>
        <w:t xml:space="preserve">— stronger for a rubric that rewards</w:t>
      </w:r>
      <w:r>
        <w:t xml:space="preserve"> </w:t>
      </w:r>
      <w:r>
        <w:t xml:space="preserve">“evidence-backed”</w:t>
      </w:r>
      <w:r>
        <w:t xml:space="preserve"> </w:t>
      </w:r>
      <w:r>
        <w:t xml:space="preserve">claims, and it’s the number the Commander’s Intent narrative argues the team can move.</w:t>
      </w:r>
    </w:p>
    <w:p>
      <w:pPr>
        <w:pStyle w:val="BodyText"/>
      </w:pPr>
      <w:r>
        <w:rPr>
          <w:b/>
          <w:bCs/>
        </w:rPr>
        <w:t xml:space="preserve">Sensitivity table (GBM base, $25.6M ceiling), with payback (build $190K + $105K/yr run cost, Section 4):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Host revenue lift</w:t>
            </w:r>
          </w:p>
        </w:tc>
        <w:tc>
          <w:tcPr/>
          <w:p>
            <w:pPr>
              <w:pStyle w:val="Compact"/>
            </w:pPr>
            <w:r>
              <w:t xml:space="preserve">Airbnb’s cut (15.5%)</w:t>
            </w:r>
          </w:p>
        </w:tc>
        <w:tc>
          <w:tcPr/>
          <w:p>
            <w:pPr>
              <w:pStyle w:val="Compact"/>
            </w:pPr>
            <w:r>
              <w:t xml:space="preserve">Year-1 net (after build)</w:t>
            </w:r>
          </w:p>
        </w:tc>
        <w:tc>
          <w:tcPr/>
          <w:p>
            <w:pPr>
              <w:pStyle w:val="Compact"/>
            </w:pPr>
            <w:r>
              <w:t xml:space="preserve">Payback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$3.8M</w:t>
            </w:r>
          </w:p>
        </w:tc>
        <w:tc>
          <w:tcPr/>
          <w:p>
            <w:pPr>
              <w:pStyle w:val="Compact"/>
            </w:pPr>
            <w:r>
              <w:t xml:space="preserve">$603K</w:t>
            </w:r>
          </w:p>
        </w:tc>
        <w:tc>
          <w:tcPr/>
          <w:p>
            <w:pPr>
              <w:pStyle w:val="Compact"/>
            </w:pPr>
            <w:r>
              <w:t xml:space="preserve">$308K</w:t>
            </w:r>
          </w:p>
        </w:tc>
        <w:tc>
          <w:tcPr/>
          <w:p>
            <w:pPr>
              <w:pStyle w:val="Compact"/>
            </w:pPr>
            <w:r>
              <w:t xml:space="preserve">5.9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$6.4M</w:t>
            </w:r>
          </w:p>
        </w:tc>
        <w:tc>
          <w:tcPr/>
          <w:p>
            <w:pPr>
              <w:pStyle w:val="Compact"/>
            </w:pPr>
            <w:r>
              <w:t xml:space="preserve">$992K</w:t>
            </w:r>
          </w:p>
        </w:tc>
        <w:tc>
          <w:tcPr/>
          <w:p>
            <w:pPr>
              <w:pStyle w:val="Compact"/>
            </w:pPr>
            <w:r>
              <w:t xml:space="preserve">$697K</w:t>
            </w:r>
          </w:p>
        </w:tc>
        <w:tc>
          <w:tcPr/>
          <w:p>
            <w:pPr>
              <w:pStyle w:val="Compact"/>
            </w:pPr>
            <w:r>
              <w:t xml:space="preserve">3.6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$9.0M</w:t>
            </w:r>
          </w:p>
        </w:tc>
        <w:tc>
          <w:tcPr/>
          <w:p>
            <w:pPr>
              <w:pStyle w:val="Compact"/>
            </w:pPr>
            <w:r>
              <w:t xml:space="preserve">$1.39M</w:t>
            </w:r>
          </w:p>
        </w:tc>
        <w:tc>
          <w:tcPr/>
          <w:p>
            <w:pPr>
              <w:pStyle w:val="Compact"/>
            </w:pPr>
            <w:r>
              <w:t xml:space="preserve">$1.09M</w:t>
            </w:r>
          </w:p>
        </w:tc>
        <w:tc>
          <w:tcPr/>
          <w:p>
            <w:pPr>
              <w:pStyle w:val="Compact"/>
            </w:pPr>
            <w:r>
              <w:t xml:space="preserve">2.5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$12.8M</w:t>
            </w:r>
          </w:p>
        </w:tc>
        <w:tc>
          <w:tcPr/>
          <w:p>
            <w:pPr>
              <w:pStyle w:val="Compact"/>
            </w:pPr>
            <w:r>
              <w:t xml:space="preserve">$1.98M</w:t>
            </w:r>
          </w:p>
        </w:tc>
        <w:tc>
          <w:tcPr/>
          <w:p>
            <w:pPr>
              <w:pStyle w:val="Compact"/>
            </w:pPr>
            <w:r>
              <w:t xml:space="preserve">$1.69M</w:t>
            </w:r>
          </w:p>
        </w:tc>
        <w:tc>
          <w:tcPr/>
          <w:p>
            <w:pPr>
              <w:pStyle w:val="Compact"/>
            </w:pPr>
            <w:r>
              <w:t xml:space="preserve">1.8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$19.2M</w:t>
            </w:r>
          </w:p>
        </w:tc>
        <w:tc>
          <w:tcPr/>
          <w:p>
            <w:pPr>
              <w:pStyle w:val="Compact"/>
            </w:pPr>
            <w:r>
              <w:t xml:space="preserve">$2.98M</w:t>
            </w:r>
          </w:p>
        </w:tc>
        <w:tc>
          <w:tcPr/>
          <w:p>
            <w:pPr>
              <w:pStyle w:val="Compact"/>
            </w:pPr>
            <w:r>
              <w:t xml:space="preserve">$2.68M</w:t>
            </w:r>
          </w:p>
        </w:tc>
        <w:tc>
          <w:tcPr/>
          <w:p>
            <w:pPr>
              <w:pStyle w:val="Compact"/>
            </w:pPr>
            <w:r>
              <w:t xml:space="preserve">1.2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$25.6M</w:t>
            </w:r>
          </w:p>
        </w:tc>
        <w:tc>
          <w:tcPr/>
          <w:p>
            <w:pPr>
              <w:pStyle w:val="Compact"/>
            </w:pPr>
            <w:r>
              <w:t xml:space="preserve">$3.97M</w:t>
            </w:r>
          </w:p>
        </w:tc>
        <w:tc>
          <w:tcPr/>
          <w:p>
            <w:pPr>
              <w:pStyle w:val="Compact"/>
            </w:pPr>
            <w:r>
              <w:t xml:space="preserve">$3.67M</w:t>
            </w:r>
          </w:p>
        </w:tc>
        <w:tc>
          <w:tcPr/>
          <w:p>
            <w:pPr>
              <w:pStyle w:val="Compact"/>
            </w:pPr>
            <w:r>
              <w:t xml:space="preserve">0.9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Flag for the team:</w:t>
      </w:r>
      <w:r>
        <w:t xml:space="preserve"> </w:t>
      </w:r>
      <w:r>
        <w:t xml:space="preserve">even the most conservative case (15% adoption) pays back in under 6 months. This is the more defensible version of the story than the old Ridge-based number — it reflects a materially better-calibrated model and a much more balanced underpriced/overpriced split, not a systematic model bias. Recommendation unchanged: present the full sensitivity table, not a single headline figure.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calculation-wise — reconcile with whatever final adoption assumption the team wants to lead with on the Financial Case slides (Section 7, Slides 10-11).</w:t>
      </w:r>
    </w:p>
    <w:p>
      <w:r>
        <w:pict>
          <v:rect style="width:0;height:1.5pt" o:hralign="center" o:hrstd="t" o:hr="t"/>
        </w:pict>
      </w:r>
    </w:p>
    <w:bookmarkEnd w:id="15"/>
    <w:bookmarkStart w:id="16" w:name="cost-to-implement"/>
    <w:p>
      <w:pPr>
        <w:pStyle w:val="Heading2"/>
      </w:pPr>
      <w:r>
        <w:t xml:space="preserve">4. Cost to Implement</w:t>
      </w:r>
    </w:p>
    <w:p>
      <w:pPr>
        <w:pStyle w:val="FirstParagraph"/>
      </w:pPr>
      <w:r>
        <w:rPr>
          <w:b/>
          <w:bCs/>
        </w:rPr>
        <w:t xml:space="preserve">Methodology (researched, citable):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Gartner TCO framework</w:t>
      </w:r>
      <w:r>
        <w:t xml:space="preserve"> </w:t>
      </w:r>
      <w:r>
        <w:t xml:space="preserve">for the cost-structure skeleton: direct costs (hardware/software, implementation, admin/operation, support) vs. indirect costs (downtime, inefficiency, productivity loss).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“Hidden Technical Debt in Machine Learning Systems”</w:t>
      </w:r>
      <w:r>
        <w:t xml:space="preserve"> </w:t>
      </w:r>
      <w:r>
        <w:t xml:space="preserve">(Sculley et al., Google, NeurIPS 2015) to justify a distinct recurring line for retraining/pipeline upkeep/monitoring.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NPV / IRR / Payback Period</w:t>
      </w:r>
      <w:r>
        <w:t xml:space="preserve"> </w:t>
      </w:r>
      <w:r>
        <w:t xml:space="preserve">(Corporate Finance Institute) as the financial-ask template.</w:t>
      </w:r>
    </w:p>
    <w:p>
      <w:pPr>
        <w:pStyle w:val="BodyText"/>
      </w:pPr>
      <w:r>
        <w:rPr>
          <w:b/>
          <w:bCs/>
        </w:rPr>
        <w:t xml:space="preserve">Infrastructure cost (researched, NYC-pilot scale, ~9,752 listings, weekly retrain) — not model-dependent, unchanged by the GBM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Annual (Low–Mid–High)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(retrain + ETL)</w:t>
            </w:r>
          </w:p>
        </w:tc>
        <w:tc>
          <w:tcPr/>
          <w:p>
            <w:pPr>
              <w:pStyle w:val="Compact"/>
            </w:pPr>
            <w:r>
              <w:t xml:space="preserve">$120 – $480 – $1,320</w:t>
            </w:r>
          </w:p>
        </w:tc>
        <w:tc>
          <w:tcPr/>
          <w:p>
            <w:pPr>
              <w:pStyle w:val="Compact"/>
            </w:pPr>
            <w:r>
              <w:t xml:space="preserve">AWS Fargate/EC2/SageMaker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$360 – $720 – $1,800</w:t>
            </w:r>
          </w:p>
        </w:tc>
        <w:tc>
          <w:tcPr/>
          <w:p>
            <w:pPr>
              <w:pStyle w:val="Compact"/>
            </w:pPr>
            <w:r>
              <w:t xml:space="preserve">AWS RDS PostgreSQL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Dashboard/API hosting</w:t>
            </w:r>
          </w:p>
        </w:tc>
        <w:tc>
          <w:tcPr/>
          <w:p>
            <w:pPr>
              <w:pStyle w:val="Compact"/>
            </w:pPr>
            <w:r>
              <w:t xml:space="preserve">$180 – $540 – $1,500</w:t>
            </w:r>
          </w:p>
        </w:tc>
        <w:tc>
          <w:tcPr/>
          <w:p>
            <w:pPr>
              <w:pStyle w:val="Compact"/>
            </w:pPr>
            <w:r>
              <w:t xml:space="preserve">AWS Fargate pricing (note: App Runner deprecated for new customers Apr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Monitoring/observability</w:t>
            </w:r>
          </w:p>
        </w:tc>
        <w:tc>
          <w:tcPr/>
          <w:p>
            <w:pPr>
              <w:pStyle w:val="Compact"/>
            </w:pPr>
            <w:r>
              <w:t xml:space="preserve">$60 – $1,320 – $3,000</w:t>
            </w:r>
          </w:p>
        </w:tc>
        <w:tc>
          <w:tcPr/>
          <w:p>
            <w:pPr>
              <w:pStyle w:val="Compact"/>
            </w:pPr>
            <w:r>
              <w:t xml:space="preserve">CloudWatch/Grafana/Datadog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(host explanations, weekly refresh)</w:t>
            </w:r>
          </w:p>
        </w:tc>
        <w:tc>
          <w:tcPr/>
          <w:p>
            <w:pPr>
              <w:pStyle w:val="Compact"/>
            </w:pPr>
            <w:r>
              <w:t xml:space="preserve">~$786/yr</w:t>
            </w:r>
          </w:p>
        </w:tc>
        <w:tc>
          <w:tcPr/>
          <w:p>
            <w:pPr>
              <w:pStyle w:val="Compact"/>
            </w:pPr>
            <w:r>
              <w:t xml:space="preserve">Claude Haiku 4.5, ~800 in/150 out tokens per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run cost (infra + LLM)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~$1,500 – $8,400/yr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The real cost story is labor, not infra</w:t>
      </w:r>
      <w:r>
        <w:t xml:space="preserve"> </w:t>
      </w:r>
      <w:r>
        <w:t xml:space="preserve">— infra/LLM is a rounding error against multi-million-dollar revenue figures. Per Gartner TCO and the ML-technical-debt paper, real product cost is engineering time.</w:t>
      </w:r>
    </w:p>
    <w:p>
      <w:pPr>
        <w:pStyle w:val="BodyText"/>
      </w:pPr>
      <w:r>
        <w:rPr>
          <w:b/>
          <w:bCs/>
        </w:rPr>
        <w:t xml:space="preserve">Labor cost (researched, fully-loaded 2026 tech comp):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Fully-loaded annual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Data Scientist/MLE</w:t>
            </w:r>
          </w:p>
        </w:tc>
        <w:tc>
          <w:tcPr/>
          <w:p>
            <w:pPr>
              <w:pStyle w:val="Compact"/>
            </w:pPr>
            <w:r>
              <w:t xml:space="preserve">~$286,000</w:t>
            </w:r>
          </w:p>
        </w:tc>
        <w:tc>
          <w:tcPr/>
          <w:p>
            <w:pPr>
              <w:pStyle w:val="Compact"/>
            </w:pPr>
            <w:r>
              <w:t xml:space="preserve">Glassdoor 2026 avg × 1.3 loading 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Backend/Data Engineer</w:t>
            </w:r>
          </w:p>
        </w:tc>
        <w:tc>
          <w:tcPr/>
          <w:p>
            <w:pPr>
              <w:pStyle w:val="Compact"/>
            </w:pPr>
            <w:r>
              <w:t xml:space="preserve">~$214,500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Manager</w:t>
            </w:r>
          </w:p>
        </w:tc>
        <w:tc>
          <w:tcPr/>
          <w:p>
            <w:pPr>
              <w:pStyle w:val="Compact"/>
            </w:pPr>
            <w:r>
              <w:t xml:space="preserve">~$246,000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Frontend/Product Engineer</w:t>
            </w:r>
          </w:p>
        </w:tc>
        <w:tc>
          <w:tcPr/>
          <w:p>
            <w:pPr>
              <w:pStyle w:val="Compact"/>
            </w:pPr>
            <w:r>
              <w:t xml:space="preserve">~$190,300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</w:tbl>
    <w:p>
      <w:pPr>
        <w:pStyle w:val="BodyText"/>
      </w:pPr>
      <w:r>
        <w:rPr>
          <w:b/>
          <w:bCs/>
        </w:rPr>
        <w:t xml:space="preserve">Illustrative build + maintenance (extrapolated, flagged as estimate, no single source covers this exact scope):</w:t>
      </w:r>
      <w:r>
        <w:t xml:space="preserve"> </w:t>
      </w:r>
      <w:r>
        <w:t xml:space="preserve">- One-time build: ~0.6 FTE Sr. DS/MLE + 1.0 FTE Backend + 0.5 FTE Frontend + 0.25 FTE PM over 4 months ≈</w:t>
      </w:r>
      <w:r>
        <w:t xml:space="preserve"> </w:t>
      </w:r>
      <w:r>
        <w:rPr>
          <w:b/>
          <w:bCs/>
        </w:rPr>
        <w:t xml:space="preserve">$180K-$200K</w:t>
      </w:r>
      <w:r>
        <w:t xml:space="preserve"> </w:t>
      </w:r>
      <w:r>
        <w:t xml:space="preserve">- Annual maintenance (labor): ~0.2 FTE DS/MLE + ~0.15 FTE Backend ≈</w:t>
      </w:r>
      <w:r>
        <w:t xml:space="preserve"> </w:t>
      </w:r>
      <w:r>
        <w:rPr>
          <w:b/>
          <w:bCs/>
        </w:rPr>
        <w:t xml:space="preserve">$95K-$105K/yr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annual run cost (labor + infra): ~$96,500-$113,400/yr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decide</w:t>
      </w:r>
      <w:r>
        <w:t xml:space="preserve"> </w:t>
      </w:r>
      <w:r>
        <w:t xml:space="preserve">“cost if built new”</w:t>
      </w:r>
      <w:r>
        <w:t xml:space="preserve"> </w:t>
      </w:r>
      <w:r>
        <w:t xml:space="preserve">vs. </w:t>
      </w:r>
      <w:r>
        <w:t xml:space="preserve">“marginal cost to Airbnb”</w:t>
      </w:r>
      <w:r>
        <w:t xml:space="preserve"> </w:t>
      </w:r>
      <w:r>
        <w:t xml:space="preserve">framing (some infra likely already exists on Airbnb’s platform) — worth a one-line acknowledgment either way.</w:t>
      </w:r>
    </w:p>
    <w:p>
      <w:r>
        <w:pict>
          <v:rect style="width:0;height:1.5pt" o:hralign="center" o:hrstd="t" o:hr="t"/>
        </w:pict>
      </w:r>
    </w:p>
    <w:bookmarkEnd w:id="16"/>
    <w:bookmarkStart w:id="17" w:name="roi"/>
    <w:p>
      <w:pPr>
        <w:pStyle w:val="Heading2"/>
      </w:pPr>
      <w:r>
        <w:t xml:space="preserve">5. ROI</w:t>
      </w:r>
    </w:p>
    <w:p>
      <w:pPr>
        <w:pStyle w:val="FirstParagraph"/>
      </w:pPr>
      <w:r>
        <w:t xml:space="preserve">Using NPV/IRR/Payback methodology, flat steady-state adoption (Section 6 has the more realistic ramped version).</w:t>
      </w:r>
    </w:p>
    <w:p>
      <w:pPr>
        <w:pStyle w:val="BodyText"/>
      </w:pPr>
      <w:r>
        <w:rPr>
          <w:b/>
          <w:bCs/>
        </w:rPr>
        <w:t xml:space="preserve">5-year net revenue and ROI, by adoption (build $190K + $105K/yr run = $715K total 5-yr cost), GBM base: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5-yr Airbnb revenue</w:t>
            </w:r>
          </w:p>
        </w:tc>
        <w:tc>
          <w:tcPr/>
          <w:p>
            <w:pPr>
              <w:pStyle w:val="Compact"/>
            </w:pPr>
            <w:r>
              <w:t xml:space="preserve">5-yr net revenue</w:t>
            </w:r>
          </w:p>
        </w:tc>
        <w:tc>
          <w:tcPr/>
          <w:p>
            <w:pPr>
              <w:pStyle w:val="Compact"/>
            </w:pPr>
            <w:r>
              <w:t xml:space="preserve">5-yr ROI</w:t>
            </w:r>
          </w:p>
        </w:tc>
        <w:tc>
          <w:tcPr/>
          <w:p>
            <w:pPr>
              <w:pStyle w:val="Compact"/>
            </w:pPr>
            <w:r>
              <w:t xml:space="preserve">Payback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$2.98M</w:t>
            </w:r>
          </w:p>
        </w:tc>
        <w:tc>
          <w:tcPr/>
          <w:p>
            <w:pPr>
              <w:pStyle w:val="Compact"/>
            </w:pPr>
            <w:r>
              <w:t xml:space="preserve">$2.26M</w:t>
            </w:r>
          </w:p>
        </w:tc>
        <w:tc>
          <w:tcPr/>
          <w:p>
            <w:pPr>
              <w:pStyle w:val="Compact"/>
            </w:pPr>
            <w:r>
              <w:t xml:space="preserve">316%</w:t>
            </w:r>
          </w:p>
        </w:tc>
        <w:tc>
          <w:tcPr/>
          <w:p>
            <w:pPr>
              <w:pStyle w:val="Compact"/>
            </w:pPr>
            <w:r>
              <w:t xml:space="preserve">5.9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$4.96M</w:t>
            </w:r>
          </w:p>
        </w:tc>
        <w:tc>
          <w:tcPr/>
          <w:p>
            <w:pPr>
              <w:pStyle w:val="Compact"/>
            </w:pPr>
            <w:r>
              <w:t xml:space="preserve">$4.24M</w:t>
            </w:r>
          </w:p>
        </w:tc>
        <w:tc>
          <w:tcPr/>
          <w:p>
            <w:pPr>
              <w:pStyle w:val="Compact"/>
            </w:pPr>
            <w:r>
              <w:t xml:space="preserve">594%</w:t>
            </w:r>
          </w:p>
        </w:tc>
        <w:tc>
          <w:tcPr/>
          <w:p>
            <w:pPr>
              <w:pStyle w:val="Compact"/>
            </w:pPr>
            <w:r>
              <w:t xml:space="preserve">3.6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$6.94M</w:t>
            </w:r>
          </w:p>
        </w:tc>
        <w:tc>
          <w:tcPr/>
          <w:p>
            <w:pPr>
              <w:pStyle w:val="Compact"/>
            </w:pPr>
            <w:r>
              <w:t xml:space="preserve">$6.23M</w:t>
            </w:r>
          </w:p>
        </w:tc>
        <w:tc>
          <w:tcPr/>
          <w:p>
            <w:pPr>
              <w:pStyle w:val="Compact"/>
            </w:pPr>
            <w:r>
              <w:t xml:space="preserve">871%</w:t>
            </w:r>
          </w:p>
        </w:tc>
        <w:tc>
          <w:tcPr/>
          <w:p>
            <w:pPr>
              <w:pStyle w:val="Compact"/>
            </w:pPr>
            <w:r>
              <w:t xml:space="preserve">2.5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$9.92M</w:t>
            </w:r>
          </w:p>
        </w:tc>
        <w:tc>
          <w:tcPr/>
          <w:p>
            <w:pPr>
              <w:pStyle w:val="Compact"/>
            </w:pPr>
            <w:r>
              <w:t xml:space="preserve">$9.20M</w:t>
            </w:r>
          </w:p>
        </w:tc>
        <w:tc>
          <w:tcPr/>
          <w:p>
            <w:pPr>
              <w:pStyle w:val="Compact"/>
            </w:pPr>
            <w:r>
              <w:t xml:space="preserve">1,287%</w:t>
            </w:r>
          </w:p>
        </w:tc>
        <w:tc>
          <w:tcPr/>
          <w:p>
            <w:pPr>
              <w:pStyle w:val="Compact"/>
            </w:pPr>
            <w:r>
              <w:t xml:space="preserve">1.8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$14.88M</w:t>
            </w:r>
          </w:p>
        </w:tc>
        <w:tc>
          <w:tcPr/>
          <w:p>
            <w:pPr>
              <w:pStyle w:val="Compact"/>
            </w:pPr>
            <w:r>
              <w:t xml:space="preserve">$14.16M</w:t>
            </w:r>
          </w:p>
        </w:tc>
        <w:tc>
          <w:tcPr/>
          <w:p>
            <w:pPr>
              <w:pStyle w:val="Compact"/>
            </w:pPr>
            <w:r>
              <w:t xml:space="preserve">1,981%</w:t>
            </w:r>
          </w:p>
        </w:tc>
        <w:tc>
          <w:tcPr/>
          <w:p>
            <w:pPr>
              <w:pStyle w:val="Compact"/>
            </w:pPr>
            <w:r>
              <w:t xml:space="preserve">1.2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$19.84M</w:t>
            </w:r>
          </w:p>
        </w:tc>
        <w:tc>
          <w:tcPr/>
          <w:p>
            <w:pPr>
              <w:pStyle w:val="Compact"/>
            </w:pPr>
            <w:r>
              <w:t xml:space="preserve">$19.12M</w:t>
            </w:r>
          </w:p>
        </w:tc>
        <w:tc>
          <w:tcPr/>
          <w:p>
            <w:pPr>
              <w:pStyle w:val="Compact"/>
            </w:pPr>
            <w:r>
              <w:t xml:space="preserve">2,675%</w:t>
            </w:r>
          </w:p>
        </w:tc>
        <w:tc>
          <w:tcPr/>
          <w:p>
            <w:pPr>
              <w:pStyle w:val="Compact"/>
            </w:pPr>
            <w:r>
              <w:t xml:space="preserve">0.9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lead with the 25% and 50% rows as</w:t>
      </w:r>
      <w:r>
        <w:t xml:space="preserve"> </w:t>
      </w:r>
      <w:r>
        <w:t xml:space="preserve">“conservative”</w:t>
      </w:r>
      <w:r>
        <w:t xml:space="preserve"> </w:t>
      </w:r>
      <w:r>
        <w:t xml:space="preserve">and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cases; don’t headline the 100% row, it invites the obvious adoption-skepticism pushback.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— this table is a flat-adoption simplification; Section 6 has the year-by-year ramped version, which is the one to actually present.</w:t>
      </w:r>
    </w:p>
    <w:p>
      <w:r>
        <w:pict>
          <v:rect style="width:0;height:1.5pt" o:hralign="center" o:hrstd="t" o:hr="t"/>
        </w:pict>
      </w:r>
    </w:p>
    <w:bookmarkEnd w:id="17"/>
    <w:bookmarkStart w:id="18" w:name="financial-timeline"/>
    <w:p>
      <w:pPr>
        <w:pStyle w:val="Heading2"/>
      </w:pPr>
      <w:r>
        <w:t xml:space="preserve">6. Financial Timeline</w:t>
      </w:r>
    </w:p>
    <w:p>
      <w:pPr>
        <w:pStyle w:val="FirstParagraph"/>
      </w:pPr>
      <w:r>
        <w:t xml:space="preserve">Real, cited adoption-ramp framework —</w:t>
      </w:r>
      <w:r>
        <w:t xml:space="preserve"> </w:t>
      </w:r>
      <w:r>
        <w:rPr>
          <w:b/>
          <w:bCs/>
        </w:rPr>
        <w:t xml:space="preserve">Rogers’ Diffusion of Innovation</w:t>
      </w:r>
      <w:r>
        <w:t xml:space="preserve"> </w:t>
      </w:r>
      <w:r>
        <w:t xml:space="preserve">(best fit: opt-in tool, individually-deciding hosts, word-of-mouth diffusion — not a mandated enterprise rollout). Bass diffusion model’s classical parameters (Sultan/Farley/Lehmann 1990) are calibrated for 10-15+ year durable-goods adoption, too slow for a digital tool — recalibrated instead to real SaaS feature-adoption benchmarks (Product Metrics Benchmark Report 2024, 181 companies: avg 24.5%, median 16.5%, top quartile &gt;45%).</w:t>
      </w:r>
    </w:p>
    <w:p>
      <w:pPr>
        <w:pStyle w:val="BodyText"/>
      </w:pPr>
      <w:r>
        <w:rPr>
          <w:b/>
          <w:bCs/>
        </w:rPr>
        <w:t xml:space="preserve">Adoption ramp used: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Cumulative adoption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  <w:tc>
          <w:tcPr/>
          <w:p>
            <w:pPr>
              <w:pStyle w:val="Compact"/>
            </w:pPr>
            <w:r>
              <w:t xml:space="preserve">Rogers’ innovator + early-adopter pool, scaled for a slow first-year 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~24%</w:t>
            </w:r>
          </w:p>
        </w:tc>
        <w:tc>
          <w:tcPr/>
          <w:p>
            <w:pPr>
              <w:pStyle w:val="Compact"/>
            </w:pPr>
            <w:r>
              <w:t xml:space="preserve">Anchored to real SaaS average adoption benchmark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~38%</w:t>
            </w:r>
          </w:p>
        </w:tc>
        <w:tc>
          <w:tcPr/>
          <w:p>
            <w:pPr>
              <w:pStyle w:val="Compact"/>
            </w:pPr>
            <w:r>
              <w:t xml:space="preserve">Extrapolated, crossing into early-majority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4+ (steady state)</w:t>
            </w:r>
          </w:p>
        </w:tc>
        <w:tc>
          <w:tcPr/>
          <w:p>
            <w:pPr>
              <w:pStyle w:val="Compact"/>
            </w:pPr>
            <w:r>
              <w:t xml:space="preserve">~42%</w:t>
            </w:r>
          </w:p>
        </w:tc>
        <w:tc>
          <w:tcPr/>
          <w:p>
            <w:pPr>
              <w:pStyle w:val="Compact"/>
            </w:pPr>
            <w:r>
              <w:t xml:space="preserve">Anchored just under real SaaS top-quartile benchmark — deliberately not near 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Year-by-year timeline (on the $3.97M/yr Airbnb-revenue ceiling at 100% adoption, GBM base; build $190K Year 1 + $105K/yr run cost every year):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Airbnb revenue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Net cash flow</w:t>
            </w:r>
          </w:p>
        </w:tc>
        <w:tc>
          <w:tcPr/>
          <w:p>
            <w:pPr>
              <w:pStyle w:val="Compact"/>
            </w:pPr>
            <w:r>
              <w:t xml:space="preserve">Cumulative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$397K</w:t>
            </w:r>
          </w:p>
        </w:tc>
        <w:tc>
          <w:tcPr/>
          <w:p>
            <w:pPr>
              <w:pStyle w:val="Compact"/>
            </w:pPr>
            <w:r>
              <w:t xml:space="preserve">$295K</w:t>
            </w:r>
          </w:p>
        </w:tc>
        <w:tc>
          <w:tcPr/>
          <w:p>
            <w:pPr>
              <w:pStyle w:val="Compact"/>
            </w:pPr>
            <w:r>
              <w:t xml:space="preserve">$102K</w:t>
            </w:r>
          </w:p>
        </w:tc>
        <w:tc>
          <w:tcPr/>
          <w:p>
            <w:pPr>
              <w:pStyle w:val="Compact"/>
            </w:pPr>
            <w:r>
              <w:t xml:space="preserve">$0.10M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  <w:tc>
          <w:tcPr/>
          <w:p>
            <w:pPr>
              <w:pStyle w:val="Compact"/>
            </w:pPr>
            <w:r>
              <w:t xml:space="preserve">$952K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$847K</w:t>
            </w:r>
          </w:p>
        </w:tc>
        <w:tc>
          <w:tcPr/>
          <w:p>
            <w:pPr>
              <w:pStyle w:val="Compact"/>
            </w:pPr>
            <w:r>
              <w:t xml:space="preserve">$0.95M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$1.51M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$1.40M</w:t>
            </w:r>
          </w:p>
        </w:tc>
        <w:tc>
          <w:tcPr/>
          <w:p>
            <w:pPr>
              <w:pStyle w:val="Compact"/>
            </w:pPr>
            <w:r>
              <w:t xml:space="preserve">$2.35M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$1.67M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$1.56M</w:t>
            </w:r>
          </w:p>
        </w:tc>
        <w:tc>
          <w:tcPr/>
          <w:p>
            <w:pPr>
              <w:pStyle w:val="Compact"/>
            </w:pPr>
            <w:r>
              <w:t xml:space="preserve">$3.91M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$1.67M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$1.56M</w:t>
            </w:r>
          </w:p>
        </w:tc>
        <w:tc>
          <w:tcPr/>
          <w:p>
            <w:pPr>
              <w:pStyle w:val="Compact"/>
            </w:pPr>
            <w:r>
              <w:t xml:space="preserve">$5.47M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Payback: ~8.9 months into Year 1</w:t>
      </w:r>
      <w:r>
        <w:t xml:space="preserve"> </w:t>
      </w:r>
      <w:r>
        <w:t xml:space="preserve">(assumes roughly linear revenue accrual through the year) — this is the number to lead with over the flat-adoption sensitivity table, since it doesn’t assume instant adoption.</w:t>
      </w:r>
    </w:p>
    <w:p>
      <w:pPr>
        <w:pStyle w:val="BodyText"/>
      </w:pPr>
      <w:r>
        <w:rPr>
          <w:b/>
          <w:bCs/>
        </w:rPr>
        <w:t xml:space="preserve">Caveat for the slide:</w:t>
      </w:r>
      <w:r>
        <w:t xml:space="preserve"> </w:t>
      </w:r>
      <w:r>
        <w:t xml:space="preserve">no verified case study of an Airbnb-specific or directly comparable host/seller-tool adoption curve exists — this is a recalibration of general SaaS/diffusion benchmarks, not a directly analogous real-world number.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blocking.</w:t>
      </w:r>
    </w:p>
    <w:p>
      <w:r>
        <w:pict>
          <v:rect style="width:0;height:1.5pt" o:hralign="center" o:hrstd="t" o:hr="t"/>
        </w:pict>
      </w:r>
    </w:p>
    <w:bookmarkEnd w:id="18"/>
    <w:bookmarkStart w:id="19" w:name="X5d595102b63777b84b07f035f5d6d228d9ef0e4"/>
    <w:p>
      <w:pPr>
        <w:pStyle w:val="Heading2"/>
      </w:pPr>
      <w:r>
        <w:t xml:space="preserve">7. Slide Sequence (~25-minute presentation) — REBUILT 2026-07-26 for the real time limit and rubric</w:t>
      </w:r>
    </w:p>
    <w:p>
      <w:pPr>
        <w:pStyle w:val="FirstParagraph"/>
      </w:pPr>
      <w:r>
        <w:rPr>
          <w:b/>
          <w:bCs/>
        </w:rPr>
        <w:t xml:space="preserve">This replaces the earlier 9-slide/10-minute version</w:t>
      </w:r>
      <w:r>
        <w:t xml:space="preserve">, which was built for Stan’s board-pitch coaching context, not the actual grading requirements. Stan’s underlying advice (business-first, one message per slide, minimal unnecessary technical depth) is still incorporated — there’s just more room now, and more required content to cover.</w:t>
      </w:r>
    </w:p>
    <w:p>
      <w:pPr>
        <w:pStyle w:val="BodyText"/>
      </w:pPr>
      <w:r>
        <w:rPr>
          <w:b/>
          <w:bCs/>
        </w:rPr>
        <w:t xml:space="preserve">Retargeted to ~20 minutes planned (2026-07-26), not 25.</w:t>
      </w:r>
      <w:r>
        <w:t xml:space="preserve"> </w:t>
      </w:r>
      <w:r>
        <w:t xml:space="preserve">Rationale (Brendan’s, from experience): a plan built to the actual limit reliably overruns it —</w:t>
      </w:r>
      <w:r>
        <w:t xml:space="preserve"> </w:t>
      </w:r>
      <w:r>
        <w:t xml:space="preserve">“plan for 25, it runs 30; plan for 8, it runs 10.”</w:t>
      </w:r>
      <w:r>
        <w:t xml:space="preserve"> </w:t>
      </w:r>
      <w:r>
        <w:t xml:space="preserve">Planning to ~20 leaves real buffer against the 25± actual limit even with a typical overrun. This means real consolidation, not just trimming a slide or two — some rubric items now share a slide that had separate slides before. That’s a deliberate density trade-off: fewer slides means each one has to carry more, which cuts against</w:t>
      </w:r>
      <w:r>
        <w:t xml:space="preserve"> </w:t>
      </w:r>
      <w:r>
        <w:t xml:space="preserve">“one message per slide”</w:t>
      </w:r>
      <w:r>
        <w:t xml:space="preserve"> </w:t>
      </w:r>
      <w:r>
        <w:t xml:space="preserve">a bit. Flagged below wherever that tension is sharpest.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Rubric item(s) covered</w:t>
            </w:r>
          </w:p>
        </w:tc>
        <w:tc>
          <w:tcPr/>
          <w:p>
            <w:pPr>
              <w:pStyle w:val="Compact"/>
            </w:pPr>
            <w:r>
              <w:t xml:space="preserve">~Time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Title / Team Intro</w:t>
            </w:r>
          </w:p>
        </w:tc>
        <w:tc>
          <w:tcPr/>
          <w:p>
            <w:pPr>
              <w:pStyle w:val="Compact"/>
            </w:pPr>
            <w:r>
              <w:t xml:space="preserve">Team members + roles, Stan as industry coach, product name, hook</w:t>
            </w:r>
          </w:p>
        </w:tc>
        <w:tc>
          <w:tcPr/>
          <w:p>
            <w:pPr>
              <w:pStyle w:val="Compac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Executive Summary</w:t>
            </w:r>
          </w:p>
        </w:tc>
        <w:tc>
          <w:tcPr/>
          <w:p>
            <w:pPr>
              <w:pStyle w:val="Compact"/>
            </w:pPr>
            <w:r>
              <w:t xml:space="preserve">Problem + solution in one line each, headline payback/ROI numbers — required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Context &amp; Problem</w:t>
            </w:r>
          </w:p>
        </w:tc>
        <w:tc>
          <w:tcPr/>
          <w:p>
            <w:pPr>
              <w:pStyle w:val="Compact"/>
            </w:pPr>
            <w:r>
              <w:t xml:space="preserve">Industry/company background + business situation + key question/sub-questions/benefit, merged —</w:t>
            </w:r>
            <w:r>
              <w:t xml:space="preserve"> </w:t>
            </w:r>
            <w:r>
              <w:rPr>
                <w:b/>
                <w:bCs/>
              </w:rPr>
              <w:t xml:space="preserve">densest slide in this version, watch it doesn’t become a wall of text</w:t>
            </w:r>
          </w:p>
        </w:tc>
        <w:tc>
          <w:tcPr/>
          <w:p>
            <w:pPr>
              <w:pStyle w:val="Compact"/>
            </w:pPr>
            <w:r>
              <w:t xml:space="preserve">Company/industry background; business situation/context; key question</w:t>
            </w:r>
          </w:p>
        </w:tc>
        <w:tc>
          <w:tcPr/>
          <w:p>
            <w:pPr>
              <w:pStyle w:val="Compact"/>
            </w:pPr>
            <w:r>
              <w:t xml:space="preserve">2.5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Inside Airbnb NYC snapshot (June 2026), 9,752 listings, NYC-pilot scope</w:t>
            </w:r>
          </w:p>
        </w:tc>
        <w:tc>
          <w:tcPr/>
          <w:p>
            <w:pPr>
              <w:pStyle w:val="Compact"/>
            </w:pPr>
            <w:r>
              <w:t xml:space="preserve">Dataset(s) used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 Variables &amp; Data Structure</w:t>
            </w:r>
          </w:p>
        </w:tc>
        <w:tc>
          <w:tcPr/>
          <w:p>
            <w:pPr>
              <w:pStyle w:val="Compact"/>
            </w:pPr>
            <w:r>
              <w:t xml:space="preserve">EDA — what went into the model, cleaning/feature engineering</w:t>
            </w:r>
          </w:p>
        </w:tc>
        <w:tc>
          <w:tcPr/>
          <w:p>
            <w:pPr>
              <w:pStyle w:val="Compact"/>
            </w:pPr>
            <w:r>
              <w:t xml:space="preserve">Key variables/relationships (1 of 2, minimum required)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Key Relationship: The Pricing/Occupancy Gap</w:t>
            </w:r>
          </w:p>
        </w:tc>
        <w:tc>
          <w:tcPr/>
          <w:p>
            <w:pPr>
              <w:pStyle w:val="Compact"/>
            </w:pPr>
            <w:r>
              <w:t xml:space="preserve">EDA — 71.5% vs. 47.3% occupancy gap by host tier, mispricing distribution</w:t>
            </w:r>
          </w:p>
        </w:tc>
        <w:tc>
          <w:tcPr/>
          <w:p>
            <w:pPr>
              <w:pStyle w:val="Compact"/>
            </w:pPr>
            <w:r>
              <w:t xml:space="preserve">Key variables/relationships (2 of 2, minimum required)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Solution Statement</w:t>
            </w:r>
          </w:p>
        </w:tc>
        <w:tc>
          <w:tcPr/>
          <w:p>
            <w:pPr>
              <w:pStyle w:val="Compact"/>
            </w:pPr>
            <w:r>
              <w:t xml:space="preserve">The product vs. Smart Pricing; Commander’s Intent delivered verbally here</w:t>
            </w:r>
          </w:p>
        </w:tc>
        <w:tc>
          <w:tcPr/>
          <w:p>
            <w:pPr>
              <w:pStyle w:val="Compact"/>
            </w:pPr>
            <w:r>
              <w:t xml:space="preserve">(supports business benefit /</w:t>
            </w:r>
            <w:r>
              <w:t xml:space="preserve"> </w:t>
            </w:r>
            <w:r>
              <w:t xml:space="preserve">“how”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Model, Approach &amp; Insights</w:t>
            </w:r>
          </w:p>
        </w:tc>
        <w:tc>
          <w:tcPr/>
          <w:p>
            <w:pPr>
              <w:pStyle w:val="Compact"/>
            </w:pPr>
            <w:r>
              <w:t xml:space="preserve">GBM quantile regression + KNN comparables, tools, segment split, accuracy, and what the model found — merged</w:t>
            </w:r>
          </w:p>
        </w:tc>
        <w:tc>
          <w:tcPr/>
          <w:p>
            <w:pPr>
              <w:pStyle w:val="Compact"/>
            </w:pPr>
            <w:r>
              <w:t xml:space="preserve">Model/approach + tools; insights and learnings</w:t>
            </w:r>
          </w:p>
        </w:tc>
        <w:tc>
          <w:tcPr/>
          <w:p>
            <w:pPr>
              <w:pStyle w:val="Compact"/>
            </w:pPr>
            <w:r>
              <w:t xml:space="preserve">2.5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Recorded Demo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Pre-recorded, narrated</w:t>
            </w:r>
            <w:r>
              <w:t xml:space="preserve"> </w:t>
            </w:r>
            <w:r>
              <w:t xml:space="preserve">video walkthrough of the dashboard (per faculty guidance — no live demo)</w:t>
            </w:r>
          </w:p>
        </w:tc>
        <w:tc>
          <w:tcPr/>
          <w:p>
            <w:pPr>
              <w:pStyle w:val="Compact"/>
            </w:pPr>
            <w:r>
              <w:t xml:space="preserve">(supports</w:t>
            </w:r>
            <w:r>
              <w:t xml:space="preserve"> </w:t>
            </w:r>
            <w:r>
              <w:t xml:space="preserve">“how”</w:t>
            </w:r>
            <w:r>
              <w:t xml:space="preserve"> </w:t>
            </w:r>
            <w:r>
              <w:t xml:space="preserve">+ insights)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Financial Case: Revenue Lift &amp; Cost</w:t>
            </w:r>
          </w:p>
        </w:tc>
        <w:tc>
          <w:tcPr/>
          <w:p>
            <w:pPr>
              <w:pStyle w:val="Compact"/>
            </w:pPr>
            <w:r>
              <w:t xml:space="preserve">Methodology (real data, trim, noise discount), cost (TCO framework)</w:t>
            </w:r>
          </w:p>
        </w:tc>
        <w:tc>
          <w:tcPr/>
          <w:p>
            <w:pPr>
              <w:pStyle w:val="Compact"/>
            </w:pPr>
            <w:r>
              <w:t xml:space="preserve">Predictions/recommendations (partial)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Financial Case: ROI &amp; Timeline</w:t>
            </w:r>
          </w:p>
        </w:tc>
        <w:tc>
          <w:tcPr/>
          <w:p>
            <w:pPr>
              <w:pStyle w:val="Compact"/>
            </w:pPr>
            <w:r>
              <w:t xml:space="preserve">Payback, 5-year ROI, adoption ramp</w:t>
            </w:r>
          </w:p>
        </w:tc>
        <w:tc>
          <w:tcPr/>
          <w:p>
            <w:pPr>
              <w:pStyle w:val="Compact"/>
            </w:pPr>
            <w:r>
              <w:t xml:space="preserve">Predictions/recommendations (partial)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Challenges &amp; Caveats</w:t>
            </w:r>
          </w:p>
        </w:tc>
        <w:tc>
          <w:tcPr/>
          <w:p>
            <w:pPr>
              <w:pStyle w:val="Compact"/>
            </w:pPr>
            <w:r>
              <w:t xml:space="preserve">Risks/assumptions, model-noise discount reasoning, known data gaps</w:t>
            </w:r>
          </w:p>
        </w:tc>
        <w:tc>
          <w:tcPr/>
          <w:p>
            <w:pPr>
              <w:pStyle w:val="Compact"/>
            </w:pPr>
            <w:r>
              <w:t xml:space="preserve">Challenges/caveats/data mitigation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Recommendations, Next Steps &amp; Close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“so what,”</w:t>
            </w:r>
            <w:r>
              <w:t xml:space="preserve"> </w:t>
            </w:r>
            <w:r>
              <w:t xml:space="preserve">what the team would explore further, brief career/company relevance, memorable close — merged</w:t>
            </w:r>
          </w:p>
        </w:tc>
        <w:tc>
          <w:tcPr/>
          <w:p>
            <w:pPr>
              <w:pStyle w:val="Compact"/>
            </w:pPr>
            <w:r>
              <w:t xml:space="preserve">Predictions/recommendations; next steps; relevance to career/company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Planned total: ~21.5 minutes</w:t>
      </w:r>
      <w:r>
        <w:t xml:space="preserve"> </w:t>
      </w:r>
      <w:r>
        <w:t xml:space="preserve">— leaves roughly 3.5-8.5 minutes of buffer under the 25± actual limit, closer to the real target once delivery inevitably runs long.</w:t>
      </w:r>
    </w:p>
    <w:p>
      <w:pPr>
        <w:pStyle w:val="BodyText"/>
      </w:pPr>
      <w:r>
        <w:rPr>
          <w:b/>
          <w:bCs/>
        </w:rPr>
        <w:t xml:space="preserve">Deliberately left out of this outline:</w:t>
      </w:r>
      <w:r>
        <w:t xml:space="preserve"> </w:t>
      </w:r>
      <w:r>
        <w:t xml:space="preserve">who presents which slide. That’s for the team to work out on their own — no suggestions here.</w:t>
      </w:r>
    </w:p>
    <w:p>
      <w:pPr>
        <w:pStyle w:val="BodyText"/>
      </w:pPr>
      <w:r>
        <w:rPr>
          <w:b/>
          <w:bCs/>
        </w:rPr>
        <w:t xml:space="preserve">Not yet done — real open items for Slide 7:</w:t>
      </w:r>
      <w:r>
        <w:t xml:space="preserve"> </w:t>
      </w:r>
      <w:r>
        <w:t xml:space="preserve">- Team to assign owners for each slide</w:t>
      </w:r>
      <w:r>
        <w:t xml:space="preserve"> </w:t>
      </w:r>
      <w:r>
        <w:t xml:space="preserve">- Build the actual slide content for each row — this document only outlines what goes where, none of it is drafted yet. Slide 3 and Slide 8 especially need real editorial discipline given how much each is carrying</w:t>
      </w:r>
      <w:r>
        <w:t xml:space="preserve"> </w:t>
      </w:r>
      <w:r>
        <w:t xml:space="preserve">- Record and edit the demo video</w:t>
      </w:r>
      <w:r>
        <w:t xml:space="preserve"> </w:t>
      </w:r>
      <w:r>
        <w:t xml:space="preserve">- Prepare the separate</w:t>
      </w:r>
      <w:r>
        <w:t xml:space="preserve"> </w:t>
      </w:r>
      <w:r>
        <w:rPr>
          <w:b/>
          <w:bCs/>
        </w:rPr>
        <w:t xml:space="preserve">Q&amp;A appendix</w:t>
      </w:r>
      <w:r>
        <w:t xml:space="preserve"> </w:t>
      </w:r>
      <w:r>
        <w:t xml:space="preserve">(not part of the 13 timed slides) — pull from Sections 3-6’s full backup tables/methodology detail</w:t>
      </w:r>
    </w:p>
    <w:p>
      <w:r>
        <w:pict>
          <v:rect style="width:0;height:1.5pt" o:hralign="center" o:hrstd="t" o:hr="t"/>
        </w:pict>
      </w:r>
    </w:p>
    <w:bookmarkEnd w:id="19"/>
    <w:bookmarkStart w:id="20" w:name="presentation-script"/>
    <w:p>
      <w:pPr>
        <w:pStyle w:val="Heading2"/>
      </w:pPr>
      <w:r>
        <w:t xml:space="preserve">8. Presentation Script</w:t>
      </w:r>
    </w:p>
    <w:p>
      <w:pPr>
        <w:pStyle w:val="FirstParagraph"/>
      </w:pPr>
      <w:r>
        <w:rPr>
          <w:b/>
          <w:bCs/>
        </w:rPr>
        <w:t xml:space="preserve">Not started.</w:t>
      </w:r>
      <w:r>
        <w:t xml:space="preserve"> </w:t>
      </w:r>
      <w:r>
        <w:t xml:space="preserve">One confirmed piece: the Commander’s Intent framing (Section 2) is meant for spoken delivery only during Slide 7 (Solution Statement), not slide text. Full script should wait until Section 7’s slide content is actually drafted, not just outlined.</w:t>
      </w:r>
    </w:p>
    <w:p>
      <w:r>
        <w:pict>
          <v:rect style="width:0;height:1.5pt" o:hralign="center" o:hrstd="t" o:hr="t"/>
        </w:pict>
      </w:r>
    </w:p>
    <w:bookmarkEnd w:id="20"/>
    <w:bookmarkStart w:id="21" w:name="Xdc2aaf998ca8a10f488c3b8ceffd94bd494e8ae"/>
    <w:p>
      <w:pPr>
        <w:pStyle w:val="Heading2"/>
      </w:pPr>
      <w:r>
        <w:t xml:space="preserve">9. Submission Logistics — don’t lose track of this</w:t>
      </w:r>
    </w:p>
    <w:p>
      <w:pPr>
        <w:pStyle w:val="FirstParagraph"/>
      </w:pPr>
      <w:r>
        <w:t xml:space="preserve">Per the faculty email, two separate submission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Slide deck</w:t>
      </w:r>
      <w:r>
        <w:t xml:space="preserve"> </w:t>
      </w:r>
      <w:r>
        <w:t xml:space="preserve">(PPT or PDF of the final presentation slides) → Canvas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 link to this GitHub repo</w:t>
      </w:r>
      <w:r>
        <w:t xml:space="preserve">, with model outputs/interim work/appendices → sent directly to the faculty member and CA, by email or as a Canvas comment.</w:t>
      </w:r>
      <w:r>
        <w:t xml:space="preserve"> </w:t>
      </w:r>
      <w:r>
        <w:rPr>
          <w:b/>
          <w:bCs/>
        </w:rPr>
        <w:t xml:space="preserve">This has not been done yet as of this note (2026-07-26) — someone needs to own sending it.</w:t>
      </w:r>
    </w:p>
    <w:p>
      <w:r>
        <w:pict>
          <v:rect style="width:0;height:1.5pt" o:hralign="center" o:hrstd="t" o:hr="t"/>
        </w:pict>
      </w:r>
    </w:p>
    <w:bookmarkEnd w:id="21"/>
    <w:bookmarkStart w:id="22" w:name="reminders-for-whoever-picks-this-up"/>
    <w:p>
      <w:pPr>
        <w:pStyle w:val="Heading2"/>
      </w:pPr>
      <w:r>
        <w:t xml:space="preserve">Reminders for whoever picks this up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Sign-off rule:</w:t>
      </w:r>
      <w:r>
        <w:t xml:space="preserve"> </w:t>
      </w:r>
      <w:r>
        <w:t xml:space="preserve">none of the parent to-do items get marked done just because a draft exists here — needs the whole team’s sign-off first.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NYC-only pilot, not platform-wide, per the README’s positioning.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Framing:</w:t>
      </w:r>
      <w:r>
        <w:t xml:space="preserve"> </w:t>
      </w:r>
      <w:r>
        <w:t xml:space="preserve">presenting from a hypothetical</w:t>
      </w:r>
      <w:r>
        <w:t xml:space="preserve"> </w:t>
      </w:r>
      <w:r>
        <w:t xml:space="preserve">“we are Airbnb’s internal product team”</w:t>
      </w:r>
      <w:r>
        <w:t xml:space="preserve"> </w:t>
      </w:r>
      <w:r>
        <w:t xml:space="preserve">position, which is why real occupancy-response/elasticity data is assumed even though the actual dataset doesn’t contain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Model version:</w:t>
      </w:r>
      <w:r>
        <w:t xml:space="preserve"> </w:t>
      </w:r>
      <w:r>
        <w:t xml:space="preserve">GBM quantile regression + KNN (v3) is current — supersedes the earlier Ridge model referenced in some older repo docs. The GBM code, updated pricing-signal outputs, and demo UI prototypes currently live on the</w:t>
      </w:r>
      <w:r>
        <w:t xml:space="preserve"> </w:t>
      </w:r>
      <w:r>
        <w:rPr>
          <w:rStyle w:val="VerbatimChar"/>
        </w:rPr>
        <w:t xml:space="preserve">final-model-package</w:t>
      </w:r>
      <w:r>
        <w:t xml:space="preserve"> </w:t>
      </w:r>
      <w:r>
        <w:t xml:space="preserve">branch, not yet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2026-07-24T23:56:15Z</dcterms:created>
  <dcterms:modified xsi:type="dcterms:W3CDTF">2026-07-24T23:56:15Z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