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Why short-stay and monthly are separate</w:t>
            </w:r>
            <w:r>
              <w:t xml:space="preserve"> </w:t>
            </w:r>
            <w:r>
              <w:t xml:space="preserve">markets</w:t>
            </w:r>
          </w:p>
        </w:tc>
        <w:tc>
          <w:tcPr/>
          <w:p>
            <w:pPr>
              <w:pStyle w:val="Compact"/>
              <w:jc w:val="left"/>
            </w:pPr>
            <w:r>
              <w:t xml:space="preserve">Model V2,</w:t>
            </w:r>
            <w:r>
              <w:t xml:space="preserve"> </w:t>
            </w:r>
            <w:r>
              <w:t xml:space="preserve">“Why the two markets</w:t>
            </w:r>
            <w:r>
              <w:t xml:space="preserve"> </w:t>
            </w:r>
            <w:r>
              <w:t xml:space="preserve">diverge”</w:t>
            </w:r>
          </w:p>
        </w:tc>
      </w:tr>
      <w:tr>
        <w:tc>
          <w:tcPr/>
          <w:p>
            <w:pPr>
              <w:pStyle w:val="Compact"/>
              <w:jc w:val="left"/>
            </w:pPr>
            <w:r>
              <w:t xml:space="preserve">“Most of your listings are Uncertain”</w:t>
            </w:r>
          </w:p>
        </w:tc>
        <w:tc>
          <w:tcPr/>
          <w:p>
            <w:pPr>
              <w:pStyle w:val="Compact"/>
              <w:jc w:val="left"/>
            </w:pPr>
            <w:r>
              <w:t xml:space="preserve">How much of the figure rests on a</w:t>
            </w:r>
            <w:r>
              <w:t xml:space="preserve"> </w:t>
            </w:r>
            <w:r>
              <w:t xml:space="preserve">confident call</w:t>
            </w:r>
          </w:p>
        </w:tc>
      </w:tr>
      <w:tr>
        <w:tc>
          <w:tcPr/>
          <w:p>
            <w:pPr>
              <w:pStyle w:val="Compact"/>
              <w:jc w:val="left"/>
            </w:pPr>
            <w:r>
              <w:t xml:space="preserve">“Can we check your arithmetic?”</w:t>
            </w:r>
          </w:p>
        </w:tc>
        <w:tc>
          <w:tcPr/>
          <w:p>
            <w:pPr>
              <w:pStyle w:val="Compact"/>
              <w:jc w:val="left"/>
            </w:pPr>
            <w:r>
              <w:t xml:space="preserve">The combined figure, the</w:t>
            </w:r>
            <w:r>
              <w:t xml:space="preserve"> </w:t>
            </w:r>
            <w:r>
              <w:t xml:space="preserve">reproduction script</w:t>
            </w:r>
          </w:p>
        </w:tc>
      </w:tr>
      <w:tr>
        <w:tc>
          <w:tcPr/>
          <w:p>
            <w:pPr>
              <w:pStyle w:val="Compact"/>
              <w:jc w:val="left"/>
            </w:pPr>
            <w:r>
              <w:t xml:space="preserve">Why hasn’t Airbnb built this already?</w:t>
            </w:r>
          </w:p>
        </w:tc>
        <w:tc>
          <w:tcPr/>
          <w:p>
            <w:pPr>
              <w:pStyle w:val="Compact"/>
              <w:jc w:val="left"/>
            </w:pPr>
            <w:r>
              <w:t xml:space="preserve">Business Recommendations,</w:t>
            </w:r>
            <w:r>
              <w:t xml:space="preserve"> </w:t>
            </w:r>
            <w:r>
              <w:t xml:space="preserve">“Why the gap persists”</w:t>
            </w:r>
          </w:p>
        </w:tc>
      </w:tr>
      <w:tr>
        <w:tc>
          <w:tcPr/>
          <w:p>
            <w:pPr>
              <w:pStyle w:val="Compact"/>
              <w:jc w:val="left"/>
            </w:pPr>
            <w:r>
              <w:t xml:space="preserve">What is this worth outside New York?</w:t>
            </w:r>
          </w:p>
        </w:tc>
        <w:tc>
          <w:tcPr/>
          <w:p>
            <w:pPr>
              <w:pStyle w:val="Compact"/>
              <w:jc w:val="left"/>
            </w:pPr>
            <w:r>
              <w:t xml:space="preserve">What this looks like beyond</w:t>
            </w:r>
            <w:r>
              <w:t xml:space="preserve"> </w:t>
            </w:r>
            <w:r>
              <w:t xml:space="preserve">New York</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four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Yes, and it is applied only to the tier it was measured on. See</w:t>
      </w:r>
      <w:r>
        <w:t xml:space="preserve"> </w:t>
      </w:r>
      <w:r>
        <w:t xml:space="preserve">“Why the coefficient is not applied uniformly.”</w:t>
      </w:r>
    </w:p>
    <w:p>
      <w:pPr>
        <w:pStyle w:val="Compact"/>
        <w:numPr>
          <w:ilvl w:val="0"/>
          <w:numId w:val="1001"/>
        </w:numPr>
      </w:pPr>
      <w:r>
        <w:rPr>
          <w:i/>
          <w:iCs/>
        </w:rPr>
        <w:t xml:space="preserve">“Your model says Uncertain for most listings. How much of the $7.6M rests on calls you can't actually make?”</w:t>
      </w:r>
      <w:r>
        <w:t xml:space="preserve"> </w:t>
      </w:r>
      <w:r>
        <w:t xml:space="preserve">69% of it. The confident subset alone is $2.34M host GBV / $363K a year in fees, which still funds the build. See</w:t>
      </w:r>
      <w:r>
        <w:t xml:space="preserve"> </w:t>
      </w:r>
      <w:r>
        <w:t xml:space="preserve">“How much of the figure rests on a confident call.”</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settled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fell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truly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p>
      <w:pPr>
        <w:pStyle w:val="BodyText"/>
      </w:pPr>
      <w:r>
        <w:rPr>
          <w:b/>
          <w:bCs/>
        </w:rPr>
        <w:t xml:space="preserve">Why the two markets diverge.</w:t>
      </w:r>
      <w:r>
        <w:t xml:space="preserve"> </w:t>
      </w:r>
      <w:r>
        <w:t xml:space="preserve">The two groups sell against different alternatives, which is the economic basis for splitting them and not merely a statistical one. A short-stay listing competes with hotels and with other short-stay listings for the same specific dates, where a guest can compare several options in minutes and switching costs nothing. A monthly listing, defined here by a 28-night minimum, competes with apartment sublets and corporate housing, and its guest is solving a housing problem (a relocation, a contract, a semester) against a far thinner set of substitutes. That difference in the substitute set is the mechanism behind the elasticity results reported later in this document: short-stay demand moves measurably with price (β = −0.916), while the monthly panel returned no detectable response at all.</w:t>
      </w:r>
    </w:p>
    <w:p>
      <w:pPr>
        <w:pStyle w:val="BodyText"/>
      </w:pPr>
      <w:r>
        <w:t xml:space="preserve">It is worth stating precisely what that second result is and is not. It is a</w:t>
      </w:r>
      <w:r>
        <w:t xml:space="preserve"> </w:t>
      </w:r>
      <w:r>
        <w:rPr>
          <w:b/>
          <w:bCs/>
        </w:rPr>
        <w:t xml:space="preserve">failure to detect</w:t>
      </w:r>
      <w:r>
        <w:t xml:space="preserve"> </w:t>
      </w:r>
      <w:r>
        <w:t xml:space="preserve">a price response in a small pilot, not a demonstration that monthly guests are insensitive to price. The distinction matters because the entire monthly revenue figure rests on it, and because the two claims would justify very different confidence in the number. One engine serves both markets; it is calibrated separately for each, with its own comparables and its own elasticity treatment, and no pooled estimate of anything is computed in production.</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p>
      <w:pPr>
        <w:pStyle w:val="BodyText"/>
      </w:pPr>
      <w:r>
        <w:rPr>
          <w:b/>
          <w:bCs/>
        </w:rPr>
        <w:t xml:space="preserve">Why this is a modelling constraint, not just a finding.</w:t>
      </w:r>
      <w:r>
        <w:t xml:space="preserve"> </w:t>
      </w:r>
      <w:r>
        <w:t xml:space="preserve">Review count is not a competing lever alongside price; it is a</w:t>
      </w:r>
      <w:r>
        <w:t xml:space="preserve"> </w:t>
      </w:r>
      <w:r>
        <w:rPr>
          <w:b/>
          <w:bCs/>
        </w:rPr>
        <w:t xml:space="preserve">confounder of any naive price comparison</w:t>
      </w:r>
      <w:r>
        <w:t xml:space="preserve">. Two listings advertised at the same nightly rate are not equivalent if one carries four hundred reviews and the other three, because the reputation difference moves occupancy on its own. This is the reason the question</w:t>
      </w:r>
      <w:r>
        <w:t xml:space="preserve"> </w:t>
      </w:r>
      <w:r>
        <w:t xml:space="preserve">“is this listing expensive?”</w:t>
      </w:r>
      <w:r>
        <w:t xml:space="preserve"> </w:t>
      </w:r>
      <w:r>
        <w:t xml:space="preserve">has no answer when asked of a price in isolation, and the reason it cannot be answered by comparing prices within a neighborhood either. Both the GBM and the KNN cohort match therefore condition on reputation, location, size, property type and amenities before any pricing gap is computed.</w:t>
      </w:r>
    </w:p>
    <w:p>
      <w:pPr>
        <w:pStyle w:val="BodyText"/>
      </w:pPr>
      <w:r>
        <w:t xml:space="preserve">The consequence is that the model answers a narrower and more defensible question than</w:t>
      </w:r>
      <w:r>
        <w:t xml:space="preserve"> </w:t>
      </w:r>
      <w:r>
        <w:t xml:space="preserve">“is this listing overpriced?”</w:t>
      </w:r>
      <w:r>
        <w:t xml:space="preserve"> </w:t>
      </w:r>
      <w:r>
        <w:t xml:space="preserve">It answers:</w:t>
      </w:r>
      <w:r>
        <w:t xml:space="preserve"> </w:t>
      </w:r>
      <w:r>
        <w:rPr>
          <w:i/>
          <w:iCs/>
        </w:rPr>
        <w:t xml:space="preserve">what would this listing charge if it were priced like its genuine peers?</w:t>
      </w:r>
      <w:r>
        <w:t xml:space="preserve"> </w:t>
      </w:r>
      <w:r>
        <w:t xml:space="preserve">That is a conditional expectation, not a causal optimum, and the distinction is carried through every downstream figure in this document; see</w:t>
      </w:r>
      <w:r>
        <w:t xml:space="preserve"> </w:t>
      </w:r>
      <w:r>
        <w:t xml:space="preserve">“Limitations Carried Forward,”</w:t>
      </w:r>
      <w:r>
        <w:t xml:space="preserve"> </w:t>
      </w:r>
      <w:r>
        <w:t xml:space="preserve">where the residual is described as a conditional pricing gap rather than proof of causal mispricing.</w:t>
      </w:r>
    </w:p>
    <w:bookmarkEnd w:id="22"/>
    <w:bookmarkEnd w:id="23"/>
    <w:bookmarkStart w:id="27" w:name="X58630797d8d264ac7d59b7d5b96778656a06b1d"/>
    <w:p>
      <w:pPr>
        <w:pStyle w:val="Heading1"/>
      </w:pPr>
      <w:r>
        <w:t xml:space="preserve">Model V4: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3"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2"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76% of underpriced short-stay listings sit below the 142-review threshold, and 99% fall short of the panel profile on reviews, tenure, or both.</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n/a</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p>
      <w:pPr>
        <w:pStyle w:val="BodyText"/>
      </w:pPr>
      <w:r>
        <w:rPr>
          <w:b/>
          <w:bCs/>
        </w:rPr>
        <w:t xml:space="preserve">The arithmetic is reproducible from committed data.</w:t>
      </w:r>
      <w:r>
        <w:t xml:space="preserve"> </w:t>
      </w:r>
      <w:r>
        <w:rPr>
          <w:rStyle w:val="VerbatimChar"/>
        </w:rPr>
        <w:t xml:space="preserve">model v4/elasticity/reproduce_revenue_lift.py</w:t>
      </w:r>
      <w:r>
        <w:t xml:space="preserve"> </w:t>
      </w:r>
      <w:r>
        <w:t xml:space="preserve">regenerates these figures from</w:t>
      </w:r>
      <w:r>
        <w:t xml:space="preserve"> </w:t>
      </w:r>
      <w:r>
        <w:rPr>
          <w:rStyle w:val="VerbatimChar"/>
        </w:rPr>
        <w:t xml:space="preserve">active_listings_clean_v6.csv</w:t>
      </w:r>
      <w:r>
        <w:t xml:space="preserve"> </w:t>
      </w:r>
      <w:r>
        <w:t xml:space="preserve">and the model outputs, so the numbers can be checked rather than taken on trust. It returns $7.56M host GBV, $1.17M in Airbnb fees and 77,499 nights against the $7.57M / $1.17M / 77,606 reported here. That is agreement to roughly 0.1%, with the small residual coming from the outlier-trim boundary. Two implementation details are documented in the script because both are easy to get wrong: the 1–99 percentile trim is applied to</w:t>
      </w:r>
      <w:r>
        <w:t xml:space="preserve"> </w:t>
      </w:r>
      <w:r>
        <w:rPr>
          <w:b/>
          <w:bCs/>
        </w:rPr>
        <w:t xml:space="preserve">nightly price</w:t>
      </w:r>
      <w:r>
        <w:t xml:space="preserve">, not to the revenue delta (trimming the delta instead produces $5.97M, a $1.6M understatement), and the recovered-nights total is summed across</w:t>
      </w:r>
      <w:r>
        <w:t xml:space="preserve"> </w:t>
      </w:r>
      <w:r>
        <w:rPr>
          <w:b/>
          <w:bCs/>
        </w:rPr>
        <w:t xml:space="preserve">both review tiers</w:t>
      </w:r>
      <w:r>
        <w:t xml:space="preserve">, because the sub-142 tier held at breakeven nets zero revenue while still recovering real bookings. Counting nights only where revenue is non-zero undercounts them roughly threefold.</w:t>
      </w:r>
    </w:p>
    <w:bookmarkEnd w:id="39"/>
    <w:bookmarkStart w:id="40" w:name="X094832c08797cd38bbad65668aef20d0fc4b03b"/>
    <w:p>
      <w:pPr>
        <w:pStyle w:val="Heading3"/>
      </w:pPr>
      <w:r>
        <w:t xml:space="preserve">How much of the figure rests on a confident call</w:t>
      </w:r>
    </w:p>
    <w:p>
      <w:pPr>
        <w:pStyle w:val="FirstParagraph"/>
      </w:pPr>
      <w:r>
        <w:t xml:space="preserve">The model issues one of three directional calls,</w:t>
      </w:r>
      <w:r>
        <w:t xml:space="preserve"> </w:t>
      </w:r>
      <w:r>
        <w:t xml:space="preserve">“confident: raise,”</w:t>
      </w:r>
      <w:r>
        <w:t xml:space="preserve"> </w:t>
      </w:r>
      <w:r>
        <w:t xml:space="preserve">“confident: lower,”</w:t>
      </w:r>
      <w:r>
        <w:t xml:space="preserve"> </w:t>
      </w:r>
      <w:r>
        <w:t xml:space="preserve">or</w:t>
      </w:r>
      <w:r>
        <w:t xml:space="preserve"> </w:t>
      </w:r>
      <w:r>
        <w:t xml:space="preserve">“uncertain,”</w:t>
      </w:r>
      <w:r>
        <w:t xml:space="preserve"> </w:t>
      </w:r>
      <w:r>
        <w:t xml:space="preserve">based on whether a listing's current price falls entirely outside its own calibrated interval. It returns a confident call on roughly one listing in five, which means most of the headline figure comes from listings the model will not make a directional call on. This is stated here rather than left to be discovered.</w:t>
      </w:r>
    </w:p>
    <w:tbl>
      <w:tblPr>
        <w:tblStyle w:val="Table"/>
        <w:tblW w:type="pct" w:w="4878"/>
        <w:tblLayout w:type="fixed"/>
        <w:tblLook w:firstRow="1" w:lastRow="0" w:firstColumn="0" w:lastColumn="0" w:noHBand="0" w:noVBand="0" w:val="0020"/>
      </w:tblPr>
      <w:tblGrid>
        <w:gridCol w:w="2800"/>
        <w:gridCol w:w="1448"/>
        <w:gridCol w:w="1448"/>
        <w:gridCol w:w="2028"/>
      </w:tblGrid>
      <w:tr>
        <w:trPr>
          <w:tblHeader w:val="on"/>
        </w:trPr>
        <w:tc>
          <w:tcPr/>
          <w:p>
            <w:pPr>
              <w:pStyle w:val="Compact"/>
              <w:jc w:val="left"/>
            </w:pPr>
            <w:r>
              <w:rPr>
                <w:b/>
                <w:bCs/>
              </w:rPr>
              <w:t xml:space="preserve">Confidence bucket</w:t>
            </w:r>
          </w:p>
        </w:tc>
        <w:tc>
          <w:tcPr/>
          <w:p>
            <w:pPr>
              <w:pStyle w:val="Compact"/>
              <w:jc w:val="left"/>
            </w:pPr>
            <w:r>
              <w:rPr>
                <w:b/>
                <w:bCs/>
              </w:rPr>
              <w:t xml:space="preserve">Listings</w:t>
            </w:r>
          </w:p>
        </w:tc>
        <w:tc>
          <w:tcPr/>
          <w:p>
            <w:pPr>
              <w:pStyle w:val="Compact"/>
              <w:jc w:val="left"/>
            </w:pPr>
            <w:r>
              <w:rPr>
                <w:b/>
                <w:bCs/>
              </w:rPr>
              <w:t xml:space="preserve">Host GBV</w:t>
            </w:r>
          </w:p>
        </w:tc>
        <w:tc>
          <w:tcPr/>
          <w:p>
            <w:pPr>
              <w:pStyle w:val="Compact"/>
              <w:jc w:val="left"/>
            </w:pPr>
            <w:r>
              <w:rPr>
                <w:b/>
                <w:bCs/>
              </w:rPr>
              <w:t xml:space="preserve">Share</w:t>
            </w:r>
          </w:p>
        </w:tc>
      </w:tr>
      <w:tr>
        <w:tc>
          <w:tcPr/>
          <w:p>
            <w:pPr>
              <w:pStyle w:val="Compact"/>
              <w:jc w:val="left"/>
            </w:pPr>
            <w:r>
              <w:t xml:space="preserve">Confident: raise price</w:t>
            </w:r>
          </w:p>
        </w:tc>
        <w:tc>
          <w:tcPr/>
          <w:p>
            <w:pPr>
              <w:pStyle w:val="Compact"/>
              <w:jc w:val="left"/>
            </w:pPr>
            <w:r>
              <w:t xml:space="preserve">449</w:t>
            </w:r>
          </w:p>
        </w:tc>
        <w:tc>
          <w:tcPr/>
          <w:p>
            <w:pPr>
              <w:pStyle w:val="Compact"/>
              <w:jc w:val="left"/>
            </w:pPr>
            <w:r>
              <w:t xml:space="preserve">+$2.79M</w:t>
            </w:r>
          </w:p>
        </w:tc>
        <w:tc>
          <w:tcPr/>
          <w:p>
            <w:pPr>
              <w:pStyle w:val="Compact"/>
              <w:jc w:val="left"/>
            </w:pPr>
            <w:r>
              <w:t xml:space="preserve">n/a</w:t>
            </w:r>
          </w:p>
        </w:tc>
      </w:tr>
      <w:tr>
        <w:tc>
          <w:tcPr/>
          <w:p>
            <w:pPr>
              <w:pStyle w:val="Compact"/>
              <w:jc w:val="left"/>
            </w:pPr>
            <w:r>
              <w:t xml:space="preserve">Confident: lower price</w:t>
            </w:r>
          </w:p>
        </w:tc>
        <w:tc>
          <w:tcPr/>
          <w:p>
            <w:pPr>
              <w:pStyle w:val="Compact"/>
              <w:jc w:val="left"/>
            </w:pPr>
            <w:r>
              <w:t xml:space="preserve">94</w:t>
            </w:r>
          </w:p>
        </w:tc>
        <w:tc>
          <w:tcPr/>
          <w:p>
            <w:pPr>
              <w:pStyle w:val="Compact"/>
              <w:jc w:val="left"/>
            </w:pPr>
            <w:r>
              <w:t xml:space="preserve">−$0.45M</w:t>
            </w:r>
          </w:p>
        </w:tc>
        <w:tc>
          <w:tcPr/>
          <w:p>
            <w:pPr>
              <w:pStyle w:val="Compact"/>
              <w:jc w:val="left"/>
            </w:pPr>
            <w:r>
              <w:t xml:space="preserve">n/a</w:t>
            </w:r>
          </w:p>
        </w:tc>
      </w:tr>
      <w:tr>
        <w:tc>
          <w:tcPr/>
          <w:p>
            <w:pPr>
              <w:pStyle w:val="Compact"/>
              <w:jc w:val="left"/>
            </w:pPr>
            <w:r>
              <w:t xml:space="preserve">Uncertain (inside interval)</w:t>
            </w:r>
          </w:p>
        </w:tc>
        <w:tc>
          <w:tcPr/>
          <w:p>
            <w:pPr>
              <w:pStyle w:val="Compact"/>
              <w:jc w:val="left"/>
            </w:pPr>
            <w:r>
              <w:t xml:space="preserve">3,192</w:t>
            </w:r>
          </w:p>
        </w:tc>
        <w:tc>
          <w:tcPr/>
          <w:p>
            <w:pPr>
              <w:pStyle w:val="Compact"/>
              <w:jc w:val="left"/>
            </w:pPr>
            <w:r>
              <w:t xml:space="preserve">+$5.21M</w:t>
            </w:r>
          </w:p>
        </w:tc>
        <w:tc>
          <w:tcPr/>
          <w:p>
            <w:pPr>
              <w:pStyle w:val="Compact"/>
              <w:jc w:val="left"/>
            </w:pPr>
            <w:r>
              <w:rPr>
                <w:b/>
                <w:bCs/>
              </w:rPr>
              <w:t xml:space="preserve">69% of total</w:t>
            </w:r>
          </w:p>
        </w:tc>
      </w:tr>
    </w:tbl>
    <w:p>
      <w:pPr>
        <w:pStyle w:val="BodyText"/>
      </w:pPr>
      <w:r>
        <w:t xml:space="preserve">Two things follow. First,</w:t>
      </w:r>
      <w:r>
        <w:t xml:space="preserve"> </w:t>
      </w:r>
      <w:r>
        <w:t xml:space="preserve">“Uncertain”</w:t>
      </w:r>
      <w:r>
        <w:t xml:space="preserve"> </w:t>
      </w:r>
      <w:r>
        <w:t xml:space="preserve">is a statement about the width of the interval, not the absence of signal: the revenue math uses q50, the central estimate, which remains the best point estimate for a listing regardless of how wide the band around it is, and the model-noise discount already haircuts the gap for precisely that reason. Second, and more usefully, the confident subset alone is worth</w:t>
      </w:r>
      <w:r>
        <w:t xml:space="preserve"> </w:t>
      </w:r>
      <w:r>
        <w:rPr>
          <w:b/>
          <w:bCs/>
        </w:rPr>
        <w:t xml:space="preserve">$2.34M in host GBV, or $363K/yr in Airbnb fees at full adoption</w:t>
      </w:r>
      <w:r>
        <w:t xml:space="preserve">, against a $65K build and $30K/yr run cost. It clears the funding bar on its own.</w:t>
      </w:r>
    </w:p>
    <w:p>
      <w:pPr>
        <w:pStyle w:val="BodyText"/>
      </w:pPr>
      <w:r>
        <w:t xml:space="preserve">That is the point worth making rather than defending the larger number: the decision to fund does not change whether the reviewer accepts $7.57M or only $2.34M. Both are shown for that reason. Backup slide B4 carries this table if the question comes up live.</w:t>
      </w:r>
    </w:p>
    <w:bookmarkEnd w:id="40"/>
    <w:bookmarkStart w:id="41"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1"/>
    <w:bookmarkEnd w:id="42"/>
    <w:bookmarkEnd w:id="43"/>
    <w:bookmarkStart w:id="51" w:name="the-financial-case-cost-roi-and-timeline"/>
    <w:p>
      <w:pPr>
        <w:pStyle w:val="Heading1"/>
      </w:pPr>
      <w:r>
        <w:t xml:space="preserve">The Financial Case: Cost, ROI, and Timeline</w:t>
      </w:r>
    </w:p>
    <w:bookmarkStart w:id="44"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4"/>
    <w:bookmarkStart w:id="45"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5"/>
    <w:bookmarkStart w:id="46"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rPr>
          <w:b/>
          <w:bCs/>
        </w:rPr>
        <w:t xml:space="preserve">Read this table as a sensitivity, not as the forecast.</w:t>
      </w:r>
      <w:r>
        <w:t xml:space="preserve"> </w:t>
      </w:r>
      <w:r>
        <w:t xml:space="preserve">Each row holds one adoption rate flat for five years, which no product actually does. The presentation leads with the modeled ramp in</w:t>
      </w:r>
      <w:r>
        <w:t xml:space="preserve"> </w:t>
      </w:r>
      <w:r>
        <w:t xml:space="preserve">“Adoption ramp and five-year timeline”</w:t>
      </w:r>
      <w:r>
        <w:t xml:space="preserve"> </w:t>
      </w:r>
      <w:r>
        <w:t xml:space="preserve">below, where adoption starts near 10% and climbs; the deck’s ROI slide and Backup B6 both run on that curve. This table answers</w:t>
      </w:r>
      <w:r>
        <w:t xml:space="preserve"> </w:t>
      </w:r>
      <w:r>
        <w:t xml:space="preserve">“what if adoption settled at X?”</w:t>
      </w:r>
      <w:r>
        <w:t xml:space="preserve">, which is a useful stress test and a different question.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6"/>
    <w:bookmarkStart w:id="47"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w:t>
      </w:r>
    </w:p>
    <w:p>
      <w:pPr>
        <w:pStyle w:val="BodyText"/>
      </w:pPr>
      <w:r>
        <w:rPr>
          <w:b/>
          <w:bCs/>
        </w:rPr>
        <w:t xml:space="preserve">Which five-year figure applies depends on the adoption assumption, and the two are easy to confuse.</w:t>
      </w:r>
      <w:r>
        <w:t xml:space="preserve"> </w:t>
      </w:r>
      <w:r>
        <w:t xml:space="preserve">On the modeled ramp below, which is what the presentation runs on, five-year cumulative net falls from</w:t>
      </w:r>
      <w:r>
        <w:t xml:space="preserve"> </w:t>
      </w:r>
      <w:r>
        <w:rPr>
          <w:b/>
          <w:bCs/>
        </w:rPr>
        <w:t xml:space="preserve">$1.61M nominal to $1.14M in present value</w:t>
      </w:r>
      <w:r>
        <w:t xml:space="preserve">, a haircut of roughly 29%. The larger $5.63M / $4.26M pair in the sensitivity table above is the</w:t>
      </w:r>
      <w:r>
        <w:t xml:space="preserve"> </w:t>
      </w:r>
      <w:r>
        <w:rPr>
          <w:b/>
          <w:bCs/>
        </w:rPr>
        <w:t xml:space="preserve">100% steady-state row</w:t>
      </w:r>
      <w:r>
        <w:t xml:space="preserve">, held constant across all five years, and it is shown for completeness rather than as a forecast. The ramp is the honest number because adoption does not arrive on day one. Either way the project is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7"/>
    <w:bookmarkStart w:id="48"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8"/>
    <w:bookmarkStart w:id="49" w:name="what-this-looks-like-beyond-new-york"/>
    <w:p>
      <w:pPr>
        <w:pStyle w:val="Heading2"/>
      </w:pPr>
      <w:r>
        <w:t xml:space="preserve">What this looks like beyond New York</w:t>
      </w:r>
    </w:p>
    <w:p>
      <w:pPr>
        <w:pStyle w:val="FirstParagraph"/>
      </w:pPr>
      <w:r>
        <w:t xml:space="preserve">The pilot is one market, so the obvious question is what the same mechanism is worth at Airbnb’s scale. The scaling unit is the</w:t>
      </w:r>
      <w:r>
        <w:t xml:space="preserve"> </w:t>
      </w:r>
      <w:r>
        <w:rPr>
          <w:b/>
          <w:bCs/>
        </w:rPr>
        <w:t xml:space="preserve">share of host gross booking value recovered</w:t>
      </w:r>
      <w:r>
        <w:t xml:space="preserve">, not listing count: NYC listings average roughly $33,200 of annual GBV against a global average near $11,400, so scaling per listing overstates the result by about a factor of three.</w:t>
      </w:r>
    </w:p>
    <w:p>
      <w:pPr>
        <w:pStyle w:val="BodyText"/>
      </w:pPr>
      <w:r>
        <w:t xml:space="preserve">In NYC the combined floor of $7.57M sits against</w:t>
      </w:r>
      <w:r>
        <w:t xml:space="preserve"> </w:t>
      </w:r>
      <w:r>
        <w:rPr>
          <w:b/>
          <w:bCs/>
        </w:rPr>
        <w:t xml:space="preserve">$324.0M</w:t>
      </w:r>
      <w:r>
        <w:t xml:space="preserve"> </w:t>
      </w:r>
      <w:r>
        <w:t xml:space="preserve">of annual host GBV across the 9,752 active listings, a recovery rate of</w:t>
      </w:r>
      <w:r>
        <w:t xml:space="preserve"> </w:t>
      </w:r>
      <w:r>
        <w:rPr>
          <w:b/>
          <w:bCs/>
        </w:rPr>
        <w:t xml:space="preserve">2.34%</w:t>
      </w:r>
      <w:r>
        <w:t xml:space="preserve">.</w:t>
      </w:r>
    </w:p>
    <w:tbl>
      <w:tblPr>
        <w:tblStyle w:val="Table"/>
        <w:tblW w:type="pct" w:w="4897"/>
        <w:tblLayout w:type="fixed"/>
        <w:tblLook w:firstRow="1" w:lastRow="0" w:firstColumn="0" w:lastColumn="0" w:noHBand="0" w:noVBand="0" w:val="0020"/>
      </w:tblPr>
      <w:tblGrid>
        <w:gridCol w:w="1714"/>
        <w:gridCol w:w="1224"/>
        <w:gridCol w:w="1632"/>
        <w:gridCol w:w="1551"/>
        <w:gridCol w:w="1632"/>
      </w:tblGrid>
      <w:tr>
        <w:trPr>
          <w:tblHeader w:val="on"/>
        </w:trPr>
        <w:tc>
          <w:tcPr/>
          <w:p>
            <w:pPr>
              <w:pStyle w:val="Compact"/>
              <w:jc w:val="left"/>
            </w:pPr>
            <w:r>
              <w:rPr>
                <w:b/>
                <w:bCs/>
              </w:rPr>
              <w:t xml:space="preserve">Scope</w:t>
            </w:r>
          </w:p>
        </w:tc>
        <w:tc>
          <w:tcPr/>
          <w:p>
            <w:pPr>
              <w:pStyle w:val="Compact"/>
              <w:jc w:val="left"/>
            </w:pPr>
            <w:r>
              <w:rPr>
                <w:b/>
                <w:bCs/>
              </w:rPr>
              <w:t xml:space="preserve">GBV base</w:t>
            </w:r>
          </w:p>
        </w:tc>
        <w:tc>
          <w:tcPr/>
          <w:p>
            <w:pPr>
              <w:pStyle w:val="Compact"/>
              <w:jc w:val="left"/>
            </w:pPr>
            <w:r>
              <w:rPr>
                <w:b/>
                <w:bCs/>
              </w:rPr>
              <w:t xml:space="preserve">Lift at 2.34%</w:t>
            </w:r>
          </w:p>
        </w:tc>
        <w:tc>
          <w:tcPr/>
          <w:p>
            <w:pPr>
              <w:pStyle w:val="Compact"/>
              <w:jc w:val="left"/>
            </w:pPr>
            <w:r>
              <w:rPr>
                <w:b/>
                <w:bCs/>
              </w:rPr>
              <w:t xml:space="preserve">Fee at 15.5%</w:t>
            </w:r>
          </w:p>
        </w:tc>
        <w:tc>
          <w:tcPr/>
          <w:p>
            <w:pPr>
              <w:pStyle w:val="Compact"/>
            </w:pPr>
            <w:r>
              <w:rPr>
                <w:b/>
                <w:bCs/>
              </w:rPr>
              <w:t xml:space="preserve">At 42% adoption</w:t>
            </w:r>
          </w:p>
        </w:tc>
      </w:tr>
      <w:tr>
        <w:tc>
          <w:tcPr/>
          <w:p>
            <w:pPr>
              <w:pStyle w:val="Compact"/>
              <w:jc w:val="left"/>
            </w:pPr>
            <w:r>
              <w:t xml:space="preserve">North America</w:t>
            </w:r>
          </w:p>
        </w:tc>
        <w:tc>
          <w:tcPr/>
          <w:p>
            <w:pPr>
              <w:pStyle w:val="Compact"/>
              <w:jc w:val="left"/>
            </w:pPr>
            <w:r>
              <w:t xml:space="preserve">~$36.5B</w:t>
            </w:r>
          </w:p>
        </w:tc>
        <w:tc>
          <w:tcPr/>
          <w:p>
            <w:pPr>
              <w:pStyle w:val="Compact"/>
              <w:jc w:val="left"/>
            </w:pPr>
            <w:r>
              <w:t xml:space="preserve">~$854M</w:t>
            </w:r>
          </w:p>
        </w:tc>
        <w:tc>
          <w:tcPr/>
          <w:p>
            <w:pPr>
              <w:pStyle w:val="Compact"/>
              <w:jc w:val="left"/>
            </w:pPr>
            <w:r>
              <w:t xml:space="preserve">~$132M/yr</w:t>
            </w:r>
          </w:p>
        </w:tc>
        <w:tc>
          <w:tcPr/>
          <w:p>
            <w:pPr>
              <w:pStyle w:val="Compact"/>
            </w:pPr>
            <w:r>
              <w:t xml:space="preserve">~$55M/yr</w:t>
            </w:r>
          </w:p>
        </w:tc>
      </w:tr>
      <w:tr>
        <w:tc>
          <w:tcPr/>
          <w:p>
            <w:pPr>
              <w:pStyle w:val="Compact"/>
              <w:jc w:val="left"/>
            </w:pPr>
            <w:r>
              <w:t xml:space="preserve">Global</w:t>
            </w:r>
          </w:p>
        </w:tc>
        <w:tc>
          <w:tcPr/>
          <w:p>
            <w:pPr>
              <w:pStyle w:val="Compact"/>
              <w:jc w:val="left"/>
            </w:pPr>
            <w:r>
              <w:t xml:space="preserve">$91.3B</w:t>
            </w:r>
          </w:p>
        </w:tc>
        <w:tc>
          <w:tcPr/>
          <w:p>
            <w:pPr>
              <w:pStyle w:val="Compact"/>
              <w:jc w:val="left"/>
            </w:pPr>
            <w:r>
              <w:t xml:space="preserve">~$2.14B</w:t>
            </w:r>
          </w:p>
        </w:tc>
        <w:tc>
          <w:tcPr/>
          <w:p>
            <w:pPr>
              <w:pStyle w:val="Compact"/>
              <w:jc w:val="left"/>
            </w:pPr>
            <w:r>
              <w:t xml:space="preserve">~$331M/yr</w:t>
            </w:r>
          </w:p>
        </w:tc>
        <w:tc>
          <w:tcPr/>
          <w:p>
            <w:pPr>
              <w:pStyle w:val="Compact"/>
            </w:pPr>
            <w:r>
              <w:t xml:space="preserve">~$139M/yr</w:t>
            </w:r>
          </w:p>
        </w:tc>
      </w:tr>
    </w:tbl>
    <w:p>
      <w:pPr>
        <w:pStyle w:val="BodyText"/>
      </w:pPr>
      <w:r>
        <w:t xml:space="preserve">Airbnb’s disclosed FY2025 gross booking value is $91.3B; North America runs about 42% of revenue. The 42% column uses the same steady-state adoption as the ramp in Section 6, so these figures stay consistent with the deck’s ROI slide and Backup B6.</w:t>
      </w:r>
    </w:p>
    <w:p>
      <w:pPr>
        <w:pStyle w:val="BodyText"/>
      </w:pPr>
      <w:r>
        <w:rPr>
          <w:b/>
          <w:bCs/>
        </w:rPr>
        <w:t xml:space="preserve">Treat this as a ceiling rather than a forecast, and say so.</w:t>
      </w:r>
      <w:r>
        <w:t xml:space="preserve"> </w:t>
      </w:r>
      <w:r>
        <w:t xml:space="preserve">The NYC recovery rate is carried almost entirely by the monthly segment, that segment is 59% of the market largely because Local Law 18 pushed supply into 30-plus-night stays, and most markets have no equivalent concentration of long-stay inventory. On the short-stay side the NYC figure nets close to zero. A market that looks like NYC’s short-stay half would produce dramatically less under the same method.</w:t>
      </w:r>
    </w:p>
    <w:bookmarkEnd w:id="49"/>
    <w:bookmarkStart w:id="50"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the measured β = −0.92 is applied, which absorbs most of the apparent gain.</w:t>
      </w:r>
    </w:p>
    <w:p>
      <w:pPr>
        <w:pStyle w:val="Compact"/>
        <w:numPr>
          <w:ilvl w:val="0"/>
          <w:numId w:val="1003"/>
        </w:numPr>
      </w:pPr>
      <w:r>
        <w:rPr>
          <w:b/>
          <w:bCs/>
        </w:rPr>
        <w:t xml:space="preserve">Underpriced, newer.</w:t>
      </w:r>
      <w:r>
        <w:t xml:space="preserve"> </w:t>
      </w:r>
      <w:r>
        <w:t xml:space="preserve">set to breakeven, claiming zero rather than an unmeasured gain.</w:t>
      </w:r>
    </w:p>
    <w:p>
      <w:pPr>
        <w:pStyle w:val="Compact"/>
        <w:numPr>
          <w:ilvl w:val="0"/>
          <w:numId w:val="1003"/>
        </w:numPr>
      </w:pPr>
      <w:r>
        <w:rPr>
          <w:b/>
          <w:bCs/>
        </w:rPr>
        <w:t xml:space="preserve">Overpriced, established.</w:t>
      </w:r>
      <w:r>
        <w:t xml:space="preserve"> </w:t>
      </w:r>
      <w:r>
        <w:t xml:space="preserve">the full −$0.70M loss is booked rather than hidden.</w:t>
      </w:r>
    </w:p>
    <w:p>
      <w:pPr>
        <w:pStyle w:val="Compact"/>
        <w:numPr>
          <w:ilvl w:val="0"/>
          <w:numId w:val="1003"/>
        </w:numPr>
      </w:pPr>
      <w:r>
        <w:rPr>
          <w:b/>
          <w:bCs/>
        </w:rPr>
        <w:t xml:space="preserve">Overpriced, newer.</w:t>
      </w:r>
      <w:r>
        <w:t xml:space="preserve"> </w:t>
      </w:r>
      <w:r>
        <w:t xml:space="preserve">set to zero, forfeiting a gain that is probable but unproven.</w:t>
      </w:r>
    </w:p>
    <w:p>
      <w:pPr>
        <w:pStyle w:val="Compact"/>
        <w:numPr>
          <w:ilvl w:val="0"/>
          <w:numId w:val="1003"/>
        </w:numPr>
      </w:pPr>
      <w:r>
        <w:rPr>
          <w:b/>
          <w:bCs/>
        </w:rPr>
        <w:t xml:space="preserve">Recovered nights.</w:t>
      </w:r>
      <w:r>
        <w:t xml:space="preserve"> </w:t>
      </w:r>
      <w:r>
        <w:t xml:space="preserve">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the $26.8M ceiling counts underpriced only, so even the stated ceiling is understated.</w:t>
      </w:r>
    </w:p>
    <w:p>
      <w:pPr>
        <w:pStyle w:val="Compact"/>
        <w:numPr>
          <w:ilvl w:val="0"/>
          <w:numId w:val="1003"/>
        </w:numPr>
      </w:pPr>
      <w:r>
        <w:rPr>
          <w:b/>
          <w:bCs/>
        </w:rPr>
        <w:t xml:space="preserve">Time value.</w:t>
      </w:r>
      <w:r>
        <w:t xml:space="preserve"> </w:t>
      </w:r>
      <w:r>
        <w:t xml:space="preserve">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50"/>
    <w:bookmarkEnd w:id="51"/>
    <w:bookmarkStart w:id="52" w:name="where-we-ended-up"/>
    <w:p>
      <w:pPr>
        <w:pStyle w:val="Heading1"/>
      </w:pPr>
      <w:r>
        <w:t xml:space="preserve">Where We Ended Up</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at full adoption, and 77,606 recovered nights</w:t>
      </w:r>
      <w:r>
        <w:t xml:space="preserve">, against a $65K incremental build and $30K/yr run cost. Presented on a modeled adoption ramp rather than a flat rate: roughly 10% uptake in Year 1 climbing to 42% by Year 4, which is cash-positive in Year 1 and returns $1.14M cumulative NPV over five years.</w:t>
      </w:r>
    </w:p>
    <w:p>
      <w:pPr>
        <w:numPr>
          <w:ilvl w:val="0"/>
          <w:numId w:val="1004"/>
        </w:numPr>
      </w:pPr>
      <w:r>
        <w:t xml:space="preserve">A second, harder floor beneath that headline: restricted to the 543 listings the model will make a confident directional call on, the case is</w:t>
      </w:r>
      <w:r>
        <w:t xml:space="preserve"> </w:t>
      </w:r>
      <w:r>
        <w:rPr>
          <w:b/>
          <w:bCs/>
        </w:rPr>
        <w:t xml:space="preserve">$2.34M host GBV / $363K a year in fees</w:t>
      </w:r>
      <w:r>
        <w:t xml:space="preserve">, which still clears the same build and run cost. The funding decision does not depend on which of the two figures a reviewer accepts.</w:t>
      </w:r>
    </w:p>
    <w:p>
      <w:pPr>
        <w:numPr>
          <w:ilvl w:val="0"/>
          <w:numId w:val="1004"/>
        </w:numPr>
      </w:pPr>
      <w:r>
        <w:t xml:space="preserve">A reproduction script (</w:t>
      </w:r>
      <w:r>
        <w:rPr>
          <w:rStyle w:val="VerbatimChar"/>
        </w:rPr>
        <w:t xml:space="preserve">reproduce_revenue_lift.py</w:t>
      </w:r>
      <w:r>
        <w:t xml:space="preserve">) that regenerates the headline figures from committed data to within 0.1%, so the arithmetic behind the business case can be checked directly rather than taken on trust.</w:t>
      </w:r>
    </w:p>
    <w:bookmarkEnd w:id="52"/>
    <w:bookmarkStart w:id="53"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pStyle w:val="BodyText"/>
      </w:pPr>
      <w:r>
        <w:rPr>
          <w:b/>
          <w:bCs/>
        </w:rPr>
        <w:t xml:space="preserve">Why the gap persists, and why that is a fair question.</w:t>
      </w:r>
      <w:r>
        <w:t xml:space="preserve"> </w:t>
      </w:r>
      <w:r>
        <w:t xml:space="preserve">If this is worth building, it is reasonable to ask why Airbnb has not already built it. Three ordinary reasons: Smart Pricing optimises for occupancy and conversion rather than host revenue, and publishing the reasoning would make that visible; an explained price is one a host can dispute or reverse-engineer, which raises support cost; and the pricing model is competitive intellectual property.</w:t>
      </w:r>
    </w:p>
    <w:p>
      <w:pPr>
        <w:pStyle w:val="BodyText"/>
      </w:pPr>
      <w:r>
        <w:t xml:space="preserve">The fourth reason is legal, and it is the one worth preparing for. A tool that shows every host what comparable listings nearby charge, then nudges them upward, resembles the theory behind the RealPage litigation in US rental housing, where a shared pricing algorithm fed by competitor data was alleged to facilitate tacit coordination among landlords. Opacity is a defence against that characterisation.</w:t>
      </w:r>
    </w:p>
    <w:p>
      <w:pPr>
        <w:pStyle w:val="BodyText"/>
      </w:pPr>
      <w:r>
        <w:t xml:space="preserve">The distinctions that matter here: the comparables are prices any guest can already see rather than pooled private data; the tool converges prices toward an estimated fair value in</w:t>
      </w:r>
      <w:r>
        <w:t xml:space="preserve"> </w:t>
      </w:r>
      <w:r>
        <w:rPr>
          <w:b/>
          <w:bCs/>
        </w:rPr>
        <w:t xml:space="preserve">both</w:t>
      </w:r>
      <w:r>
        <w:t xml:space="preserve"> </w:t>
      </w:r>
      <w:r>
        <w:t xml:space="preserve">directions rather than pushing a floor upward, and the overpriced side is booked as a real −$0.70M loss rather than hidden; adoption caps near 42%, so no market moves wholesale; and the host decides, because nothing auto-applies. A production rollout would still want legal review on this specific point, which is a recommendation rather than a caveat.</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3"/>
    <w:bookmarkStart w:id="54"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4"/>
    <w:bookmarkStart w:id="55"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2026-08-06T18:07:53Z</dcterms:created>
  <dcterms:modified xsi:type="dcterms:W3CDTF">2026-08-06T18:07:53Z</dcterms:modified>
</cp:coreProperties>
</file>

<file path=docProps/custom.xml><?xml version="1.0" encoding="utf-8"?>
<Properties xmlns="http://schemas.openxmlformats.org/officeDocument/2006/custom-properties" xmlns:vt="http://schemas.openxmlformats.org/officeDocument/2006/docPropsVTypes"/>
</file>