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NYC Airbnb Fair-Price Model</w:t>
      </w:r>
    </w:p>
    <w:p>
      <w:pPr>
        <w:pStyle w:val="BodyText"/>
      </w:pPr>
      <w:r>
        <w:rPr>
          <w:i/>
          <w:iCs/>
        </w:rPr>
        <w:t xml:space="preserve">Technical Appendix: Development Journey, EDA, and Price Elasticity</w:t>
      </w:r>
    </w:p>
    <w:p>
      <w:pPr>
        <w:pStyle w:val="BodyText"/>
      </w:pPr>
      <w:r>
        <w:t xml:space="preserve">BANA 5160 Capstone · Team 6</w:t>
      </w:r>
      <w:r>
        <w:br/>
      </w:r>
      <w:r>
        <w:t xml:space="preserve">Brendan Meara · Jairam Manikandan · Francois Miaule · Rachael Chin · Manas Manu</w:t>
      </w:r>
    </w:p>
    <w:p>
      <w:pPr>
        <w:pStyle w:val="BodyText"/>
      </w:pPr>
      <w:r>
        <w:rPr>
          <w:i/>
          <w:iCs/>
        </w:rPr>
        <w:t xml:space="preserve">Not part of the timed presentation. Backup for technical Q&amp;A, per faculty guidance. A companion document, Anticipated Questions (Red Team), covers likely challenges with answers prepared in advance.</w:t>
      </w:r>
    </w:p>
    <w:bookmarkStart w:id="9" w:name="how-to-use-this-document-during-qa"/>
    <w:p>
      <w:pPr>
        <w:pStyle w:val="Heading1"/>
      </w:pPr>
      <w:r>
        <w:t xml:space="preserve">How to use this document during Q&amp;A</w:t>
      </w:r>
    </w:p>
    <w:p>
      <w:pPr>
        <w:pStyle w:val="FirstParagraph"/>
      </w:pPr>
      <w:r>
        <w:t xml:space="preserve">Find the section, not the paragraph. Each row below maps a graded presentation component to where its supporting detail lives here.</w:t>
      </w:r>
    </w:p>
    <w:tbl>
      <w:tblPr>
        <w:tblStyle w:val="Table"/>
        <w:tblW w:type="pct" w:w="4896"/>
        <w:tblLayout w:type="fixed"/>
        <w:tblLook w:firstRow="1" w:lastRow="0" w:firstColumn="0" w:lastColumn="0" w:noHBand="0" w:noVBand="0" w:val="0020"/>
      </w:tblPr>
      <w:tblGrid>
        <w:gridCol w:w="3877"/>
        <w:gridCol w:w="3877"/>
      </w:tblGrid>
      <w:tr>
        <w:trPr>
          <w:tblHeader w:val="on"/>
        </w:trPr>
        <w:tc>
          <w:tcPr/>
          <w:p>
            <w:pPr>
              <w:pStyle w:val="Compact"/>
              <w:jc w:val="left"/>
            </w:pPr>
            <w:r>
              <w:rPr>
                <w:b/>
                <w:bCs/>
              </w:rPr>
              <w:t xml:space="preserve">If asked about…</w:t>
            </w:r>
          </w:p>
        </w:tc>
        <w:tc>
          <w:tcPr/>
          <w:p>
            <w:pPr>
              <w:pStyle w:val="Compact"/>
              <w:jc w:val="left"/>
            </w:pPr>
            <w:r>
              <w:rPr>
                <w:b/>
                <w:bCs/>
              </w:rPr>
              <w:t xml:space="preserve">Go to</w:t>
            </w:r>
          </w:p>
        </w:tc>
      </w:tr>
      <w:tr>
        <w:tc>
          <w:tcPr/>
          <w:p>
            <w:pPr>
              <w:pStyle w:val="Compact"/>
              <w:jc w:val="left"/>
            </w:pPr>
            <w:r>
              <w:t xml:space="preserve">Company / industry background, business</w:t>
            </w:r>
            <w:r>
              <w:t xml:space="preserve"> </w:t>
            </w:r>
            <w:r>
              <w:t xml:space="preserve">situation, the key question</w:t>
            </w:r>
          </w:p>
        </w:tc>
        <w:tc>
          <w:tcPr/>
          <w:p>
            <w:pPr>
              <w:pStyle w:val="Compact"/>
              <w:jc w:val="left"/>
            </w:pPr>
            <w:r>
              <w:t xml:space="preserve">Overview; Business Recommendations</w:t>
            </w:r>
          </w:p>
        </w:tc>
      </w:tr>
      <w:tr>
        <w:tc>
          <w:tcPr/>
          <w:p>
            <w:pPr>
              <w:pStyle w:val="Compact"/>
              <w:jc w:val="left"/>
            </w:pPr>
            <w:r>
              <w:t xml:space="preserve">Dataset, cleaning, feature engineering</w:t>
            </w:r>
          </w:p>
        </w:tc>
        <w:tc>
          <w:tcPr/>
          <w:p>
            <w:pPr>
              <w:pStyle w:val="Compact"/>
              <w:jc w:val="left"/>
            </w:pPr>
            <w:r>
              <w:t xml:space="preserve">Overview; Model V1; the separate</w:t>
            </w:r>
            <w:r>
              <w:t xml:space="preserve"> </w:t>
            </w:r>
            <w:r>
              <w:rPr>
                <w:i/>
                <w:iCs/>
              </w:rPr>
              <w:t xml:space="preserve">Data</w:t>
            </w:r>
            <w:r>
              <w:rPr>
                <w:i/>
                <w:iCs/>
              </w:rPr>
              <w:t xml:space="preserve"> </w:t>
            </w:r>
            <w:r>
              <w:rPr>
                <w:i/>
                <w:iCs/>
              </w:rPr>
              <w:t xml:space="preserve">Cleaning Process</w:t>
            </w:r>
            <w:r>
              <w:t xml:space="preserve"> </w:t>
            </w:r>
            <w:r>
              <w:t xml:space="preserve">doc in the repo</w:t>
            </w:r>
          </w:p>
        </w:tc>
      </w:tr>
      <w:tr>
        <w:tc>
          <w:tcPr/>
          <w:p>
            <w:pPr>
              <w:pStyle w:val="Compact"/>
              <w:jc w:val="left"/>
            </w:pPr>
            <w:r>
              <w:t xml:space="preserve">Key variables and relationships (EDA)</w:t>
            </w:r>
          </w:p>
        </w:tc>
        <w:tc>
          <w:tcPr/>
          <w:p>
            <w:pPr>
              <w:pStyle w:val="Compact"/>
              <w:jc w:val="left"/>
            </w:pPr>
            <w:r>
              <w:t xml:space="preserve">Key Variables and Relationships (EDA)</w:t>
            </w:r>
          </w:p>
        </w:tc>
      </w:tr>
      <w:tr>
        <w:tc>
          <w:tcPr/>
          <w:p>
            <w:pPr>
              <w:pStyle w:val="Compact"/>
              <w:jc w:val="left"/>
            </w:pPr>
            <w:r>
              <w:t xml:space="preserve">Model choice, approach, tools:</w:t>
            </w:r>
            <w:r>
              <w:t xml:space="preserve"> </w:t>
            </w:r>
            <w:r>
              <w:t xml:space="preserve">“the how”</w:t>
            </w:r>
          </w:p>
        </w:tc>
        <w:tc>
          <w:tcPr/>
          <w:p>
            <w:pPr>
              <w:pStyle w:val="Compact"/>
              <w:jc w:val="left"/>
            </w:pPr>
            <w:r>
              <w:t xml:space="preserve">Model V1 through Model V4; Reconciling the</w:t>
            </w:r>
            <w:r>
              <w:t xml:space="preserve"> </w:t>
            </w:r>
            <w:r>
              <w:t xml:space="preserve">confidence fix</w:t>
            </w:r>
          </w:p>
        </w:tc>
      </w:tr>
      <w:tr>
        <w:tc>
          <w:tcPr/>
          <w:p>
            <w:pPr>
              <w:pStyle w:val="Compact"/>
              <w:jc w:val="left"/>
            </w:pPr>
            <w:r>
              <w:t xml:space="preserve">Why not just a Random Forest / why OLS first</w:t>
            </w:r>
          </w:p>
        </w:tc>
        <w:tc>
          <w:tcPr/>
          <w:p>
            <w:pPr>
              <w:pStyle w:val="Compact"/>
              <w:jc w:val="left"/>
            </w:pPr>
            <w:r>
              <w:t xml:space="preserve">Model V1 (the diagnostic-vs-accuracy</w:t>
            </w:r>
            <w:r>
              <w:t xml:space="preserve"> </w:t>
            </w:r>
            <w:r>
              <w:t xml:space="preserve">tradeoff); Model V2 bake-off</w:t>
            </w:r>
          </w:p>
        </w:tc>
      </w:tr>
      <w:tr>
        <w:tc>
          <w:tcPr/>
          <w:p>
            <w:pPr>
              <w:pStyle w:val="Compact"/>
              <w:jc w:val="left"/>
            </w:pPr>
            <w:r>
              <w:t xml:space="preserve">Insights and learnings from the model</w:t>
            </w:r>
          </w:p>
        </w:tc>
        <w:tc>
          <w:tcPr/>
          <w:p>
            <w:pPr>
              <w:pStyle w:val="Compact"/>
              <w:jc w:val="left"/>
            </w:pPr>
            <w:r>
              <w:t xml:space="preserve">Does price actually predict occupancy?;</w:t>
            </w:r>
            <w:r>
              <w:t xml:space="preserve"> </w:t>
            </w:r>
            <w:r>
              <w:t xml:space="preserve">Price Elasticity: The AirROI Pilot</w:t>
            </w:r>
          </w:p>
        </w:tc>
      </w:tr>
      <w:tr>
        <w:tc>
          <w:tcPr/>
          <w:p>
            <w:pPr>
              <w:pStyle w:val="Compact"/>
              <w:jc w:val="left"/>
            </w:pPr>
            <w:r>
              <w:t xml:space="preserve">Revenue lift, how the number was built</w:t>
            </w:r>
          </w:p>
        </w:tc>
        <w:tc>
          <w:tcPr/>
          <w:p>
            <w:pPr>
              <w:pStyle w:val="Compact"/>
              <w:jc w:val="left"/>
            </w:pPr>
            <w:r>
              <w:t xml:space="preserve">What this changes financially</w:t>
            </w:r>
          </w:p>
        </w:tc>
      </w:tr>
      <w:tr>
        <w:tc>
          <w:tcPr/>
          <w:p>
            <w:pPr>
              <w:pStyle w:val="Compact"/>
              <w:jc w:val="left"/>
            </w:pPr>
            <w:r>
              <w:t xml:space="preserve">Why short-stay and monthly are separate</w:t>
            </w:r>
            <w:r>
              <w:t xml:space="preserve"> </w:t>
            </w:r>
            <w:r>
              <w:t xml:space="preserve">markets</w:t>
            </w:r>
          </w:p>
        </w:tc>
        <w:tc>
          <w:tcPr/>
          <w:p>
            <w:pPr>
              <w:pStyle w:val="Compact"/>
              <w:jc w:val="left"/>
            </w:pPr>
            <w:r>
              <w:t xml:space="preserve">Model V2,</w:t>
            </w:r>
            <w:r>
              <w:t xml:space="preserve"> </w:t>
            </w:r>
            <w:r>
              <w:t xml:space="preserve">“Why the two markets</w:t>
            </w:r>
            <w:r>
              <w:t xml:space="preserve"> </w:t>
            </w:r>
            <w:r>
              <w:t xml:space="preserve">diverge”</w:t>
            </w:r>
          </w:p>
        </w:tc>
      </w:tr>
      <w:tr>
        <w:tc>
          <w:tcPr/>
          <w:p>
            <w:pPr>
              <w:pStyle w:val="Compact"/>
              <w:jc w:val="left"/>
            </w:pPr>
            <w:r>
              <w:t xml:space="preserve">“Most of your listings are Uncertain”</w:t>
            </w:r>
          </w:p>
        </w:tc>
        <w:tc>
          <w:tcPr/>
          <w:p>
            <w:pPr>
              <w:pStyle w:val="Compact"/>
              <w:jc w:val="left"/>
            </w:pPr>
            <w:r>
              <w:t xml:space="preserve">How much of the figure rests on a</w:t>
            </w:r>
            <w:r>
              <w:t xml:space="preserve"> </w:t>
            </w:r>
            <w:r>
              <w:t xml:space="preserve">confident call</w:t>
            </w:r>
          </w:p>
        </w:tc>
      </w:tr>
      <w:tr>
        <w:tc>
          <w:tcPr/>
          <w:p>
            <w:pPr>
              <w:pStyle w:val="Compact"/>
              <w:jc w:val="left"/>
            </w:pPr>
            <w:r>
              <w:t xml:space="preserve">“Can we check your arithmetic?”</w:t>
            </w:r>
          </w:p>
        </w:tc>
        <w:tc>
          <w:tcPr/>
          <w:p>
            <w:pPr>
              <w:pStyle w:val="Compact"/>
              <w:jc w:val="left"/>
            </w:pPr>
            <w:r>
              <w:t xml:space="preserve">The combined figure, the</w:t>
            </w:r>
            <w:r>
              <w:t xml:space="preserve"> </w:t>
            </w:r>
            <w:r>
              <w:t xml:space="preserve">reproduction script</w:t>
            </w:r>
          </w:p>
        </w:tc>
      </w:tr>
      <w:tr>
        <w:tc>
          <w:tcPr/>
          <w:p>
            <w:pPr>
              <w:pStyle w:val="Compact"/>
              <w:jc w:val="left"/>
            </w:pPr>
            <w:r>
              <w:t xml:space="preserve">Why hasn’t Airbnb built this already?</w:t>
            </w:r>
          </w:p>
        </w:tc>
        <w:tc>
          <w:tcPr/>
          <w:p>
            <w:pPr>
              <w:pStyle w:val="Compact"/>
              <w:jc w:val="left"/>
            </w:pPr>
            <w:r>
              <w:t xml:space="preserve">Business Recommendations,</w:t>
            </w:r>
            <w:r>
              <w:t xml:space="preserve"> </w:t>
            </w:r>
            <w:r>
              <w:t xml:space="preserve">“Why the gap persists”</w:t>
            </w:r>
          </w:p>
        </w:tc>
      </w:tr>
      <w:tr>
        <w:tc>
          <w:tcPr/>
          <w:p>
            <w:pPr>
              <w:pStyle w:val="Compact"/>
              <w:jc w:val="left"/>
            </w:pPr>
            <w:r>
              <w:t xml:space="preserve">What is this worth outside New York?</w:t>
            </w:r>
          </w:p>
        </w:tc>
        <w:tc>
          <w:tcPr/>
          <w:p>
            <w:pPr>
              <w:pStyle w:val="Compact"/>
              <w:jc w:val="left"/>
            </w:pPr>
            <w:r>
              <w:t xml:space="preserve">What this looks like beyond</w:t>
            </w:r>
            <w:r>
              <w:t xml:space="preserve"> </w:t>
            </w:r>
            <w:r>
              <w:t xml:space="preserve">New York</w:t>
            </w:r>
          </w:p>
        </w:tc>
      </w:tr>
      <w:tr>
        <w:tc>
          <w:tcPr/>
          <w:p>
            <w:pPr>
              <w:pStyle w:val="Compact"/>
              <w:jc w:val="left"/>
            </w:pPr>
            <w:r>
              <w:t xml:space="preserve">Cost, ROI, payback, NPV, adoption</w:t>
            </w:r>
          </w:p>
        </w:tc>
        <w:tc>
          <w:tcPr/>
          <w:p>
            <w:pPr>
              <w:pStyle w:val="Compact"/>
              <w:jc w:val="left"/>
            </w:pPr>
            <w:r>
              <w:t xml:space="preserve">The Financial Case: Cost, ROI, and Timeline</w:t>
            </w:r>
          </w:p>
        </w:tc>
      </w:tr>
      <w:tr>
        <w:tc>
          <w:tcPr/>
          <w:p>
            <w:pPr>
              <w:pStyle w:val="Compact"/>
              <w:jc w:val="left"/>
            </w:pPr>
            <w:r>
              <w:t xml:space="preserve">Challenges, caveats, data mitigation</w:t>
            </w:r>
          </w:p>
        </w:tc>
        <w:tc>
          <w:tcPr/>
          <w:p>
            <w:pPr>
              <w:pStyle w:val="Compact"/>
              <w:jc w:val="left"/>
            </w:pPr>
            <w:r>
              <w:t xml:space="preserve">Limitations, stated directly; Limitations</w:t>
            </w:r>
            <w:r>
              <w:t xml:space="preserve"> </w:t>
            </w:r>
            <w:r>
              <w:t xml:space="preserve">Carried Forward; Why this is a floor</w:t>
            </w:r>
          </w:p>
        </w:tc>
      </w:tr>
      <w:tr>
        <w:tc>
          <w:tcPr/>
          <w:p>
            <w:pPr>
              <w:pStyle w:val="Compact"/>
              <w:jc w:val="left"/>
            </w:pPr>
            <w:r>
              <w:t xml:space="preserve">Recommendations and next steps</w:t>
            </w:r>
          </w:p>
        </w:tc>
        <w:tc>
          <w:tcPr/>
          <w:p>
            <w:pPr>
              <w:pStyle w:val="Compact"/>
              <w:jc w:val="left"/>
            </w:pPr>
            <w:r>
              <w:t xml:space="preserve">Business Recommendations</w:t>
            </w:r>
          </w:p>
        </w:tc>
      </w:tr>
      <w:tr>
        <w:tc>
          <w:tcPr/>
          <w:p>
            <w:pPr>
              <w:pStyle w:val="Compact"/>
              <w:jc w:val="left"/>
            </w:pPr>
            <w:r>
              <w:t xml:space="preserve">Relevance to our careers</w:t>
            </w:r>
          </w:p>
        </w:tc>
        <w:tc>
          <w:tcPr/>
          <w:p>
            <w:pPr>
              <w:pStyle w:val="Compact"/>
              <w:jc w:val="left"/>
            </w:pPr>
            <w:r>
              <w:t xml:space="preserve">Relevance to the Team</w:t>
            </w:r>
          </w:p>
        </w:tc>
      </w:tr>
    </w:tbl>
    <w:p>
      <w:pPr>
        <w:pStyle w:val="BodyText"/>
      </w:pPr>
      <w:r>
        <w:rPr>
          <w:b/>
          <w:bCs/>
        </w:rPr>
        <w:t xml:space="preserve">The four questions most likely to be hard</w:t>
      </w:r>
      <w:r>
        <w:t xml:space="preserve">, with the short answer and where the long one lives:</w:t>
      </w:r>
    </w:p>
    <w:p>
      <w:pPr>
        <w:pStyle w:val="Compact"/>
        <w:numPr>
          <w:ilvl w:val="0"/>
          <w:numId w:val="1001"/>
        </w:numPr>
      </w:pPr>
      <w:r>
        <w:rPr>
          <w:i/>
          <w:iCs/>
        </w:rPr>
        <w:t xml:space="preserve">“Isn't your revenue number essentially just the monthly listings?”</w:t>
      </w:r>
      <w:r>
        <w:t xml:space="preserve"> </w:t>
      </w:r>
      <w:r>
        <w:t xml:space="preserve">Yes. See</w:t>
      </w:r>
      <w:r>
        <w:t xml:space="preserve"> </w:t>
      </w:r>
      <w:r>
        <w:t xml:space="preserve">“The softest spot, stated before anyone finds it.”</w:t>
      </w:r>
    </w:p>
    <w:p>
      <w:pPr>
        <w:pStyle w:val="Compact"/>
        <w:numPr>
          <w:ilvl w:val="0"/>
          <w:numId w:val="1001"/>
        </w:numPr>
      </w:pPr>
      <w:r>
        <w:rPr>
          <w:i/>
          <w:iCs/>
        </w:rPr>
        <w:t xml:space="preserve">“Why should we believe a $65K cost estimate you produced yourselves?”</w:t>
      </w:r>
      <w:r>
        <w:t xml:space="preserve"> </w:t>
      </w:r>
      <w:r>
        <w:t xml:space="preserve">See</w:t>
      </w:r>
      <w:r>
        <w:t xml:space="preserve"> </w:t>
      </w:r>
      <w:r>
        <w:t xml:space="preserve">“Incremental, not greenfield,”</w:t>
      </w:r>
      <w:r>
        <w:t xml:space="preserve"> </w:t>
      </w:r>
      <w:r>
        <w:t xml:space="preserve">including the honest caveat about which figure is externally sourced.</w:t>
      </w:r>
    </w:p>
    <w:p>
      <w:pPr>
        <w:pStyle w:val="Compact"/>
        <w:numPr>
          <w:ilvl w:val="0"/>
          <w:numId w:val="1001"/>
        </w:numPr>
      </w:pPr>
      <w:r>
        <w:rPr>
          <w:i/>
          <w:iCs/>
        </w:rPr>
        <w:t xml:space="preserve">“Your elasticity comes from 64 listings. Isn't that a huge extrapolation?”</w:t>
      </w:r>
      <w:r>
        <w:t xml:space="preserve"> </w:t>
      </w:r>
      <w:r>
        <w:t xml:space="preserve">Yes, and it is applied only to the tier it was measured on. See</w:t>
      </w:r>
      <w:r>
        <w:t xml:space="preserve"> </w:t>
      </w:r>
      <w:r>
        <w:t xml:space="preserve">“Why the coefficient is not applied uniformly.”</w:t>
      </w:r>
    </w:p>
    <w:p>
      <w:pPr>
        <w:pStyle w:val="Compact"/>
        <w:numPr>
          <w:ilvl w:val="0"/>
          <w:numId w:val="1001"/>
        </w:numPr>
      </w:pPr>
      <w:r>
        <w:rPr>
          <w:i/>
          <w:iCs/>
        </w:rPr>
        <w:t xml:space="preserve">“Your model says Uncertain for most listings. How much of the $7.6M rests on calls you can't actually make?”</w:t>
      </w:r>
      <w:r>
        <w:t xml:space="preserve"> </w:t>
      </w:r>
      <w:r>
        <w:t xml:space="preserve">69% of it. The confident subset alone is $2.34M host GBV / $363K a year in fees, which still funds the build. See</w:t>
      </w:r>
      <w:r>
        <w:t xml:space="preserve"> </w:t>
      </w:r>
      <w:r>
        <w:t xml:space="preserve">“How much of the figure rests on a confident call.”</w:t>
      </w:r>
    </w:p>
    <w:bookmarkEnd w:id="9"/>
    <w:bookmarkStart w:id="10" w:name="overview"/>
    <w:p>
      <w:pPr>
        <w:pStyle w:val="Heading1"/>
      </w:pPr>
      <w:r>
        <w:t xml:space="preserve">Overview</w:t>
      </w:r>
    </w:p>
    <w:p>
      <w:pPr>
        <w:pStyle w:val="FirstParagraph"/>
      </w:pPr>
      <w:r>
        <w:t xml:space="preserve">This document traces the full development history of the NYC Airbnb Fair-Price Model, from the Model V1 baseline through the current GBM-based deliverable, the interactive host-facing tools, and the real-price scraper. It documents what was tried at each stage, why it was accepted or abandoned, and what we ultimately settled on for the final product. The dataset throughout is Inside Airbnb NYC, snapshot June 14, 2026: 30,259 raw listings filtered to 9,752 active listings (price &gt; 0, availability &gt; 0, at least one review in the trailing 12 months).</w:t>
      </w:r>
    </w:p>
    <w:p>
      <w:pPr>
        <w:pStyle w:val="BodyText"/>
      </w:pPr>
      <w:r>
        <w:rPr>
          <w:b/>
          <w:bCs/>
        </w:rPr>
        <w:t xml:space="preserve">Why Inside Airbnb rather than the assigned dataset.</w:t>
      </w:r>
      <w:r>
        <w:t xml:space="preserve"> </w:t>
      </w:r>
      <w:r>
        <w:t xml:space="preserve">The project was originally assigned a Kaggle NYC Airbnb dataset. It was evaluated and rejected on two grounds: it is feature-poor relative to what a pricing model needs, and it is dated. Inside Airbnb publishes a current, dated snapshot with the amenity, review-score, host and calendar-availability fields the fair-value model depends on, and it is a cited, non-commercial primary source rather than a redistribution. Changing datasets at the outset is the reason the model has 80 engineered features to work with at all; the assigned set would not have supported the amenity-gap layer or the occupancy work. The one thing neither source provides is per-listing price and occupancy history over time, which is what the AirROI pilot and the scraper below exist to address.</w:t>
      </w:r>
    </w:p>
    <w:p>
      <w:pPr>
        <w:pStyle w:val="BodyText"/>
      </w:pPr>
      <w:r>
        <w:t xml:space="preserve">Business case: hosts have no objective way to know whether they are over- or under-priced, or what to change about the listing itself. Verified occupancy runs highest among Individual hosts (44.1%) and declines with operator scale (Small-Multi 37.8%, Mid-Multi 32.6%, Enterprise 30.0%), so individual hosts already hold strong demand and the product's role is to price that demand correctly rather than to fix an occupancy shortfall. (An earlier framing of this project claimed the opposite relationship; see</w:t>
      </w:r>
      <w:r>
        <w:t xml:space="preserve"> </w:t>
      </w:r>
      <w:r>
        <w:t xml:space="preserve">“Occupancy by host tier: a corrected finding”</w:t>
      </w:r>
      <w:r>
        <w:t xml:space="preserve"> </w:t>
      </w:r>
      <w:r>
        <w:t xml:space="preserve">below for the correction and how it was verified.) The product (Option C, a Revenue Optimizer) is a two-layer host-facing diagnostic: (1) a fair-value pricing engine that quantifies the mispricing signal, and (2) a comparable-cohort benchmarking layer that explains the gap in terms of concrete peer occupancy and amenity differences.</w:t>
      </w:r>
    </w:p>
    <w:bookmarkEnd w:id="10"/>
    <w:bookmarkStart w:id="11" w:name="model-v1-log-linear-ols-baseline"/>
    <w:p>
      <w:pPr>
        <w:pStyle w:val="Heading1"/>
      </w:pPr>
      <w:r>
        <w:t xml:space="preserve">Model V1: Log-Linear OLS Baseline</w:t>
      </w:r>
    </w:p>
    <w:p>
      <w:pPr>
        <w:pStyle w:val="FirstParagraph"/>
      </w:pPr>
      <w:r>
        <w:t xml:space="preserve">The starting model was a log-linear Ordinary Least Squares regression on nightly price. Raw price skewness was 7.36; after the log transform it fell to 0.27, strongly supporting the log-linear specification. Inputs were borough, room type, capacity variables (max guests, bedrooms, beds, bathrooms), the 20 highest-frequency amenity binary flags, seven review sub-scores, and host tier. Evaluation used a fixed 80/20 train/test split (random_state=42).</w:t>
      </w:r>
    </w:p>
    <w:tbl>
      <w:tblPr>
        <w:tblStyle w:val="Table"/>
        <w:tblW w:type="pct" w:w="4891"/>
        <w:tblLayout w:type="fixed"/>
        <w:tblLook w:firstRow="1" w:lastRow="0" w:firstColumn="0" w:lastColumn="0" w:noHBand="0" w:noVBand="0" w:val="0020"/>
      </w:tblPr>
      <w:tblGrid>
        <w:gridCol w:w="2238"/>
        <w:gridCol w:w="1291"/>
        <w:gridCol w:w="1463"/>
        <w:gridCol w:w="1291"/>
        <w:gridCol w:w="1463"/>
      </w:tblGrid>
      <w:tr>
        <w:trPr>
          <w:tblHeader w:val="on"/>
        </w:trPr>
        <w:tc>
          <w:tcPr/>
          <w:p>
            <w:pPr>
              <w:pStyle w:val="Compact"/>
              <w:jc w:val="left"/>
            </w:pPr>
            <w:r>
              <w:rPr>
                <w:b/>
                <w:bCs/>
              </w:rPr>
              <w:t xml:space="preserve">Model</w:t>
            </w:r>
          </w:p>
        </w:tc>
        <w:tc>
          <w:tcPr/>
          <w:p>
            <w:pPr>
              <w:pStyle w:val="Compact"/>
              <w:jc w:val="left"/>
            </w:pPr>
            <w:r>
              <w:rPr>
                <w:b/>
                <w:bCs/>
              </w:rPr>
              <w:t xml:space="preserve">MAE</w:t>
            </w:r>
          </w:p>
        </w:tc>
        <w:tc>
          <w:tcPr/>
          <w:p>
            <w:pPr>
              <w:pStyle w:val="Compact"/>
              <w:jc w:val="left"/>
            </w:pPr>
            <w:r>
              <w:rPr>
                <w:b/>
                <w:bCs/>
              </w:rPr>
              <w:t xml:space="preserve">R² (price)</w:t>
            </w:r>
          </w:p>
        </w:tc>
        <w:tc>
          <w:tcPr/>
          <w:p>
            <w:pPr>
              <w:pStyle w:val="Compact"/>
              <w:jc w:val="left"/>
            </w:pPr>
            <w:r>
              <w:rPr>
                <w:b/>
                <w:bCs/>
              </w:rPr>
              <w:t xml:space="preserve">R² (log)</w:t>
            </w:r>
          </w:p>
        </w:tc>
        <w:tc>
          <w:tcPr/>
          <w:p>
            <w:pPr>
              <w:pStyle w:val="Compact"/>
              <w:jc w:val="left"/>
            </w:pPr>
            <w:r>
              <w:rPr>
                <w:b/>
                <w:bCs/>
              </w:rPr>
              <w:t xml:space="preserve">Median APE</w:t>
            </w:r>
          </w:p>
        </w:tc>
      </w:tr>
      <w:tr>
        <w:tc>
          <w:tcPr/>
          <w:p>
            <w:pPr>
              <w:pStyle w:val="Compact"/>
              <w:jc w:val="left"/>
            </w:pPr>
            <w:r>
              <w:t xml:space="preserve">Log-linear OLS (chosen)</w:t>
            </w:r>
          </w:p>
        </w:tc>
        <w:tc>
          <w:tcPr/>
          <w:p>
            <w:pPr>
              <w:pStyle w:val="Compact"/>
              <w:jc w:val="left"/>
            </w:pPr>
            <w:r>
              <w:t xml:space="preserve">$113.22</w:t>
            </w:r>
          </w:p>
        </w:tc>
        <w:tc>
          <w:tcPr/>
          <w:p>
            <w:pPr>
              <w:pStyle w:val="Compact"/>
              <w:jc w:val="left"/>
            </w:pPr>
            <w:r>
              <w:t xml:space="preserve">0.243</w:t>
            </w:r>
          </w:p>
        </w:tc>
        <w:tc>
          <w:tcPr/>
          <w:p>
            <w:pPr>
              <w:pStyle w:val="Compact"/>
              <w:jc w:val="left"/>
            </w:pPr>
            <w:r>
              <w:t xml:space="preserve">0.486</w:t>
            </w:r>
          </w:p>
        </w:tc>
        <w:tc>
          <w:tcPr/>
          <w:p>
            <w:pPr>
              <w:pStyle w:val="Compact"/>
              <w:jc w:val="left"/>
            </w:pPr>
            <w:r>
              <w:t xml:space="preserve">39.2%</w:t>
            </w:r>
          </w:p>
        </w:tc>
      </w:tr>
      <w:tr>
        <w:tc>
          <w:tcPr/>
          <w:p>
            <w:pPr>
              <w:pStyle w:val="Compact"/>
              <w:jc w:val="left"/>
            </w:pPr>
            <w:r>
              <w:t xml:space="preserve">Random Forest</w:t>
            </w:r>
          </w:p>
        </w:tc>
        <w:tc>
          <w:tcPr/>
          <w:p>
            <w:pPr>
              <w:pStyle w:val="Compact"/>
              <w:jc w:val="left"/>
            </w:pPr>
            <w:r>
              <w:t xml:space="preserve">$92.94</w:t>
            </w:r>
          </w:p>
        </w:tc>
        <w:tc>
          <w:tcPr/>
          <w:p>
            <w:pPr>
              <w:pStyle w:val="Compact"/>
              <w:jc w:val="left"/>
            </w:pPr>
            <w:r>
              <w:t xml:space="preserve">0.506</w:t>
            </w:r>
          </w:p>
        </w:tc>
        <w:tc>
          <w:tcPr/>
          <w:p>
            <w:pPr>
              <w:pStyle w:val="Compact"/>
              <w:jc w:val="left"/>
            </w:pPr>
            <w:r>
              <w:t xml:space="preserve">0.619</w:t>
            </w:r>
          </w:p>
        </w:tc>
        <w:tc>
          <w:tcPr/>
          <w:p>
            <w:pPr>
              <w:pStyle w:val="Compact"/>
              <w:jc w:val="left"/>
            </w:pPr>
            <w:r>
              <w:t xml:space="preserve">29.3%</w:t>
            </w:r>
          </w:p>
        </w:tc>
      </w:tr>
    </w:tbl>
    <w:p>
      <w:pPr>
        <w:pStyle w:val="BodyText"/>
      </w:pPr>
      <w:r>
        <w:t xml:space="preserve">Random Forest was the stronger raw predictor, but OLS was retained as the product model: it is transparent (every coefficient reads as a plain percentage price effect via eᶜᵒᵉᶠ − 1), stable under the severe price skew via the log transform and Duan-smearing retransformation, guarantees positive price predictions, and produces the interpretable per-listing residual the product depends on. A flexible model like Random Forest will bend to explain away a genuine pricing gap, absorbing mispricing into the prediction rather than leaving it visible in the residual, which defeats the purpose of a diagnostic product. A 5-fold cross-validated Ridge penalty was tested as a robustness check at this feature set and returned an essentially identical R² (0.243 / 0.486), confirming the model was not unstable under the correlated review-score features at this stage.</w:t>
      </w:r>
    </w:p>
    <w:p>
      <w:pPr>
        <w:pStyle w:val="BodyText"/>
      </w:pPr>
      <w:r>
        <w:t xml:space="preserve">The residual is defined as actual nightly price minus OLS-predicted fair price, produced from five-fold out-of-fold predictions so no listing is scored by a model trained on itself. V1 flagged several open issues carried into V2: 58.9% of the dataset are monthly-rental listings (min_nights &gt; 28) averaging $162.73/night versus $376.82 for short-stay, mixing them distorts every coefficient; some amenity coefficients had implausible signs (e.g., a negative effect for hot water), suspected to be confounded with monthly-rental status; the KNN comparable-listing layer had not yet been built; and BERT sentiment scores, already computed from review text, were not yet used as a model input.</w:t>
      </w:r>
    </w:p>
    <w:bookmarkEnd w:id="11"/>
    <w:bookmarkStart w:id="17" w:name="model-v2-ridge-knn-segment-split"/>
    <w:p>
      <w:pPr>
        <w:pStyle w:val="Heading1"/>
      </w:pPr>
      <w:r>
        <w:t xml:space="preserve">Model V2: Ridge + KNN, Segment-Split</w:t>
      </w:r>
    </w:p>
    <w:bookmarkStart w:id="12" w:name="feature-expansion-and-the-model-bake-off"/>
    <w:p>
      <w:pPr>
        <w:pStyle w:val="Heading2"/>
      </w:pPr>
      <w:r>
        <w:t xml:space="preserve">Feature expansion and the model bake-off</w:t>
      </w:r>
    </w:p>
    <w:p>
      <w:pPr>
        <w:pStyle w:val="FirstParagraph"/>
      </w:pPr>
      <w:r>
        <w:t xml:space="preserve">Before committing to a new model family, the team ran a systematic bake-off: six model types (OLS, Ridge, Elastic Net, Huber, Gamma GLM, Random Forest) across three data segments, 18 runs total, on an identical expanded feature set. The goal was to prove the final choice was defensible rather than a guess.</w:t>
      </w:r>
    </w:p>
    <w:tbl>
      <w:tblPr>
        <w:tblStyle w:val="Table"/>
        <w:tblW w:type="pct" w:w="4881"/>
        <w:tblLayout w:type="fixed"/>
        <w:tblLook w:firstRow="1" w:lastRow="0" w:firstColumn="0" w:lastColumn="0" w:noHBand="0" w:noVBand="0" w:val="0020"/>
      </w:tblPr>
      <w:tblGrid>
        <w:gridCol w:w="2640"/>
        <w:gridCol w:w="1697"/>
        <w:gridCol w:w="1697"/>
        <w:gridCol w:w="1697"/>
      </w:tblGrid>
      <w:tr>
        <w:trPr>
          <w:tblHeader w:val="on"/>
        </w:trPr>
        <w:tc>
          <w:tcPr/>
          <w:p>
            <w:pPr>
              <w:pStyle w:val="Compact"/>
              <w:jc w:val="left"/>
            </w:pPr>
            <w:r>
              <w:rPr>
                <w:b/>
                <w:bCs/>
              </w:rPr>
              <w:t xml:space="preserve">Model</w:t>
            </w:r>
          </w:p>
        </w:tc>
        <w:tc>
          <w:tcPr/>
          <w:p>
            <w:pPr>
              <w:pStyle w:val="Compact"/>
              <w:jc w:val="left"/>
            </w:pPr>
            <w:r>
              <w:rPr>
                <w:b/>
                <w:bCs/>
              </w:rPr>
              <w:t xml:space="preserve">R² (log)</w:t>
            </w:r>
          </w:p>
        </w:tc>
        <w:tc>
          <w:tcPr/>
          <w:p>
            <w:pPr>
              <w:pStyle w:val="Compact"/>
              <w:jc w:val="left"/>
            </w:pPr>
            <w:r>
              <w:rPr>
                <w:b/>
                <w:bCs/>
              </w:rPr>
              <w:t xml:space="preserve">MAE</w:t>
            </w:r>
          </w:p>
        </w:tc>
        <w:tc>
          <w:tcPr/>
          <w:p>
            <w:pPr>
              <w:pStyle w:val="Compact"/>
              <w:jc w:val="left"/>
            </w:pPr>
            <w:r>
              <w:rPr>
                <w:b/>
                <w:bCs/>
              </w:rPr>
              <w:t xml:space="preserve">Median APE</w:t>
            </w:r>
          </w:p>
        </w:tc>
      </w:tr>
      <w:tr>
        <w:tc>
          <w:tcPr/>
          <w:p>
            <w:pPr>
              <w:pStyle w:val="Compact"/>
              <w:jc w:val="left"/>
            </w:pPr>
            <w:r>
              <w:t xml:space="preserve">Random Forest (benchmark)</w:t>
            </w:r>
          </w:p>
        </w:tc>
        <w:tc>
          <w:tcPr/>
          <w:p>
            <w:pPr>
              <w:pStyle w:val="Compact"/>
              <w:jc w:val="left"/>
            </w:pPr>
            <w:r>
              <w:t xml:space="preserve">0.782</w:t>
            </w:r>
          </w:p>
        </w:tc>
        <w:tc>
          <w:tcPr/>
          <w:p>
            <w:pPr>
              <w:pStyle w:val="Compact"/>
              <w:jc w:val="left"/>
            </w:pPr>
            <w:r>
              <w:t xml:space="preserve">$75</w:t>
            </w:r>
          </w:p>
        </w:tc>
        <w:tc>
          <w:tcPr/>
          <w:p>
            <w:pPr>
              <w:pStyle w:val="Compact"/>
              <w:jc w:val="left"/>
            </w:pPr>
            <w:r>
              <w:t xml:space="preserve">20.8%</w:t>
            </w:r>
          </w:p>
        </w:tc>
      </w:tr>
      <w:tr>
        <w:tc>
          <w:tcPr/>
          <w:p>
            <w:pPr>
              <w:pStyle w:val="Compact"/>
              <w:jc w:val="left"/>
            </w:pPr>
            <w:r>
              <w:t xml:space="preserve">Ridge (chosen)</w:t>
            </w:r>
          </w:p>
        </w:tc>
        <w:tc>
          <w:tcPr/>
          <w:p>
            <w:pPr>
              <w:pStyle w:val="Compact"/>
              <w:jc w:val="left"/>
            </w:pPr>
            <w:r>
              <w:t xml:space="preserve">0.752</w:t>
            </w:r>
          </w:p>
        </w:tc>
        <w:tc>
          <w:tcPr/>
          <w:p>
            <w:pPr>
              <w:pStyle w:val="Compact"/>
              <w:jc w:val="left"/>
            </w:pPr>
            <w:r>
              <w:t xml:space="preserve">$81</w:t>
            </w:r>
          </w:p>
        </w:tc>
        <w:tc>
          <w:tcPr/>
          <w:p>
            <w:pPr>
              <w:pStyle w:val="Compact"/>
              <w:jc w:val="left"/>
            </w:pPr>
            <w:r>
              <w:t xml:space="preserve">23.8%</w:t>
            </w:r>
          </w:p>
        </w:tc>
      </w:tr>
      <w:tr>
        <w:tc>
          <w:tcPr/>
          <w:p>
            <w:pPr>
              <w:pStyle w:val="Compact"/>
              <w:jc w:val="left"/>
            </w:pPr>
            <w:r>
              <w:t xml:space="preserve">OLS</w:t>
            </w:r>
          </w:p>
        </w:tc>
        <w:tc>
          <w:tcPr/>
          <w:p>
            <w:pPr>
              <w:pStyle w:val="Compact"/>
              <w:jc w:val="left"/>
            </w:pPr>
            <w:r>
              <w:t xml:space="preserve">0.751</w:t>
            </w:r>
          </w:p>
        </w:tc>
        <w:tc>
          <w:tcPr/>
          <w:p>
            <w:pPr>
              <w:pStyle w:val="Compact"/>
              <w:jc w:val="left"/>
            </w:pPr>
            <w:r>
              <w:t xml:space="preserve">$81</w:t>
            </w:r>
          </w:p>
        </w:tc>
        <w:tc>
          <w:tcPr/>
          <w:p>
            <w:pPr>
              <w:pStyle w:val="Compact"/>
              <w:jc w:val="left"/>
            </w:pPr>
            <w:r>
              <w:t xml:space="preserve">23.7%</w:t>
            </w:r>
          </w:p>
        </w:tc>
      </w:tr>
      <w:tr>
        <w:tc>
          <w:tcPr/>
          <w:p>
            <w:pPr>
              <w:pStyle w:val="Compact"/>
              <w:jc w:val="left"/>
            </w:pPr>
            <w:r>
              <w:t xml:space="preserve">Huber (robust)</w:t>
            </w:r>
          </w:p>
        </w:tc>
        <w:tc>
          <w:tcPr/>
          <w:p>
            <w:pPr>
              <w:pStyle w:val="Compact"/>
              <w:jc w:val="left"/>
            </w:pPr>
            <w:r>
              <w:t xml:space="preserve">0.749</w:t>
            </w:r>
          </w:p>
        </w:tc>
        <w:tc>
          <w:tcPr/>
          <w:p>
            <w:pPr>
              <w:pStyle w:val="Compact"/>
              <w:jc w:val="left"/>
            </w:pPr>
            <w:r>
              <w:t xml:space="preserve">$81</w:t>
            </w:r>
          </w:p>
        </w:tc>
        <w:tc>
          <w:tcPr/>
          <w:p>
            <w:pPr>
              <w:pStyle w:val="Compact"/>
              <w:jc w:val="left"/>
            </w:pPr>
            <w:r>
              <w:t xml:space="preserve">23.5%</w:t>
            </w:r>
          </w:p>
        </w:tc>
      </w:tr>
      <w:tr>
        <w:tc>
          <w:tcPr/>
          <w:p>
            <w:pPr>
              <w:pStyle w:val="Compact"/>
              <w:jc w:val="left"/>
            </w:pPr>
            <w:r>
              <w:t xml:space="preserve">Gamma GLM</w:t>
            </w:r>
          </w:p>
        </w:tc>
        <w:tc>
          <w:tcPr/>
          <w:p>
            <w:pPr>
              <w:pStyle w:val="Compact"/>
              <w:jc w:val="left"/>
            </w:pPr>
            <w:r>
              <w:t xml:space="preserve">0.746</w:t>
            </w:r>
          </w:p>
        </w:tc>
        <w:tc>
          <w:tcPr/>
          <w:p>
            <w:pPr>
              <w:pStyle w:val="Compact"/>
              <w:jc w:val="left"/>
            </w:pPr>
            <w:r>
              <w:t xml:space="preserve">$83</w:t>
            </w:r>
          </w:p>
        </w:tc>
        <w:tc>
          <w:tcPr/>
          <w:p>
            <w:pPr>
              <w:pStyle w:val="Compact"/>
              <w:jc w:val="left"/>
            </w:pPr>
            <w:r>
              <w:t xml:space="preserve">23.5%</w:t>
            </w:r>
          </w:p>
        </w:tc>
      </w:tr>
      <w:tr>
        <w:tc>
          <w:tcPr/>
          <w:p>
            <w:pPr>
              <w:pStyle w:val="Compact"/>
              <w:jc w:val="left"/>
            </w:pPr>
            <w:r>
              <w:t xml:space="preserve">Elastic Net</w:t>
            </w:r>
          </w:p>
        </w:tc>
        <w:tc>
          <w:tcPr/>
          <w:p>
            <w:pPr>
              <w:pStyle w:val="Compact"/>
              <w:jc w:val="left"/>
            </w:pPr>
            <w:r>
              <w:t xml:space="preserve">0.745</w:t>
            </w:r>
          </w:p>
        </w:tc>
        <w:tc>
          <w:tcPr/>
          <w:p>
            <w:pPr>
              <w:pStyle w:val="Compact"/>
              <w:jc w:val="left"/>
            </w:pPr>
            <w:r>
              <w:t xml:space="preserve">$82</w:t>
            </w:r>
          </w:p>
        </w:tc>
        <w:tc>
          <w:tcPr/>
          <w:p>
            <w:pPr>
              <w:pStyle w:val="Compact"/>
              <w:jc w:val="left"/>
            </w:pPr>
            <w:r>
              <w:t xml:space="preserve">24.5%</w:t>
            </w:r>
          </w:p>
        </w:tc>
      </w:tr>
    </w:tbl>
    <w:p>
      <w:pPr>
        <w:pStyle w:val="BodyText"/>
      </w:pPr>
      <w:r>
        <w:t xml:space="preserve">Two findings drove the V2 decision. First, features mattered far more than model choice: adding neighborhood (206 levels) and property_type to the feature set lifted R² from 0.49 to 0.75 and cut median error from 39.2% to 23.7%, on their own, before any model-family change. Once that richer feature set was in place, every rigid model fell within one percentage point of the others (R² 0.745–0.752), confirming the result was robust to model choice, not an artifact of picking the right algorithm.</w:t>
      </w:r>
    </w:p>
    <w:p>
      <w:pPr>
        <w:pStyle w:val="BodyText"/>
      </w:pPr>
      <w:r>
        <w:t xml:space="preserve">Second, that same richer, more correlated feature set made plain OLS produce unstable, implausible coefficients (the negative hot-water effect noted in V1 did not resolve on its own and worsened), so the team switched to Ridge regression. At equal accuracy to OLS, Ridge produced coefficients that were two to three times more stable and removed implausible signs. Since the product is a diagnostic in which the coefficients are the host-facing advice, coefficient quality mattered more than the last percentage point of raw accuracy, which is why Ridge was chosen over the numerically stronger Random Forest as well: Random Forest remained the accuracy-ceiling benchmark only, never the residual-generating product model, for the same reason articulated in V1.</w:t>
      </w:r>
    </w:p>
    <w:bookmarkEnd w:id="12"/>
    <w:bookmarkStart w:id="13" w:name="knn-comparable-listing-layer"/>
    <w:p>
      <w:pPr>
        <w:pStyle w:val="Heading2"/>
      </w:pPr>
      <w:r>
        <w:t xml:space="preserve">KNN comparable-listing layer</w:t>
      </w:r>
    </w:p>
    <w:p>
      <w:pPr>
        <w:pStyle w:val="FirstParagraph"/>
      </w:pPr>
      <w:r>
        <w:t xml:space="preserve">Ridge answers what a listing should charge; it does not explain why a host is mispriced or what to do about it. The KNN layer was added to answer that second question: for each listing, find an exact-cohort match on borough × room type × capacity tier × market segment, falling back to standardized K-nearest-neighbors (the 30 closest listings by feature distance, restricted to the same market segment) when a cohort has fewer than 15 listings. Within the matched cohort, the top third by occupancy rate are treated as high performers, and the layer surfaces both the occupancy gap to those high performers and the specific amenities present in 60%+ of them that the listing itself lacks.</w:t>
      </w:r>
    </w:p>
    <w:p>
      <w:pPr>
        <w:pStyle w:val="BodyText"/>
      </w:pPr>
      <w:r>
        <w:t xml:space="preserve">KNN was deliberately not used as the pricing model itself; Ridge owns that role, and KNN's role is peer retrieval and benchmarking, which is what nearest-neighbor methods are suited for. Exact-cohort matching succeeded for 9,560 of 9,752 listings (98%); the remainder used the KNN fallback. Across the full dataset, the mean occupancy gap to high performers was 64 days and the mean number of missing high-impact amenities was 3.3, with dedicated workspace, refrigerator, iron, fire extinguisher, and cooking basics the most commonly missing.</w:t>
      </w:r>
    </w:p>
    <w:bookmarkEnd w:id="13"/>
    <w:bookmarkStart w:id="14" w:name="segment-split-short-stay-vs.-monthly"/>
    <w:p>
      <w:pPr>
        <w:pStyle w:val="Heading2"/>
      </w:pPr>
      <w:r>
        <w:t xml:space="preserve">Segment split: short-stay vs. monthly</w:t>
      </w:r>
    </w:p>
    <w:p>
      <w:pPr>
        <w:pStyle w:val="FirstParagraph"/>
      </w:pPr>
      <w:r>
        <w:t xml:space="preserve">The bake-off confirmed that short-stay and monthly rentals price on different logic, so both the Ridge model and the KNN peer-matching were split by market_segment. A short-stay listing is never benchmarked against a monthly rental. This directly resolved the confound flagged in V1: an earlier KNN pass that ignored market_segment let short-stay listings be benchmarked against high-occupancy monthly rentals, inflating the apparent occupancy gap. Adding the segment key to the cohort match moved 100 listings from exact-match to KNN-fallback and lowered the mean occupancy gap from 90 to 64 days, because the peer sets became truly comparable rather than merely similar-looking.</w:t>
      </w:r>
    </w:p>
    <w:tbl>
      <w:tblPr>
        <w:tblStyle w:val="Table"/>
        <w:tblW w:type="pct" w:w="4873"/>
        <w:tblLayout w:type="fixed"/>
        <w:tblLook w:firstRow="1" w:lastRow="0" w:firstColumn="0" w:lastColumn="0" w:noHBand="0" w:noVBand="0" w:val="0020"/>
      </w:tblPr>
      <w:tblGrid>
        <w:gridCol w:w="1503"/>
        <w:gridCol w:w="1503"/>
        <w:gridCol w:w="1503"/>
        <w:gridCol w:w="1503"/>
        <w:gridCol w:w="1704"/>
      </w:tblGrid>
      <w:tr>
        <w:trPr>
          <w:tblHeader w:val="on"/>
        </w:trPr>
        <w:tc>
          <w:tcPr/>
          <w:p>
            <w:pPr>
              <w:pStyle w:val="Compact"/>
              <w:jc w:val="left"/>
            </w:pPr>
            <w:r>
              <w:rPr>
                <w:b/>
                <w:bCs/>
              </w:rPr>
              <w:t xml:space="preserve">Segment</w:t>
            </w:r>
          </w:p>
        </w:tc>
        <w:tc>
          <w:tcPr/>
          <w:p>
            <w:pPr>
              <w:pStyle w:val="Compact"/>
              <w:jc w:val="left"/>
            </w:pPr>
            <w:r>
              <w:rPr>
                <w:b/>
                <w:bCs/>
              </w:rPr>
              <w:t xml:space="preserve">Listings</w:t>
            </w:r>
          </w:p>
        </w:tc>
        <w:tc>
          <w:tcPr/>
          <w:p>
            <w:pPr>
              <w:pStyle w:val="Compact"/>
              <w:jc w:val="left"/>
            </w:pPr>
            <w:r>
              <w:rPr>
                <w:b/>
                <w:bCs/>
              </w:rPr>
              <w:t xml:space="preserve">R² (log)</w:t>
            </w:r>
          </w:p>
        </w:tc>
        <w:tc>
          <w:tcPr/>
          <w:p>
            <w:pPr>
              <w:pStyle w:val="Compact"/>
              <w:jc w:val="left"/>
            </w:pPr>
            <w:r>
              <w:rPr>
                <w:b/>
                <w:bCs/>
              </w:rPr>
              <w:t xml:space="preserve">MAE</w:t>
            </w:r>
          </w:p>
        </w:tc>
        <w:tc>
          <w:tcPr/>
          <w:p>
            <w:pPr>
              <w:pStyle w:val="Compact"/>
              <w:jc w:val="left"/>
            </w:pPr>
            <w:r>
              <w:rPr>
                <w:b/>
                <w:bCs/>
              </w:rPr>
              <w:t xml:space="preserve">Median APE</w:t>
            </w:r>
          </w:p>
        </w:tc>
      </w:tr>
      <w:tr>
        <w:tc>
          <w:tcPr/>
          <w:p>
            <w:pPr>
              <w:pStyle w:val="Compact"/>
              <w:jc w:val="left"/>
            </w:pPr>
            <w:r>
              <w:t xml:space="preserve">Short-stay</w:t>
            </w:r>
          </w:p>
        </w:tc>
        <w:tc>
          <w:tcPr/>
          <w:p>
            <w:pPr>
              <w:pStyle w:val="Compact"/>
              <w:jc w:val="left"/>
            </w:pPr>
            <w:r>
              <w:t xml:space="preserve">4,008</w:t>
            </w:r>
          </w:p>
        </w:tc>
        <w:tc>
          <w:tcPr/>
          <w:p>
            <w:pPr>
              <w:pStyle w:val="Compact"/>
              <w:jc w:val="left"/>
            </w:pPr>
            <w:r>
              <w:t xml:space="preserve">0.61</w:t>
            </w:r>
          </w:p>
        </w:tc>
        <w:tc>
          <w:tcPr/>
          <w:p>
            <w:pPr>
              <w:pStyle w:val="Compact"/>
              <w:jc w:val="left"/>
            </w:pPr>
            <w:r>
              <w:t xml:space="preserve">$124</w:t>
            </w:r>
          </w:p>
        </w:tc>
        <w:tc>
          <w:tcPr/>
          <w:p>
            <w:pPr>
              <w:pStyle w:val="Compact"/>
              <w:jc w:val="left"/>
            </w:pPr>
            <w:r>
              <w:t xml:space="preserve">25.1%</w:t>
            </w:r>
          </w:p>
        </w:tc>
      </w:tr>
      <w:tr>
        <w:tc>
          <w:tcPr/>
          <w:p>
            <w:pPr>
              <w:pStyle w:val="Compact"/>
              <w:jc w:val="left"/>
            </w:pPr>
            <w:r>
              <w:t xml:space="preserve">Monthly</w:t>
            </w:r>
          </w:p>
        </w:tc>
        <w:tc>
          <w:tcPr/>
          <w:p>
            <w:pPr>
              <w:pStyle w:val="Compact"/>
              <w:jc w:val="left"/>
            </w:pPr>
            <w:r>
              <w:t xml:space="preserve">5,744</w:t>
            </w:r>
          </w:p>
        </w:tc>
        <w:tc>
          <w:tcPr/>
          <w:p>
            <w:pPr>
              <w:pStyle w:val="Compact"/>
              <w:jc w:val="left"/>
            </w:pPr>
            <w:r>
              <w:t xml:space="preserve">0.71</w:t>
            </w:r>
          </w:p>
        </w:tc>
        <w:tc>
          <w:tcPr/>
          <w:p>
            <w:pPr>
              <w:pStyle w:val="Compact"/>
              <w:jc w:val="left"/>
            </w:pPr>
            <w:r>
              <w:t xml:space="preserve">$47</w:t>
            </w:r>
          </w:p>
        </w:tc>
        <w:tc>
          <w:tcPr/>
          <w:p>
            <w:pPr>
              <w:pStyle w:val="Compact"/>
              <w:jc w:val="left"/>
            </w:pPr>
            <w:r>
              <w:t xml:space="preserve">20.9%</w:t>
            </w:r>
          </w:p>
        </w:tc>
      </w:tr>
    </w:tbl>
    <w:p>
      <w:pPr>
        <w:pStyle w:val="BodyText"/>
      </w:pPr>
      <w:r>
        <w:rPr>
          <w:i/>
          <w:iCs/>
        </w:rPr>
        <w:t xml:space="preserve">Short-stay is the harder, more variable segment; monthly rentals price more uniformly. Reporting the two separately is the honest presentation of true nightly-pricing accuracy, rather than a single blended figure that would overstate short-stay performance.</w:t>
      </w:r>
    </w:p>
    <w:p>
      <w:pPr>
        <w:pStyle w:val="BodyText"/>
      </w:pPr>
      <w:r>
        <w:rPr>
          <w:b/>
          <w:bCs/>
        </w:rPr>
        <w:t xml:space="preserve">Why the two markets diverge.</w:t>
      </w:r>
      <w:r>
        <w:t xml:space="preserve"> </w:t>
      </w:r>
      <w:r>
        <w:t xml:space="preserve">The two groups sell against different alternatives, which is the economic basis for splitting them and not merely a statistical one. A short-stay listing competes with hotels and with other short-stay listings for the same specific dates, where a guest can compare several options in minutes and switching costs nothing. A monthly listing, defined here by a 28-night minimum, competes with apartment sublets and corporate housing, and its guest is solving a housing problem (a relocation, a contract, a semester) against a far thinner set of substitutes. That difference in the substitute set is the mechanism behind the elasticity results reported later in this document: short-stay demand moves measurably with price (β = −0.916), while the monthly panel returned no detectable response at all.</w:t>
      </w:r>
    </w:p>
    <w:p>
      <w:pPr>
        <w:pStyle w:val="BodyText"/>
      </w:pPr>
      <w:r>
        <w:t xml:space="preserve">It is worth stating precisely what that second result is and is not. It is a</w:t>
      </w:r>
      <w:r>
        <w:t xml:space="preserve"> </w:t>
      </w:r>
      <w:r>
        <w:rPr>
          <w:b/>
          <w:bCs/>
        </w:rPr>
        <w:t xml:space="preserve">failure to detect</w:t>
      </w:r>
      <w:r>
        <w:t xml:space="preserve"> </w:t>
      </w:r>
      <w:r>
        <w:t xml:space="preserve">a price response in a small pilot, not a demonstration that monthly guests are insensitive to price. The distinction matters because the entire monthly revenue figure rests on it, and because the two claims would justify very different confidence in the number. One engine serves both markets; it is calibrated separately for each, with its own comparables and its own elasticity treatment, and no pooled estimate of anything is computed in production.</w:t>
      </w:r>
    </w:p>
    <w:bookmarkEnd w:id="14"/>
    <w:bookmarkStart w:id="15" w:name="seasonality-proof-of-concept"/>
    <w:p>
      <w:pPr>
        <w:pStyle w:val="Heading2"/>
      </w:pPr>
      <w:r>
        <w:t xml:space="preserve">Seasonality proof of concept</w:t>
      </w:r>
    </w:p>
    <w:p>
      <w:pPr>
        <w:pStyle w:val="FirstParagraph"/>
      </w:pPr>
      <w:r>
        <w:t xml:space="preserve">A neighborhood-by-month seasonal price index was built as a stand-in for calendar-level Airbnb price data, which does not currently exist publicly for NYC: every Inside Airbnb NYC snapshot from 2025-08-01 through 2026-06-14 has blank price and adjusted_price fields in calendar.csv, confirmed directly rather than assumed. Two of the three components are real, not simulated: real average occupancy by month (from real calendar-availability data) and a real neighborhood-specific amplitude weight (the coefficient of variation across each neighborhood's 12 real monthly occupancy values). Only the price shape itself is simulated, built by scaling a real, cited citywide seasonal curve (2016–2019 average NYC hotel ADR, NYC &amp; Company / CBRE) by each neighborhood's real amplitude weight. The layer is architected as a pure post-hoc multiplier on top of the verified Ridge output, Ridge itself is untouched and no coefficient is refit, and every output file and column is explicitly labeled SIMULATED.</w:t>
      </w:r>
    </w:p>
    <w:bookmarkEnd w:id="15"/>
    <w:bookmarkStart w:id="16" w:name="X12c888809c59f5f9b48b01c2d89b84218c7e737"/>
    <w:p>
      <w:pPr>
        <w:pStyle w:val="Heading2"/>
      </w:pPr>
      <w:r>
        <w:t xml:space="preserve">Two proposals ahead of the Wednesday go/no-go</w:t>
      </w:r>
    </w:p>
    <w:p>
      <w:pPr>
        <w:pStyle w:val="FirstParagraph"/>
      </w:pPr>
      <w:r>
        <w:t xml:space="preserve">With three exploratory branches open ahead of the mid-capstone go/no-go, the team built and pitched two decks. The first, a revision of the original Model Definition and Initial Results deck, recapped the V1 methodology and results above and laid out the next steps that became V2 (the monthly-rental split, the amenity-coefficient recheck, the KNN layer, and incorporating BERT sentiment).</w:t>
      </w:r>
    </w:p>
    <w:p>
      <w:pPr>
        <w:pStyle w:val="BodyText"/>
      </w:pPr>
      <w:r>
        <w:t xml:space="preserve">The second, Seasonal Pricing: From Novelty to Product, argued that seasonality should be treated as core to the business case rather than one of three equal exploratory workstreams. Its central argument: a static</w:t>
      </w:r>
      <w:r>
        <w:t xml:space="preserve"> </w:t>
      </w:r>
      <w:r>
        <w:t xml:space="preserve">“you're $40 underpriced”</w:t>
      </w:r>
      <w:r>
        <w:t xml:space="preserve"> </w:t>
      </w:r>
      <w:r>
        <w:t xml:space="preserve">report is a one-time diagnostic a host reads once and has no reason to reopen; a seasonal layer reframes the question to</w:t>
      </w:r>
      <w:r>
        <w:t xml:space="preserve"> </w:t>
      </w:r>
      <w:r>
        <w:t xml:space="preserve">“when are you most mispriced, and what should you do before that window hits,”</w:t>
      </w:r>
      <w:r>
        <w:t xml:space="preserve"> </w:t>
      </w:r>
      <w:r>
        <w:t xml:space="preserve">which is a reason to check back monthly, the difference between a report and an operating tool.</w:t>
      </w:r>
    </w:p>
    <w:p>
      <w:pPr>
        <w:pStyle w:val="BodyText"/>
      </w:pPr>
      <w:r>
        <w:t xml:space="preserve">That deck also documented a direct investigation into why real calendar-price data isn't used yet, checked rather than assumed: Airbnb's own calendar API returned 0 of 365 days priced across every listing tested, confirmed by capturing live network traffic; every archived Inside Airbnb NYC snapshot has the price fields present in schema but populated in zero rows; Vrbo's own developer documentation states outright that daily rates are not returned by their availability calendar API; and a paid vendor (AirROI) is plausibly populated for NYC but was left unverified. The deck's proposed path to real data at scale was not scraping but host-authorized access: Airbnb's official Preferred Partner API, the same mechanism real short-term-rental pricing companies (PriceLabs, Beyond Pricing, Wheelhouse) already use, where a host connecting their account for a diagnostic is the same action that grants sanctioned access to their own real data. It also addressed the resulting cold-start objection (no real peer-level seasonal comps until enough hosts connect) with four concrete mitigations: treating the simulated curve as an honest default that real data replaces as density grows, seeding density through portfolio operators rather than one signup at a time, going deep in one or two neighborhoods before wide, and reusing the exact_cohort/knn_fallback confidence pattern already built so a thin comp is never presented as a confident one. The ask was a green light to build seasonality out further for the final deck, on the grounds that the proof of concept, architecture, and scaling roadmap were already de-risked.</w:t>
      </w:r>
    </w:p>
    <w:bookmarkEnd w:id="16"/>
    <w:bookmarkEnd w:id="17"/>
    <w:bookmarkStart w:id="19" w:name="Xd11aaa353a3491123cf23490a937bc932e7bd59"/>
    <w:p>
      <w:pPr>
        <w:pStyle w:val="Heading1"/>
      </w:pPr>
      <w:r>
        <w:t xml:space="preserve">Model V3: Confidence Scoring and Host-Tier KNN</w:t>
      </w:r>
    </w:p>
    <w:p>
      <w:pPr>
        <w:pStyle w:val="FirstParagraph"/>
      </w:pPr>
      <w:r>
        <w:t xml:space="preserve">V3 kept the same segment-specific log-price Ridge engine as V2, now with repeated out-of-fold scoring, and did not aim for a further accuracy improvement: measured results (short-stay R² 0.605, MAE $124.08, median APE 25.1%; monthly R² 0.706, MAE $47.43, median APE 21.1%) are broadly consistent with V2. V3's stated value-add was decision support: a 0–100 confidence score with a Low/Medium/High label for every pricing signal, segment diagnostics exported by host tier and borough, a host-tier-aware KNN match (matching on host tier first and relaxing only when a cohort is too thin), and a peer-support score reflecting cohort size and match method.</w:t>
      </w:r>
    </w:p>
    <w:bookmarkStart w:id="18" w:name="the-confidence-score-bug"/>
    <w:p>
      <w:pPr>
        <w:pStyle w:val="Heading2"/>
      </w:pPr>
      <w:r>
        <w:t xml:space="preserve">The confidence-score bug</w:t>
      </w:r>
    </w:p>
    <w:p>
      <w:pPr>
        <w:pStyle w:val="FirstParagraph"/>
      </w:pPr>
      <w:r>
        <w:t xml:space="preserve">The confidence-scoring function, score_confidence(), was checked directly against the actual output file (v3_listing_pricing_signals.csv) rather than trusted at face value, and found broken: all 9,752 listings came back confidence_level =</w:t>
      </w:r>
      <w:r>
        <w:t xml:space="preserve"> </w:t>
      </w:r>
      <w:r>
        <w:t xml:space="preserve">“Low.”</w:t>
      </w:r>
      <w:r>
        <w:t xml:space="preserve"> </w:t>
      </w:r>
      <w:r>
        <w:t xml:space="preserve">The confidence score only ranged 17.5–27.4, nowhere near the 55/75 cutoffs that would ever produce</w:t>
      </w:r>
      <w:r>
        <w:t xml:space="preserve"> </w:t>
      </w:r>
      <w:r>
        <w:t xml:space="preserve">“Medium”</w:t>
      </w:r>
      <w:r>
        <w:t xml:space="preserve"> </w:t>
      </w:r>
      <w:r>
        <w:t xml:space="preserve">or</w:t>
      </w:r>
      <w:r>
        <w:t xml:space="preserve"> </w:t>
      </w:r>
      <w:r>
        <w:t xml:space="preserve">“High.”</w:t>
      </w:r>
    </w:p>
    <w:p>
      <w:pPr>
        <w:pStyle w:val="BodyText"/>
      </w:pPr>
      <w:r>
        <w:t xml:space="preserve">Root cause: the function computes stability = clip(1 − rel_unc/0.25, 0, 1), which assumes prediction uncertainty can approach zero. It structurally cannot in this data; the real floor sits at 0.22–0.28, immediately adjacent to the 0.25 cutoff, so the clip forces stability to exactly zero for almost every listing. A second, compounding problem: within-segment variation is far too tight (standard deviation 0.012–0.016 against a mean of roughly 0.23–0.28) for any fixed or percentile-ratio denominator to create real separation, this was tested directly (denominator set to each segment's own 95th percentile) and still produced 0% Medium/High for both segments.</w:t>
      </w:r>
    </w:p>
    <w:p>
      <w:pPr>
        <w:pStyle w:val="BodyText"/>
      </w:pPr>
      <w:r>
        <w:t xml:space="preserve">The fix replaces the ratio-to-threshold approach with each listing's within-segment percentile rank of rel_unc, which is uniform by construction and therefore guarantees stability spreads across its full 0–1 range regardless of how tightly clustered the raw uncertainty values are. Everything else in the scoring function (the 0.7/0.3 weighting, model_quality, the 55/75 label cutoffs) was left unchanged. The fix was verified by running the full pipeline end to end, not just the isolated function: pricing metrics matched the original output exactly, confirming the change touched only confidence scoring, and the new confidence distribution showed a real spread across all three labels for the first time.</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Confidence level</w:t>
            </w:r>
          </w:p>
        </w:tc>
        <w:tc>
          <w:tcPr/>
          <w:p>
            <w:pPr>
              <w:pStyle w:val="Compact"/>
              <w:jc w:val="left"/>
            </w:pPr>
            <w:r>
              <w:rPr>
                <w:b/>
                <w:bCs/>
              </w:rPr>
              <w:t xml:space="preserve">Count (original)</w:t>
            </w:r>
          </w:p>
        </w:tc>
        <w:tc>
          <w:tcPr/>
          <w:p>
            <w:pPr>
              <w:pStyle w:val="Compact"/>
              <w:jc w:val="left"/>
            </w:pPr>
            <w:r>
              <w:rPr>
                <w:b/>
                <w:bCs/>
              </w:rPr>
              <w:t xml:space="preserve">Count (fixed)</w:t>
            </w:r>
          </w:p>
        </w:tc>
      </w:tr>
      <w:tr>
        <w:tc>
          <w:tcPr/>
          <w:p>
            <w:pPr>
              <w:pStyle w:val="Compact"/>
              <w:jc w:val="left"/>
            </w:pPr>
            <w:r>
              <w:t xml:space="preserve">Low</w:t>
            </w:r>
          </w:p>
        </w:tc>
        <w:tc>
          <w:tcPr/>
          <w:p>
            <w:pPr>
              <w:pStyle w:val="Compact"/>
              <w:jc w:val="left"/>
            </w:pPr>
            <w:r>
              <w:t xml:space="preserve">9,752</w:t>
            </w:r>
          </w:p>
        </w:tc>
        <w:tc>
          <w:tcPr/>
          <w:p>
            <w:pPr>
              <w:pStyle w:val="Compact"/>
              <w:jc w:val="left"/>
            </w:pPr>
            <w:r>
              <w:t xml:space="preserve">5,066</w:t>
            </w:r>
          </w:p>
        </w:tc>
      </w:tr>
      <w:tr>
        <w:tc>
          <w:tcPr/>
          <w:p>
            <w:pPr>
              <w:pStyle w:val="Compact"/>
              <w:jc w:val="left"/>
            </w:pPr>
            <w:r>
              <w:t xml:space="preserve">Medium</w:t>
            </w:r>
          </w:p>
        </w:tc>
        <w:tc>
          <w:tcPr/>
          <w:p>
            <w:pPr>
              <w:pStyle w:val="Compact"/>
              <w:jc w:val="left"/>
            </w:pPr>
            <w:r>
              <w:t xml:space="preserve">0</w:t>
            </w:r>
          </w:p>
        </w:tc>
        <w:tc>
          <w:tcPr/>
          <w:p>
            <w:pPr>
              <w:pStyle w:val="Compact"/>
              <w:jc w:val="left"/>
            </w:pPr>
            <w:r>
              <w:t xml:space="preserve">2,794</w:t>
            </w:r>
          </w:p>
        </w:tc>
      </w:tr>
      <w:tr>
        <w:tc>
          <w:tcPr/>
          <w:p>
            <w:pPr>
              <w:pStyle w:val="Compact"/>
              <w:jc w:val="left"/>
            </w:pPr>
            <w:r>
              <w:t xml:space="preserve">High</w:t>
            </w:r>
          </w:p>
        </w:tc>
        <w:tc>
          <w:tcPr/>
          <w:p>
            <w:pPr>
              <w:pStyle w:val="Compact"/>
              <w:jc w:val="left"/>
            </w:pPr>
            <w:r>
              <w:t xml:space="preserve">0</w:t>
            </w:r>
          </w:p>
        </w:tc>
        <w:tc>
          <w:tcPr/>
          <w:p>
            <w:pPr>
              <w:pStyle w:val="Compact"/>
              <w:jc w:val="left"/>
            </w:pPr>
            <w:r>
              <w:t xml:space="preserve">1,892</w:t>
            </w:r>
          </w:p>
        </w:tc>
      </w:tr>
    </w:tbl>
    <w:p>
      <w:pPr>
        <w:pStyle w:val="BodyText"/>
      </w:pPr>
      <w:r>
        <w:rPr>
          <w:i/>
          <w:iCs/>
        </w:rPr>
        <w:t xml:space="preserve">The fix was pushed as a proposed change for Manas to review, alongside the original V3 files rather than replacing them, pending his decision to merge.</w:t>
      </w:r>
    </w:p>
    <w:bookmarkEnd w:id="18"/>
    <w:bookmarkEnd w:id="19"/>
    <w:bookmarkStart w:id="23" w:name="key-variables-and-relationships-eda"/>
    <w:p>
      <w:pPr>
        <w:pStyle w:val="Heading1"/>
      </w:pPr>
      <w:r>
        <w:t xml:space="preserve">Key Variables and Relationships (EDA)</w:t>
      </w:r>
    </w:p>
    <w:p>
      <w:pPr>
        <w:pStyle w:val="FirstParagraph"/>
      </w:pPr>
      <w:r>
        <w:t xml:space="preserve">Basic descriptive relationships in the data, verified directly against active_listings_clean_v6.csv rather than taken from any prior summary. Included here as backup for the presentation's required EDA slides.</w:t>
      </w:r>
    </w:p>
    <w:bookmarkStart w:id="20" w:name="price-by-location-and-room-type"/>
    <w:p>
      <w:pPr>
        <w:pStyle w:val="Heading2"/>
      </w:pPr>
      <w:r>
        <w:t xml:space="preserve">Price by location and room type</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Borough</w:t>
            </w:r>
          </w:p>
        </w:tc>
        <w:tc>
          <w:tcPr/>
          <w:p>
            <w:pPr>
              <w:pStyle w:val="Compact"/>
              <w:jc w:val="left"/>
            </w:pPr>
            <w:r>
              <w:rPr>
                <w:b/>
                <w:bCs/>
              </w:rPr>
              <w:t xml:space="preserve">Median nightly price</w:t>
            </w:r>
          </w:p>
        </w:tc>
      </w:tr>
      <w:tr>
        <w:tc>
          <w:tcPr/>
          <w:p>
            <w:pPr>
              <w:pStyle w:val="Compact"/>
              <w:jc w:val="left"/>
            </w:pPr>
            <w:r>
              <w:t xml:space="preserve">Manhattan</w:t>
            </w:r>
          </w:p>
        </w:tc>
        <w:tc>
          <w:tcPr/>
          <w:p>
            <w:pPr>
              <w:pStyle w:val="Compact"/>
              <w:jc w:val="left"/>
            </w:pPr>
            <w:r>
              <w:t xml:space="preserve">$230</w:t>
            </w:r>
          </w:p>
        </w:tc>
      </w:tr>
      <w:tr>
        <w:tc>
          <w:tcPr/>
          <w:p>
            <w:pPr>
              <w:pStyle w:val="Compact"/>
              <w:jc w:val="left"/>
            </w:pPr>
            <w:r>
              <w:t xml:space="preserve">Brooklyn</w:t>
            </w:r>
          </w:p>
        </w:tc>
        <w:tc>
          <w:tcPr/>
          <w:p>
            <w:pPr>
              <w:pStyle w:val="Compact"/>
              <w:jc w:val="left"/>
            </w:pPr>
            <w:r>
              <w:t xml:space="preserve">$169</w:t>
            </w:r>
          </w:p>
        </w:tc>
      </w:tr>
      <w:tr>
        <w:tc>
          <w:tcPr/>
          <w:p>
            <w:pPr>
              <w:pStyle w:val="Compact"/>
              <w:jc w:val="left"/>
            </w:pPr>
            <w:r>
              <w:t xml:space="preserve">Queens</w:t>
            </w:r>
          </w:p>
        </w:tc>
        <w:tc>
          <w:tcPr/>
          <w:p>
            <w:pPr>
              <w:pStyle w:val="Compact"/>
              <w:jc w:val="left"/>
            </w:pPr>
            <w:r>
              <w:t xml:space="preserve">$132</w:t>
            </w:r>
          </w:p>
        </w:tc>
      </w:tr>
      <w:tr>
        <w:tc>
          <w:tcPr/>
          <w:p>
            <w:pPr>
              <w:pStyle w:val="Compact"/>
              <w:jc w:val="left"/>
            </w:pPr>
            <w:r>
              <w:t xml:space="preserve">Staten Island</w:t>
            </w:r>
          </w:p>
        </w:tc>
        <w:tc>
          <w:tcPr/>
          <w:p>
            <w:pPr>
              <w:pStyle w:val="Compact"/>
              <w:jc w:val="left"/>
            </w:pPr>
            <w:r>
              <w:t xml:space="preserve">$108</w:t>
            </w:r>
          </w:p>
        </w:tc>
      </w:tr>
      <w:tr>
        <w:tc>
          <w:tcPr/>
          <w:p>
            <w:pPr>
              <w:pStyle w:val="Compact"/>
              <w:jc w:val="left"/>
            </w:pPr>
            <w:r>
              <w:t xml:space="preserve">Bronx</w:t>
            </w:r>
          </w:p>
        </w:tc>
        <w:tc>
          <w:tcPr/>
          <w:p>
            <w:pPr>
              <w:pStyle w:val="Compact"/>
              <w:jc w:val="left"/>
            </w:pPr>
            <w:r>
              <w:t xml:space="preserve">$107</w:t>
            </w:r>
          </w:p>
        </w:tc>
      </w:tr>
    </w:tbl>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Room type</w:t>
            </w:r>
          </w:p>
        </w:tc>
        <w:tc>
          <w:tcPr/>
          <w:p>
            <w:pPr>
              <w:pStyle w:val="Compact"/>
              <w:jc w:val="left"/>
            </w:pPr>
            <w:r>
              <w:rPr>
                <w:b/>
                <w:bCs/>
              </w:rPr>
              <w:t xml:space="preserve">Median nightly price</w:t>
            </w:r>
          </w:p>
        </w:tc>
      </w:tr>
      <w:tr>
        <w:tc>
          <w:tcPr/>
          <w:p>
            <w:pPr>
              <w:pStyle w:val="Compact"/>
              <w:jc w:val="left"/>
            </w:pPr>
            <w:r>
              <w:t xml:space="preserve">Hotel room</w:t>
            </w:r>
          </w:p>
        </w:tc>
        <w:tc>
          <w:tcPr/>
          <w:p>
            <w:pPr>
              <w:pStyle w:val="Compact"/>
              <w:jc w:val="left"/>
            </w:pPr>
            <w:r>
              <w:t xml:space="preserve">$376</w:t>
            </w:r>
          </w:p>
        </w:tc>
      </w:tr>
      <w:tr>
        <w:tc>
          <w:tcPr/>
          <w:p>
            <w:pPr>
              <w:pStyle w:val="Compact"/>
              <w:jc w:val="left"/>
            </w:pPr>
            <w:r>
              <w:t xml:space="preserve">Entire home/apt</w:t>
            </w:r>
          </w:p>
        </w:tc>
        <w:tc>
          <w:tcPr/>
          <w:p>
            <w:pPr>
              <w:pStyle w:val="Compact"/>
              <w:jc w:val="left"/>
            </w:pPr>
            <w:r>
              <w:t xml:space="preserve">$208</w:t>
            </w:r>
          </w:p>
        </w:tc>
      </w:tr>
      <w:tr>
        <w:tc>
          <w:tcPr/>
          <w:p>
            <w:pPr>
              <w:pStyle w:val="Compact"/>
              <w:jc w:val="left"/>
            </w:pPr>
            <w:r>
              <w:t xml:space="preserve">Private room</w:t>
            </w:r>
          </w:p>
        </w:tc>
        <w:tc>
          <w:tcPr/>
          <w:p>
            <w:pPr>
              <w:pStyle w:val="Compact"/>
              <w:jc w:val="left"/>
            </w:pPr>
            <w:r>
              <w:t xml:space="preserve">$139</w:t>
            </w:r>
          </w:p>
        </w:tc>
      </w:tr>
      <w:tr>
        <w:tc>
          <w:tcPr/>
          <w:p>
            <w:pPr>
              <w:pStyle w:val="Compact"/>
              <w:jc w:val="left"/>
            </w:pPr>
            <w:r>
              <w:t xml:space="preserve">Shared room</w:t>
            </w:r>
          </w:p>
        </w:tc>
        <w:tc>
          <w:tcPr/>
          <w:p>
            <w:pPr>
              <w:pStyle w:val="Compact"/>
              <w:jc w:val="left"/>
            </w:pPr>
            <w:r>
              <w:t xml:space="preserve">$137</w:t>
            </w:r>
          </w:p>
        </w:tc>
      </w:tr>
    </w:tbl>
    <w:p>
      <w:pPr>
        <w:pStyle w:val="BodyText"/>
      </w:pPr>
      <w:r>
        <w:t xml:space="preserve">Both relationships are intuitive and large in magnitude (Manhattan prices more than double the Bronx; entire homes price roughly 50% above private rooms), consistent with these being genuine structural drivers of price rather than noise, and consistent with why neighborhood and property type were the two features that drove the largest accuracy jump in the V2 bake-off (Section</w:t>
      </w:r>
      <w:r>
        <w:t xml:space="preserve"> </w:t>
      </w:r>
      <w:r>
        <w:t xml:space="preserve">“Model V2,”</w:t>
      </w:r>
      <w:r>
        <w:t xml:space="preserve"> </w:t>
      </w:r>
      <w:r>
        <w:t xml:space="preserve">R² 0.49 → 0.75).</w:t>
      </w:r>
    </w:p>
    <w:bookmarkEnd w:id="20"/>
    <w:bookmarkStart w:id="21" w:name="X0cef23b8b85412c951cc31122699e72825bfc6a"/>
    <w:p>
      <w:pPr>
        <w:pStyle w:val="Heading2"/>
      </w:pPr>
      <w:r>
        <w:t xml:space="preserve">Occupancy by host tier: a corrected finding</w:t>
      </w:r>
    </w:p>
    <w:p>
      <w:pPr>
        <w:pStyle w:val="FirstParagraph"/>
      </w:pPr>
      <w:r>
        <w:t xml:space="preserve">The project's original business-case framing (stated in the repo README and Data Cleaning Process docs) claimed Small-Multi operators (2–5 listings) run 71.5% occupancy versus 47.3% for Individual hosts. This was checked directly against active_listings_clean_v6.csv while preparing this appendix and does not reproduce under any occupancy metric tried (mean, median, calendar-based, or raw days-booked).</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Host tier</w:t>
            </w:r>
          </w:p>
        </w:tc>
        <w:tc>
          <w:tcPr/>
          <w:p>
            <w:pPr>
              <w:pStyle w:val="Compact"/>
              <w:jc w:val="left"/>
            </w:pPr>
            <w:r>
              <w:rPr>
                <w:b/>
                <w:bCs/>
              </w:rPr>
              <w:t xml:space="preserve">Verified mean occupancy</w:t>
            </w:r>
          </w:p>
        </w:tc>
      </w:tr>
      <w:tr>
        <w:tc>
          <w:tcPr/>
          <w:p>
            <w:pPr>
              <w:pStyle w:val="Compact"/>
              <w:jc w:val="left"/>
            </w:pPr>
            <w:r>
              <w:t xml:space="preserve">Individual</w:t>
            </w:r>
          </w:p>
        </w:tc>
        <w:tc>
          <w:tcPr/>
          <w:p>
            <w:pPr>
              <w:pStyle w:val="Compact"/>
              <w:jc w:val="left"/>
            </w:pPr>
            <w:r>
              <w:t xml:space="preserve">44.1%</w:t>
            </w:r>
          </w:p>
        </w:tc>
      </w:tr>
      <w:tr>
        <w:tc>
          <w:tcPr/>
          <w:p>
            <w:pPr>
              <w:pStyle w:val="Compact"/>
              <w:jc w:val="left"/>
            </w:pPr>
            <w:r>
              <w:t xml:space="preserve">Small-Multi</w:t>
            </w:r>
          </w:p>
        </w:tc>
        <w:tc>
          <w:tcPr/>
          <w:p>
            <w:pPr>
              <w:pStyle w:val="Compact"/>
              <w:jc w:val="left"/>
            </w:pPr>
            <w:r>
              <w:t xml:space="preserve">37.8%</w:t>
            </w:r>
          </w:p>
        </w:tc>
      </w:tr>
      <w:tr>
        <w:tc>
          <w:tcPr/>
          <w:p>
            <w:pPr>
              <w:pStyle w:val="Compact"/>
              <w:jc w:val="left"/>
            </w:pPr>
            <w:r>
              <w:t xml:space="preserve">Mid-Multi</w:t>
            </w:r>
          </w:p>
        </w:tc>
        <w:tc>
          <w:tcPr/>
          <w:p>
            <w:pPr>
              <w:pStyle w:val="Compact"/>
              <w:jc w:val="left"/>
            </w:pPr>
            <w:r>
              <w:t xml:space="preserve">32.6%</w:t>
            </w:r>
          </w:p>
        </w:tc>
      </w:tr>
      <w:tr>
        <w:tc>
          <w:tcPr/>
          <w:p>
            <w:pPr>
              <w:pStyle w:val="Compact"/>
              <w:jc w:val="left"/>
            </w:pPr>
            <w:r>
              <w:t xml:space="preserve">Enterprise</w:t>
            </w:r>
          </w:p>
        </w:tc>
        <w:tc>
          <w:tcPr/>
          <w:p>
            <w:pPr>
              <w:pStyle w:val="Compact"/>
              <w:jc w:val="left"/>
            </w:pPr>
            <w:r>
              <w:t xml:space="preserve">30.0%</w:t>
            </w:r>
          </w:p>
        </w:tc>
      </w:tr>
    </w:tbl>
    <w:p>
      <w:pPr>
        <w:pStyle w:val="BodyText"/>
      </w:pPr>
      <w:r>
        <w:t xml:space="preserve">Two of the three originally-cited figures do reproduce closely (Individual 47.3% claimed vs. 47.2% verified; Enterprise 37.2% claimed vs. 35.0% verified), while only the Small-Multi figure is a clear outlier under every method tried, off by roughly 2x. The host_tier column itself was checked and is computed correctly (0 mismatches against its documented rule across all 9,752 listings), and the underlying dataset has not changed since it was committed. The most likely explanation is a transcription error specific to that one number in the original EDA writeup, not a live data or methodology issue; no source notebook survives in the repo to check it against directly.</w:t>
      </w:r>
    </w:p>
    <w:p>
      <w:pPr>
        <w:pStyle w:val="BodyText"/>
      </w:pPr>
      <w:r>
        <w:t xml:space="preserve">The corrected relationship is a smooth, monotonic trend in the opposite direction from the original claim: occupancy declines as host scale increases. This changes the framing of the business problem slightly for the better, not the worse: individual hosts already capture strong demand, so the product's role is to make sure that demand is priced correctly, not to fix an occupancy shortfall that the corrected data doesn't show.</w:t>
      </w:r>
    </w:p>
    <w:bookmarkEnd w:id="21"/>
    <w:bookmarkStart w:id="22" w:name="Xe4b8434062568a810ea66d54ccb28e936ef020b"/>
    <w:p>
      <w:pPr>
        <w:pStyle w:val="Heading2"/>
      </w:pPr>
      <w:r>
        <w:t xml:space="preserve">Occupancy vs. host experience and review count</w:t>
      </w:r>
    </w:p>
    <w:p>
      <w:pPr>
        <w:pStyle w:val="FirstParagraph"/>
      </w:pPr>
      <w:r>
        <w:t xml:space="preserve">Two candidate explanations for</w:t>
      </w:r>
      <w:r>
        <w:t xml:space="preserve"> </w:t>
      </w:r>
      <w:r>
        <w:t xml:space="preserve">“established hosts do better”</w:t>
      </w:r>
      <w:r>
        <w:t xml:space="preserve"> </w:t>
      </w:r>
      <w:r>
        <w:t xml:space="preserve">were tested directly and produced different answers, worth distinguishing rather than conflating.</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Host tenure quartile</w:t>
            </w:r>
          </w:p>
        </w:tc>
        <w:tc>
          <w:tcPr/>
          <w:p>
            <w:pPr>
              <w:pStyle w:val="Compact"/>
              <w:jc w:val="left"/>
            </w:pPr>
            <w:r>
              <w:rPr>
                <w:b/>
                <w:bCs/>
              </w:rPr>
              <w:t xml:space="preserve">Mean occupancy</w:t>
            </w:r>
          </w:p>
        </w:tc>
      </w:tr>
      <w:tr>
        <w:tc>
          <w:tcPr/>
          <w:p>
            <w:pPr>
              <w:pStyle w:val="Compact"/>
              <w:jc w:val="left"/>
            </w:pPr>
            <w:r>
              <w:t xml:space="preserve">Q1 (newest)</w:t>
            </w:r>
          </w:p>
        </w:tc>
        <w:tc>
          <w:tcPr/>
          <w:p>
            <w:pPr>
              <w:pStyle w:val="Compact"/>
              <w:jc w:val="left"/>
            </w:pPr>
            <w:r>
              <w:t xml:space="preserve">36.8%</w:t>
            </w:r>
          </w:p>
        </w:tc>
      </w:tr>
      <w:tr>
        <w:tc>
          <w:tcPr/>
          <w:p>
            <w:pPr>
              <w:pStyle w:val="Compact"/>
              <w:jc w:val="left"/>
            </w:pPr>
            <w:r>
              <w:t xml:space="preserve">Q2</w:t>
            </w:r>
          </w:p>
        </w:tc>
        <w:tc>
          <w:tcPr/>
          <w:p>
            <w:pPr>
              <w:pStyle w:val="Compact"/>
              <w:jc w:val="left"/>
            </w:pPr>
            <w:r>
              <w:t xml:space="preserve">39.1%</w:t>
            </w:r>
          </w:p>
        </w:tc>
      </w:tr>
      <w:tr>
        <w:tc>
          <w:tcPr/>
          <w:p>
            <w:pPr>
              <w:pStyle w:val="Compact"/>
              <w:jc w:val="left"/>
            </w:pPr>
            <w:r>
              <w:t xml:space="preserve">Q3</w:t>
            </w:r>
          </w:p>
        </w:tc>
        <w:tc>
          <w:tcPr/>
          <w:p>
            <w:pPr>
              <w:pStyle w:val="Compact"/>
              <w:jc w:val="left"/>
            </w:pPr>
            <w:r>
              <w:t xml:space="preserve">38.9%</w:t>
            </w:r>
          </w:p>
        </w:tc>
      </w:tr>
      <w:tr>
        <w:tc>
          <w:tcPr/>
          <w:p>
            <w:pPr>
              <w:pStyle w:val="Compact"/>
              <w:jc w:val="left"/>
            </w:pPr>
            <w:r>
              <w:t xml:space="preserve">Q4 (most experienced)</w:t>
            </w:r>
          </w:p>
        </w:tc>
        <w:tc>
          <w:tcPr/>
          <w:p>
            <w:pPr>
              <w:pStyle w:val="Compact"/>
              <w:jc w:val="left"/>
            </w:pPr>
            <w:r>
              <w:t xml:space="preserve">38.0%</w:t>
            </w:r>
          </w:p>
        </w:tc>
      </w:tr>
    </w:tbl>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Review-count quartile</w:t>
            </w:r>
          </w:p>
        </w:tc>
        <w:tc>
          <w:tcPr/>
          <w:p>
            <w:pPr>
              <w:pStyle w:val="Compact"/>
              <w:jc w:val="left"/>
            </w:pPr>
            <w:r>
              <w:rPr>
                <w:b/>
                <w:bCs/>
              </w:rPr>
              <w:t xml:space="preserve">Mean occupancy</w:t>
            </w:r>
          </w:p>
        </w:tc>
      </w:tr>
      <w:tr>
        <w:tc>
          <w:tcPr/>
          <w:p>
            <w:pPr>
              <w:pStyle w:val="Compact"/>
              <w:jc w:val="left"/>
            </w:pPr>
            <w:r>
              <w:t xml:space="preserve">Q1 (fewest reviews)</w:t>
            </w:r>
          </w:p>
        </w:tc>
        <w:tc>
          <w:tcPr/>
          <w:p>
            <w:pPr>
              <w:pStyle w:val="Compact"/>
              <w:jc w:val="left"/>
            </w:pPr>
            <w:r>
              <w:t xml:space="preserve">33.6%</w:t>
            </w:r>
          </w:p>
        </w:tc>
      </w:tr>
      <w:tr>
        <w:tc>
          <w:tcPr/>
          <w:p>
            <w:pPr>
              <w:pStyle w:val="Compact"/>
              <w:jc w:val="left"/>
            </w:pPr>
            <w:r>
              <w:t xml:space="preserve">Q2</w:t>
            </w:r>
          </w:p>
        </w:tc>
        <w:tc>
          <w:tcPr/>
          <w:p>
            <w:pPr>
              <w:pStyle w:val="Compact"/>
              <w:jc w:val="left"/>
            </w:pPr>
            <w:r>
              <w:t xml:space="preserve">34.3%</w:t>
            </w:r>
          </w:p>
        </w:tc>
      </w:tr>
      <w:tr>
        <w:tc>
          <w:tcPr/>
          <w:p>
            <w:pPr>
              <w:pStyle w:val="Compact"/>
              <w:jc w:val="left"/>
            </w:pPr>
            <w:r>
              <w:t xml:space="preserve">Q3</w:t>
            </w:r>
          </w:p>
        </w:tc>
        <w:tc>
          <w:tcPr/>
          <w:p>
            <w:pPr>
              <w:pStyle w:val="Compact"/>
              <w:jc w:val="left"/>
            </w:pPr>
            <w:r>
              <w:t xml:space="preserve">40.9%</w:t>
            </w:r>
          </w:p>
        </w:tc>
      </w:tr>
      <w:tr>
        <w:tc>
          <w:tcPr/>
          <w:p>
            <w:pPr>
              <w:pStyle w:val="Compact"/>
              <w:jc w:val="left"/>
            </w:pPr>
            <w:r>
              <w:t xml:space="preserve">Q4 (most reviewed)</w:t>
            </w:r>
          </w:p>
        </w:tc>
        <w:tc>
          <w:tcPr/>
          <w:p>
            <w:pPr>
              <w:pStyle w:val="Compact"/>
              <w:jc w:val="left"/>
            </w:pPr>
            <w:r>
              <w:t xml:space="preserve">41.8%</w:t>
            </w:r>
          </w:p>
        </w:tc>
      </w:tr>
    </w:tbl>
    <w:p>
      <w:pPr>
        <w:pStyle w:val="BodyText"/>
      </w:pPr>
      <w:r>
        <w:rPr>
          <w:i/>
          <w:iCs/>
        </w:rPr>
        <w:t xml:space="preserve">Years of hosting experience shows essentially no relationship with occupancy (flat across all four quartiles). Review count shows a real, monotonic relationship (33.6% → 41.8%).</w:t>
      </w:r>
      <w:r>
        <w:rPr>
          <w:i/>
          <w:iCs/>
        </w:rPr>
        <w:t xml:space="preserve"> </w:t>
      </w:r>
      <w:r>
        <w:rPr>
          <w:i/>
          <w:iCs/>
        </w:rPr>
        <w:t xml:space="preserve">“Established”</w:t>
      </w:r>
      <w:r>
        <w:rPr>
          <w:i/>
          <w:iCs/>
        </w:rPr>
        <w:t xml:space="preserve"> </w:t>
      </w:r>
      <w:r>
        <w:rPr>
          <w:i/>
          <w:iCs/>
        </w:rPr>
        <w:t xml:space="preserve">as a concept only holds up when operationalized as review count, not tenure; any slide or script claim about</w:t>
      </w:r>
      <w:r>
        <w:rPr>
          <w:i/>
          <w:iCs/>
        </w:rPr>
        <w:t xml:space="preserve"> </w:t>
      </w:r>
      <w:r>
        <w:rPr>
          <w:i/>
          <w:iCs/>
        </w:rPr>
        <w:t xml:space="preserve">“more established hosts”</w:t>
      </w:r>
      <w:r>
        <w:rPr>
          <w:i/>
          <w:iCs/>
        </w:rPr>
        <w:t xml:space="preserve"> </w:t>
      </w:r>
      <w:r>
        <w:rPr>
          <w:i/>
          <w:iCs/>
        </w:rPr>
        <w:t xml:space="preserve">should specify which one it means.</w:t>
      </w:r>
    </w:p>
    <w:p>
      <w:pPr>
        <w:pStyle w:val="BodyText"/>
      </w:pPr>
      <w:r>
        <w:rPr>
          <w:b/>
          <w:bCs/>
        </w:rPr>
        <w:t xml:space="preserve">Why this is a modelling constraint, not just a finding.</w:t>
      </w:r>
      <w:r>
        <w:t xml:space="preserve"> </w:t>
      </w:r>
      <w:r>
        <w:t xml:space="preserve">Review count is not a competing lever alongside price; it is a</w:t>
      </w:r>
      <w:r>
        <w:t xml:space="preserve"> </w:t>
      </w:r>
      <w:r>
        <w:rPr>
          <w:b/>
          <w:bCs/>
        </w:rPr>
        <w:t xml:space="preserve">confounder of any naive price comparison</w:t>
      </w:r>
      <w:r>
        <w:t xml:space="preserve">. Two listings advertised at the same nightly rate are not equivalent if one carries four hundred reviews and the other three, because the reputation difference moves occupancy on its own. This is the reason the question</w:t>
      </w:r>
      <w:r>
        <w:t xml:space="preserve"> </w:t>
      </w:r>
      <w:r>
        <w:t xml:space="preserve">“is this listing expensive?”</w:t>
      </w:r>
      <w:r>
        <w:t xml:space="preserve"> </w:t>
      </w:r>
      <w:r>
        <w:t xml:space="preserve">has no answer when asked of a price in isolation, and the reason it cannot be answered by comparing prices within a neighborhood either. Both the GBM and the KNN cohort match therefore condition on reputation, location, size, property type and amenities before any pricing gap is computed.</w:t>
      </w:r>
    </w:p>
    <w:p>
      <w:pPr>
        <w:pStyle w:val="BodyText"/>
      </w:pPr>
      <w:r>
        <w:t xml:space="preserve">The consequence is that the model answers a narrower and more defensible question than</w:t>
      </w:r>
      <w:r>
        <w:t xml:space="preserve"> </w:t>
      </w:r>
      <w:r>
        <w:t xml:space="preserve">“is this listing overpriced?”</w:t>
      </w:r>
      <w:r>
        <w:t xml:space="preserve"> </w:t>
      </w:r>
      <w:r>
        <w:t xml:space="preserve">It answers:</w:t>
      </w:r>
      <w:r>
        <w:t xml:space="preserve"> </w:t>
      </w:r>
      <w:r>
        <w:rPr>
          <w:i/>
          <w:iCs/>
        </w:rPr>
        <w:t xml:space="preserve">what would this listing charge if it were priced like its genuine peers?</w:t>
      </w:r>
      <w:r>
        <w:t xml:space="preserve"> </w:t>
      </w:r>
      <w:r>
        <w:t xml:space="preserve">That is a conditional expectation, not a causal optimum, and the distinction is carried through every downstream figure in this document; see</w:t>
      </w:r>
      <w:r>
        <w:t xml:space="preserve"> </w:t>
      </w:r>
      <w:r>
        <w:t xml:space="preserve">“Limitations Carried Forward,”</w:t>
      </w:r>
      <w:r>
        <w:t xml:space="preserve"> </w:t>
      </w:r>
      <w:r>
        <w:t xml:space="preserve">where the residual is described as a conditional pricing gap rather than proof of causal mispricing.</w:t>
      </w:r>
    </w:p>
    <w:bookmarkEnd w:id="22"/>
    <w:bookmarkEnd w:id="23"/>
    <w:bookmarkStart w:id="27" w:name="X58630797d8d264ac7d59b7d5b96778656a06b1d"/>
    <w:p>
      <w:pPr>
        <w:pStyle w:val="Heading1"/>
      </w:pPr>
      <w:r>
        <w:t xml:space="preserve">Model V4: GBM Quantile Regression with Conformal Calibration</w:t>
      </w:r>
    </w:p>
    <w:bookmarkStart w:id="24" w:name="reconciling-the-confidence-fix"/>
    <w:p>
      <w:pPr>
        <w:pStyle w:val="Heading2"/>
      </w:pPr>
      <w:r>
        <w:t xml:space="preserve">Reconciling the confidence fix</w:t>
      </w:r>
    </w:p>
    <w:p>
      <w:pPr>
        <w:pStyle w:val="FirstParagraph"/>
      </w:pPr>
      <w:r>
        <w:t xml:space="preserve">Manas separately applied his own fix to the same function. Checked directly against the actual code and output rather than the description of the work: the math in his fix was correct and calibrated properly, but the output file it was meant to produce had never been regenerated, it still showed the original, broken 100%-Low distribution. A described ±10% tolerance-band pricing_signal was also not present in the code. Both mismatches would have been invisible from the write-up alone, underscoring the value of verifying against the actual files rather than the description of a fix.</w:t>
      </w:r>
    </w:p>
    <w:bookmarkEnd w:id="24"/>
    <w:bookmarkStart w:id="25" w:name="does-price-actually-predict-occupancy"/>
    <w:p>
      <w:pPr>
        <w:pStyle w:val="Heading2"/>
      </w:pPr>
      <w:r>
        <w:t xml:space="preserve">Does price actually predict occupancy?</w:t>
      </w:r>
    </w:p>
    <w:p>
      <w:pPr>
        <w:pStyle w:val="FirstParagraph"/>
      </w:pPr>
      <w:r>
        <w:t xml:space="preserve">Before extending the model further, the team tested a more basic question directly: does price actually predict occupancy in this data? This is a different, harder question than the one V1–V3 answer well (predicting a listing's price level from its features, R² ≈ 0.75); it asks whether a listing's occupancy responds to price. With price and a month fixed effect, R² was 0.063. Adding every other feature available (host tier, room type, amenities, reviews, everything) only reached R² = 0.099, confirming the weak relationship was not a missing-feature problem.</w:t>
      </w:r>
    </w:p>
    <w:p>
      <w:pPr>
        <w:pStyle w:val="BodyText"/>
      </w:pPr>
      <w:r>
        <w:t xml:space="preserve">Low-hanging fruit was addressed before concluding a larger rebuild was warranted. The original occupancy-response model was linear in dollar price, which extrapolated unrealistically (projecting 71% occupancy at $900/night for a listing that has never charged anywhere near that). Reparameterizing as occupancy ≈ real occupancy by month + LOG_SLOPE × ln(price / current price) fixed the extrapolation behavior, producing curves that flatten out realistically at extreme prices instead of diverging. Separately, small peer cohorts (a few dozen listings) produced noisy slope estimates, addressed with empirical-Bayes shrinkage: shrunk_slope = w × own_slope + (1 − w) × global_slope, w = n / (n + K), pulling each cohort's own slope toward the broader segment-level slope in proportion to how much data that cohort actually has.</w:t>
      </w:r>
    </w:p>
    <w:p>
      <w:pPr>
        <w:pStyle w:val="BodyText"/>
      </w:pPr>
      <w:r>
        <w:t xml:space="preserve">The team was explicit with itself about what this did and did not fix: shrinkage made the slope estimate statistically defensible on small samples, it did not raise the R² ceiling. That ceiling is a data-availability problem, not a modeling problem, since every signal in this dataset is cohort comparison (how a listing compares to similar listings priced differently right now), never a within-listing observation of the same listing at a different real price. Closing that gap is the motivation for the scraper work described below.</w:t>
      </w:r>
    </w:p>
    <w:bookmarkEnd w:id="25"/>
    <w:bookmarkStart w:id="26" w:name="Xbb36ebf4771d141055142d291e6f3e5d3d37b77"/>
    <w:p>
      <w:pPr>
        <w:pStyle w:val="Heading2"/>
      </w:pPr>
      <w:r>
        <w:t xml:space="preserve">Pivoting the pricing engine: Ridge to GBM quantile regression</w:t>
      </w:r>
    </w:p>
    <w:p>
      <w:pPr>
        <w:pStyle w:val="FirstParagraph"/>
      </w:pPr>
      <w:r>
        <w:t xml:space="preserve">The pricing engine itself moved from Ridge regression to gradient-boosted quantile regression (HistGradientBoostingRegressor fit at the 10th, 50th, and 90th percentiles), with conformal calibration: the q10/q90 interval is widened by a constant, the 80th percentile of the conformity scores max(q10 − y, y − q90), so the interval's empirical coverage actually hits the intended 80% rather than a nominal, unverified figure. Confidence is now expressed as direction_confidence (</w:t>
      </w:r>
      <w:r>
        <w:t xml:space="preserve">“Confident: raise price,”</w:t>
      </w:r>
      <w:r>
        <w:t xml:space="preserve"> </w:t>
      </w:r>
      <w:r>
        <w:t xml:space="preserve">“Confident: lower price,”</w:t>
      </w:r>
      <w:r>
        <w:t xml:space="preserve"> </w:t>
      </w:r>
      <w:r>
        <w:t xml:space="preserve">or</w:t>
      </w:r>
      <w:r>
        <w:t xml:space="preserve"> </w:t>
      </w:r>
      <w:r>
        <w:t xml:space="preserve">“Uncertain (within plausible range)”</w:t>
      </w:r>
      <w:r>
        <w:t xml:space="preserve">), based on whether the listing's actual price falls entirely outside or inside its own calibrated interval, rather than the V3 Low/Medium/High score, which is retained only as an internal QA field. The KNN comparable-listings layer carried forward with the same host-tier-aware exact-cohort-then-fallback logic from V3, now feeding the direction_confidence-based tool directly.</w:t>
      </w:r>
    </w:p>
    <w:bookmarkEnd w:id="26"/>
    <w:bookmarkEnd w:id="27"/>
    <w:bookmarkStart w:id="31" w:name="Xa9ffc0291b4b313eee7b3b62f2adefc1174130c"/>
    <w:p>
      <w:pPr>
        <w:pStyle w:val="Heading1"/>
      </w:pPr>
      <w:r>
        <w:t xml:space="preserve">Building the Product: Seasonality, UI, and the Scraper</w:t>
      </w:r>
    </w:p>
    <w:p>
      <w:pPr>
        <w:pStyle w:val="FirstParagraph"/>
      </w:pPr>
      <w:r>
        <w:t xml:space="preserve">With Model V4 in place, the remaining work was building it into something a host could actually use: refining the seasonality layer's honesty, the interactive tools themselves, and the scraper proof of concept toward real price-response data.</w:t>
      </w:r>
    </w:p>
    <w:bookmarkStart w:id="28" w:name="seasonality-two-honesty-mechanisms"/>
    <w:p>
      <w:pPr>
        <w:pStyle w:val="Heading2"/>
      </w:pPr>
      <w:r>
        <w:t xml:space="preserve">Seasonality: two honesty mechanisms</w:t>
      </w:r>
    </w:p>
    <w:p>
      <w:pPr>
        <w:pStyle w:val="FirstParagraph"/>
      </w:pPr>
      <w:r>
        <w:t xml:space="preserve">Building the seasonal layer into an interactive, price-adjustable tool required deciding what to do when the model's assumptions clearly don't hold for a given month or price, rather than letting it produce a confident-looking number regardless. Two mechanisms were added. Flagged months: where a listing's real occupancy diverges by more than 30 percentage points from what peers at a similar price actually achieve, that month is pinned to its real historical occupancy in the tool rather than driven by the price slider, since the gap is too large to be explained by price and reflects something else (a blocked calendar, a vacancy gap between tenants for monthly rentals, or sharp seasonality). No confident optimal price: the revenue-maximizing price search is capped at the highest price any real peer in the cohort actually charges; if the search would continue climbing past that point, the tool displays an explicit</w:t>
      </w:r>
      <w:r>
        <w:t xml:space="preserve"> </w:t>
      </w:r>
      <w:r>
        <w:t xml:space="preserve">“no confident answer”</w:t>
      </w:r>
      <w:r>
        <w:t xml:space="preserve"> </w:t>
      </w:r>
      <w:r>
        <w:t xml:space="preserve">message rather than extrapolating a number no peer data supports.</w:t>
      </w:r>
    </w:p>
    <w:bookmarkEnd w:id="28"/>
    <w:bookmarkStart w:id="29" w:name="building-the-interactive-tools"/>
    <w:p>
      <w:pPr>
        <w:pStyle w:val="Heading2"/>
      </w:pPr>
      <w:r>
        <w:t xml:space="preserve">Building the interactive tools</w:t>
      </w:r>
    </w:p>
    <w:p>
      <w:pPr>
        <w:pStyle w:val="FirstParagraph"/>
      </w:pPr>
      <w:r>
        <w:t xml:space="preserve">Two linked, browser-based tools were built on top of the GBM/KNN pipeline. The property-level pricing tool lets a host select a listing and see its price against its real peer cohort, its direction_confidence read, the peer occupancy and missing-amenity gaps behind that read, and a price slider that projects occupancy and revenue month by month, honoring both honesty mechanisms above. It evolved from a single hardcoded listing to a data-driven configuration covering five demo listings, deliberately chosen to cover the full range of outcomes the model produces (confident-raise, confident-lower, and uncertain, across both short-stay and monthly segments) rather than only the easy, flattering cases. Two corrections were made along the way: a monthly-rental listing was initially still quoted in nightly terms, corrected so monthly rent is the primary unit; and the model's central fair-price estimate is now always shown, even in lower-confidence cases, with confidence conveyed through visual cues rather than by hiding the number.</w:t>
      </w:r>
    </w:p>
    <w:p>
      <w:pPr>
        <w:pStyle w:val="BodyText"/>
      </w:pPr>
      <w:r>
        <w:t xml:space="preserve">The birds-eye neighborhood map aggregates the same GBM/KNN signals to the neighborhood level, with a toggle between short-stay and monthly segments, since the two behave differently and aggregating them together would blur that difference. Its neighborhood-aggregation pipeline was rebuilt from the current GBM/KNN outputs after it was found to still be running on the earlier Ridge-based files; the rebuild was verified by confirming the two segments produce different figures (53 versus 39 no-data neighborhoods under the same metric), not merely a cosmetic relabeling. The map itself is a from-scratch Web Mercator projection with no external mapping library or CDN dependency. Both tools share a navigation bar linking between them.</w:t>
      </w:r>
    </w:p>
    <w:bookmarkEnd w:id="29"/>
    <w:bookmarkStart w:id="30" w:name="Xa1f4e27bb00f85dc1297e9dcba1cdf8c95346c3"/>
    <w:p>
      <w:pPr>
        <w:pStyle w:val="Heading2"/>
      </w:pPr>
      <w:r>
        <w:t xml:space="preserve">The scraper: toward real price-response data</w:t>
      </w:r>
    </w:p>
    <w:p>
      <w:pPr>
        <w:pStyle w:val="FirstParagraph"/>
      </w:pPr>
      <w:r>
        <w:t xml:space="preserve">As established above, every signal available to the model so far is a cohort comparison; none of it observes the same listing's occupancy response to its own price actually changing. The Seasonal Pricing deck's proposed path to that data at scale was host-authorized access via Airbnb's official Preferred Partner API, not scraping, and that remains the correct architecture for a real commercial product. Within the timeframe of this course, however, the team also built and validated a scraper as an internal proof of concept: to establish directly that real per-stay pricing data can in fact be captured, and to generate whatever real price-response data is feasible before the project concludes. The two are complementary, not in tension: the scraper demonstrates technical feasibility and produces a small real dataset for this course; the Preferred Partner API is the intended production path if the project continued past it.</w:t>
      </w:r>
    </w:p>
    <w:p>
      <w:pPr>
        <w:pStyle w:val="BodyText"/>
      </w:pPr>
      <w:r>
        <w:t xml:space="preserve">The existing calendar-availability scraper was extended to also capture real quoted prices. Airbnb serves the real per-stay price through a StaysPdpSections GraphQL response when a bookable date range is requested for a listing, provided that range respects the listing's own minimum-stay requirement; early attempts failed until this was traced to a specific listing (a 3-night minimum being requested with a 1- or 2-night window) via a live network-traffic capture rather than assumed. The scraper was reconfigured to pick a valid date range from the calendar data it already collects and log the quoted price to a new price_snapshots table, within the same run and browser session, no new infrastructure. Run across the full 200-listing sample, a parsing bug was found and fixed: Airbnb serves the price field under three different JSON shapes depending on the listing (a direct price key, a price nested inside orderedComponents, and a direct discountedPrice key), and the original regex only matched the first; the fix was verified against the real failing cases for all three shapes plus the originally working case.</w:t>
      </w:r>
    </w:p>
    <w:p>
      <w:pPr>
        <w:pStyle w:val="BodyText"/>
      </w:pPr>
      <w:r>
        <w:t xml:space="preserve">Run daily for long enough, this produces genuine within-listing price variation over time: the same listing, at different real prices, on different days. That is the one type of evidence the current model structurally cannot have from cohort comparison alone, and it is what would turn the price-occupancy relationship from</w:t>
      </w:r>
      <w:r>
        <w:t xml:space="preserve"> </w:t>
      </w:r>
      <w:r>
        <w:t xml:space="preserve">“how do similar listings compare to each other”</w:t>
      </w:r>
      <w:r>
        <w:t xml:space="preserve"> </w:t>
      </w:r>
      <w:r>
        <w:t xml:space="preserve">into</w:t>
      </w:r>
      <w:r>
        <w:t xml:space="preserve"> </w:t>
      </w:r>
      <w:r>
        <w:t xml:space="preserve">“how does this listing's own occupancy actually respond when its own price changes,”</w:t>
      </w:r>
      <w:r>
        <w:t xml:space="preserve"> </w:t>
      </w:r>
      <w:r>
        <w:t xml:space="preserve">a materially stronger foundation for the revenue-optimizing recommendation than a larger cohort or a richer feature set could provide on their own.</w:t>
      </w:r>
    </w:p>
    <w:bookmarkEnd w:id="30"/>
    <w:bookmarkEnd w:id="31"/>
    <w:bookmarkStart w:id="43" w:name="price-elasticity-the-airroi-pilot"/>
    <w:p>
      <w:pPr>
        <w:pStyle w:val="Heading1"/>
      </w:pPr>
      <w:r>
        <w:t xml:space="preserve">Price Elasticity: The AirROI Pilot</w:t>
      </w:r>
    </w:p>
    <w:p>
      <w:pPr>
        <w:pStyle w:val="FirstParagraph"/>
      </w:pPr>
      <w:r>
        <w:t xml:space="preserve">The scraper above is a proof of concept for eventually capturing real within-listing price variation; it had not yet run long enough to fit a real elasticity model. Separately, one team member (Jai) found and used an independent third-party short-term-rental data vendor, AirROI, whose free tier provides 24 months of real per-listing price and occupancy history for roughly 300 NYC listings, 202 of which matched against this project's own active-listing dataset. This closes the same gap the scraper is working toward, on a much faster timeline, for a small pilot sample.</w:t>
      </w:r>
    </w:p>
    <w:bookmarkStart w:id="32" w:name="method-two-way-fixed-effects"/>
    <w:p>
      <w:pPr>
        <w:pStyle w:val="Heading2"/>
      </w:pPr>
      <w:r>
        <w:t xml:space="preserve">Method: two-way fixed effects</w:t>
      </w:r>
    </w:p>
    <w:p>
      <w:pPr>
        <w:pStyle w:val="FirstParagraph"/>
      </w:pPr>
      <w:r>
        <w:t xml:space="preserve">ln(occupancy) = listing fixed effect + month fixed effect + β × ln(price), fit separately by market segment. The listing fixed effect absorbs everything constant about a listing (location, photos, amenities, host quality), and the month fixed effect absorbs NYC-wide seasonality, leaving only each listing's own price and occupancy movement over time to identify β. This directly targets the confound that limits the cross-sectional R² throughout this project (Section</w:t>
      </w:r>
      <w:r>
        <w:t xml:space="preserve"> </w:t>
      </w:r>
      <w:r>
        <w:t xml:space="preserve">“Does price actually predict occupancy?”</w:t>
      </w:r>
      <w:r>
        <w:t xml:space="preserve"> </w:t>
      </w:r>
      <w:r>
        <w:t xml:space="preserve">above): a cross-sectional comparison cannot separate</w:t>
      </w:r>
      <w:r>
        <w:t xml:space="preserve"> </w:t>
      </w:r>
      <w:r>
        <w:t xml:space="preserve">“cheap because underpriced”</w:t>
      </w:r>
      <w:r>
        <w:t xml:space="preserve"> </w:t>
      </w:r>
      <w:r>
        <w:t xml:space="preserve">from</w:t>
      </w:r>
      <w:r>
        <w:t xml:space="preserve"> </w:t>
      </w:r>
      <w:r>
        <w:t xml:space="preserve">“cheap because of a worse location or worse photos,”</w:t>
      </w:r>
      <w:r>
        <w:t xml:space="preserve"> </w:t>
      </w:r>
      <w:r>
        <w:t xml:space="preserve">since both correlate with price and occupancy at once. HC3 robust standard errors were used throughout, and confidence intervals were also computed via bootstrap resampling by listing (100 draws), not by row, to respect the panel structure.</w:t>
      </w:r>
    </w:p>
    <w:p>
      <w:pPr>
        <w:pStyle w:val="BodyText"/>
      </w:pPr>
      <w:r>
        <w:t xml:space="preserve">This was independently reproduced end to end from the raw AirROI data as part of preparing this appendix, not taken on faith from the original write-up: the same data pipeline, the same regression, and every reported statistic below.</w:t>
      </w:r>
    </w:p>
    <w:bookmarkEnd w:id="32"/>
    <w:bookmarkStart w:id="33" w:name="results"/>
    <w:p>
      <w:pPr>
        <w:pStyle w:val="Heading2"/>
      </w:pPr>
      <w:r>
        <w:t xml:space="preserve">Results</w:t>
      </w:r>
    </w:p>
    <w:tbl>
      <w:tblPr>
        <w:tblStyle w:val="Table"/>
        <w:tblW w:type="pct" w:w="4907"/>
        <w:tblLayout w:type="fixed"/>
        <w:tblLook w:firstRow="1" w:lastRow="0" w:firstColumn="0" w:lastColumn="0" w:noHBand="0" w:noVBand="0" w:val="0020"/>
      </w:tblPr>
      <w:tblGrid>
        <w:gridCol w:w="1026"/>
        <w:gridCol w:w="1100"/>
        <w:gridCol w:w="1393"/>
        <w:gridCol w:w="1540"/>
        <w:gridCol w:w="1026"/>
        <w:gridCol w:w="1686"/>
      </w:tblGrid>
      <w:tr>
        <w:trPr>
          <w:tblHeader w:val="on"/>
        </w:trPr>
        <w:tc>
          <w:tcPr/>
          <w:p>
            <w:pPr>
              <w:pStyle w:val="Compact"/>
              <w:jc w:val="left"/>
            </w:pPr>
            <w:r>
              <w:rPr>
                <w:b/>
                <w:bCs/>
              </w:rPr>
              <w:t xml:space="preserve">Segment</w:t>
            </w:r>
          </w:p>
        </w:tc>
        <w:tc>
          <w:tcPr/>
          <w:p>
            <w:pPr>
              <w:pStyle w:val="Compact"/>
              <w:jc w:val="left"/>
            </w:pPr>
            <w:r>
              <w:rPr>
                <w:b/>
                <w:bCs/>
              </w:rPr>
              <w:t xml:space="preserve">Listings</w:t>
            </w:r>
          </w:p>
        </w:tc>
        <w:tc>
          <w:tcPr/>
          <w:p>
            <w:pPr>
              <w:pStyle w:val="Compact"/>
              <w:jc w:val="left"/>
            </w:pPr>
            <w:r>
              <w:rPr>
                <w:b/>
                <w:bCs/>
              </w:rPr>
              <w:t xml:space="preserve">Observations</w:t>
            </w:r>
          </w:p>
        </w:tc>
        <w:tc>
          <w:tcPr/>
          <w:p>
            <w:pPr>
              <w:pStyle w:val="Compact"/>
              <w:jc w:val="left"/>
            </w:pPr>
            <w:r>
              <w:rPr>
                <w:b/>
                <w:bCs/>
              </w:rPr>
              <w:t xml:space="preserve">β (elasticity)</w:t>
            </w:r>
          </w:p>
        </w:tc>
        <w:tc>
          <w:tcPr/>
          <w:p>
            <w:pPr>
              <w:pStyle w:val="Compact"/>
              <w:jc w:val="left"/>
            </w:pPr>
            <w:r>
              <w:rPr>
                <w:b/>
                <w:bCs/>
              </w:rPr>
              <w:t xml:space="preserve">p-value</w:t>
            </w:r>
          </w:p>
        </w:tc>
        <w:tc>
          <w:tcPr/>
          <w:p>
            <w:pPr>
              <w:pStyle w:val="Compact"/>
              <w:jc w:val="left"/>
            </w:pPr>
            <w:r>
              <w:rPr>
                <w:b/>
                <w:bCs/>
              </w:rPr>
              <w:t xml:space="preserve">Bootstrap 95% CI</w:t>
            </w:r>
          </w:p>
        </w:tc>
      </w:tr>
      <w:tr>
        <w:tc>
          <w:tcPr/>
          <w:p>
            <w:pPr>
              <w:pStyle w:val="Compact"/>
              <w:jc w:val="left"/>
            </w:pPr>
            <w:r>
              <w:t xml:space="preserve">Full sample</w:t>
            </w:r>
          </w:p>
        </w:tc>
        <w:tc>
          <w:tcPr/>
          <w:p>
            <w:pPr>
              <w:pStyle w:val="Compact"/>
              <w:jc w:val="left"/>
            </w:pPr>
            <w:r>
              <w:t xml:space="preserve">258</w:t>
            </w:r>
          </w:p>
        </w:tc>
        <w:tc>
          <w:tcPr/>
          <w:p>
            <w:pPr>
              <w:pStyle w:val="Compact"/>
              <w:jc w:val="left"/>
            </w:pPr>
            <w:r>
              <w:t xml:space="preserve">2,579</w:t>
            </w:r>
          </w:p>
        </w:tc>
        <w:tc>
          <w:tcPr/>
          <w:p>
            <w:pPr>
              <w:pStyle w:val="Compact"/>
              <w:jc w:val="left"/>
            </w:pPr>
            <w:r>
              <w:t xml:space="preserve">−0.610</w:t>
            </w:r>
          </w:p>
        </w:tc>
        <w:tc>
          <w:tcPr/>
          <w:p>
            <w:pPr>
              <w:pStyle w:val="Compact"/>
              <w:jc w:val="left"/>
            </w:pPr>
            <w:r>
              <w:t xml:space="preserve">0.0002</w:t>
            </w:r>
          </w:p>
        </w:tc>
        <w:tc>
          <w:tcPr/>
          <w:p>
            <w:pPr>
              <w:pStyle w:val="Compact"/>
              <w:jc w:val="left"/>
            </w:pPr>
            <w:r>
              <w:t xml:space="preserve">[−1.00, −0.23]</w:t>
            </w:r>
          </w:p>
        </w:tc>
      </w:tr>
      <w:tr>
        <w:tc>
          <w:tcPr/>
          <w:p>
            <w:pPr>
              <w:pStyle w:val="Compact"/>
              <w:jc w:val="left"/>
            </w:pPr>
            <w:r>
              <w:t xml:space="preserve">Short-stay</w:t>
            </w:r>
          </w:p>
        </w:tc>
        <w:tc>
          <w:tcPr/>
          <w:p>
            <w:pPr>
              <w:pStyle w:val="Compact"/>
              <w:jc w:val="left"/>
            </w:pPr>
            <w:r>
              <w:t xml:space="preserve">64</w:t>
            </w:r>
          </w:p>
        </w:tc>
        <w:tc>
          <w:tcPr/>
          <w:p>
            <w:pPr>
              <w:pStyle w:val="Compact"/>
              <w:jc w:val="left"/>
            </w:pPr>
            <w:r>
              <w:t xml:space="preserve">884</w:t>
            </w:r>
          </w:p>
        </w:tc>
        <w:tc>
          <w:tcPr/>
          <w:p>
            <w:pPr>
              <w:pStyle w:val="Compact"/>
              <w:jc w:val="left"/>
            </w:pPr>
            <w:r>
              <w:t xml:space="preserve">−0.916</w:t>
            </w:r>
          </w:p>
        </w:tc>
        <w:tc>
          <w:tcPr/>
          <w:p>
            <w:pPr>
              <w:pStyle w:val="Compact"/>
              <w:jc w:val="left"/>
            </w:pPr>
            <w:r>
              <w:t xml:space="preserve">&lt;0.0001</w:t>
            </w:r>
          </w:p>
        </w:tc>
        <w:tc>
          <w:tcPr/>
          <w:p>
            <w:pPr>
              <w:pStyle w:val="Compact"/>
              <w:jc w:val="left"/>
            </w:pPr>
            <w:r>
              <w:t xml:space="preserve">[−1.30, −0.54]</w:t>
            </w:r>
          </w:p>
        </w:tc>
      </w:tr>
      <w:tr>
        <w:tc>
          <w:tcPr/>
          <w:p>
            <w:pPr>
              <w:pStyle w:val="Compact"/>
              <w:jc w:val="left"/>
            </w:pPr>
            <w:r>
              <w:t xml:space="preserve">Monthly</w:t>
            </w:r>
          </w:p>
        </w:tc>
        <w:tc>
          <w:tcPr/>
          <w:p>
            <w:pPr>
              <w:pStyle w:val="Compact"/>
              <w:jc w:val="left"/>
            </w:pPr>
            <w:r>
              <w:t xml:space="preserve">194</w:t>
            </w:r>
          </w:p>
        </w:tc>
        <w:tc>
          <w:tcPr/>
          <w:p>
            <w:pPr>
              <w:pStyle w:val="Compact"/>
              <w:jc w:val="left"/>
            </w:pPr>
            <w:r>
              <w:t xml:space="preserve">1,695</w:t>
            </w:r>
          </w:p>
        </w:tc>
        <w:tc>
          <w:tcPr/>
          <w:p>
            <w:pPr>
              <w:pStyle w:val="Compact"/>
              <w:jc w:val="left"/>
            </w:pPr>
            <w:r>
              <w:t xml:space="preserve">+0.084</w:t>
            </w:r>
          </w:p>
        </w:tc>
        <w:tc>
          <w:tcPr/>
          <w:p>
            <w:pPr>
              <w:pStyle w:val="Compact"/>
              <w:jc w:val="left"/>
            </w:pPr>
            <w:r>
              <w:t xml:space="preserve">0.734</w:t>
            </w:r>
          </w:p>
        </w:tc>
        <w:tc>
          <w:tcPr/>
          <w:p>
            <w:pPr>
              <w:pStyle w:val="Compact"/>
              <w:jc w:val="left"/>
            </w:pPr>
            <w:r>
              <w:t xml:space="preserve">[−0.30, +0.58]</w:t>
            </w:r>
          </w:p>
        </w:tc>
      </w:tr>
    </w:tbl>
    <w:p>
      <w:pPr>
        <w:pStyle w:val="BodyText"/>
      </w:pPr>
      <w:r>
        <w:t xml:space="preserve">Short-stay demand is measurably price-elastic: a 10% price increase predicts roughly a 9.2% occupancy decrease, holding listing quality and seasonality constant. Monthly shows no detectable relationship, economically plausible since monthly renters commit to a specific property on a longer horizon and shop less on nightly price.</w:t>
      </w:r>
    </w:p>
    <w:bookmarkEnd w:id="33"/>
    <w:bookmarkStart w:id="34" w:name="limitations-stated-directly"/>
    <w:p>
      <w:pPr>
        <w:pStyle w:val="Heading2"/>
      </w:pPr>
      <w:r>
        <w:t xml:space="preserve">Limitations, stated directly</w:t>
      </w:r>
    </w:p>
    <w:p>
      <w:pPr>
        <w:numPr>
          <w:ilvl w:val="0"/>
          <w:numId w:val="1002"/>
        </w:numPr>
      </w:pPr>
      <w:r>
        <w:t xml:space="preserve">Very low within-listing price variation: median price coefficient of variation per listing is 0.0164, and only 5 of 258 listings show meaningful price movement (CV &gt; 0.05) over the 24-month window. The estimate is identified from small, mostly passive price changes, not from hosts actively experimenting with pricing.</w:t>
      </w:r>
    </w:p>
    <w:p>
      <w:pPr>
        <w:numPr>
          <w:ilvl w:val="0"/>
          <w:numId w:val="1002"/>
        </w:numPr>
      </w:pPr>
      <w:r>
        <w:t xml:space="preserve">Non-random sample, and it cuts toward caution: the 64-listing short-stay panel skews heavily toward established, high-loyalty Individual hosts (6× the reviews, 3× the hosting tenure of the full population), the segment with plausibly the least price-sensitive demand in the market. β=−0.916 on this group is best read as a conservative floor on market-wide price sensitivity, not a precise estimate applicable to any individual listing outside this profile.</w:t>
      </w:r>
    </w:p>
    <w:p>
      <w:pPr>
        <w:numPr>
          <w:ilvl w:val="0"/>
          <w:numId w:val="1002"/>
        </w:numPr>
      </w:pPr>
      <w:r>
        <w:t xml:space="preserve">Correlation, not full causation: even with two-way fixed effects, a time-varying confounder (e.g., a listing that gets a bad review and lowers its price at the same time, for reasons unrelated to the price change itself) cannot be fully ruled out. The gold standard would be a randomized price experiment, which this data does not provide.</w:t>
      </w:r>
    </w:p>
    <w:p>
      <w:pPr>
        <w:numPr>
          <w:ilvl w:val="0"/>
          <w:numId w:val="1002"/>
        </w:numPr>
      </w:pPr>
      <w:r>
        <w:t xml:space="preserve">AirROI's own occupancy metric is itself a third-party ML estimate (it distinguishes host-blocked dates from real bookings using its own proprietary model), not ground truth.</w:t>
      </w:r>
    </w:p>
    <w:bookmarkEnd w:id="34"/>
    <w:bookmarkStart w:id="42" w:name="what-this-changes-financially"/>
    <w:p>
      <w:pPr>
        <w:pStyle w:val="Heading2"/>
      </w:pPr>
      <w:r>
        <w:t xml:space="preserve">What this changes financially</w:t>
      </w:r>
    </w:p>
    <w:p>
      <w:pPr>
        <w:pStyle w:val="FirstParagraph"/>
      </w:pPr>
      <w:r>
        <w:t xml:space="preserve">The project's revenue-lift estimate previously used an occupancy-neutral assumption: moving an underpriced listing to fair value was treated as not affecting occupancy at all. The elasticity result replaces that assumption with a measured coefficient, applied only where it was actually measured.</w:t>
      </w:r>
    </w:p>
    <w:bookmarkStart w:id="35" w:name="X0c4bc5fd5d4b727afa0b47a63a648bc221ca1c3"/>
    <w:p>
      <w:pPr>
        <w:pStyle w:val="Heading3"/>
      </w:pPr>
      <w:r>
        <w:t xml:space="preserve">Why the coefficient is not applied uniformly</w:t>
      </w:r>
    </w:p>
    <w:p>
      <w:pPr>
        <w:pStyle w:val="FirstParagraph"/>
      </w:pPr>
      <w:r>
        <w:t xml:space="preserve">An earlier version of this analysis applied β = −0.916 to every short-stay listing and reported a $9.6M</w:t>
      </w:r>
      <w:r>
        <w:t xml:space="preserve"> </w:t>
      </w:r>
      <w:r>
        <w:t xml:space="preserve">“floor.”</w:t>
      </w:r>
      <w:r>
        <w:t xml:space="preserve"> </w:t>
      </w:r>
      <w:r>
        <w:t xml:space="preserve">That framing was wrong, and correcting it is the single most important methodological step in the financial case.</w:t>
      </w:r>
    </w:p>
    <w:p>
      <w:pPr>
        <w:pStyle w:val="BodyText"/>
      </w:pPr>
      <w:r>
        <w:t xml:space="preserve">β = −0.916 was measured on 64 listings with a median of 142 reviews and 14 years of hosting experience.</w:t>
      </w:r>
      <w:r>
        <w:t xml:space="preserve"> </w:t>
      </w:r>
      <w:r>
        <w:rPr>
          <w:b/>
          <w:bCs/>
        </w:rPr>
        <w:t xml:space="preserve">76% of underpriced short-stay listings sit below the 142-review threshold, and 99% fall short of the panel profile on reviews, tenure, or both.</w:t>
      </w:r>
      <w:r>
        <w:t xml:space="preserve"> </w:t>
      </w:r>
      <w:r>
        <w:t xml:space="preserve">Applying a coefficient measured on the least price-sensitive hosts in the market to a population of far newer, more price-sensitive listings is optimistic, not conservative. A $9.6M number built that way was never a floor.</w:t>
      </w:r>
    </w:p>
    <w:p>
      <w:pPr>
        <w:pStyle w:val="BodyText"/>
      </w:pPr>
      <w:r>
        <w:t xml:space="preserve">The true floor is</w:t>
      </w:r>
      <w:r>
        <w:t xml:space="preserve"> </w:t>
      </w:r>
      <w:r>
        <w:rPr>
          <w:b/>
          <w:bCs/>
        </w:rPr>
        <w:t xml:space="preserve">β = −1.0</w:t>
      </w:r>
      <w:r>
        <w:t xml:space="preserve">, the mathematical breakeven. At unit elasticity every dollar gained from a higher price is exactly offset by occupancy loss, netting zero. This requires no data at all; it is an algebraic identity. And for any listing whose true β is below −1.0, raising price loses money, so no rational host acts on the recommendation and that listing contributes zero regardless.</w:t>
      </w:r>
    </w:p>
    <w:bookmarkEnd w:id="35"/>
    <w:bookmarkStart w:id="36" w:name="the-segmentation"/>
    <w:p>
      <w:pPr>
        <w:pStyle w:val="Heading3"/>
      </w:pPr>
      <w:r>
        <w:t xml:space="preserve">The segmentation</w:t>
      </w:r>
    </w:p>
    <w:p>
      <w:pPr>
        <w:pStyle w:val="FirstParagraph"/>
      </w:pPr>
      <w:r>
        <w:t xml:space="preserve">Elasticity is a property of demand, not of price direction, so the same coefficient assignment applies whether a listing is raising or cutting price:</w:t>
      </w:r>
    </w:p>
    <w:tbl>
      <w:tblPr>
        <w:tblStyle w:val="Table"/>
        <w:tblW w:type="pct" w:w="4877"/>
        <w:tblLayout w:type="fixed"/>
        <w:tblLook w:firstRow="1" w:lastRow="0" w:firstColumn="0" w:lastColumn="0" w:noHBand="0" w:noVBand="0" w:val="0020"/>
      </w:tblPr>
      <w:tblGrid>
        <w:gridCol w:w="3226"/>
        <w:gridCol w:w="1564"/>
        <w:gridCol w:w="2933"/>
      </w:tblGrid>
      <w:tr>
        <w:trPr>
          <w:tblHeader w:val="on"/>
        </w:trPr>
        <w:tc>
          <w:tcPr/>
          <w:p>
            <w:pPr>
              <w:pStyle w:val="Compact"/>
              <w:jc w:val="left"/>
            </w:pPr>
            <w:r>
              <w:rPr>
                <w:b/>
                <w:bCs/>
              </w:rPr>
              <w:t xml:space="preserve">Review tier</w:t>
            </w:r>
          </w:p>
        </w:tc>
        <w:tc>
          <w:tcPr/>
          <w:p>
            <w:pPr>
              <w:pStyle w:val="Compact"/>
              <w:jc w:val="left"/>
            </w:pPr>
            <w:r>
              <w:rPr>
                <w:b/>
                <w:bCs/>
              </w:rPr>
              <w:t xml:space="preserve">β applied</w:t>
            </w:r>
          </w:p>
        </w:tc>
        <w:tc>
          <w:tcPr/>
          <w:p>
            <w:pPr>
              <w:pStyle w:val="Compact"/>
              <w:jc w:val="left"/>
            </w:pPr>
            <w:r>
              <w:rPr>
                <w:b/>
                <w:bCs/>
              </w:rPr>
              <w:t xml:space="preserve">Rationale</w:t>
            </w:r>
          </w:p>
        </w:tc>
      </w:tr>
      <w:tr>
        <w:tc>
          <w:tcPr/>
          <w:p>
            <w:pPr>
              <w:pStyle w:val="Compact"/>
              <w:jc w:val="left"/>
            </w:pPr>
            <w:r>
              <w:t xml:space="preserve">≥142 reviews (panel-matched)</w:t>
            </w:r>
          </w:p>
        </w:tc>
        <w:tc>
          <w:tcPr/>
          <w:p>
            <w:pPr>
              <w:pStyle w:val="Compact"/>
              <w:jc w:val="left"/>
            </w:pPr>
            <w:r>
              <w:t xml:space="preserve">−0.916</w:t>
            </w:r>
          </w:p>
        </w:tc>
        <w:tc>
          <w:tcPr/>
          <w:p>
            <w:pPr>
              <w:pStyle w:val="Compact"/>
              <w:jc w:val="left"/>
            </w:pPr>
            <w:r>
              <w:t xml:space="preserve">Measured on this exact profile</w:t>
            </w:r>
          </w:p>
        </w:tc>
      </w:tr>
      <w:tr>
        <w:tc>
          <w:tcPr/>
          <w:p>
            <w:pPr>
              <w:pStyle w:val="Compact"/>
              <w:jc w:val="left"/>
            </w:pPr>
            <w:r>
              <w:t xml:space="preserve">&lt;142 reviews (below panel)</w:t>
            </w:r>
          </w:p>
        </w:tc>
        <w:tc>
          <w:tcPr/>
          <w:p>
            <w:pPr>
              <w:pStyle w:val="Compact"/>
              <w:jc w:val="left"/>
            </w:pPr>
            <w:r>
              <w:t xml:space="preserve">−1.0</w:t>
            </w:r>
          </w:p>
        </w:tc>
        <w:tc>
          <w:tcPr/>
          <w:p>
            <w:pPr>
              <w:pStyle w:val="Compact"/>
              <w:jc w:val="left"/>
            </w:pPr>
            <w:r>
              <w:t xml:space="preserve">Mathematical breakeven; no</w:t>
            </w:r>
            <w:r>
              <w:t xml:space="preserve"> </w:t>
            </w:r>
            <w:r>
              <w:t xml:space="preserve">extrapolation required</w:t>
            </w:r>
          </w:p>
        </w:tc>
      </w:tr>
      <w:tr>
        <w:tc>
          <w:tcPr/>
          <w:p>
            <w:pPr>
              <w:pStyle w:val="Compact"/>
              <w:jc w:val="left"/>
            </w:pPr>
            <w:r>
              <w:t xml:space="preserve">Monthly (either direction)</w:t>
            </w:r>
          </w:p>
        </w:tc>
        <w:tc>
          <w:tcPr/>
          <w:p>
            <w:pPr>
              <w:pStyle w:val="Compact"/>
              <w:jc w:val="left"/>
            </w:pPr>
            <w:r>
              <w:t xml:space="preserve">0</w:t>
            </w:r>
          </w:p>
        </w:tc>
        <w:tc>
          <w:tcPr/>
          <w:p>
            <w:pPr>
              <w:pStyle w:val="Compact"/>
              <w:jc w:val="left"/>
            </w:pPr>
            <w:r>
              <w:t xml:space="preserve">β not statistically</w:t>
            </w:r>
            <w:r>
              <w:t xml:space="preserve"> </w:t>
            </w:r>
            <w:r>
              <w:t xml:space="preserve">significant (p = 0.734)</w:t>
            </w:r>
          </w:p>
        </w:tc>
      </w:tr>
    </w:tbl>
    <w:p>
      <w:pPr>
        <w:pStyle w:val="BodyText"/>
      </w:pPr>
      <w:r>
        <w:t xml:space="preserve">The 142 threshold is the panel's own median, not a behavioral discontinuity. Nothing changes about a host between 140 and 144 reviews. It is simply the honest boundary of where the measurement applies, chosen because it is defensible and reproducible rather than because it marks a real break.</w:t>
      </w:r>
    </w:p>
    <w:bookmarkEnd w:id="36"/>
    <w:bookmarkStart w:id="37" w:name="underpriced-listings"/>
    <w:p>
      <w:pPr>
        <w:pStyle w:val="Heading3"/>
      </w:pPr>
      <w:r>
        <w:t xml:space="preserve">Underpriced listings</w:t>
      </w:r>
    </w:p>
    <w:tbl>
      <w:tblPr>
        <w:tblStyle w:val="Table"/>
        <w:tblW w:type="pct" w:w="4894"/>
        <w:tblLayout w:type="fixed"/>
        <w:tblLook w:firstRow="1" w:lastRow="0" w:firstColumn="0" w:lastColumn="0" w:noHBand="0" w:noVBand="0" w:val="0020"/>
      </w:tblPr>
      <w:tblGrid>
        <w:gridCol w:w="2948"/>
        <w:gridCol w:w="1179"/>
        <w:gridCol w:w="1263"/>
        <w:gridCol w:w="1179"/>
        <w:gridCol w:w="1179"/>
      </w:tblGrid>
      <w:tr>
        <w:trPr>
          <w:tblHeader w:val="on"/>
        </w:trPr>
        <w:tc>
          <w:tcPr/>
          <w:p>
            <w:pPr>
              <w:pStyle w:val="Compact"/>
              <w:jc w:val="left"/>
            </w:pPr>
            <w:r>
              <w:rPr>
                <w:b/>
                <w:bCs/>
              </w:rPr>
              <w:t xml:space="preserve">Scenario</w:t>
            </w:r>
          </w:p>
        </w:tc>
        <w:tc>
          <w:tcPr/>
          <w:p>
            <w:pPr>
              <w:pStyle w:val="Compact"/>
              <w:jc w:val="left"/>
            </w:pPr>
            <w:r>
              <w:rPr>
                <w:b/>
                <w:bCs/>
              </w:rPr>
              <w:t xml:space="preserve">SS ≥142</w:t>
            </w:r>
          </w:p>
        </w:tc>
        <w:tc>
          <w:tcPr/>
          <w:p>
            <w:pPr>
              <w:pStyle w:val="Compact"/>
              <w:jc w:val="left"/>
            </w:pPr>
            <w:r>
              <w:rPr>
                <w:b/>
                <w:bCs/>
              </w:rPr>
              <w:t xml:space="preserve">SS &lt;142</w:t>
            </w:r>
          </w:p>
        </w:tc>
        <w:tc>
          <w:tcPr/>
          <w:p>
            <w:pPr>
              <w:pStyle w:val="Compact"/>
              <w:jc w:val="left"/>
            </w:pPr>
            <w:r>
              <w:rPr>
                <w:b/>
                <w:bCs/>
              </w:rPr>
              <w:t xml:space="preserve">Monthly</w:t>
            </w:r>
          </w:p>
        </w:tc>
        <w:tc>
          <w:tcPr/>
          <w:p>
            <w:pPr>
              <w:pStyle w:val="Compact"/>
              <w:jc w:val="left"/>
            </w:pPr>
            <w:r>
              <w:rPr>
                <w:b/>
                <w:bCs/>
              </w:rPr>
              <w:t xml:space="preserve">Total</w:t>
            </w:r>
          </w:p>
        </w:tc>
      </w:tr>
      <w:tr>
        <w:tc>
          <w:tcPr/>
          <w:p>
            <w:pPr>
              <w:pStyle w:val="Compact"/>
              <w:jc w:val="left"/>
            </w:pPr>
            <w:r>
              <w:t xml:space="preserve">Ceiling (β=0, occupancy-neutral)</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~$26.8M</w:t>
            </w:r>
          </w:p>
        </w:tc>
      </w:tr>
      <w:tr>
        <w:tc>
          <w:tcPr/>
          <w:p>
            <w:pPr>
              <w:pStyle w:val="Compact"/>
              <w:jc w:val="left"/>
            </w:pPr>
            <w:r>
              <w:t xml:space="preserve">Segmented estimate</w:t>
            </w:r>
          </w:p>
        </w:tc>
        <w:tc>
          <w:tcPr/>
          <w:p>
            <w:pPr>
              <w:pStyle w:val="Compact"/>
              <w:jc w:val="left"/>
            </w:pPr>
            <w:r>
              <w:t xml:space="preserve">+$0.34M</w:t>
            </w:r>
          </w:p>
        </w:tc>
        <w:tc>
          <w:tcPr/>
          <w:p>
            <w:pPr>
              <w:pStyle w:val="Compact"/>
              <w:jc w:val="left"/>
            </w:pPr>
            <w:r>
              <w:t xml:space="preserve">~$0</w:t>
            </w:r>
          </w:p>
        </w:tc>
        <w:tc>
          <w:tcPr/>
          <w:p>
            <w:pPr>
              <w:pStyle w:val="Compact"/>
              <w:jc w:val="left"/>
            </w:pPr>
            <w:r>
              <w:t xml:space="preserve">+$7.94M</w:t>
            </w:r>
          </w:p>
        </w:tc>
        <w:tc>
          <w:tcPr/>
          <w:p>
            <w:pPr>
              <w:pStyle w:val="Compact"/>
              <w:jc w:val="left"/>
            </w:pPr>
            <w:r>
              <w:rPr>
                <w:b/>
                <w:bCs/>
              </w:rPr>
              <w:t xml:space="preserve">$8.27M</w:t>
            </w:r>
          </w:p>
        </w:tc>
      </w:tr>
      <w:tr>
        <w:tc>
          <w:tcPr/>
          <w:p>
            <w:pPr>
              <w:pStyle w:val="Compact"/>
              <w:jc w:val="left"/>
            </w:pPr>
            <w:r>
              <w:t xml:space="preserve">Floor (all short-stay breakeven)</w:t>
            </w:r>
          </w:p>
        </w:tc>
        <w:tc>
          <w:tcPr/>
          <w:p>
            <w:pPr>
              <w:pStyle w:val="Compact"/>
              <w:jc w:val="left"/>
            </w:pPr>
            <w:r>
              <w:t xml:space="preserve">~$0</w:t>
            </w:r>
          </w:p>
        </w:tc>
        <w:tc>
          <w:tcPr/>
          <w:p>
            <w:pPr>
              <w:pStyle w:val="Compact"/>
              <w:jc w:val="left"/>
            </w:pPr>
            <w:r>
              <w:t xml:space="preserve">~$0</w:t>
            </w:r>
          </w:p>
        </w:tc>
        <w:tc>
          <w:tcPr/>
          <w:p>
            <w:pPr>
              <w:pStyle w:val="Compact"/>
              <w:jc w:val="left"/>
            </w:pPr>
            <w:r>
              <w:t xml:space="preserve">+$7.94M</w:t>
            </w:r>
          </w:p>
        </w:tc>
        <w:tc>
          <w:tcPr/>
          <w:p>
            <w:pPr>
              <w:pStyle w:val="Compact"/>
              <w:jc w:val="left"/>
            </w:pPr>
            <w:r>
              <w:t xml:space="preserve">~$7.9M</w:t>
            </w:r>
          </w:p>
        </w:tc>
      </w:tr>
    </w:tbl>
    <w:p>
      <w:pPr>
        <w:pStyle w:val="BodyText"/>
      </w:pPr>
      <w:r>
        <w:t xml:space="preserve">The short-stay contribution is small because the median underpriced short-stay listing sits roughly 17–20% below fair value, and at β≈−0.92 a price increase of that size predicts an occupancy drop of similar magnitude. The two nearly cancel. Short-stay demand is close to unit-elastic: raising to fair value is supported by the data, but it is not a windfall.</w:t>
      </w:r>
    </w:p>
    <w:bookmarkEnd w:id="37"/>
    <w:bookmarkStart w:id="38" w:name="overpriced-listings"/>
    <w:p>
      <w:pPr>
        <w:pStyle w:val="Heading3"/>
      </w:pPr>
      <w:r>
        <w:t xml:space="preserve">Overpriced listings</w:t>
      </w:r>
    </w:p>
    <w:p>
      <w:pPr>
        <w:pStyle w:val="FirstParagraph"/>
      </w:pPr>
      <w:r>
        <w:t xml:space="preserve">The overpriced half receives the same treatment rather than a blanket dismissal. An earlier version of this analysis excluded it entirely, reasoning that because revenue elasticity is (1 + β) ≈ 0.084, cutting price is revenue-negative. That is true for the</w:t>
      </w:r>
      <w:r>
        <w:t xml:space="preserve"> </w:t>
      </w:r>
      <w:r>
        <w:rPr>
          <w:i/>
          <w:iCs/>
        </w:rPr>
        <w:t xml:space="preserve">established</w:t>
      </w:r>
      <w:r>
        <w:t xml:space="preserve"> </w:t>
      </w:r>
      <w:r>
        <w:t xml:space="preserve">segment, but it applies a population-average argument to a population that includes 1,506 listings below 142 reviews whose demand is almost certainly more elastic. Excluding them repeats on one side of the dataset exactly the extrapolation error corrected on the other.</w:t>
      </w:r>
    </w:p>
    <w:tbl>
      <w:tblPr>
        <w:tblStyle w:val="Table"/>
        <w:tblW w:type="pct" w:w="4885"/>
        <w:tblLayout w:type="fixed"/>
        <w:tblLook w:firstRow="1" w:lastRow="0" w:firstColumn="0" w:lastColumn="0" w:noHBand="0" w:noVBand="0" w:val="0020"/>
      </w:tblPr>
      <w:tblGrid>
        <w:gridCol w:w="2184"/>
        <w:gridCol w:w="3095"/>
        <w:gridCol w:w="1365"/>
        <w:gridCol w:w="1092"/>
      </w:tblGrid>
      <w:tr>
        <w:trPr>
          <w:tblHeader w:val="on"/>
        </w:trPr>
        <w:tc>
          <w:tcPr/>
          <w:p>
            <w:pPr>
              <w:pStyle w:val="Compact"/>
              <w:jc w:val="left"/>
            </w:pPr>
            <w:r>
              <w:rPr>
                <w:b/>
                <w:bCs/>
              </w:rPr>
              <w:t xml:space="preserve">Scenario</w:t>
            </w:r>
          </w:p>
        </w:tc>
        <w:tc>
          <w:tcPr/>
          <w:p>
            <w:pPr>
              <w:pStyle w:val="Compact"/>
              <w:jc w:val="left"/>
            </w:pPr>
            <w:r>
              <w:rPr>
                <w:b/>
                <w:bCs/>
              </w:rPr>
              <w:t xml:space="preserve">β assumption</w:t>
            </w:r>
          </w:p>
        </w:tc>
        <w:tc>
          <w:tcPr/>
          <w:p>
            <w:pPr>
              <w:pStyle w:val="Compact"/>
              <w:jc w:val="left"/>
            </w:pPr>
            <w:r>
              <w:rPr>
                <w:b/>
                <w:bCs/>
              </w:rPr>
              <w:t xml:space="preserve">Host GBV</w:t>
            </w:r>
          </w:p>
        </w:tc>
        <w:tc>
          <w:tcPr/>
          <w:p>
            <w:pPr>
              <w:pStyle w:val="Compact"/>
              <w:jc w:val="left"/>
            </w:pPr>
            <w:r>
              <w:rPr>
                <w:b/>
                <w:bCs/>
              </w:rPr>
              <w:t xml:space="preserve">Nights</w:t>
            </w:r>
          </w:p>
        </w:tc>
      </w:tr>
      <w:tr>
        <w:tc>
          <w:tcPr/>
          <w:p>
            <w:pPr>
              <w:pStyle w:val="Compact"/>
              <w:jc w:val="left"/>
            </w:pPr>
            <w:r>
              <w:t xml:space="preserve">Floor (measured)</w:t>
            </w:r>
          </w:p>
        </w:tc>
        <w:tc>
          <w:tcPr/>
          <w:p>
            <w:pPr>
              <w:pStyle w:val="Compact"/>
              <w:jc w:val="left"/>
            </w:pPr>
            <w:r>
              <w:t xml:space="preserve">−0.92 ≥142, −1.0 &lt;142</w:t>
            </w:r>
          </w:p>
        </w:tc>
        <w:tc>
          <w:tcPr/>
          <w:p>
            <w:pPr>
              <w:pStyle w:val="Compact"/>
              <w:jc w:val="left"/>
            </w:pPr>
            <w:r>
              <w:rPr>
                <w:b/>
                <w:bCs/>
              </w:rPr>
              <w:t xml:space="preserve">−$0.70M</w:t>
            </w:r>
          </w:p>
        </w:tc>
        <w:tc>
          <w:tcPr/>
          <w:p>
            <w:pPr>
              <w:pStyle w:val="Compact"/>
              <w:jc w:val="left"/>
            </w:pPr>
            <w:r>
              <w:t xml:space="preserve">+77,606</w:t>
            </w:r>
          </w:p>
        </w:tc>
      </w:tr>
      <w:tr>
        <w:tc>
          <w:tcPr/>
          <w:p>
            <w:pPr>
              <w:pStyle w:val="Compact"/>
              <w:jc w:val="left"/>
            </w:pPr>
            <w:r>
              <w:t xml:space="preserve">Midpoint</w:t>
            </w:r>
          </w:p>
        </w:tc>
        <w:tc>
          <w:tcPr/>
          <w:p>
            <w:pPr>
              <w:pStyle w:val="Compact"/>
              <w:jc w:val="left"/>
            </w:pPr>
            <w:r>
              <w:t xml:space="preserve">−0.92 ≥142, −1.3 &lt;142</w:t>
            </w:r>
          </w:p>
        </w:tc>
        <w:tc>
          <w:tcPr/>
          <w:p>
            <w:pPr>
              <w:pStyle w:val="Compact"/>
              <w:jc w:val="left"/>
            </w:pPr>
            <w:r>
              <w:t xml:space="preserve">+$7.06M</w:t>
            </w:r>
          </w:p>
        </w:tc>
        <w:tc>
          <w:tcPr/>
          <w:p>
            <w:pPr>
              <w:pStyle w:val="Compact"/>
              <w:jc w:val="left"/>
            </w:pPr>
            <w:r>
              <w:t xml:space="preserve">+98,741</w:t>
            </w:r>
          </w:p>
        </w:tc>
      </w:tr>
      <w:tr>
        <w:tc>
          <w:tcPr/>
          <w:p>
            <w:pPr>
              <w:pStyle w:val="Compact"/>
              <w:jc w:val="left"/>
            </w:pPr>
            <w:r>
              <w:t xml:space="preserve">Illustrative ceiling</w:t>
            </w:r>
          </w:p>
        </w:tc>
        <w:tc>
          <w:tcPr/>
          <w:p>
            <w:pPr>
              <w:pStyle w:val="Compact"/>
              <w:jc w:val="left"/>
            </w:pPr>
            <w:r>
              <w:t xml:space="preserve">−1.5 across all overpriced SS</w:t>
            </w:r>
          </w:p>
        </w:tc>
        <w:tc>
          <w:tcPr/>
          <w:p>
            <w:pPr>
              <w:pStyle w:val="Compact"/>
              <w:jc w:val="left"/>
            </w:pPr>
            <w:r>
              <w:t xml:space="preserve">+$18.4M</w:t>
            </w:r>
          </w:p>
        </w:tc>
        <w:tc>
          <w:tcPr/>
          <w:p>
            <w:pPr>
              <w:pStyle w:val="Compact"/>
              <w:jc w:val="left"/>
            </w:pPr>
            <w:r>
              <w:t xml:space="preserve">n/a</w:t>
            </w:r>
          </w:p>
        </w:tc>
      </w:tr>
    </w:tbl>
    <w:p>
      <w:pPr>
        <w:pStyle w:val="BodyText"/>
      </w:pPr>
      <w:r>
        <w:t xml:space="preserve">On the floor, established overpriced hosts book a real, honestly stated revenue loss. The story on this side is not dollars, it is the 77,606 previously empty nights that convert to bookings.</w:t>
      </w:r>
      <w:r>
        <w:t xml:space="preserve"> </w:t>
      </w:r>
      <w:r>
        <w:rPr>
          <w:b/>
          <w:bCs/>
        </w:rPr>
        <w:t xml:space="preserve">Underpriced is margin; overpriced is volume.</w:t>
      </w:r>
    </w:p>
    <w:p>
      <w:pPr>
        <w:pStyle w:val="BodyText"/>
      </w:pPr>
      <w:r>
        <w:t xml:space="preserve">One asymmetry worth stating aloud: the underpriced ceiling (β = 0) is a</w:t>
      </w:r>
      <w:r>
        <w:t xml:space="preserve"> </w:t>
      </w:r>
      <w:r>
        <w:rPr>
          <w:i/>
          <w:iCs/>
        </w:rPr>
        <w:t xml:space="preserve">natural</w:t>
      </w:r>
      <w:r>
        <w:t xml:space="preserve"> </w:t>
      </w:r>
      <w:r>
        <w:t xml:space="preserve">bound, since occupancy cannot respond less than not at all. The overpriced ceiling (β = −1.5) is a</w:t>
      </w:r>
      <w:r>
        <w:t xml:space="preserve"> </w:t>
      </w:r>
      <w:r>
        <w:rPr>
          <w:i/>
          <w:iCs/>
        </w:rPr>
        <w:t xml:space="preserve">chosen</w:t>
      </w:r>
      <w:r>
        <w:t xml:space="preserve"> </w:t>
      </w:r>
      <w:r>
        <w:t xml:space="preserve">figure. It should be labeled illustrative of commodity-tier elasticity, not presented as a hard upper bound.</w:t>
      </w:r>
    </w:p>
    <w:bookmarkEnd w:id="38"/>
    <w:bookmarkStart w:id="39" w:name="the-combined-figure"/>
    <w:p>
      <w:pPr>
        <w:pStyle w:val="Heading3"/>
      </w:pPr>
      <w:r>
        <w:t xml:space="preserve">The combined figure</w:t>
      </w:r>
    </w:p>
    <w:p>
      <w:pPr>
        <w:pStyle w:val="SourceCode"/>
      </w:pPr>
      <w:r>
        <w:rPr>
          <w:rStyle w:val="VerbatimChar"/>
        </w:rPr>
        <w:t xml:space="preserve">Underpriced floor (segmented)     +$8.27M</w:t>
      </w:r>
      <w:r>
        <w:br/>
      </w:r>
      <w:r>
        <w:rPr>
          <w:rStyle w:val="VerbatimChar"/>
        </w:rPr>
        <w:t xml:space="preserve">Overpriced floor (measured)       −$0.70M</w:t>
      </w:r>
      <w:r>
        <w:br/>
      </w:r>
      <w:r>
        <w:rPr>
          <w:rStyle w:val="VerbatimChar"/>
        </w:rPr>
        <w:t xml:space="preserve">─────────────────────────────────────────</w:t>
      </w:r>
      <w:r>
        <w:br/>
      </w:r>
      <w:r>
        <w:rPr>
          <w:rStyle w:val="VerbatimChar"/>
        </w:rPr>
        <w:t xml:space="preserve">COMBINED HOST GBV                 +$7.57M / year</w:t>
      </w:r>
      <w:r>
        <w:br/>
      </w:r>
      <w:r>
        <w:rPr>
          <w:rStyle w:val="VerbatimChar"/>
        </w:rPr>
        <w:t xml:space="preserve">× 15.5% Airbnb take               +$1.17M / year</w:t>
      </w:r>
      <w:r>
        <w:br/>
      </w:r>
      <w:r>
        <w:rPr>
          <w:rStyle w:val="VerbatimChar"/>
        </w:rPr>
        <w:t xml:space="preserve">+ Nights unlocked                 +77,606 nights / year</w:t>
      </w:r>
    </w:p>
    <w:p>
      <w:pPr>
        <w:pStyle w:val="FirstParagraph"/>
      </w:pPr>
      <w:r>
        <w:t xml:space="preserve">Every input is either measured (−0.916) or a mathematical certainty (−1.0 breakeven, β=0 for the insignificant monthly segment). The 77,606 nights are</w:t>
      </w:r>
      <w:r>
        <w:t xml:space="preserve"> </w:t>
      </w:r>
      <w:r>
        <w:rPr>
          <w:b/>
          <w:bCs/>
        </w:rPr>
        <w:t xml:space="preserve">already inside</w:t>
      </w:r>
      <w:r>
        <w:t xml:space="preserve"> </w:t>
      </w:r>
      <w:r>
        <w:t xml:space="preserve">the GBV delta; they are the mechanism that produces the −$0.70M, not a separate bucket to add on top.</w:t>
      </w:r>
    </w:p>
    <w:p>
      <w:pPr>
        <w:pStyle w:val="BodyText"/>
      </w:pPr>
      <w:r>
        <w:rPr>
          <w:b/>
          <w:bCs/>
        </w:rPr>
        <w:t xml:space="preserve">The arithmetic is reproducible from committed data.</w:t>
      </w:r>
      <w:r>
        <w:t xml:space="preserve"> </w:t>
      </w:r>
      <w:r>
        <w:rPr>
          <w:rStyle w:val="VerbatimChar"/>
        </w:rPr>
        <w:t xml:space="preserve">model v4/elasticity/reproduce_revenue_lift.py</w:t>
      </w:r>
      <w:r>
        <w:t xml:space="preserve"> </w:t>
      </w:r>
      <w:r>
        <w:t xml:space="preserve">regenerates these figures from</w:t>
      </w:r>
      <w:r>
        <w:t xml:space="preserve"> </w:t>
      </w:r>
      <w:r>
        <w:rPr>
          <w:rStyle w:val="VerbatimChar"/>
        </w:rPr>
        <w:t xml:space="preserve">active_listings_clean_v6.csv</w:t>
      </w:r>
      <w:r>
        <w:t xml:space="preserve"> </w:t>
      </w:r>
      <w:r>
        <w:t xml:space="preserve">and the model outputs, so the numbers can be checked rather than taken on trust. It returns $7.56M host GBV, $1.17M in Airbnb fees and 77,499 nights against the $7.57M / $1.17M / 77,606 reported here. That is agreement to roughly 0.1%, with the small residual coming from the outlier-trim boundary. Two implementation details are documented in the script because both are easy to get wrong: the 1–99 percentile trim is applied to</w:t>
      </w:r>
      <w:r>
        <w:t xml:space="preserve"> </w:t>
      </w:r>
      <w:r>
        <w:rPr>
          <w:b/>
          <w:bCs/>
        </w:rPr>
        <w:t xml:space="preserve">nightly price</w:t>
      </w:r>
      <w:r>
        <w:t xml:space="preserve">, not to the revenue delta (trimming the delta instead produces $5.97M, a $1.6M understatement), and the recovered-nights total is summed across</w:t>
      </w:r>
      <w:r>
        <w:t xml:space="preserve"> </w:t>
      </w:r>
      <w:r>
        <w:rPr>
          <w:b/>
          <w:bCs/>
        </w:rPr>
        <w:t xml:space="preserve">both review tiers</w:t>
      </w:r>
      <w:r>
        <w:t xml:space="preserve">, because the sub-142 tier held at breakeven nets zero revenue while still recovering real bookings. Counting nights only where revenue is non-zero undercounts them roughly threefold.</w:t>
      </w:r>
    </w:p>
    <w:bookmarkEnd w:id="39"/>
    <w:bookmarkStart w:id="40" w:name="X094832c08797cd38bbad65668aef20d0fc4b03b"/>
    <w:p>
      <w:pPr>
        <w:pStyle w:val="Heading3"/>
      </w:pPr>
      <w:r>
        <w:t xml:space="preserve">How much of the figure rests on a confident call</w:t>
      </w:r>
    </w:p>
    <w:p>
      <w:pPr>
        <w:pStyle w:val="FirstParagraph"/>
      </w:pPr>
      <w:r>
        <w:t xml:space="preserve">The model issues one of three directional calls,</w:t>
      </w:r>
      <w:r>
        <w:t xml:space="preserve"> </w:t>
      </w:r>
      <w:r>
        <w:t xml:space="preserve">“confident: raise,”</w:t>
      </w:r>
      <w:r>
        <w:t xml:space="preserve"> </w:t>
      </w:r>
      <w:r>
        <w:t xml:space="preserve">“confident: lower,”</w:t>
      </w:r>
      <w:r>
        <w:t xml:space="preserve"> </w:t>
      </w:r>
      <w:r>
        <w:t xml:space="preserve">or</w:t>
      </w:r>
      <w:r>
        <w:t xml:space="preserve"> </w:t>
      </w:r>
      <w:r>
        <w:t xml:space="preserve">“uncertain,”</w:t>
      </w:r>
      <w:r>
        <w:t xml:space="preserve"> </w:t>
      </w:r>
      <w:r>
        <w:t xml:space="preserve">based on whether a listing's current price falls entirely outside its own calibrated interval. It returns a confident call on roughly one listing in five, which means most of the headline figure comes from listings the model will not make a directional call on. This is stated here rather than left to be discovered.</w:t>
      </w:r>
    </w:p>
    <w:tbl>
      <w:tblPr>
        <w:tblStyle w:val="Table"/>
        <w:tblW w:type="pct" w:w="4878"/>
        <w:tblLayout w:type="fixed"/>
        <w:tblLook w:firstRow="1" w:lastRow="0" w:firstColumn="0" w:lastColumn="0" w:noHBand="0" w:noVBand="0" w:val="0020"/>
      </w:tblPr>
      <w:tblGrid>
        <w:gridCol w:w="2800"/>
        <w:gridCol w:w="1448"/>
        <w:gridCol w:w="1448"/>
        <w:gridCol w:w="2028"/>
      </w:tblGrid>
      <w:tr>
        <w:trPr>
          <w:tblHeader w:val="on"/>
        </w:trPr>
        <w:tc>
          <w:tcPr/>
          <w:p>
            <w:pPr>
              <w:pStyle w:val="Compact"/>
              <w:jc w:val="left"/>
            </w:pPr>
            <w:r>
              <w:rPr>
                <w:b/>
                <w:bCs/>
              </w:rPr>
              <w:t xml:space="preserve">Confidence bucket</w:t>
            </w:r>
          </w:p>
        </w:tc>
        <w:tc>
          <w:tcPr/>
          <w:p>
            <w:pPr>
              <w:pStyle w:val="Compact"/>
              <w:jc w:val="left"/>
            </w:pPr>
            <w:r>
              <w:rPr>
                <w:b/>
                <w:bCs/>
              </w:rPr>
              <w:t xml:space="preserve">Listings</w:t>
            </w:r>
          </w:p>
        </w:tc>
        <w:tc>
          <w:tcPr/>
          <w:p>
            <w:pPr>
              <w:pStyle w:val="Compact"/>
              <w:jc w:val="left"/>
            </w:pPr>
            <w:r>
              <w:rPr>
                <w:b/>
                <w:bCs/>
              </w:rPr>
              <w:t xml:space="preserve">Host GBV</w:t>
            </w:r>
          </w:p>
        </w:tc>
        <w:tc>
          <w:tcPr/>
          <w:p>
            <w:pPr>
              <w:pStyle w:val="Compact"/>
              <w:jc w:val="left"/>
            </w:pPr>
            <w:r>
              <w:rPr>
                <w:b/>
                <w:bCs/>
              </w:rPr>
              <w:t xml:space="preserve">Share</w:t>
            </w:r>
          </w:p>
        </w:tc>
      </w:tr>
      <w:tr>
        <w:tc>
          <w:tcPr/>
          <w:p>
            <w:pPr>
              <w:pStyle w:val="Compact"/>
              <w:jc w:val="left"/>
            </w:pPr>
            <w:r>
              <w:t xml:space="preserve">Confident: raise price</w:t>
            </w:r>
          </w:p>
        </w:tc>
        <w:tc>
          <w:tcPr/>
          <w:p>
            <w:pPr>
              <w:pStyle w:val="Compact"/>
              <w:jc w:val="left"/>
            </w:pPr>
            <w:r>
              <w:t xml:space="preserve">449</w:t>
            </w:r>
          </w:p>
        </w:tc>
        <w:tc>
          <w:tcPr/>
          <w:p>
            <w:pPr>
              <w:pStyle w:val="Compact"/>
              <w:jc w:val="left"/>
            </w:pPr>
            <w:r>
              <w:t xml:space="preserve">+$2.79M</w:t>
            </w:r>
          </w:p>
        </w:tc>
        <w:tc>
          <w:tcPr/>
          <w:p>
            <w:pPr>
              <w:pStyle w:val="Compact"/>
              <w:jc w:val="left"/>
            </w:pPr>
            <w:r>
              <w:t xml:space="preserve">n/a</w:t>
            </w:r>
          </w:p>
        </w:tc>
      </w:tr>
      <w:tr>
        <w:tc>
          <w:tcPr/>
          <w:p>
            <w:pPr>
              <w:pStyle w:val="Compact"/>
              <w:jc w:val="left"/>
            </w:pPr>
            <w:r>
              <w:t xml:space="preserve">Confident: lower price</w:t>
            </w:r>
          </w:p>
        </w:tc>
        <w:tc>
          <w:tcPr/>
          <w:p>
            <w:pPr>
              <w:pStyle w:val="Compact"/>
              <w:jc w:val="left"/>
            </w:pPr>
            <w:r>
              <w:t xml:space="preserve">94</w:t>
            </w:r>
          </w:p>
        </w:tc>
        <w:tc>
          <w:tcPr/>
          <w:p>
            <w:pPr>
              <w:pStyle w:val="Compact"/>
              <w:jc w:val="left"/>
            </w:pPr>
            <w:r>
              <w:t xml:space="preserve">−$0.45M</w:t>
            </w:r>
          </w:p>
        </w:tc>
        <w:tc>
          <w:tcPr/>
          <w:p>
            <w:pPr>
              <w:pStyle w:val="Compact"/>
              <w:jc w:val="left"/>
            </w:pPr>
            <w:r>
              <w:t xml:space="preserve">n/a</w:t>
            </w:r>
          </w:p>
        </w:tc>
      </w:tr>
      <w:tr>
        <w:tc>
          <w:tcPr/>
          <w:p>
            <w:pPr>
              <w:pStyle w:val="Compact"/>
              <w:jc w:val="left"/>
            </w:pPr>
            <w:r>
              <w:t xml:space="preserve">Uncertain (inside interval)</w:t>
            </w:r>
          </w:p>
        </w:tc>
        <w:tc>
          <w:tcPr/>
          <w:p>
            <w:pPr>
              <w:pStyle w:val="Compact"/>
              <w:jc w:val="left"/>
            </w:pPr>
            <w:r>
              <w:t xml:space="preserve">3,192</w:t>
            </w:r>
          </w:p>
        </w:tc>
        <w:tc>
          <w:tcPr/>
          <w:p>
            <w:pPr>
              <w:pStyle w:val="Compact"/>
              <w:jc w:val="left"/>
            </w:pPr>
            <w:r>
              <w:t xml:space="preserve">+$5.21M</w:t>
            </w:r>
          </w:p>
        </w:tc>
        <w:tc>
          <w:tcPr/>
          <w:p>
            <w:pPr>
              <w:pStyle w:val="Compact"/>
              <w:jc w:val="left"/>
            </w:pPr>
            <w:r>
              <w:rPr>
                <w:b/>
                <w:bCs/>
              </w:rPr>
              <w:t xml:space="preserve">69% of total</w:t>
            </w:r>
          </w:p>
        </w:tc>
      </w:tr>
    </w:tbl>
    <w:p>
      <w:pPr>
        <w:pStyle w:val="BodyText"/>
      </w:pPr>
      <w:r>
        <w:t xml:space="preserve">Two things follow. First,</w:t>
      </w:r>
      <w:r>
        <w:t xml:space="preserve"> </w:t>
      </w:r>
      <w:r>
        <w:t xml:space="preserve">“Uncertain”</w:t>
      </w:r>
      <w:r>
        <w:t xml:space="preserve"> </w:t>
      </w:r>
      <w:r>
        <w:t xml:space="preserve">is a statement about the width of the interval, not the absence of signal: the revenue math uses q50, the central estimate, which remains the best point estimate for a listing regardless of how wide the band around it is, and the model-noise discount already haircuts the gap for precisely that reason. Second, and more usefully, the confident subset alone is worth</w:t>
      </w:r>
      <w:r>
        <w:t xml:space="preserve"> </w:t>
      </w:r>
      <w:r>
        <w:rPr>
          <w:b/>
          <w:bCs/>
        </w:rPr>
        <w:t xml:space="preserve">$2.34M in host GBV, or $363K/yr in Airbnb fees at full adoption</w:t>
      </w:r>
      <w:r>
        <w:t xml:space="preserve">, against a $65K build and $30K/yr run cost. It clears the funding bar on its own.</w:t>
      </w:r>
    </w:p>
    <w:p>
      <w:pPr>
        <w:pStyle w:val="BodyText"/>
      </w:pPr>
      <w:r>
        <w:t xml:space="preserve">That is the point worth making rather than defending the larger number: the decision to fund does not change whether the reviewer accepts $7.57M or only $2.34M. Both are shown for that reason. Backup slide B4 carries this table if the question comes up live.</w:t>
      </w:r>
    </w:p>
    <w:bookmarkEnd w:id="40"/>
    <w:bookmarkStart w:id="41" w:name="X948d7b157d6d96df184eb648c28201c3f45c051"/>
    <w:p>
      <w:pPr>
        <w:pStyle w:val="Heading3"/>
      </w:pPr>
      <w:r>
        <w:t xml:space="preserve">The softest spot, stated before anyone finds it</w:t>
      </w:r>
    </w:p>
    <w:p>
      <w:pPr>
        <w:pStyle w:val="FirstParagraph"/>
      </w:pPr>
      <w:r>
        <w:t xml:space="preserve">The combined $7.57M is carried almost entirely by the monthly segment (+$7.94M). Short-stay nets close to zero (+$0.34M underpriced, −$0.70M overpriced). If asked whether the revenue number is essentially just the monthly listings, the answer is</w:t>
      </w:r>
      <w:r>
        <w:t xml:space="preserve"> </w:t>
      </w:r>
      <w:r>
        <w:rPr>
          <w:b/>
          <w:bCs/>
        </w:rPr>
        <w:t xml:space="preserve">yes</w:t>
      </w:r>
      <w:r>
        <w:t xml:space="preserve">, and the reason is that monthly elasticity came back statistically insignificant (p = 0.734), so it is held occupancy-neutral and the full price gap flows through. That assumption is the load-bearing one in the entire financial case, and it rests on a null result rather than a measurement.</w:t>
      </w:r>
    </w:p>
    <w:p>
      <w:pPr>
        <w:pStyle w:val="BodyText"/>
      </w:pPr>
      <w:r>
        <w:rPr>
          <w:i/>
          <w:iCs/>
        </w:rPr>
        <w:t xml:space="preserve">AirROI here stands in for the first-party booking data Airbnb itself would already have internally. The pitch's framing is proof-of-mechanism, not proof at Airbnb's true scale: the technique (two-way fixed effects on real price/occupancy panel data) is what a production deployment would run on Airbnb's own full booking history, not on this 258-listing proxy sample.</w:t>
      </w:r>
    </w:p>
    <w:bookmarkEnd w:id="41"/>
    <w:bookmarkEnd w:id="42"/>
    <w:bookmarkEnd w:id="43"/>
    <w:bookmarkStart w:id="51" w:name="the-financial-case-cost-roi-and-timeline"/>
    <w:p>
      <w:pPr>
        <w:pStyle w:val="Heading1"/>
      </w:pPr>
      <w:r>
        <w:t xml:space="preserve">The Financial Case: Cost, ROI, and Timeline</w:t>
      </w:r>
    </w:p>
    <w:bookmarkStart w:id="44" w:name="cost-methodology"/>
    <w:p>
      <w:pPr>
        <w:pStyle w:val="Heading2"/>
      </w:pPr>
      <w:r>
        <w:t xml:space="preserve">Cost methodology</w:t>
      </w:r>
    </w:p>
    <w:p>
      <w:pPr>
        <w:pStyle w:val="FirstParagraph"/>
      </w:pPr>
      <w:r>
        <w:t xml:space="preserve">Two published frameworks structure the cost estimate rather than an ad-hoc list. The</w:t>
      </w:r>
      <w:r>
        <w:t xml:space="preserve"> </w:t>
      </w:r>
      <w:r>
        <w:rPr>
          <w:b/>
          <w:bCs/>
        </w:rPr>
        <w:t xml:space="preserve">Gartner TCO framework</w:t>
      </w:r>
      <w:r>
        <w:t xml:space="preserve"> </w:t>
      </w:r>
      <w:r>
        <w:t xml:space="preserve">splits direct costs (compute, database, hosting, support) from indirect (downtime, upkeep).</w:t>
      </w:r>
      <w:r>
        <w:t xml:space="preserve"> </w:t>
      </w:r>
      <w:r>
        <w:rPr>
          <w:b/>
          <w:bCs/>
        </w:rPr>
        <w:t xml:space="preserve">“Hidden Technical Debt in Machine Learning Systems”</w:t>
      </w:r>
      <w:r>
        <w:t xml:space="preserve"> </w:t>
      </w:r>
      <w:r>
        <w:t xml:space="preserve">(Sculley et al., Google, NeurIPS 2015) justifies a distinct recurring line for retraining, pipeline maintenance, and monitoring, which a conventional software TCO would understate.</w:t>
      </w:r>
    </w:p>
    <w:bookmarkEnd w:id="44"/>
    <w:bookmarkStart w:id="45" w:name="incremental-not-greenfield"/>
    <w:p>
      <w:pPr>
        <w:pStyle w:val="Heading2"/>
      </w:pPr>
      <w:r>
        <w:t xml:space="preserve">Incremental, not greenfield</w:t>
      </w:r>
    </w:p>
    <w:p>
      <w:pPr>
        <w:pStyle w:val="FirstParagraph"/>
      </w:pPr>
      <w:r>
        <w:t xml:space="preserve">The cost is estimated as the</w:t>
      </w:r>
      <w:r>
        <w:t xml:space="preserve"> </w:t>
      </w:r>
      <w:r>
        <w:rPr>
          <w:b/>
          <w:bCs/>
        </w:rPr>
        <w:t xml:space="preserve">marginal engineering effort to add this feature to infrastructure Airbnb already owns</w:t>
      </w:r>
      <w:r>
        <w:t xml:space="preserve">, not the cost of building a standalone product. Airbnb already runs model-serving infrastructure, A/B testing pipelines, and pricing-feature engineering; Smart Pricing ships today, which is direct evidence the platform exists.</w:t>
      </w:r>
    </w:p>
    <w:tbl>
      <w:tblPr>
        <w:tblStyle w:val="Table"/>
        <w:tblW w:type="pct" w:w="4872"/>
        <w:tblLayout w:type="fixed"/>
        <w:tblLook w:firstRow="1" w:lastRow="0" w:firstColumn="0" w:lastColumn="0" w:noHBand="0" w:noVBand="0" w:val="0020"/>
      </w:tblPr>
      <w:tblGrid>
        <w:gridCol w:w="3046"/>
        <w:gridCol w:w="2233"/>
        <w:gridCol w:w="2436"/>
      </w:tblGrid>
      <w:tr>
        <w:trPr>
          <w:tblHeader w:val="on"/>
        </w:trPr>
        <w:tc>
          <w:tcPr/>
          <w:p>
            <w:pPr>
              <w:pStyle w:val="Compact"/>
              <w:jc w:val="left"/>
            </w:pPr>
            <w:r>
              <w:rPr>
                <w:b/>
                <w:bCs/>
              </w:rPr>
              <w:t xml:space="preserve">Line</w:t>
            </w:r>
          </w:p>
        </w:tc>
        <w:tc>
          <w:tcPr/>
          <w:p>
            <w:pPr>
              <w:pStyle w:val="Compact"/>
              <w:jc w:val="left"/>
            </w:pPr>
            <w:r>
              <w:rPr>
                <w:b/>
                <w:bCs/>
              </w:rPr>
              <w:t xml:space="preserve">Incremental</w:t>
            </w:r>
          </w:p>
        </w:tc>
        <w:tc>
          <w:tcPr/>
          <w:p>
            <w:pPr>
              <w:pStyle w:val="Compact"/>
              <w:jc w:val="left"/>
            </w:pPr>
            <w:r>
              <w:rPr>
                <w:b/>
                <w:bCs/>
              </w:rPr>
              <w:t xml:space="preserve">Greenfield (check)</w:t>
            </w:r>
          </w:p>
        </w:tc>
      </w:tr>
      <w:tr>
        <w:tc>
          <w:tcPr/>
          <w:p>
            <w:pPr>
              <w:pStyle w:val="Compact"/>
              <w:jc w:val="left"/>
            </w:pPr>
            <w:r>
              <w:t xml:space="preserve">One-time build</w:t>
            </w:r>
          </w:p>
        </w:tc>
        <w:tc>
          <w:tcPr/>
          <w:p>
            <w:pPr>
              <w:pStyle w:val="Compact"/>
              <w:jc w:val="left"/>
            </w:pPr>
            <w:r>
              <w:t xml:space="preserve">~$65K</w:t>
            </w:r>
          </w:p>
        </w:tc>
        <w:tc>
          <w:tcPr/>
          <w:p>
            <w:pPr>
              <w:pStyle w:val="Compact"/>
              <w:jc w:val="left"/>
            </w:pPr>
            <w:r>
              <w:t xml:space="preserve">~$190K</w:t>
            </w:r>
          </w:p>
        </w:tc>
      </w:tr>
      <w:tr>
        <w:tc>
          <w:tcPr/>
          <w:p>
            <w:pPr>
              <w:pStyle w:val="Compact"/>
              <w:jc w:val="left"/>
            </w:pPr>
            <w:r>
              <w:t xml:space="preserve">Annual run</w:t>
            </w:r>
          </w:p>
        </w:tc>
        <w:tc>
          <w:tcPr/>
          <w:p>
            <w:pPr>
              <w:pStyle w:val="Compact"/>
              <w:jc w:val="left"/>
            </w:pPr>
            <w:r>
              <w:t xml:space="preserve">~$30K/yr</w:t>
            </w:r>
          </w:p>
        </w:tc>
        <w:tc>
          <w:tcPr/>
          <w:p>
            <w:pPr>
              <w:pStyle w:val="Compact"/>
              <w:jc w:val="left"/>
            </w:pPr>
            <w:r>
              <w:t xml:space="preserve">~$105K/yr</w:t>
            </w:r>
          </w:p>
        </w:tc>
      </w:tr>
      <w:tr>
        <w:tc>
          <w:tcPr/>
          <w:p>
            <w:pPr>
              <w:pStyle w:val="Compact"/>
              <w:jc w:val="left"/>
            </w:pPr>
            <w:r>
              <w:t xml:space="preserve">Five-year total</w:t>
            </w:r>
          </w:p>
        </w:tc>
        <w:tc>
          <w:tcPr/>
          <w:p>
            <w:pPr>
              <w:pStyle w:val="Compact"/>
              <w:jc w:val="left"/>
            </w:pPr>
            <w:r>
              <w:rPr>
                <w:b/>
                <w:bCs/>
              </w:rPr>
              <w:t xml:space="preserve">~$215K</w:t>
            </w:r>
          </w:p>
        </w:tc>
        <w:tc>
          <w:tcPr/>
          <w:p>
            <w:pPr>
              <w:pStyle w:val="Compact"/>
              <w:jc w:val="left"/>
            </w:pPr>
            <w:r>
              <w:t xml:space="preserve">~$715K</w:t>
            </w:r>
          </w:p>
        </w:tc>
      </w:tr>
    </w:tbl>
    <w:p>
      <w:pPr>
        <w:pStyle w:val="BodyText"/>
      </w:pPr>
      <w:r>
        <w:t xml:space="preserve">Runtime infrastructure is roughly $3K/yr of the annual figure (compute, database, dashboard hosting, monitoring, all marginal load on existing systems). AI coding tooling used during the build (Claude Code / Cursor / API usage across the roughly four-month development period) came to under $1K one-time, itemized for completeness though it rounds to noise against engineering labor, and is very likely already absorbed into Airbnb's existing developer-tooling spend.</w:t>
      </w:r>
    </w:p>
    <w:p>
      <w:pPr>
        <w:pStyle w:val="BodyText"/>
      </w:pPr>
      <w:r>
        <w:rPr>
          <w:b/>
          <w:bCs/>
        </w:rPr>
        <w:t xml:space="preserve">The honest caveat.</w:t>
      </w:r>
      <w:r>
        <w:t xml:space="preserve"> </w:t>
      </w:r>
      <w:r>
        <w:t xml:space="preserve">The $190K greenfield figure is built on sourced Glassdoor 2026 fully-loaded compensation benchmarks. The $65K incremental figure is the team's own estimate and is</w:t>
      </w:r>
      <w:r>
        <w:t xml:space="preserve"> </w:t>
      </w:r>
      <w:r>
        <w:rPr>
          <w:i/>
          <w:iCs/>
        </w:rPr>
        <w:t xml:space="preserve">not</w:t>
      </w:r>
      <w:r>
        <w:t xml:space="preserve"> </w:t>
      </w:r>
      <w:r>
        <w:t xml:space="preserve">externally sourced. The presentation leads with the incremental number, which produces the stronger ROI, so the greenfield figure is shown alongside it rather than dropped, and the reasoning for preferring the incremental basis is stated rather than assumed.</w:t>
      </w:r>
    </w:p>
    <w:bookmarkEnd w:id="45"/>
    <w:bookmarkStart w:id="46" w:name="return-by-adoption"/>
    <w:p>
      <w:pPr>
        <w:pStyle w:val="Heading2"/>
      </w:pPr>
      <w:r>
        <w:t xml:space="preserve">Return, by adoption</w:t>
      </w:r>
    </w:p>
    <w:p>
      <w:pPr>
        <w:pStyle w:val="FirstParagraph"/>
      </w:pPr>
      <w:r>
        <w:t xml:space="preserve">No external benchmark exists for the share of a measured pricing gap that a host base actually captures, so adoption is presented as a sensitivity table rather than a single invented figure.</w:t>
      </w:r>
    </w:p>
    <w:tbl>
      <w:tblPr>
        <w:tblStyle w:val="Table"/>
        <w:tblW w:type="pct" w:w="4894"/>
        <w:tblLayout w:type="fixed"/>
        <w:tblLook w:firstRow="1" w:lastRow="0" w:firstColumn="0" w:lastColumn="0" w:noHBand="0" w:noVBand="0" w:val="0020"/>
      </w:tblPr>
      <w:tblGrid>
        <w:gridCol w:w="1263"/>
        <w:gridCol w:w="1685"/>
        <w:gridCol w:w="1769"/>
        <w:gridCol w:w="1769"/>
        <w:gridCol w:w="1263"/>
      </w:tblGrid>
      <w:tr>
        <w:trPr>
          <w:tblHeader w:val="on"/>
        </w:trPr>
        <w:tc>
          <w:tcPr/>
          <w:p>
            <w:pPr>
              <w:pStyle w:val="Compact"/>
              <w:jc w:val="left"/>
            </w:pPr>
            <w:r>
              <w:rPr>
                <w:b/>
                <w:bCs/>
              </w:rPr>
              <w:t xml:space="preserve">Adoption</w:t>
            </w:r>
          </w:p>
        </w:tc>
        <w:tc>
          <w:tcPr/>
          <w:p>
            <w:pPr>
              <w:pStyle w:val="Compact"/>
              <w:jc w:val="left"/>
            </w:pPr>
            <w:r>
              <w:rPr>
                <w:b/>
                <w:bCs/>
              </w:rPr>
              <w:t xml:space="preserve">Airbnb fee/yr</w:t>
            </w:r>
          </w:p>
        </w:tc>
        <w:tc>
          <w:tcPr/>
          <w:p>
            <w:pPr>
              <w:pStyle w:val="Compact"/>
              <w:jc w:val="left"/>
            </w:pPr>
            <w:r>
              <w:rPr>
                <w:b/>
                <w:bCs/>
              </w:rPr>
              <w:t xml:space="preserve">5-yr net (nom)</w:t>
            </w:r>
          </w:p>
        </w:tc>
        <w:tc>
          <w:tcPr/>
          <w:p>
            <w:pPr>
              <w:pStyle w:val="Compact"/>
              <w:jc w:val="left"/>
            </w:pPr>
            <w:r>
              <w:rPr>
                <w:b/>
                <w:bCs/>
              </w:rPr>
              <w:t xml:space="preserve">5-yr net (NPV)</w:t>
            </w:r>
          </w:p>
        </w:tc>
        <w:tc>
          <w:tcPr/>
          <w:p>
            <w:pPr>
              <w:pStyle w:val="Compact"/>
              <w:jc w:val="left"/>
            </w:pPr>
            <w:r>
              <w:rPr>
                <w:b/>
                <w:bCs/>
              </w:rPr>
              <w:t xml:space="preserve">Payback</w:t>
            </w:r>
          </w:p>
        </w:tc>
      </w:tr>
      <w:tr>
        <w:tc>
          <w:tcPr/>
          <w:p>
            <w:pPr>
              <w:pStyle w:val="Compact"/>
              <w:jc w:val="left"/>
            </w:pPr>
            <w:r>
              <w:t xml:space="preserve">15%</w:t>
            </w:r>
          </w:p>
        </w:tc>
        <w:tc>
          <w:tcPr/>
          <w:p>
            <w:pPr>
              <w:pStyle w:val="Compact"/>
              <w:jc w:val="left"/>
            </w:pPr>
            <w:r>
              <w:t xml:space="preserve">$176K</w:t>
            </w:r>
          </w:p>
        </w:tc>
        <w:tc>
          <w:tcPr/>
          <w:p>
            <w:pPr>
              <w:pStyle w:val="Compact"/>
              <w:jc w:val="left"/>
            </w:pPr>
            <w:r>
              <w:t xml:space="preserve">$0.66M</w:t>
            </w:r>
          </w:p>
        </w:tc>
        <w:tc>
          <w:tcPr/>
          <w:p>
            <w:pPr>
              <w:pStyle w:val="Compact"/>
              <w:jc w:val="left"/>
            </w:pPr>
            <w:r>
              <w:t xml:space="preserve">$0.49M</w:t>
            </w:r>
          </w:p>
        </w:tc>
        <w:tc>
          <w:tcPr/>
          <w:p>
            <w:pPr>
              <w:pStyle w:val="Compact"/>
              <w:jc w:val="left"/>
            </w:pPr>
            <w:r>
              <w:t xml:space="preserve">~6 months</w:t>
            </w:r>
          </w:p>
        </w:tc>
      </w:tr>
      <w:tr>
        <w:tc>
          <w:tcPr/>
          <w:p>
            <w:pPr>
              <w:pStyle w:val="Compact"/>
              <w:jc w:val="left"/>
            </w:pPr>
            <w:r>
              <w:t xml:space="preserve">25%</w:t>
            </w:r>
          </w:p>
        </w:tc>
        <w:tc>
          <w:tcPr/>
          <w:p>
            <w:pPr>
              <w:pStyle w:val="Compact"/>
              <w:jc w:val="left"/>
            </w:pPr>
            <w:r>
              <w:t xml:space="preserve">$292K</w:t>
            </w:r>
          </w:p>
        </w:tc>
        <w:tc>
          <w:tcPr/>
          <w:p>
            <w:pPr>
              <w:pStyle w:val="Compact"/>
              <w:jc w:val="left"/>
            </w:pPr>
            <w:r>
              <w:t xml:space="preserve">$1.25M</w:t>
            </w:r>
          </w:p>
        </w:tc>
        <w:tc>
          <w:tcPr/>
          <w:p>
            <w:pPr>
              <w:pStyle w:val="Compact"/>
              <w:jc w:val="left"/>
            </w:pPr>
            <w:r>
              <w:t xml:space="preserve">$0.93M</w:t>
            </w:r>
          </w:p>
        </w:tc>
        <w:tc>
          <w:tcPr/>
          <w:p>
            <w:pPr>
              <w:pStyle w:val="Compact"/>
              <w:jc w:val="left"/>
            </w:pPr>
            <w:r>
              <w:t xml:space="preserve">~4 months</w:t>
            </w:r>
          </w:p>
        </w:tc>
      </w:tr>
      <w:tr>
        <w:tc>
          <w:tcPr/>
          <w:p>
            <w:pPr>
              <w:pStyle w:val="Compact"/>
              <w:jc w:val="left"/>
            </w:pPr>
            <w:r>
              <w:t xml:space="preserve">35%</w:t>
            </w:r>
          </w:p>
        </w:tc>
        <w:tc>
          <w:tcPr/>
          <w:p>
            <w:pPr>
              <w:pStyle w:val="Compact"/>
              <w:jc w:val="left"/>
            </w:pPr>
            <w:r>
              <w:t xml:space="preserve">$410K</w:t>
            </w:r>
          </w:p>
        </w:tc>
        <w:tc>
          <w:tcPr/>
          <w:p>
            <w:pPr>
              <w:pStyle w:val="Compact"/>
              <w:jc w:val="left"/>
            </w:pPr>
            <w:r>
              <w:t xml:space="preserve">$1.83M</w:t>
            </w:r>
          </w:p>
        </w:tc>
        <w:tc>
          <w:tcPr/>
          <w:p>
            <w:pPr>
              <w:pStyle w:val="Compact"/>
              <w:jc w:val="left"/>
            </w:pPr>
            <w:r>
              <w:t xml:space="preserve">$1.37M</w:t>
            </w:r>
          </w:p>
        </w:tc>
        <w:tc>
          <w:tcPr/>
          <w:p>
            <w:pPr>
              <w:pStyle w:val="Compact"/>
              <w:jc w:val="left"/>
            </w:pPr>
            <w:r>
              <w:t xml:space="preserve">~3 months</w:t>
            </w:r>
          </w:p>
        </w:tc>
      </w:tr>
      <w:tr>
        <w:tc>
          <w:tcPr/>
          <w:p>
            <w:pPr>
              <w:pStyle w:val="Compact"/>
              <w:jc w:val="left"/>
            </w:pPr>
            <w:r>
              <w:t xml:space="preserve">50%</w:t>
            </w:r>
          </w:p>
        </w:tc>
        <w:tc>
          <w:tcPr/>
          <w:p>
            <w:pPr>
              <w:pStyle w:val="Compact"/>
              <w:jc w:val="left"/>
            </w:pPr>
            <w:r>
              <w:t xml:space="preserve">$585K</w:t>
            </w:r>
          </w:p>
        </w:tc>
        <w:tc>
          <w:tcPr/>
          <w:p>
            <w:pPr>
              <w:pStyle w:val="Compact"/>
              <w:jc w:val="left"/>
            </w:pPr>
            <w:r>
              <w:t xml:space="preserve">$2.71M</w:t>
            </w:r>
          </w:p>
        </w:tc>
        <w:tc>
          <w:tcPr/>
          <w:p>
            <w:pPr>
              <w:pStyle w:val="Compact"/>
              <w:jc w:val="left"/>
            </w:pPr>
            <w:r>
              <w:t xml:space="preserve">$2.04M</w:t>
            </w:r>
          </w:p>
        </w:tc>
        <w:tc>
          <w:tcPr/>
          <w:p>
            <w:pPr>
              <w:pStyle w:val="Compact"/>
              <w:jc w:val="left"/>
            </w:pPr>
            <w:r>
              <w:t xml:space="preserve">~2 months</w:t>
            </w:r>
          </w:p>
        </w:tc>
      </w:tr>
      <w:tr>
        <w:tc>
          <w:tcPr/>
          <w:p>
            <w:pPr>
              <w:pStyle w:val="Compact"/>
              <w:jc w:val="left"/>
            </w:pPr>
            <w:r>
              <w:t xml:space="preserve">100%</w:t>
            </w:r>
          </w:p>
        </w:tc>
        <w:tc>
          <w:tcPr/>
          <w:p>
            <w:pPr>
              <w:pStyle w:val="Compact"/>
              <w:jc w:val="left"/>
            </w:pPr>
            <w:r>
              <w:t xml:space="preserve">$1.17M</w:t>
            </w:r>
          </w:p>
        </w:tc>
        <w:tc>
          <w:tcPr/>
          <w:p>
            <w:pPr>
              <w:pStyle w:val="Compact"/>
              <w:jc w:val="left"/>
            </w:pPr>
            <w:r>
              <w:t xml:space="preserve">$5.63M</w:t>
            </w:r>
          </w:p>
        </w:tc>
        <w:tc>
          <w:tcPr/>
          <w:p>
            <w:pPr>
              <w:pStyle w:val="Compact"/>
              <w:jc w:val="left"/>
            </w:pPr>
            <w:r>
              <w:t xml:space="preserve">$4.26M</w:t>
            </w:r>
          </w:p>
        </w:tc>
        <w:tc>
          <w:tcPr/>
          <w:p>
            <w:pPr>
              <w:pStyle w:val="Compact"/>
              <w:jc w:val="left"/>
            </w:pPr>
            <w:r>
              <w:t xml:space="preserve">~1 month</w:t>
            </w:r>
          </w:p>
        </w:tc>
      </w:tr>
    </w:tbl>
    <w:p>
      <w:pPr>
        <w:pStyle w:val="BodyText"/>
      </w:pPr>
      <w:r>
        <w:rPr>
          <w:b/>
          <w:bCs/>
        </w:rPr>
        <w:t xml:space="preserve">Read this table as a sensitivity, not as the forecast.</w:t>
      </w:r>
      <w:r>
        <w:t xml:space="preserve"> </w:t>
      </w:r>
      <w:r>
        <w:t xml:space="preserve">Each row holds one adoption rate flat for five years, which no product actually does. The presentation leads with the modeled ramp in</w:t>
      </w:r>
      <w:r>
        <w:t xml:space="preserve"> </w:t>
      </w:r>
      <w:r>
        <w:t xml:space="preserve">“Adoption ramp and five-year timeline”</w:t>
      </w:r>
      <w:r>
        <w:t xml:space="preserve"> </w:t>
      </w:r>
      <w:r>
        <w:t xml:space="preserve">below, where adoption starts near 10% and climbs; the deck’s ROI slide and Backup B6 both run on that curve. This table answers</w:t>
      </w:r>
      <w:r>
        <w:t xml:space="preserve"> </w:t>
      </w:r>
      <w:r>
        <w:t xml:space="preserve">“what if adoption settled at X?”</w:t>
      </w:r>
      <w:r>
        <w:t xml:space="preserve">, which is a useful stress test and a different question. The 100% row invites obvious adoption skepticism and is shown only for completeness.</w:t>
      </w:r>
    </w:p>
    <w:p>
      <w:pPr>
        <w:pStyle w:val="BodyText"/>
      </w:pPr>
      <w:r>
        <w:t xml:space="preserve">A structural point worth making if the revenue figure is challenged: because the incremental cost base is small, the ROI conclusion is largely insensitive to which revenue estimate is used. Whether the true figure is $7.57M or several times that, the project clears a funding threshold comfortably. The argument does not depend on winning the argument about the exact revenue number.</w:t>
      </w:r>
    </w:p>
    <w:bookmarkEnd w:id="46"/>
    <w:bookmarkStart w:id="47" w:name="time-value"/>
    <w:p>
      <w:pPr>
        <w:pStyle w:val="Heading2"/>
      </w:pPr>
      <w:r>
        <w:t xml:space="preserve">Time value</w:t>
      </w:r>
    </w:p>
    <w:p>
      <w:pPr>
        <w:pStyle w:val="FirstParagraph"/>
      </w:pPr>
      <w:r>
        <w:t xml:space="preserve">Discounted at</w:t>
      </w:r>
      <w:r>
        <w:t xml:space="preserve"> </w:t>
      </w:r>
      <w:r>
        <w:rPr>
          <w:b/>
          <w:bCs/>
        </w:rPr>
        <w:t xml:space="preserve">10%</w:t>
      </w:r>
      <w:r>
        <w:t xml:space="preserve">, the standard corporate rate for a moderate-risk internal project (Corporate Finance Institute, the same source as the payback methodology).</w:t>
      </w:r>
    </w:p>
    <w:p>
      <w:pPr>
        <w:pStyle w:val="BodyText"/>
      </w:pPr>
      <w:r>
        <w:rPr>
          <w:b/>
          <w:bCs/>
        </w:rPr>
        <w:t xml:space="preserve">Which five-year figure applies depends on the adoption assumption, and the two are easy to confuse.</w:t>
      </w:r>
      <w:r>
        <w:t xml:space="preserve"> </w:t>
      </w:r>
      <w:r>
        <w:t xml:space="preserve">On the modeled ramp below, which is what the presentation runs on, five-year cumulative net falls from</w:t>
      </w:r>
      <w:r>
        <w:t xml:space="preserve"> </w:t>
      </w:r>
      <w:r>
        <w:rPr>
          <w:b/>
          <w:bCs/>
        </w:rPr>
        <w:t xml:space="preserve">$1.61M nominal to $1.14M in present value</w:t>
      </w:r>
      <w:r>
        <w:t xml:space="preserve">, a haircut of roughly 29%. The larger $5.63M / $4.26M pair in the sensitivity table above is the</w:t>
      </w:r>
      <w:r>
        <w:t xml:space="preserve"> </w:t>
      </w:r>
      <w:r>
        <w:rPr>
          <w:b/>
          <w:bCs/>
        </w:rPr>
        <w:t xml:space="preserve">100% steady-state row</w:t>
      </w:r>
      <w:r>
        <w:t xml:space="preserve">, held constant across all five years, and it is shown for completeness rather than as a forecast. The ramp is the honest number because adoption does not arrive on day one. Either way the project is net-positive in Year 1 after discounting.</w:t>
      </w:r>
    </w:p>
    <w:p>
      <w:pPr>
        <w:pStyle w:val="BodyText"/>
      </w:pPr>
      <w:r>
        <w:t xml:space="preserve">Both nominal and NPV figures are shown throughout. Presenting nominal sums under an NPV banner would be the dishonest version, and a rigorous audience asks whether discounting was applied.</w:t>
      </w:r>
    </w:p>
    <w:bookmarkEnd w:id="47"/>
    <w:bookmarkStart w:id="48" w:name="adoption-ramp-and-five-year-timeline"/>
    <w:p>
      <w:pPr>
        <w:pStyle w:val="Heading2"/>
      </w:pPr>
      <w:r>
        <w:t xml:space="preserve">Adoption ramp and five-year timeline</w:t>
      </w:r>
    </w:p>
    <w:p>
      <w:pPr>
        <w:pStyle w:val="FirstParagraph"/>
      </w:pPr>
      <w:r>
        <w:t xml:space="preserve">The ramp uses</w:t>
      </w:r>
      <w:r>
        <w:t xml:space="preserve"> </w:t>
      </w:r>
      <w:r>
        <w:rPr>
          <w:b/>
          <w:bCs/>
        </w:rPr>
        <w:t xml:space="preserve">Rogers' Diffusion of Innovation</w:t>
      </w:r>
      <w:r>
        <w:t xml:space="preserve">, appropriate here because the tool is opt-in and adopted by individually-deciding hosts through word of mouth, rather than mandated in an enterprise rollout. Bass diffusion's classical parameters (Sultan, Farley &amp; Lehmann 1990) are calibrated to 10–15 year durable-goods adoption and are far too slow for a digital feature, so the curve is recalibrated against real SaaS feature-adoption benchmarks (Product Metrics Benchmark Report 2024, 181 companies: average 24.5%, median 16.5%, top quartile above 45%).</w:t>
      </w:r>
    </w:p>
    <w:tbl>
      <w:tblPr>
        <w:tblStyle w:val="Table"/>
        <w:tblW w:type="pct" w:w="4898"/>
        <w:tblLayout w:type="fixed"/>
        <w:tblLook w:firstRow="1" w:lastRow="0" w:firstColumn="0" w:lastColumn="0" w:noHBand="0" w:noVBand="0" w:val="0020"/>
      </w:tblPr>
      <w:tblGrid>
        <w:gridCol w:w="888"/>
        <w:gridCol w:w="1212"/>
        <w:gridCol w:w="1373"/>
        <w:gridCol w:w="888"/>
        <w:gridCol w:w="1293"/>
        <w:gridCol w:w="2101"/>
      </w:tblGrid>
      <w:tr>
        <w:trPr>
          <w:tblHeader w:val="on"/>
        </w:trPr>
        <w:tc>
          <w:tcPr/>
          <w:p>
            <w:pPr>
              <w:pStyle w:val="Compact"/>
              <w:jc w:val="left"/>
            </w:pPr>
            <w:r>
              <w:rPr>
                <w:b/>
                <w:bCs/>
              </w:rPr>
              <w:t xml:space="preserve">Year</w:t>
            </w:r>
          </w:p>
        </w:tc>
        <w:tc>
          <w:tcPr/>
          <w:p>
            <w:pPr>
              <w:pStyle w:val="Compact"/>
              <w:jc w:val="left"/>
            </w:pPr>
            <w:r>
              <w:rPr>
                <w:b/>
                <w:bCs/>
              </w:rPr>
              <w:t xml:space="preserve">Adoption</w:t>
            </w:r>
          </w:p>
        </w:tc>
        <w:tc>
          <w:tcPr/>
          <w:p>
            <w:pPr>
              <w:pStyle w:val="Compact"/>
              <w:jc w:val="left"/>
            </w:pPr>
            <w:r>
              <w:rPr>
                <w:b/>
                <w:bCs/>
              </w:rPr>
              <w:t xml:space="preserve">Airbnb rev</w:t>
            </w:r>
          </w:p>
        </w:tc>
        <w:tc>
          <w:tcPr/>
          <w:p>
            <w:pPr>
              <w:pStyle w:val="Compact"/>
              <w:jc w:val="left"/>
            </w:pPr>
            <w:r>
              <w:rPr>
                <w:b/>
                <w:bCs/>
              </w:rPr>
              <w:t xml:space="preserve">Cost</w:t>
            </w:r>
          </w:p>
        </w:tc>
        <w:tc>
          <w:tcPr/>
          <w:p>
            <w:pPr>
              <w:pStyle w:val="Compact"/>
              <w:jc w:val="left"/>
            </w:pPr>
            <w:r>
              <w:rPr>
                <w:b/>
                <w:bCs/>
              </w:rPr>
              <w:t xml:space="preserve">Net (nom)</w:t>
            </w:r>
          </w:p>
        </w:tc>
        <w:tc>
          <w:tcPr/>
          <w:p>
            <w:pPr>
              <w:pStyle w:val="Compact"/>
              <w:jc w:val="left"/>
            </w:pPr>
            <w:r>
              <w:rPr>
                <w:b/>
                <w:bCs/>
              </w:rPr>
              <w:t xml:space="preserve">Cum (NPV)</w:t>
            </w:r>
          </w:p>
        </w:tc>
      </w:tr>
      <w:tr>
        <w:tc>
          <w:tcPr/>
          <w:p>
            <w:pPr>
              <w:pStyle w:val="Compact"/>
              <w:jc w:val="left"/>
            </w:pPr>
            <w:r>
              <w:t xml:space="preserve">1</w:t>
            </w:r>
          </w:p>
        </w:tc>
        <w:tc>
          <w:tcPr/>
          <w:p>
            <w:pPr>
              <w:pStyle w:val="Compact"/>
              <w:jc w:val="left"/>
            </w:pPr>
            <w:r>
              <w:t xml:space="preserve">10%</w:t>
            </w:r>
          </w:p>
        </w:tc>
        <w:tc>
          <w:tcPr/>
          <w:p>
            <w:pPr>
              <w:pStyle w:val="Compact"/>
              <w:jc w:val="left"/>
            </w:pPr>
            <w:r>
              <w:t xml:space="preserve">$117K</w:t>
            </w:r>
          </w:p>
        </w:tc>
        <w:tc>
          <w:tcPr/>
          <w:p>
            <w:pPr>
              <w:pStyle w:val="Compact"/>
              <w:jc w:val="left"/>
            </w:pPr>
            <w:r>
              <w:t xml:space="preserve">$95K</w:t>
            </w:r>
          </w:p>
        </w:tc>
        <w:tc>
          <w:tcPr/>
          <w:p>
            <w:pPr>
              <w:pStyle w:val="Compact"/>
              <w:jc w:val="left"/>
            </w:pPr>
            <w:r>
              <w:t xml:space="preserve">+$22K</w:t>
            </w:r>
          </w:p>
        </w:tc>
        <w:tc>
          <w:tcPr/>
          <w:p>
            <w:pPr>
              <w:pStyle w:val="Compact"/>
              <w:jc w:val="left"/>
            </w:pPr>
            <w:r>
              <w:t xml:space="preserve">+$20K</w:t>
            </w:r>
          </w:p>
        </w:tc>
      </w:tr>
      <w:tr>
        <w:tc>
          <w:tcPr/>
          <w:p>
            <w:pPr>
              <w:pStyle w:val="Compact"/>
              <w:jc w:val="left"/>
            </w:pPr>
            <w:r>
              <w:t xml:space="preserve">2</w:t>
            </w:r>
          </w:p>
        </w:tc>
        <w:tc>
          <w:tcPr/>
          <w:p>
            <w:pPr>
              <w:pStyle w:val="Compact"/>
              <w:jc w:val="left"/>
            </w:pPr>
            <w:r>
              <w:t xml:space="preserve">24%</w:t>
            </w:r>
          </w:p>
        </w:tc>
        <w:tc>
          <w:tcPr/>
          <w:p>
            <w:pPr>
              <w:pStyle w:val="Compact"/>
              <w:jc w:val="left"/>
            </w:pPr>
            <w:r>
              <w:t xml:space="preserve">$281K</w:t>
            </w:r>
          </w:p>
        </w:tc>
        <w:tc>
          <w:tcPr/>
          <w:p>
            <w:pPr>
              <w:pStyle w:val="Compact"/>
              <w:jc w:val="left"/>
            </w:pPr>
            <w:r>
              <w:t xml:space="preserve">$30K</w:t>
            </w:r>
          </w:p>
        </w:tc>
        <w:tc>
          <w:tcPr/>
          <w:p>
            <w:pPr>
              <w:pStyle w:val="Compact"/>
              <w:jc w:val="left"/>
            </w:pPr>
            <w:r>
              <w:t xml:space="preserve">+$251K</w:t>
            </w:r>
          </w:p>
        </w:tc>
        <w:tc>
          <w:tcPr/>
          <w:p>
            <w:pPr>
              <w:pStyle w:val="Compact"/>
              <w:jc w:val="left"/>
            </w:pPr>
            <w:r>
              <w:t xml:space="preserve">+$227K</w:t>
            </w:r>
          </w:p>
        </w:tc>
      </w:tr>
      <w:tr>
        <w:tc>
          <w:tcPr/>
          <w:p>
            <w:pPr>
              <w:pStyle w:val="Compact"/>
              <w:jc w:val="left"/>
            </w:pPr>
            <w:r>
              <w:t xml:space="preserve">3</w:t>
            </w:r>
          </w:p>
        </w:tc>
        <w:tc>
          <w:tcPr/>
          <w:p>
            <w:pPr>
              <w:pStyle w:val="Compact"/>
              <w:jc w:val="left"/>
            </w:pPr>
            <w:r>
              <w:t xml:space="preserve">38%</w:t>
            </w:r>
          </w:p>
        </w:tc>
        <w:tc>
          <w:tcPr/>
          <w:p>
            <w:pPr>
              <w:pStyle w:val="Compact"/>
              <w:jc w:val="left"/>
            </w:pPr>
            <w:r>
              <w:t xml:space="preserve">$445K</w:t>
            </w:r>
          </w:p>
        </w:tc>
        <w:tc>
          <w:tcPr/>
          <w:p>
            <w:pPr>
              <w:pStyle w:val="Compact"/>
              <w:jc w:val="left"/>
            </w:pPr>
            <w:r>
              <w:t xml:space="preserve">$30K</w:t>
            </w:r>
          </w:p>
        </w:tc>
        <w:tc>
          <w:tcPr/>
          <w:p>
            <w:pPr>
              <w:pStyle w:val="Compact"/>
              <w:jc w:val="left"/>
            </w:pPr>
            <w:r>
              <w:t xml:space="preserve">+$415K</w:t>
            </w:r>
          </w:p>
        </w:tc>
        <w:tc>
          <w:tcPr/>
          <w:p>
            <w:pPr>
              <w:pStyle w:val="Compact"/>
              <w:jc w:val="left"/>
            </w:pPr>
            <w:r>
              <w:t xml:space="preserve">+$539K</w:t>
            </w:r>
          </w:p>
        </w:tc>
      </w:tr>
      <w:tr>
        <w:tc>
          <w:tcPr/>
          <w:p>
            <w:pPr>
              <w:pStyle w:val="Compact"/>
              <w:jc w:val="left"/>
            </w:pPr>
            <w:r>
              <w:t xml:space="preserve">4</w:t>
            </w:r>
          </w:p>
        </w:tc>
        <w:tc>
          <w:tcPr/>
          <w:p>
            <w:pPr>
              <w:pStyle w:val="Compact"/>
              <w:jc w:val="left"/>
            </w:pPr>
            <w:r>
              <w:t xml:space="preserve">42%</w:t>
            </w:r>
          </w:p>
        </w:tc>
        <w:tc>
          <w:tcPr/>
          <w:p>
            <w:pPr>
              <w:pStyle w:val="Compact"/>
              <w:jc w:val="left"/>
            </w:pPr>
            <w:r>
              <w:t xml:space="preserve">$491K</w:t>
            </w:r>
          </w:p>
        </w:tc>
        <w:tc>
          <w:tcPr/>
          <w:p>
            <w:pPr>
              <w:pStyle w:val="Compact"/>
              <w:jc w:val="left"/>
            </w:pPr>
            <w:r>
              <w:t xml:space="preserve">$30K</w:t>
            </w:r>
          </w:p>
        </w:tc>
        <w:tc>
          <w:tcPr/>
          <w:p>
            <w:pPr>
              <w:pStyle w:val="Compact"/>
              <w:jc w:val="left"/>
            </w:pPr>
            <w:r>
              <w:t xml:space="preserve">+$461K</w:t>
            </w:r>
          </w:p>
        </w:tc>
        <w:tc>
          <w:tcPr/>
          <w:p>
            <w:pPr>
              <w:pStyle w:val="Compact"/>
              <w:jc w:val="left"/>
            </w:pPr>
            <w:r>
              <w:t xml:space="preserve">+$854K</w:t>
            </w:r>
          </w:p>
        </w:tc>
      </w:tr>
      <w:tr>
        <w:tc>
          <w:tcPr/>
          <w:p>
            <w:pPr>
              <w:pStyle w:val="Compact"/>
              <w:jc w:val="left"/>
            </w:pPr>
            <w:r>
              <w:t xml:space="preserve">5</w:t>
            </w:r>
          </w:p>
        </w:tc>
        <w:tc>
          <w:tcPr/>
          <w:p>
            <w:pPr>
              <w:pStyle w:val="Compact"/>
              <w:jc w:val="left"/>
            </w:pPr>
            <w:r>
              <w:t xml:space="preserve">42%</w:t>
            </w:r>
          </w:p>
        </w:tc>
        <w:tc>
          <w:tcPr/>
          <w:p>
            <w:pPr>
              <w:pStyle w:val="Compact"/>
              <w:jc w:val="left"/>
            </w:pPr>
            <w:r>
              <w:t xml:space="preserve">$491K</w:t>
            </w:r>
          </w:p>
        </w:tc>
        <w:tc>
          <w:tcPr/>
          <w:p>
            <w:pPr>
              <w:pStyle w:val="Compact"/>
              <w:jc w:val="left"/>
            </w:pPr>
            <w:r>
              <w:t xml:space="preserve">$30K</w:t>
            </w:r>
          </w:p>
        </w:tc>
        <w:tc>
          <w:tcPr/>
          <w:p>
            <w:pPr>
              <w:pStyle w:val="Compact"/>
              <w:jc w:val="left"/>
            </w:pPr>
            <w:r>
              <w:t xml:space="preserve">+$461K</w:t>
            </w:r>
          </w:p>
        </w:tc>
        <w:tc>
          <w:tcPr/>
          <w:p>
            <w:pPr>
              <w:pStyle w:val="Compact"/>
              <w:jc w:val="left"/>
            </w:pPr>
            <w:r>
              <w:t xml:space="preserve">+$1.14M</w:t>
            </w:r>
          </w:p>
        </w:tc>
      </w:tr>
    </w:tbl>
    <w:p>
      <w:pPr>
        <w:pStyle w:val="BodyText"/>
      </w:pPr>
      <w:r>
        <w:t xml:space="preserve">Steady state is deliberately set at 42%, just under the real SaaS top-quartile benchmark, rather than anywhere near full adoption. No verified case study of an Airbnb-specific host-tool adoption curve exists; this is a recalibration of general benchmarks and is labeled as such rather than presented as a directly analogous rollout.</w:t>
      </w:r>
    </w:p>
    <w:bookmarkEnd w:id="48"/>
    <w:bookmarkStart w:id="49" w:name="what-this-looks-like-beyond-new-york"/>
    <w:p>
      <w:pPr>
        <w:pStyle w:val="Heading2"/>
      </w:pPr>
      <w:r>
        <w:t xml:space="preserve">What this looks like beyond New York</w:t>
      </w:r>
    </w:p>
    <w:p>
      <w:pPr>
        <w:pStyle w:val="FirstParagraph"/>
      </w:pPr>
      <w:r>
        <w:t xml:space="preserve">The pilot is one market, so the obvious question is what the same mechanism is worth at Airbnb’s scale. The scaling unit is the</w:t>
      </w:r>
      <w:r>
        <w:t xml:space="preserve"> </w:t>
      </w:r>
      <w:r>
        <w:rPr>
          <w:b/>
          <w:bCs/>
        </w:rPr>
        <w:t xml:space="preserve">share of host gross booking value recovered</w:t>
      </w:r>
      <w:r>
        <w:t xml:space="preserve">, not listing count: NYC listings average roughly $33,200 of annual GBV against a global average near $11,400, so scaling per listing overstates the result by about a factor of three.</w:t>
      </w:r>
    </w:p>
    <w:p>
      <w:pPr>
        <w:pStyle w:val="BodyText"/>
      </w:pPr>
      <w:r>
        <w:t xml:space="preserve">In NYC the combined floor of $7.57M sits against</w:t>
      </w:r>
      <w:r>
        <w:t xml:space="preserve"> </w:t>
      </w:r>
      <w:r>
        <w:rPr>
          <w:b/>
          <w:bCs/>
        </w:rPr>
        <w:t xml:space="preserve">$324.0M</w:t>
      </w:r>
      <w:r>
        <w:t xml:space="preserve"> </w:t>
      </w:r>
      <w:r>
        <w:t xml:space="preserve">of annual host GBV across the 9,752 active listings, a recovery rate of</w:t>
      </w:r>
      <w:r>
        <w:t xml:space="preserve"> </w:t>
      </w:r>
      <w:r>
        <w:rPr>
          <w:b/>
          <w:bCs/>
        </w:rPr>
        <w:t xml:space="preserve">2.34%</w:t>
      </w:r>
      <w:r>
        <w:t xml:space="preserve">.</w:t>
      </w:r>
    </w:p>
    <w:tbl>
      <w:tblPr>
        <w:tblStyle w:val="Table"/>
        <w:tblW w:type="pct" w:w="4897"/>
        <w:tblLayout w:type="fixed"/>
        <w:tblLook w:firstRow="1" w:lastRow="0" w:firstColumn="0" w:lastColumn="0" w:noHBand="0" w:noVBand="0" w:val="0020"/>
      </w:tblPr>
      <w:tblGrid>
        <w:gridCol w:w="1714"/>
        <w:gridCol w:w="1224"/>
        <w:gridCol w:w="1632"/>
        <w:gridCol w:w="1551"/>
        <w:gridCol w:w="1632"/>
      </w:tblGrid>
      <w:tr>
        <w:trPr>
          <w:tblHeader w:val="on"/>
        </w:trPr>
        <w:tc>
          <w:tcPr/>
          <w:p>
            <w:pPr>
              <w:pStyle w:val="Compact"/>
              <w:jc w:val="left"/>
            </w:pPr>
            <w:r>
              <w:rPr>
                <w:b/>
                <w:bCs/>
              </w:rPr>
              <w:t xml:space="preserve">Scope</w:t>
            </w:r>
          </w:p>
        </w:tc>
        <w:tc>
          <w:tcPr/>
          <w:p>
            <w:pPr>
              <w:pStyle w:val="Compact"/>
              <w:jc w:val="left"/>
            </w:pPr>
            <w:r>
              <w:rPr>
                <w:b/>
                <w:bCs/>
              </w:rPr>
              <w:t xml:space="preserve">GBV base</w:t>
            </w:r>
          </w:p>
        </w:tc>
        <w:tc>
          <w:tcPr/>
          <w:p>
            <w:pPr>
              <w:pStyle w:val="Compact"/>
              <w:jc w:val="left"/>
            </w:pPr>
            <w:r>
              <w:rPr>
                <w:b/>
                <w:bCs/>
              </w:rPr>
              <w:t xml:space="preserve">Lift at 2.34%</w:t>
            </w:r>
          </w:p>
        </w:tc>
        <w:tc>
          <w:tcPr/>
          <w:p>
            <w:pPr>
              <w:pStyle w:val="Compact"/>
              <w:jc w:val="left"/>
            </w:pPr>
            <w:r>
              <w:rPr>
                <w:b/>
                <w:bCs/>
              </w:rPr>
              <w:t xml:space="preserve">Fee at 15.5%</w:t>
            </w:r>
          </w:p>
        </w:tc>
        <w:tc>
          <w:tcPr/>
          <w:p>
            <w:pPr>
              <w:pStyle w:val="Compact"/>
            </w:pPr>
            <w:r>
              <w:rPr>
                <w:b/>
                <w:bCs/>
              </w:rPr>
              <w:t xml:space="preserve">At 42% adoption</w:t>
            </w:r>
          </w:p>
        </w:tc>
      </w:tr>
      <w:tr>
        <w:tc>
          <w:tcPr/>
          <w:p>
            <w:pPr>
              <w:pStyle w:val="Compact"/>
              <w:jc w:val="left"/>
            </w:pPr>
            <w:r>
              <w:t xml:space="preserve">North America</w:t>
            </w:r>
          </w:p>
        </w:tc>
        <w:tc>
          <w:tcPr/>
          <w:p>
            <w:pPr>
              <w:pStyle w:val="Compact"/>
              <w:jc w:val="left"/>
            </w:pPr>
            <w:r>
              <w:t xml:space="preserve">~$36.5B</w:t>
            </w:r>
          </w:p>
        </w:tc>
        <w:tc>
          <w:tcPr/>
          <w:p>
            <w:pPr>
              <w:pStyle w:val="Compact"/>
              <w:jc w:val="left"/>
            </w:pPr>
            <w:r>
              <w:t xml:space="preserve">~$854M</w:t>
            </w:r>
          </w:p>
        </w:tc>
        <w:tc>
          <w:tcPr/>
          <w:p>
            <w:pPr>
              <w:pStyle w:val="Compact"/>
              <w:jc w:val="left"/>
            </w:pPr>
            <w:r>
              <w:t xml:space="preserve">~$132M/yr</w:t>
            </w:r>
          </w:p>
        </w:tc>
        <w:tc>
          <w:tcPr/>
          <w:p>
            <w:pPr>
              <w:pStyle w:val="Compact"/>
            </w:pPr>
            <w:r>
              <w:t xml:space="preserve">~$55M/yr</w:t>
            </w:r>
          </w:p>
        </w:tc>
      </w:tr>
      <w:tr>
        <w:tc>
          <w:tcPr/>
          <w:p>
            <w:pPr>
              <w:pStyle w:val="Compact"/>
              <w:jc w:val="left"/>
            </w:pPr>
            <w:r>
              <w:t xml:space="preserve">Global</w:t>
            </w:r>
          </w:p>
        </w:tc>
        <w:tc>
          <w:tcPr/>
          <w:p>
            <w:pPr>
              <w:pStyle w:val="Compact"/>
              <w:jc w:val="left"/>
            </w:pPr>
            <w:r>
              <w:t xml:space="preserve">$91.3B</w:t>
            </w:r>
          </w:p>
        </w:tc>
        <w:tc>
          <w:tcPr/>
          <w:p>
            <w:pPr>
              <w:pStyle w:val="Compact"/>
              <w:jc w:val="left"/>
            </w:pPr>
            <w:r>
              <w:t xml:space="preserve">~$2.14B</w:t>
            </w:r>
          </w:p>
        </w:tc>
        <w:tc>
          <w:tcPr/>
          <w:p>
            <w:pPr>
              <w:pStyle w:val="Compact"/>
              <w:jc w:val="left"/>
            </w:pPr>
            <w:r>
              <w:t xml:space="preserve">~$331M/yr</w:t>
            </w:r>
          </w:p>
        </w:tc>
        <w:tc>
          <w:tcPr/>
          <w:p>
            <w:pPr>
              <w:pStyle w:val="Compact"/>
            </w:pPr>
            <w:r>
              <w:t xml:space="preserve">~$139M/yr</w:t>
            </w:r>
          </w:p>
        </w:tc>
      </w:tr>
    </w:tbl>
    <w:p>
      <w:pPr>
        <w:pStyle w:val="BodyText"/>
      </w:pPr>
      <w:r>
        <w:t xml:space="preserve">Airbnb’s disclosed FY2025 gross booking value is $91.3B; North America runs about 42% of revenue. The 42% column uses the same steady-state adoption as the ramp in Section 6, so these figures stay consistent with the deck’s ROI slide and Backup B6.</w:t>
      </w:r>
    </w:p>
    <w:p>
      <w:pPr>
        <w:pStyle w:val="BodyText"/>
      </w:pPr>
      <w:r>
        <w:rPr>
          <w:b/>
          <w:bCs/>
        </w:rPr>
        <w:t xml:space="preserve">Treat this as a ceiling rather than a forecast, and say so.</w:t>
      </w:r>
      <w:r>
        <w:t xml:space="preserve"> </w:t>
      </w:r>
      <w:r>
        <w:t xml:space="preserve">The NYC recovery rate is carried almost entirely by the monthly segment, that segment is 59% of the market largely because Local Law 18 pushed supply into 30-plus-night stays, and most markets have no equivalent concentration of long-stay inventory. On the short-stay side the NYC figure nets close to zero. A market that looks like NYC’s short-stay half would produce dramatically less under the same method.</w:t>
      </w:r>
    </w:p>
    <w:bookmarkEnd w:id="49"/>
    <w:bookmarkStart w:id="50" w:name="why-this-is-a-floor"/>
    <w:p>
      <w:pPr>
        <w:pStyle w:val="Heading2"/>
      </w:pPr>
      <w:r>
        <w:t xml:space="preserve">Why this is a floor</w:t>
      </w:r>
    </w:p>
    <w:p>
      <w:pPr>
        <w:pStyle w:val="FirstParagraph"/>
      </w:pPr>
      <w:r>
        <w:t xml:space="preserve">At every point where a choice existed between a flattering number and a conservative one, the conservative one was taken:</w:t>
      </w:r>
    </w:p>
    <w:p>
      <w:pPr>
        <w:pStyle w:val="Compact"/>
        <w:numPr>
          <w:ilvl w:val="0"/>
          <w:numId w:val="1003"/>
        </w:numPr>
      </w:pPr>
      <w:r>
        <w:rPr>
          <w:b/>
          <w:bCs/>
        </w:rPr>
        <w:t xml:space="preserve">Outlier trim.</w:t>
      </w:r>
      <w:r>
        <w:t xml:space="preserve"> </w:t>
      </w:r>
      <w:r>
        <w:t xml:space="preserve">1–99 percentile, cutting the ~50 luxury listings where GBM reliability breaks down, rather than keeping their large apparent gaps.</w:t>
      </w:r>
    </w:p>
    <w:p>
      <w:pPr>
        <w:pStyle w:val="Compact"/>
        <w:numPr>
          <w:ilvl w:val="0"/>
          <w:numId w:val="1003"/>
        </w:numPr>
      </w:pPr>
      <w:r>
        <w:rPr>
          <w:b/>
          <w:bCs/>
        </w:rPr>
        <w:t xml:space="preserve">Model noise.</w:t>
      </w:r>
      <w:r>
        <w:t xml:space="preserve"> </w:t>
      </w:r>
      <w:r>
        <w:t xml:space="preserve">the residual gap is discounted by the model's own documented median error (19.2% short-stay, 15.2% monthly) rather than booked in full.</w:t>
      </w:r>
    </w:p>
    <w:p>
      <w:pPr>
        <w:pStyle w:val="Compact"/>
        <w:numPr>
          <w:ilvl w:val="0"/>
          <w:numId w:val="1003"/>
        </w:numPr>
      </w:pPr>
      <w:r>
        <w:rPr>
          <w:b/>
          <w:bCs/>
        </w:rPr>
        <w:t xml:space="preserve">Underpriced, established.</w:t>
      </w:r>
      <w:r>
        <w:t xml:space="preserve"> </w:t>
      </w:r>
      <w:r>
        <w:t xml:space="preserve">the measured β = −0.92 is applied, which absorbs most of the apparent gain.</w:t>
      </w:r>
    </w:p>
    <w:p>
      <w:pPr>
        <w:pStyle w:val="Compact"/>
        <w:numPr>
          <w:ilvl w:val="0"/>
          <w:numId w:val="1003"/>
        </w:numPr>
      </w:pPr>
      <w:r>
        <w:rPr>
          <w:b/>
          <w:bCs/>
        </w:rPr>
        <w:t xml:space="preserve">Underpriced, newer.</w:t>
      </w:r>
      <w:r>
        <w:t xml:space="preserve"> </w:t>
      </w:r>
      <w:r>
        <w:t xml:space="preserve">set to breakeven, claiming zero rather than an unmeasured gain.</w:t>
      </w:r>
    </w:p>
    <w:p>
      <w:pPr>
        <w:pStyle w:val="Compact"/>
        <w:numPr>
          <w:ilvl w:val="0"/>
          <w:numId w:val="1003"/>
        </w:numPr>
      </w:pPr>
      <w:r>
        <w:rPr>
          <w:b/>
          <w:bCs/>
        </w:rPr>
        <w:t xml:space="preserve">Overpriced, established.</w:t>
      </w:r>
      <w:r>
        <w:t xml:space="preserve"> </w:t>
      </w:r>
      <w:r>
        <w:t xml:space="preserve">the full −$0.70M loss is booked rather than hidden.</w:t>
      </w:r>
    </w:p>
    <w:p>
      <w:pPr>
        <w:pStyle w:val="Compact"/>
        <w:numPr>
          <w:ilvl w:val="0"/>
          <w:numId w:val="1003"/>
        </w:numPr>
      </w:pPr>
      <w:r>
        <w:rPr>
          <w:b/>
          <w:bCs/>
        </w:rPr>
        <w:t xml:space="preserve">Overpriced, newer.</w:t>
      </w:r>
      <w:r>
        <w:t xml:space="preserve"> </w:t>
      </w:r>
      <w:r>
        <w:t xml:space="preserve">set to zero, forfeiting a gain that is probable but unproven.</w:t>
      </w:r>
    </w:p>
    <w:p>
      <w:pPr>
        <w:pStyle w:val="Compact"/>
        <w:numPr>
          <w:ilvl w:val="0"/>
          <w:numId w:val="1003"/>
        </w:numPr>
      </w:pPr>
      <w:r>
        <w:rPr>
          <w:b/>
          <w:bCs/>
        </w:rPr>
        <w:t xml:space="preserve">Recovered nights.</w:t>
      </w:r>
      <w:r>
        <w:t xml:space="preserve"> </w:t>
      </w:r>
      <w:r>
        <w:t xml:space="preserve">treated as fully cannibalized, with no credit for guests won back from hotels or competitors.</w:t>
      </w:r>
    </w:p>
    <w:p>
      <w:pPr>
        <w:pStyle w:val="Compact"/>
        <w:numPr>
          <w:ilvl w:val="0"/>
          <w:numId w:val="1003"/>
        </w:numPr>
      </w:pPr>
      <w:r>
        <w:rPr>
          <w:b/>
          <w:bCs/>
        </w:rPr>
        <w:t xml:space="preserve">Ceiling scope.</w:t>
      </w:r>
      <w:r>
        <w:t xml:space="preserve"> </w:t>
      </w:r>
      <w:r>
        <w:t xml:space="preserve">the $26.8M ceiling counts underpriced only, so even the stated ceiling is understated.</w:t>
      </w:r>
    </w:p>
    <w:p>
      <w:pPr>
        <w:pStyle w:val="Compact"/>
        <w:numPr>
          <w:ilvl w:val="0"/>
          <w:numId w:val="1003"/>
        </w:numPr>
      </w:pPr>
      <w:r>
        <w:rPr>
          <w:b/>
          <w:bCs/>
        </w:rPr>
        <w:t xml:space="preserve">Time value.</w:t>
      </w:r>
      <w:r>
        <w:t xml:space="preserve"> </w:t>
      </w:r>
      <w:r>
        <w:t xml:space="preserve">discounted at 10% and the haircut shown openly.</w:t>
      </w:r>
    </w:p>
    <w:p>
      <w:pPr>
        <w:pStyle w:val="FirstParagraph"/>
      </w:pPr>
      <w:r>
        <w:rPr>
          <w:b/>
          <w:bCs/>
        </w:rPr>
        <w:t xml:space="preserve">The one input that is not conservative, flagged rather than buried:</w:t>
      </w:r>
      <w:r>
        <w:t xml:space="preserve"> </w:t>
      </w:r>
      <w:r>
        <w:t xml:space="preserve">intra-platform substitution. When an overpriced listing cuts its price and fills a night, that booking may have moved from another Airbnb listing rather than being new to the platform. This is not subtracted, so the recovered-nights figure is slightly overstated at the platform level. It matters little in practice because it touches only the overpriced side, whose total host-GBV effect is −$0.70M to begin with, and because the excluded hotel win-back upside (item 7) is very likely larger than the cannibalization not subtracted. The two unmeasured substitution effects run in opposite directions and the one left out favors the platform.</w:t>
      </w:r>
    </w:p>
    <w:bookmarkEnd w:id="50"/>
    <w:bookmarkEnd w:id="51"/>
    <w:bookmarkStart w:id="52" w:name="where-we-ended-up"/>
    <w:p>
      <w:pPr>
        <w:pStyle w:val="Heading1"/>
      </w:pPr>
      <w:r>
        <w:t xml:space="preserve">Where We Ended Up</w:t>
      </w:r>
    </w:p>
    <w:p>
      <w:pPr>
        <w:numPr>
          <w:ilvl w:val="0"/>
          <w:numId w:val="1004"/>
        </w:numPr>
      </w:pPr>
      <w:r>
        <w:t xml:space="preserve">Pricing engine: GBM quantile regression (q10/q50/q90) with conformal calibration, superseding the V2/V3 Ridge engine; direction_confidence (confident raise / confident lower / uncertain) replaces the V3 Low/Medium/High confidence score, which is retained only for internal QA.</w:t>
      </w:r>
    </w:p>
    <w:p>
      <w:pPr>
        <w:numPr>
          <w:ilvl w:val="0"/>
          <w:numId w:val="1004"/>
        </w:numPr>
      </w:pPr>
      <w:r>
        <w:t xml:space="preserve">Comparable-listings layer: host-tier-aware KNN carried forward from V3 (exact-cohort match on host tier, room type, and market segment, falling back to standardized KNN for thin cohorts), now feeding both interactive tools directly.</w:t>
      </w:r>
    </w:p>
    <w:p>
      <w:pPr>
        <w:numPr>
          <w:ilvl w:val="0"/>
          <w:numId w:val="1004"/>
        </w:numPr>
      </w:pPr>
      <w:r>
        <w:t xml:space="preserve">Seasonality: the same real-occupancy / real-neighborhood-amplitude / simulated-citywide-curve architecture from V2, now with two explicit honesty mechanisms (flagged months and no-confident-optimal-price) rather than a static demo chart.</w:t>
      </w:r>
    </w:p>
    <w:p>
      <w:pPr>
        <w:numPr>
          <w:ilvl w:val="0"/>
          <w:numId w:val="1004"/>
        </w:numPr>
      </w:pPr>
      <w:r>
        <w:t xml:space="preserve">Two interactive, linked, browser-based deliverables: a property-level pricing tool across five demo listings spanning the full range of confidence outcomes, and a birds-eye neighborhood map with a short-stay/monthly toggle, both rebuilt on current model outputs.</w:t>
      </w:r>
    </w:p>
    <w:p>
      <w:pPr>
        <w:numPr>
          <w:ilvl w:val="0"/>
          <w:numId w:val="1004"/>
        </w:numPr>
      </w:pPr>
      <w:r>
        <w:t xml:space="preserve">A working, verified scraper extension that captures real per-stay pricing data as a proof of concept, laying the groundwork for the kind of within-listing price-response data this model needs to move beyond cohort comparison, while the Preferred Partner API remains the intended path for a real product past this course.</w:t>
      </w:r>
    </w:p>
    <w:p>
      <w:pPr>
        <w:numPr>
          <w:ilvl w:val="0"/>
          <w:numId w:val="1004"/>
        </w:numPr>
      </w:pPr>
      <w:r>
        <w:t xml:space="preserve">A measured price-elasticity pilot for short-stay listings (β=−0.916), replacing the occupancy-neutral revenue assumption with a coefficient applied only to the review tier it was measured on, and a mathematical breakeven everywhere else.</w:t>
      </w:r>
    </w:p>
    <w:p>
      <w:pPr>
        <w:numPr>
          <w:ilvl w:val="0"/>
          <w:numId w:val="1004"/>
        </w:numPr>
      </w:pPr>
      <w:r>
        <w:t xml:space="preserve">A complete financial case built on that segmentation:</w:t>
      </w:r>
      <w:r>
        <w:t xml:space="preserve"> </w:t>
      </w:r>
      <w:r>
        <w:rPr>
          <w:b/>
          <w:bCs/>
        </w:rPr>
        <w:t xml:space="preserve">$7.57M annual host GBV, $1.17M in Airbnb fee revenue at full adoption, and 77,606 recovered nights</w:t>
      </w:r>
      <w:r>
        <w:t xml:space="preserve">, against a $65K incremental build and $30K/yr run cost. Presented on a modeled adoption ramp rather than a flat rate: roughly 10% uptake in Year 1 climbing to 42% by Year 4, which is cash-positive in Year 1 and returns $1.14M cumulative NPV over five years.</w:t>
      </w:r>
    </w:p>
    <w:p>
      <w:pPr>
        <w:numPr>
          <w:ilvl w:val="0"/>
          <w:numId w:val="1004"/>
        </w:numPr>
      </w:pPr>
      <w:r>
        <w:t xml:space="preserve">A second, harder floor beneath that headline: restricted to the 543 listings the model will make a confident directional call on, the case is</w:t>
      </w:r>
      <w:r>
        <w:t xml:space="preserve"> </w:t>
      </w:r>
      <w:r>
        <w:rPr>
          <w:b/>
          <w:bCs/>
        </w:rPr>
        <w:t xml:space="preserve">$2.34M host GBV / $363K a year in fees</w:t>
      </w:r>
      <w:r>
        <w:t xml:space="preserve">, which still clears the same build and run cost. The funding decision does not depend on which of the two figures a reviewer accepts.</w:t>
      </w:r>
    </w:p>
    <w:p>
      <w:pPr>
        <w:numPr>
          <w:ilvl w:val="0"/>
          <w:numId w:val="1004"/>
        </w:numPr>
      </w:pPr>
      <w:r>
        <w:t xml:space="preserve">A reproduction script (</w:t>
      </w:r>
      <w:r>
        <w:rPr>
          <w:rStyle w:val="VerbatimChar"/>
        </w:rPr>
        <w:t xml:space="preserve">reproduce_revenue_lift.py</w:t>
      </w:r>
      <w:r>
        <w:t xml:space="preserve">) that regenerates the headline figures from committed data to within 0.1%, so the arithmetic behind the business case can be checked directly rather than taken on trust.</w:t>
      </w:r>
    </w:p>
    <w:bookmarkEnd w:id="52"/>
    <w:bookmarkStart w:id="53" w:name="business-recommendations"/>
    <w:p>
      <w:pPr>
        <w:pStyle w:val="Heading1"/>
      </w:pPr>
      <w:r>
        <w:t xml:space="preserve">Business Recommendations</w:t>
      </w:r>
    </w:p>
    <w:p>
      <w:pPr>
        <w:pStyle w:val="FirstParagraph"/>
      </w:pPr>
      <w:r>
        <w:t xml:space="preserve">Presented from a hypothetical</w:t>
      </w:r>
      <w:r>
        <w:t xml:space="preserve"> </w:t>
      </w:r>
      <w:r>
        <w:t xml:space="preserve">“internal Airbnb product team”</w:t>
      </w:r>
      <w:r>
        <w:t xml:space="preserve"> </w:t>
      </w:r>
      <w:r>
        <w:t xml:space="preserve">position: the recommendation below assumes access to the kind of first-party booking and pricing data Airbnb would already have, which this project's own dataset does not contain, an assumption made explicit throughout rather than left implicit.</w:t>
      </w:r>
    </w:p>
    <w:p>
      <w:pPr>
        <w:pStyle w:val="BodyText"/>
      </w:pPr>
      <w:r>
        <w:t xml:space="preserve">Problem: hosts price on gut feel or take Airbnb's existing Smart Pricing recommendation as-is, without understanding what comparable listings were used, what features influenced it, or whether the listing has genuine room to charge more. Since Airbnb takes a cut of every booking (15.5% host-only fee), every underpriced night costs Airbnb revenue too, not just the host.</w:t>
      </w:r>
    </w:p>
    <w:p>
      <w:pPr>
        <w:pStyle w:val="BodyText"/>
      </w:pPr>
      <w:r>
        <w:t xml:space="preserve">Solution: not a replacement for Smart Pricing, an extension of it. The product still gives hosts a recommended price, the same basic function Smart Pricing serves, but adds the evidence Smart Pricing withholds: the real comparable listings behind the number, the specific amenity and operational gaps versus high-performing peers, and a price simulator so a host can see the projected revenue tradeoff themselves rather than trust an opaque recommendation. The underlying premise (borrowed deliberately from a military decision-making concept, Commander's Intent): people act on a recommendation more readily when they understand the reasoning behind it, not just the instruction itself.</w:t>
      </w:r>
    </w:p>
    <w:p>
      <w:pPr>
        <w:pStyle w:val="BodyText"/>
      </w:pPr>
      <w:r>
        <w:t xml:space="preserve">Recommendation: launch as a pilot in a single market (NYC, matching this project's scope), not a platform-wide rollout. Measure real host interaction with the tool, how often recommendations are actually adopted, and how real pricing changes affect occupancy and revenue, before expanding further.</w:t>
      </w:r>
    </w:p>
    <w:p>
      <w:pPr>
        <w:pStyle w:val="BodyText"/>
      </w:pPr>
      <w:r>
        <w:rPr>
          <w:b/>
          <w:bCs/>
        </w:rPr>
        <w:t xml:space="preserve">Why the gap persists, and why that is a fair question.</w:t>
      </w:r>
      <w:r>
        <w:t xml:space="preserve"> </w:t>
      </w:r>
      <w:r>
        <w:t xml:space="preserve">If this is worth building, it is reasonable to ask why Airbnb has not already built it. Three ordinary reasons: Smart Pricing optimises for occupancy and conversion rather than host revenue, and publishing the reasoning would make that visible; an explained price is one a host can dispute or reverse-engineer, which raises support cost; and the pricing model is competitive intellectual property.</w:t>
      </w:r>
    </w:p>
    <w:p>
      <w:pPr>
        <w:pStyle w:val="BodyText"/>
      </w:pPr>
      <w:r>
        <w:t xml:space="preserve">The fourth reason is legal, and it is the one worth preparing for. A tool that shows every host what comparable listings nearby charge, then nudges them upward, resembles the theory behind the RealPage litigation in US rental housing, where a shared pricing algorithm fed by competitor data was alleged to facilitate tacit coordination among landlords. Opacity is a defence against that characterisation.</w:t>
      </w:r>
    </w:p>
    <w:p>
      <w:pPr>
        <w:pStyle w:val="BodyText"/>
      </w:pPr>
      <w:r>
        <w:t xml:space="preserve">The distinctions that matter here: the comparables are prices any guest can already see rather than pooled private data; the tool converges prices toward an estimated fair value in</w:t>
      </w:r>
      <w:r>
        <w:t xml:space="preserve"> </w:t>
      </w:r>
      <w:r>
        <w:rPr>
          <w:b/>
          <w:bCs/>
        </w:rPr>
        <w:t xml:space="preserve">both</w:t>
      </w:r>
      <w:r>
        <w:t xml:space="preserve"> </w:t>
      </w:r>
      <w:r>
        <w:t xml:space="preserve">directions rather than pushing a floor upward, and the overpriced side is booked as a real −$0.70M loss rather than hidden; adoption caps near 42%, so no market moves wholesale; and the host decides, because nothing auto-applies. A production rollout would still want legal review on this specific point, which is a recommendation rather than a caveat.</w:t>
      </w:r>
    </w:p>
    <w:p>
      <w:pPr>
        <w:numPr>
          <w:ilvl w:val="0"/>
          <w:numId w:val="1005"/>
        </w:numPr>
      </w:pPr>
      <w:r>
        <w:t xml:space="preserve">Near-term next step: extend the price-elasticity pilot (above) using Airbnb's own first-party booking history instead of a 258-listing third-party proxy sample, once internal access replaces the AirROI stand-in.</w:t>
      </w:r>
    </w:p>
    <w:p>
      <w:pPr>
        <w:numPr>
          <w:ilvl w:val="0"/>
          <w:numId w:val="1005"/>
        </w:numPr>
      </w:pPr>
      <w:r>
        <w:t xml:space="preserve">Medium-term: run the scraper's approach at production scale via Airbnb's own Preferred Partner API (host-authorized access, the same mechanism real short-term-rental pricing companies already use), replacing the simulated seasonality layer with real calendar-level price history.</w:t>
      </w:r>
    </w:p>
    <w:p>
      <w:pPr>
        <w:numPr>
          <w:ilvl w:val="0"/>
          <w:numId w:val="1005"/>
        </w:numPr>
      </w:pPr>
      <w:r>
        <w:t xml:space="preserve">Expand the elasticity estimate beyond the current pilot's narrow host profile (established, high-review Individual hosts) to cover Enterprise and newer listings specifically, since the current estimate is explicitly a conservative floor for those groups, not a direct measurement.</w:t>
      </w:r>
    </w:p>
    <w:p>
      <w:pPr>
        <w:numPr>
          <w:ilvl w:val="0"/>
          <w:numId w:val="1005"/>
        </w:numPr>
      </w:pPr>
      <w:r>
        <w:t xml:space="preserve">Revisit the monthly-segment elasticity once more within-listing price variation exists to detect it; the current null result reflects insufficient signal in the pilot data, not evidence that monthly pricing doesn't matter.</w:t>
      </w:r>
    </w:p>
    <w:bookmarkEnd w:id="53"/>
    <w:bookmarkStart w:id="54" w:name="relevance-to-the-team"/>
    <w:p>
      <w:pPr>
        <w:pStyle w:val="Heading1"/>
      </w:pPr>
      <w:r>
        <w:t xml:space="preserve">Relevance to the Team</w:t>
      </w:r>
    </w:p>
    <w:p>
      <w:pPr>
        <w:pStyle w:val="FirstParagraph"/>
      </w:pPr>
      <w:r>
        <w:t xml:space="preserve">The graded criteria list</w:t>
      </w:r>
      <w:r>
        <w:t xml:space="preserve"> </w:t>
      </w:r>
      <w:r>
        <w:t xml:space="preserve">“relevance to team members' current company/career, if applicable.”</w:t>
      </w:r>
      <w:r>
        <w:t xml:space="preserve"> </w:t>
      </w:r>
      <w:r>
        <w:t xml:space="preserve">The closing slide covers this at the level the presentation needs. What follows is backup depth for Q&amp;A, in case the question is asked directly rather than a required section in its own right.</w:t>
      </w:r>
    </w:p>
    <w:p>
      <w:pPr>
        <w:pStyle w:val="BodyText"/>
      </w:pPr>
      <w:r>
        <w:rPr>
          <w:b/>
          <w:bCs/>
        </w:rPr>
        <w:t xml:space="preserve">A worked example: supply chain planning (Brendan Meara).</w:t>
      </w:r>
      <w:r>
        <w:t xml:space="preserve"> </w:t>
      </w:r>
      <w:r>
        <w:t xml:space="preserve">The central problem in this project is one that recurs across analytics functions: a decision-maker holding a recommendation they do not trust, and therefore not acting on it. In supply planning the recommendation is a forecast or a replenishment signal; here it is a price. The failure mode is identical either way. A statistically sound number that a planner overrides on instinct produces the same outcome as no number at all.</w:t>
      </w:r>
    </w:p>
    <w:p>
      <w:pPr>
        <w:pStyle w:val="BodyText"/>
      </w:pPr>
      <w:r>
        <w:t xml:space="preserve">That is why this project treats explainability as a product requirement rather than a refinement, and why the Commander's Intent framing carried over from Army logistics is load-bearing rather than decorative. The consequence is measurable in our own adoption table: the difference between 15% and 35% adoption is roughly $234K a year in Airbnb fee revenue, and adoption is a trust problem rather than a modeling one. The model was never the hard part.</w:t>
      </w:r>
    </w:p>
    <w:p>
      <w:pPr>
        <w:pStyle w:val="BodyText"/>
      </w:pPr>
      <w:r>
        <w:rPr>
          <w:i/>
          <w:iCs/>
        </w:rPr>
        <w:t xml:space="preserve">Other team members can speak to their own parallels if the question comes up in Q&amp;A. One concrete example carries more weight here than five general ones, so this section is deliberately not five paragraphs.</w:t>
      </w:r>
    </w:p>
    <w:bookmarkEnd w:id="54"/>
    <w:bookmarkStart w:id="55" w:name="limitations-carried-forward"/>
    <w:p>
      <w:pPr>
        <w:pStyle w:val="Heading1"/>
      </w:pPr>
      <w:r>
        <w:t xml:space="preserve">Limitations Carried Forward</w:t>
      </w:r>
    </w:p>
    <w:p>
      <w:pPr>
        <w:numPr>
          <w:ilvl w:val="0"/>
          <w:numId w:val="1006"/>
        </w:numPr>
      </w:pPr>
      <w:r>
        <w:t xml:space="preserve">The seasonal price curve's shape is still simulated (a real, cited citywide hotel-ADR curve scaled by each neighborhood's real occupancy amplitude), not fitted to real Airbnb price data; every output built from it is labeled as such.</w:t>
      </w:r>
    </w:p>
    <w:p>
      <w:pPr>
        <w:numPr>
          <w:ilvl w:val="0"/>
          <w:numId w:val="1006"/>
        </w:numPr>
      </w:pPr>
      <w:r>
        <w:t xml:space="preserve">The cross-sectional price-occupancy relationship (R² ≈ 0.06–0.10) remains weak; log-price reparameterization and empirical-Bayes shrinkage made the estimate more defensible, not more predictive, because that underlying data is still cohort comparison rather than within-listing price variation. The elasticity pilot above addresses this specifically for short-stay listings, on a narrow, non-random sample; see its own limitations for what it does and doesn't resolve.</w:t>
      </w:r>
    </w:p>
    <w:p>
      <w:pPr>
        <w:numPr>
          <w:ilvl w:val="0"/>
          <w:numId w:val="1006"/>
        </w:numPr>
      </w:pPr>
      <w:r>
        <w:t xml:space="preserve">A residual or pricing signal is a review signal, not proof of causal over- or under-pricing; amenity gaps are associations among comparable high-performing listings, not guaranteed causal improvements.</w:t>
      </w:r>
    </w:p>
    <w:p>
      <w:pPr>
        <w:numPr>
          <w:ilvl w:val="0"/>
          <w:numId w:val="1006"/>
        </w:numPr>
      </w:pPr>
      <w:r>
        <w:t xml:space="preserve">The scraper's captured price data is a small, short-window proof of concept, not yet at the scale or time depth needed to fit a genuine within-listing price-response model at full dataset scale.</w:t>
      </w:r>
    </w:p>
    <w:p>
      <w:pPr>
        <w:numPr>
          <w:ilvl w:val="0"/>
          <w:numId w:val="1006"/>
        </w:numPr>
      </w:pPr>
      <w:r>
        <w:t xml:space="preserve">The elasticity estimate (β=−0.916) is drawn from a non-random, narrow sample (established, high-review Individual hosts) and is applied only to listings matching that profile (≥142 reviews); everything below it is held at mathematical breakeven rather than extrapolated.</w:t>
      </w:r>
    </w:p>
    <w:p>
      <w:pPr>
        <w:numPr>
          <w:ilvl w:val="0"/>
          <w:numId w:val="1006"/>
        </w:numPr>
      </w:pPr>
      <w:r>
        <w:t xml:space="preserve">The monthly segment is held occupancy-neutral on the basis of a</w:t>
      </w:r>
      <w:r>
        <w:t xml:space="preserve"> </w:t>
      </w:r>
      <w:r>
        <w:rPr>
          <w:b/>
          <w:bCs/>
        </w:rPr>
        <w:t xml:space="preserve">null result</w:t>
      </w:r>
      <w:r>
        <w:t xml:space="preserve"> </w:t>
      </w:r>
      <w:r>
        <w:t xml:space="preserve">(β not significant, p = 0.734), not a measurement. Since monthly carries almost the entire combined revenue figure, this is the single most load-bearing assumption in the financial case, and it would be the first thing to re-test with more within-listing price variation.</w:t>
      </w:r>
    </w:p>
    <w:p>
      <w:pPr>
        <w:numPr>
          <w:ilvl w:val="0"/>
          <w:numId w:val="1006"/>
        </w:numPr>
      </w:pPr>
      <w:r>
        <w:t xml:space="preserve">The $65K incremental build estimate is the team's own, not externally sourced, while the $190K greenfield alternative is built on sourced compensation benchmarks. The presentation leads with the incremental figure because Airbnb demonstrably already owns the underlying infrastructure, but the less-sourced number is the one carrying the stronger ROI, and both are shown rather than one quietly replacing the other.</w:t>
      </w:r>
    </w:p>
    <w:p>
      <w:pPr>
        <w:numPr>
          <w:ilvl w:val="0"/>
          <w:numId w:val="1006"/>
        </w:numPr>
      </w:pPr>
      <w:r>
        <w:t xml:space="preserve">Intra-platform substitution is not subtracted from the recovered-nights figure. A night filled by a repriced overpriced listing may have moved from another Airbnb listing rather than being net-new to the platform. See</w:t>
      </w:r>
      <w:r>
        <w:t xml:space="preserve"> </w:t>
      </w:r>
      <w:r>
        <w:t xml:space="preserve">“Why this is a floor”</w:t>
      </w:r>
      <w:r>
        <w:t xml:space="preserve"> </w:t>
      </w:r>
      <w:r>
        <w:t xml:space="preserve">for why this is judged immaterial relative to the hotel win-back upside deliberately excluded on the other side.</w:t>
      </w:r>
    </w:p>
    <w:p>
      <w:pPr>
        <w:pStyle w:val="FirstParagraph"/>
      </w:pPr>
      <w:r>
        <w:rPr>
          <w:i/>
          <w:iCs/>
        </w:rPr>
        <w:t xml:space="preserve">Companion document: Anticipated Questions (Red Team) covers the sharpest likely challenges to this work, with answers prepared in advance, for use during live Q&amp;A.</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2026-08-06T20:04:55Z</dcterms:created>
  <dcterms:modified xsi:type="dcterms:W3CDTF">2026-08-06T20:04:55Z</dcterms:modified>
</cp:coreProperties>
</file>

<file path=docProps/custom.xml><?xml version="1.0" encoding="utf-8"?>
<Properties xmlns="http://schemas.openxmlformats.org/officeDocument/2006/custom-properties" xmlns:vt="http://schemas.openxmlformats.org/officeDocument/2006/docPropsVTypes"/>
</file>