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AIRBNB REVENUE OPTIMIZER</w:t>
        <w:br/>
        <w:t>MODEL V3 REVIEW</w:t>
      </w:r>
    </w:p>
    <w:p>
      <w:pPr>
        <w:jc w:val="center"/>
      </w:pPr>
      <w:r>
        <w:rPr>
          <w:i/>
        </w:rPr>
        <w:t>Technical enhancements, actionable insights, and short-term roadmap</w:t>
      </w:r>
    </w:p>
    <w:p>
      <w:pPr>
        <w:jc w:val="center"/>
      </w:pPr>
      <w:r>
        <w:t>Cornell Airbnb Capstone Team | July 2026</w:t>
      </w:r>
    </w:p>
    <w:p>
      <w:pPr>
        <w:pStyle w:val="Heading1"/>
      </w:pPr>
      <w:r>
        <w:t>Executive Summary</w:t>
      </w:r>
    </w:p>
    <w:p>
      <w:r>
        <w:t>Model V3 preserves the core Model V2 architecture - segment-specific Ridge pricing plus comparable-listing recommendations - while adding controls that make the output safer and more actionable. The central enhancement is confidence-aware decision support: each listing now receives a fair-price estimate, uncertainty proxy, confidence score, and segment-level diagnostics. The comparable layer is also redesigned to prefer peers from the same host tier before relaxing to broader cohorts.</w:t>
      </w:r>
    </w:p>
    <w:p>
      <w:r>
        <w:t>The pricing pipeline was executed on all 9,752 active listings. Short-stay performance was log-scale R² 0.605 with median absolute percentage error of 25.1%; monthly performance was log-scale R² 0.706 with median absolute percentage error of 21.1%. These results are consistent with Model V2. V3 should therefore be presented as an improvement in recommendation quality, transparency, and segmentation - not as a dramatic accuracy breakthrough.</w:t>
      </w:r>
    </w:p>
    <w:p>
      <w:pPr>
        <w:pStyle w:val="Heading1"/>
      </w:pPr>
      <w:r>
        <w:t>1. What Changed in Model V3</w:t>
      </w:r>
    </w:p>
    <w:p>
      <w:pPr>
        <w:pStyle w:val="ListBullet"/>
      </w:pPr>
      <w:r>
        <w:rPr>
          <w:b/>
        </w:rPr>
        <w:t xml:space="preserve">Confidence-aware pricing: </w:t>
      </w:r>
      <w:r>
        <w:t>Adds prediction uncertainty, a 0-100 confidence score, and High/Medium/Low confidence labels.</w:t>
      </w:r>
    </w:p>
    <w:p>
      <w:pPr>
        <w:pStyle w:val="ListBullet"/>
      </w:pPr>
      <w:r>
        <w:rPr>
          <w:b/>
        </w:rPr>
        <w:t xml:space="preserve">Host-tier-aware comparables: </w:t>
      </w:r>
      <w:r>
        <w:t>Prioritizes peers from the same market segment, listing segment, and host tier.</w:t>
      </w:r>
    </w:p>
    <w:p>
      <w:pPr>
        <w:pStyle w:val="ListBullet"/>
      </w:pPr>
      <w:r>
        <w:rPr>
          <w:b/>
        </w:rPr>
        <w:t xml:space="preserve">Hierarchical matching: </w:t>
      </w:r>
      <w:r>
        <w:t>Falls back from host-tier cohort to base cohort and then KNN only when necessary.</w:t>
      </w:r>
    </w:p>
    <w:p>
      <w:pPr>
        <w:pStyle w:val="ListBullet"/>
      </w:pPr>
      <w:r>
        <w:rPr>
          <w:b/>
        </w:rPr>
        <w:t xml:space="preserve">Segment diagnostics: </w:t>
      </w:r>
      <w:r>
        <w:t>Exports performance and uncertainty summaries by market segment, host tier, and borough.</w:t>
      </w:r>
    </w:p>
    <w:p>
      <w:pPr>
        <w:pStyle w:val="ListBullet"/>
      </w:pPr>
      <w:r>
        <w:rPr>
          <w:b/>
        </w:rPr>
        <w:t xml:space="preserve">Safer business language: </w:t>
      </w:r>
      <w:r>
        <w:t>Changes definitive over/underpricing labels into pricing-review signals.</w:t>
      </w:r>
    </w:p>
    <w:p>
      <w:pPr>
        <w:pStyle w:val="Heading1"/>
      </w:pPr>
      <w:r>
        <w:t>2. Measured Pricing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Segment</w:t>
            </w:r>
          </w:p>
        </w:tc>
        <w:tc>
          <w:tcPr>
            <w:tcW w:type="dxa" w:w="1680"/>
          </w:tcPr>
          <w:p>
            <w:r>
              <w:t>Listings</w:t>
            </w:r>
          </w:p>
        </w:tc>
        <w:tc>
          <w:tcPr>
            <w:tcW w:type="dxa" w:w="1680"/>
          </w:tcPr>
          <w:p>
            <w:r>
              <w:t>Log R²</w:t>
            </w:r>
          </w:p>
        </w:tc>
        <w:tc>
          <w:tcPr>
            <w:tcW w:type="dxa" w:w="1680"/>
          </w:tcPr>
          <w:p>
            <w:r>
              <w:t>Price R²</w:t>
            </w:r>
          </w:p>
        </w:tc>
        <w:tc>
          <w:tcPr>
            <w:tcW w:type="dxa" w:w="1680"/>
          </w:tcPr>
          <w:p>
            <w:r>
              <w:t>MAE</w:t>
            </w:r>
          </w:p>
        </w:tc>
        <w:tc>
          <w:tcPr>
            <w:tcW w:type="dxa" w:w="1680"/>
          </w:tcPr>
          <w:p>
            <w:r>
              <w:t>Median APE</w:t>
            </w:r>
          </w:p>
        </w:tc>
      </w:tr>
      <w:tr>
        <w:tc>
          <w:tcPr>
            <w:tcW w:type="dxa" w:w="1680"/>
            <w:vAlign w:val="center"/>
          </w:tcPr>
          <w:p>
            <w:r>
              <w:t>Short stay</w:t>
            </w:r>
          </w:p>
        </w:tc>
        <w:tc>
          <w:tcPr>
            <w:tcW w:type="dxa" w:w="1680"/>
            <w:vAlign w:val="center"/>
          </w:tcPr>
          <w:p>
            <w:r>
              <w:t>4,008</w:t>
            </w:r>
          </w:p>
        </w:tc>
        <w:tc>
          <w:tcPr>
            <w:tcW w:type="dxa" w:w="1680"/>
            <w:vAlign w:val="center"/>
          </w:tcPr>
          <w:p>
            <w:r>
              <w:t>0.605</w:t>
            </w:r>
          </w:p>
        </w:tc>
        <w:tc>
          <w:tcPr>
            <w:tcW w:type="dxa" w:w="1680"/>
            <w:vAlign w:val="center"/>
          </w:tcPr>
          <w:p>
            <w:r>
              <w:t>0.419</w:t>
            </w:r>
          </w:p>
        </w:tc>
        <w:tc>
          <w:tcPr>
            <w:tcW w:type="dxa" w:w="1680"/>
            <w:vAlign w:val="center"/>
          </w:tcPr>
          <w:p>
            <w:r>
              <w:t>$124.08</w:t>
            </w:r>
          </w:p>
        </w:tc>
        <w:tc>
          <w:tcPr>
            <w:tcW w:type="dxa" w:w="1680"/>
            <w:vAlign w:val="center"/>
          </w:tcPr>
          <w:p>
            <w:r>
              <w:t>25.1%</w:t>
            </w:r>
          </w:p>
        </w:tc>
      </w:tr>
      <w:tr>
        <w:tc>
          <w:tcPr>
            <w:tcW w:type="dxa" w:w="1680"/>
            <w:vAlign w:val="center"/>
          </w:tcPr>
          <w:p>
            <w:r>
              <w:t>Monthly</w:t>
            </w:r>
          </w:p>
        </w:tc>
        <w:tc>
          <w:tcPr>
            <w:tcW w:type="dxa" w:w="1680"/>
            <w:vAlign w:val="center"/>
          </w:tcPr>
          <w:p>
            <w:r>
              <w:t>5,744</w:t>
            </w:r>
          </w:p>
        </w:tc>
        <w:tc>
          <w:tcPr>
            <w:tcW w:type="dxa" w:w="1680"/>
            <w:vAlign w:val="center"/>
          </w:tcPr>
          <w:p>
            <w:r>
              <w:t>0.706</w:t>
            </w:r>
          </w:p>
        </w:tc>
        <w:tc>
          <w:tcPr>
            <w:tcW w:type="dxa" w:w="1680"/>
            <w:vAlign w:val="center"/>
          </w:tcPr>
          <w:p>
            <w:r>
              <w:t>0.489</w:t>
            </w:r>
          </w:p>
        </w:tc>
        <w:tc>
          <w:tcPr>
            <w:tcW w:type="dxa" w:w="1680"/>
            <w:vAlign w:val="center"/>
          </w:tcPr>
          <w:p>
            <w:r>
              <w:t>$47.43</w:t>
            </w:r>
          </w:p>
        </w:tc>
        <w:tc>
          <w:tcPr>
            <w:tcW w:type="dxa" w:w="1680"/>
            <w:vAlign w:val="center"/>
          </w:tcPr>
          <w:p>
            <w:r>
              <w:t>21.1%</w:t>
            </w:r>
          </w:p>
        </w:tc>
      </w:tr>
    </w:tbl>
    <w:p>
      <w:r>
        <w:t>Interpretation: monthly listings remain more predictable than short-stay listings. The team should avoid quoting one combined R² because it can conceal weaker performance in the short-stay market, which is likely the main user-facing segment.</w:t>
      </w:r>
    </w:p>
    <w:p>
      <w:pPr>
        <w:pStyle w:val="Heading1"/>
      </w:pPr>
      <w:r>
        <w:t>3. Actionable Insights the Team Can Use Now</w:t>
      </w:r>
    </w:p>
    <w:p>
      <w:r>
        <w:rPr>
          <w:b/>
        </w:rPr>
        <w:t>Introduce confidence thresholds</w:t>
      </w:r>
      <w:r>
        <w:t xml:space="preserve"> - Only show strong price recommendations when confidence is High. For Medium confidence, phrase the result as a range. For Low confidence, show peer evidence and request more listing information instead of recommending a specific price.</w:t>
      </w:r>
    </w:p>
    <w:p>
      <w:r>
        <w:rPr>
          <w:b/>
        </w:rPr>
        <w:t>Route users by market strategy</w:t>
      </w:r>
      <w:r>
        <w:t xml:space="preserve"> - The dashboard should first ask whether the listing is short stay or monthly. All benchmarks, metrics, and comparable listings should then remain within that market.</w:t>
      </w:r>
    </w:p>
    <w:p>
      <w:r>
        <w:rPr>
          <w:b/>
        </w:rPr>
        <w:t>Tailor advice by host tier</w:t>
      </w:r>
      <w:r>
        <w:t xml:space="preserve"> - Individual hosts may benefit from simple amenity and pricing guidance, while enterprise hosts may need portfolio-level opportunity summaries, consistency checks, and neighborhood dashboards.</w:t>
      </w:r>
    </w:p>
    <w:p>
      <w:r>
        <w:rPr>
          <w:b/>
        </w:rPr>
        <w:t>Prioritize opportunity, not raw residual</w:t>
      </w:r>
      <w:r>
        <w:t xml:space="preserve"> - Rank interventions using residual size, confidence, peer support, and occupancy gap together. A large residual with weak peer support should not be ranked above a moderate residual with high confidence.</w:t>
      </w:r>
    </w:p>
    <w:p>
      <w:r>
        <w:rPr>
          <w:b/>
        </w:rPr>
        <w:t>Separate prediction from causality</w:t>
      </w:r>
      <w:r>
        <w:t xml:space="preserve"> - Missing amenities should be presented as peer patterns to test, not guaranteed revenue drivers. The next analytical step is an amenity ROI study using matched or quasi-experimental methods.</w:t>
      </w:r>
    </w:p>
    <w:p>
      <w:r>
        <w:rPr>
          <w:b/>
        </w:rPr>
        <w:t>Add abstention rules</w:t>
      </w:r>
      <w:r>
        <w:t xml:space="preserve"> - The model should decline to make a strong recommendation for rare property types, very small cohorts, unusually high prices, or stale listings.</w:t>
      </w:r>
    </w:p>
    <w:p>
      <w:pPr>
        <w:pStyle w:val="Heading1"/>
      </w:pPr>
      <w:r>
        <w:t>4. Recommended Visualizations for Rachael</w:t>
      </w:r>
    </w:p>
    <w:p>
      <w:pPr>
        <w:pStyle w:val="ListBullet"/>
      </w:pPr>
      <w:r>
        <w:rPr>
          <w:b/>
        </w:rPr>
        <w:t xml:space="preserve">Confidence vs. pricing gap scatterplot: </w:t>
      </w:r>
      <w:r>
        <w:t>Shows which opportunities are both large and reliable.</w:t>
      </w:r>
    </w:p>
    <w:p>
      <w:pPr>
        <w:pStyle w:val="ListBullet"/>
      </w:pPr>
      <w:r>
        <w:rPr>
          <w:b/>
        </w:rPr>
        <w:t xml:space="preserve">Host-tier opportunity matrix: </w:t>
      </w:r>
      <w:r>
        <w:t>Compares listing count, median residual, occupancy gap, and confidence by host tier.</w:t>
      </w:r>
    </w:p>
    <w:p>
      <w:pPr>
        <w:pStyle w:val="ListBullet"/>
      </w:pPr>
      <w:r>
        <w:rPr>
          <w:b/>
        </w:rPr>
        <w:t xml:space="preserve">Short-stay vs. monthly scorecard: </w:t>
      </w:r>
      <w:r>
        <w:t>Displays separate R², MAE, median APE, and sample size.</w:t>
      </w:r>
    </w:p>
    <w:p>
      <w:pPr>
        <w:pStyle w:val="ListBullet"/>
      </w:pPr>
      <w:r>
        <w:rPr>
          <w:b/>
        </w:rPr>
        <w:t xml:space="preserve">Neighborhood residual heatmap: </w:t>
      </w:r>
      <w:r>
        <w:t>Identifies systematic areas where the model over- or under-predicts.</w:t>
      </w:r>
    </w:p>
    <w:p>
      <w:pPr>
        <w:pStyle w:val="ListBullet"/>
      </w:pPr>
      <w:r>
        <w:rPr>
          <w:b/>
        </w:rPr>
        <w:t xml:space="preserve">Comparable support distribution: </w:t>
      </w:r>
      <w:r>
        <w:t>Shows the proportion using host-tier cohort, base cohort, and KNN fallback.</w:t>
      </w:r>
    </w:p>
    <w:p>
      <w:pPr>
        <w:pStyle w:val="ListBullet"/>
      </w:pPr>
      <w:r>
        <w:rPr>
          <w:b/>
        </w:rPr>
        <w:t xml:space="preserve">Amenity opportunity chart: </w:t>
      </w:r>
      <w:r>
        <w:t>Ranks missing amenities but labels results as association, not causation.</w:t>
      </w:r>
    </w:p>
    <w:p>
      <w:pPr>
        <w:pStyle w:val="Heading1"/>
        <w:pageBreakBefore/>
      </w:pPr>
      <w:r>
        <w:t>5. Short-Term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Priority</w:t>
            </w:r>
          </w:p>
        </w:tc>
        <w:tc>
          <w:tcPr>
            <w:tcW w:type="dxa" w:w="2520"/>
          </w:tcPr>
          <w:p>
            <w:r>
              <w:t>Enhancement</w:t>
            </w:r>
          </w:p>
        </w:tc>
        <w:tc>
          <w:tcPr>
            <w:tcW w:type="dxa" w:w="2520"/>
          </w:tcPr>
          <w:p>
            <w:r>
              <w:t>Effort</w:t>
            </w:r>
          </w:p>
        </w:tc>
        <w:tc>
          <w:tcPr>
            <w:tcW w:type="dxa" w:w="2520"/>
          </w:tcPr>
          <w:p>
            <w:r>
              <w:t>Expected value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Confidence thresholds and dashboard wording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Prevents overconfident recommendations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Host-tier-aware comparable cohorts</w:t>
            </w:r>
          </w:p>
        </w:tc>
        <w:tc>
          <w:tcPr>
            <w:tcW w:type="dxa" w:w="2520"/>
          </w:tcPr>
          <w:p>
            <w:r>
              <w:t>Low-Medium</w:t>
            </w:r>
          </w:p>
        </w:tc>
        <w:tc>
          <w:tcPr>
            <w:tcW w:type="dxa" w:w="2520"/>
          </w:tcPr>
          <w:p>
            <w:r>
              <w:t>More defensible peer matching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Segment error dashboard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Shows where the model is reliable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Real seasonality integration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Makes price advice time-sensitive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Review-text themes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Adds operational improvement guidance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Amenity ROI validation</w:t>
            </w:r>
          </w:p>
        </w:tc>
        <w:tc>
          <w:tcPr>
            <w:tcW w:type="dxa" w:w="2520"/>
          </w:tcPr>
          <w:p>
            <w:r>
              <w:t>Medium-High</w:t>
            </w:r>
          </w:p>
        </w:tc>
        <w:tc>
          <w:tcPr>
            <w:tcW w:type="dxa" w:w="2520"/>
          </w:tcPr>
          <w:p>
            <w:r>
              <w:t>Moves from association toward causal evidence</w:t>
            </w:r>
          </w:p>
        </w:tc>
      </w:tr>
    </w:tbl>
    <w:p>
      <w:pPr>
        <w:pStyle w:val="Heading1"/>
      </w:pPr>
      <w:r>
        <w:t>6. Technical and Business Caveats</w:t>
      </w:r>
    </w:p>
    <w:p>
      <w:pPr>
        <w:pStyle w:val="ListBullet"/>
      </w:pPr>
      <w:r>
        <w:t>Residuals are pricing-review signals, not proof that a listing is mispriced.</w:t>
      </w:r>
    </w:p>
    <w:p>
      <w:pPr>
        <w:pStyle w:val="ListBullet"/>
      </w:pPr>
      <w:r>
        <w:t>Prediction confidence is a practical proxy and should not be described as a formal statistical prediction interval.</w:t>
      </w:r>
    </w:p>
    <w:p>
      <w:pPr>
        <w:pStyle w:val="ListBullet"/>
      </w:pPr>
      <w:r>
        <w:t>Calendar-based occupancy may include host-blocked dates.</w:t>
      </w:r>
    </w:p>
    <w:p>
      <w:pPr>
        <w:pStyle w:val="ListBullet"/>
      </w:pPr>
      <w:r>
        <w:t>Amenity gaps are associations among peers and do not prove causal uplift.</w:t>
      </w:r>
    </w:p>
    <w:p>
      <w:pPr>
        <w:pStyle w:val="ListBullet"/>
      </w:pPr>
      <w:r>
        <w:t>Simulated seasonality should not be used for production claims; real monthly market data is required.</w:t>
      </w:r>
    </w:p>
    <w:p>
      <w:pPr>
        <w:pStyle w:val="ListBullet"/>
      </w:pPr>
      <w:r>
        <w:t>Performance should always be reported separately for short-stay and monthly listings.</w:t>
      </w:r>
    </w:p>
    <w:p>
      <w:pPr>
        <w:pStyle w:val="Heading1"/>
      </w:pPr>
      <w:r>
        <w:t>7. Final Recommendation</w:t>
      </w:r>
    </w:p>
    <w:p>
      <w:r>
        <w:t>Use Model V3 as an experimental decision-support layer alongside Model V2. Keep Ridge as the fair-price engine, but make confidence and peer support visible in the product. The strongest near-term pitch is not "we predict the perfect Airbnb price." It is: "we identify pricing and operational opportunities, show the comparable evidence behind them, and communicate how confident the system is."</w:t>
      </w:r>
    </w:p>
    <w:p>
      <w:pPr>
        <w:pStyle w:val="Heading1"/>
      </w:pPr>
      <w:r>
        <w:t>Appendix: Files Delivered</w:t>
      </w:r>
    </w:p>
    <w:p>
      <w:pPr>
        <w:pStyle w:val="ListBullet"/>
      </w:pPr>
      <w:r>
        <w:t>src/model_v3.py - confidence-aware segment Ridge pipeline</w:t>
      </w:r>
    </w:p>
    <w:p>
      <w:pPr>
        <w:pStyle w:val="ListBullet"/>
      </w:pPr>
      <w:r>
        <w:t>src/knn_v3.py - host-tier hierarchical comparable layer</w:t>
      </w:r>
    </w:p>
    <w:p>
      <w:pPr>
        <w:pStyle w:val="ListBullet"/>
      </w:pPr>
      <w:r>
        <w:t>outputs/v3_listing_pricing_signals.csv - listing-level V3 pricing output</w:t>
      </w:r>
    </w:p>
    <w:p>
      <w:pPr>
        <w:pStyle w:val="ListBullet"/>
      </w:pPr>
      <w:r>
        <w:t>outputs/v3_segment_metrics.csv - measured segment performance</w:t>
      </w:r>
    </w:p>
    <w:p>
      <w:pPr>
        <w:pStyle w:val="ListBullet"/>
      </w:pPr>
      <w:r>
        <w:t>outputs/v3_segment_diagnostics.csv - host-tier and borough diagnostics</w:t>
      </w:r>
    </w:p>
    <w:p>
      <w:pPr>
        <w:pStyle w:val="ListBullet"/>
      </w:pPr>
      <w:r>
        <w:t>CHANGELOG_Model_V3.md - complete change record</w:t>
      </w:r>
    </w:p>
    <w:p>
      <w:pPr>
        <w:pStyle w:val="ListBullet"/>
      </w:pPr>
      <w:r>
        <w:t>README_Model_V3.md - run instructions and interpretation guidance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