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Anticipated Questions (Red Team)</w:t>
      </w:r>
    </w:p>
    <w:p>
      <w:pPr>
        <w:pStyle w:val="BodyText"/>
      </w:pPr>
      <w:r>
        <w:rPr>
          <w:i/>
          <w:iCs/>
        </w:rPr>
        <w:t xml:space="preserve">Quick-reference companion to the Technical Appendix, for live Q&amp;A, not the timed presentation</w:t>
      </w:r>
    </w:p>
    <w:p>
      <w:pPr>
        <w:pStyle w:val="BodyText"/>
      </w:pPr>
      <w:r>
        <w:t xml:space="preserve">Sharpest, most likely questions first. Each answer is the honest, prepared version, not a deflection. A team that raises its own weakest points first reads as more credible than one that waits to get caught.</w:t>
      </w:r>
    </w:p>
    <w:p>
      <w:pPr>
        <w:pStyle w:val="BodyText"/>
      </w:pPr>
      <w:r>
        <w:rPr>
          <w:b/>
          <w:bCs/>
        </w:rPr>
        <w:t xml:space="preserve">Which backup slide answers which question.</w:t>
      </w:r>
      <w:r>
        <w:t xml:space="preserve"> </w:t>
      </w:r>
      <w:r>
        <w:t xml:space="preserve">These sit in the deck but are not presented. Pull the relevant one up rather than describing it.</w:t>
      </w:r>
    </w:p>
    <w:tbl>
      <w:tblPr>
        <w:tblStyle w:val="Table"/>
        <w:tblW w:type="pct" w:w="4867"/>
        <w:tblLayout w:type="fixed"/>
        <w:tblLook w:firstRow="1" w:lastRow="0" w:firstColumn="0" w:lastColumn="0" w:noHBand="0" w:noVBand="0" w:val="0020"/>
      </w:tblPr>
      <w:tblGrid>
        <w:gridCol w:w="5174"/>
        <w:gridCol w:w="2534"/>
      </w:tblGrid>
      <w:tr>
        <w:trPr>
          <w:tblHeader w:val="on"/>
        </w:trPr>
        <w:tc>
          <w:tcPr/>
          <w:p>
            <w:pPr>
              <w:pStyle w:val="Compact"/>
              <w:jc w:val="left"/>
            </w:pPr>
            <w:r>
              <w:rPr>
                <w:b/>
                <w:bCs/>
              </w:rPr>
              <w:t xml:space="preserve">If asked</w:t>
            </w:r>
          </w:p>
        </w:tc>
        <w:tc>
          <w:tcPr/>
          <w:p>
            <w:pPr>
              <w:pStyle w:val="Compact"/>
              <w:jc w:val="left"/>
            </w:pPr>
            <w:r>
              <w:rPr>
                <w:b/>
                <w:bCs/>
              </w:rPr>
              <w:t xml:space="preserve">Pull up</w:t>
            </w:r>
          </w:p>
        </w:tc>
      </w:tr>
      <w:tr>
        <w:tc>
          <w:tcPr/>
          <w:p>
            <w:pPr>
              <w:pStyle w:val="Compact"/>
              <w:jc w:val="left"/>
            </w:pPr>
            <w:r>
              <w:t xml:space="preserve">Why this model? Did you test others?</w:t>
            </w:r>
          </w:p>
        </w:tc>
        <w:tc>
          <w:tcPr/>
          <w:p>
            <w:pPr>
              <w:pStyle w:val="Compact"/>
              <w:jc w:val="left"/>
            </w:pPr>
            <w:r>
              <w:t xml:space="preserve">B1 Model bake-off</w:t>
            </w:r>
          </w:p>
        </w:tc>
      </w:tr>
      <w:tr>
        <w:tc>
          <w:tcPr/>
          <w:p>
            <w:pPr>
              <w:pStyle w:val="Compact"/>
              <w:jc w:val="left"/>
            </w:pPr>
            <w:r>
              <w:t xml:space="preserve">Where does the $7.6M come from?</w:t>
            </w:r>
          </w:p>
        </w:tc>
        <w:tc>
          <w:tcPr/>
          <w:p>
            <w:pPr>
              <w:pStyle w:val="Compact"/>
              <w:jc w:val="left"/>
            </w:pPr>
            <w:r>
              <w:t xml:space="preserve">B2 How it is built</w:t>
            </w:r>
          </w:p>
        </w:tc>
      </w:tr>
      <w:tr>
        <w:tc>
          <w:tcPr/>
          <w:p>
            <w:pPr>
              <w:pStyle w:val="Compact"/>
              <w:jc w:val="left"/>
            </w:pPr>
            <w:r>
              <w:t xml:space="preserve">Why 142 reviews? Is 64 listings an</w:t>
            </w:r>
            <w:r>
              <w:t xml:space="preserve"> </w:t>
            </w:r>
            <w:r>
              <w:t xml:space="preserve">extrapolation?</w:t>
            </w:r>
          </w:p>
        </w:tc>
        <w:tc>
          <w:tcPr/>
          <w:p>
            <w:pPr>
              <w:pStyle w:val="Compact"/>
              <w:jc w:val="left"/>
            </w:pPr>
            <w:r>
              <w:t xml:space="preserve">B3 The 142 split</w:t>
            </w:r>
          </w:p>
        </w:tc>
      </w:tr>
      <w:tr>
        <w:tc>
          <w:tcPr/>
          <w:p>
            <w:pPr>
              <w:pStyle w:val="Compact"/>
              <w:jc w:val="left"/>
            </w:pPr>
            <w:r>
              <w:t xml:space="preserve">Most of your listings are Uncertain</w:t>
            </w:r>
          </w:p>
        </w:tc>
        <w:tc>
          <w:tcPr/>
          <w:p>
            <w:pPr>
              <w:pStyle w:val="Compact"/>
              <w:jc w:val="left"/>
            </w:pPr>
            <w:r>
              <w:t xml:space="preserve">B4 Revenue by confidence</w:t>
            </w:r>
          </w:p>
        </w:tc>
      </w:tr>
      <w:tr>
        <w:tc>
          <w:tcPr/>
          <w:p>
            <w:pPr>
              <w:pStyle w:val="Compact"/>
              <w:jc w:val="left"/>
            </w:pPr>
            <w:r>
              <w:t xml:space="preserve">How do you know the model works?</w:t>
            </w:r>
          </w:p>
        </w:tc>
        <w:tc>
          <w:tcPr/>
          <w:p>
            <w:pPr>
              <w:pStyle w:val="Compact"/>
              <w:jc w:val="left"/>
            </w:pPr>
            <w:r>
              <w:t xml:space="preserve">B5 Validation</w:t>
            </w:r>
          </w:p>
        </w:tc>
      </w:tr>
      <w:tr>
        <w:tc>
          <w:tcPr/>
          <w:p>
            <w:pPr>
              <w:pStyle w:val="Compact"/>
              <w:jc w:val="left"/>
            </w:pPr>
            <w:r>
              <w:t xml:space="preserve">Where does the adoption curve come from?</w:t>
            </w:r>
          </w:p>
        </w:tc>
        <w:tc>
          <w:tcPr/>
          <w:p>
            <w:pPr>
              <w:pStyle w:val="Compact"/>
              <w:jc w:val="left"/>
            </w:pPr>
            <w:r>
              <w:t xml:space="preserve">B6 The adoption ramp</w:t>
            </w:r>
          </w:p>
        </w:tc>
      </w:tr>
    </w:tbl>
    <w:bookmarkStart w:id="9" w:name="price-elasticity-data"/>
    <w:p>
      <w:pPr>
        <w:pStyle w:val="Heading1"/>
      </w:pPr>
      <w:r>
        <w:t xml:space="preserve">Price Elasticity &amp; Data</w:t>
      </w:r>
    </w:p>
    <w:p>
      <w:pPr>
        <w:pStyle w:val="FirstParagraph"/>
      </w:pPr>
      <w:r>
        <w:rPr>
          <w:b/>
          <w:bCs/>
        </w:rPr>
        <w:t xml:space="preserve">Q: Why do short-stay and monthly behave so differently? A listing is a listing.</w:t>
      </w:r>
    </w:p>
    <w:p>
      <w:pPr>
        <w:pStyle w:val="BlockText"/>
      </w:pPr>
      <w:r>
        <w:t xml:space="preserve">They sell against different alternatives. A short-stay listing competes with hotels and with other short-stay listings for the same specific dates, where a guest can compare several options in minutes and switching costs nothing. A monthly listing, which we define by a 28-night minimum, competes with apartment sublets and corporate housing, and that guest is solving a housing problem (a relocation, a contract, a semester) against far thinner supply. The difference in the substitute set is why the measured elasticities differ, and why we calibrate the engine separately for each market instead of pooling them. One point of precision on the monthly side: we detected no price response in the pilot, which is a failure to measure one rather than evidence that monthly guests ignore price.</w:t>
      </w:r>
      <w:r>
        <w:t xml:space="preserve"> </w:t>
      </w:r>
      <w:r>
        <w:rPr>
          <w:b/>
          <w:bCs/>
        </w:rPr>
        <w:t xml:space="preserve">Backup slide B3</w:t>
      </w:r>
      <w:r>
        <w:t xml:space="preserve"> </w:t>
      </w:r>
      <w:r>
        <w:t xml:space="preserve">covers where we do and do not apply the coefficient.</w:t>
      </w:r>
    </w:p>
    <w:p>
      <w:pPr>
        <w:pStyle w:val="FirstParagraph"/>
      </w:pPr>
      <w:r>
        <w:rPr>
          <w:b/>
          <w:bCs/>
        </w:rPr>
        <w:t xml:space="preserve">Q: Your whole financial story rests on 64 non-random listings. Isn't that a huge extrapolation?</w:t>
      </w:r>
    </w:p>
    <w:p>
      <w:pPr>
        <w:pStyle w:val="BlockText"/>
      </w:pPr>
      <w:r>
        <w:t xml:space="preserve">It would be, which is why we don't extrapolate it. That sample skews heavily toward established, loyal-demand hosts (median 142 reviews, 14 years hosting), the least price-sensitive segment in the market, and 76% of underpriced short-stay listings sit below the 142-review threshold, with 99% falling short of the panel profile on reviews, tenure, or both. So we apply β = −0.92 only to listings that match the panel (≥142 reviews) and fall back to the −1.0 mathematical breakeven for everything below it, which requires no data at all because it is an algebraic identity. An earlier version of this analysis did apply the coefficient uniformly and reported a $9.6M</w:t>
      </w:r>
      <w:r>
        <w:t xml:space="preserve"> </w:t>
      </w:r>
      <w:r>
        <w:t xml:space="preserve">“floor.”</w:t>
      </w:r>
      <w:r>
        <w:t xml:space="preserve"> </w:t>
      </w:r>
      <w:r>
        <w:t xml:space="preserve">That was wrong, and correcting it is why the current figure is $7.57M rather than something larger.</w:t>
      </w:r>
    </w:p>
    <w:p>
      <w:pPr>
        <w:pStyle w:val="FirstParagraph"/>
      </w:pPr>
      <w:r>
        <w:rPr>
          <w:b/>
          <w:bCs/>
        </w:rPr>
        <w:t xml:space="preserve">Q: You're trusting a third-party's black-box occupancy model to validate your own model.</w:t>
      </w:r>
    </w:p>
    <w:p>
      <w:pPr>
        <w:pStyle w:val="BlockText"/>
      </w:pPr>
      <w:r>
        <w:t xml:space="preserve">Correct, and it's stated as an assumption, not hidden. AirROI's occupancy metric is itself an ML estimate, not ground truth. It stands in for the first-party booking data Airbnb itself would already have; the pitch is proof-of-mechanism using proxy data, not proof at Airbnb's true scale.</w:t>
      </w:r>
    </w:p>
    <w:p>
      <w:pPr>
        <w:pStyle w:val="FirstParagraph"/>
      </w:pPr>
      <w:r>
        <w:rPr>
          <w:b/>
          <w:bCs/>
        </w:rPr>
        <w:t xml:space="preserve">Q: Only 5 of 258 listings actually changed price meaningfully. Isn't your coefficient identified from noise?</w:t>
      </w:r>
    </w:p>
    <w:p>
      <w:pPr>
        <w:pStyle w:val="BlockText"/>
      </w:pPr>
      <w:r>
        <w:t xml:space="preserve">This is the most technically real limitation, worth acknowledging plainly rather than arguing away. Median price coefficient of variation is 0.0164. The fixed-effects model is still the right approach, and the within-model R² (0.35 for short-stay, vs. 0.06 cross-sectional) shows real explanatory power, but the identification is weaker than it would be with more active price management.</w:t>
      </w:r>
    </w:p>
    <w:p>
      <w:pPr>
        <w:pStyle w:val="FirstParagraph"/>
      </w:pPr>
      <w:r>
        <w:rPr>
          <w:b/>
          <w:bCs/>
        </w:rPr>
        <w:t xml:space="preserve">Q: No verified case study of an Airbnb-specific adoption curve exists. Why trust the ramp numbers?</w:t>
      </w:r>
    </w:p>
    <w:p>
      <w:pPr>
        <w:pStyle w:val="BlockText"/>
      </w:pPr>
      <w:r>
        <w:t xml:space="preserve">We don't claim it's Airbnb-specific. It's a recalibration of general SaaS/diffusion adoption benchmarks (Rogers' Diffusion of Innovation, real 2024 SaaS feature-adoption data) to this context, stated as such on the slide rather than presented as a directly analogous rollout.</w:t>
      </w:r>
    </w:p>
    <w:bookmarkEnd w:id="9"/>
    <w:bookmarkStart w:id="10" w:name="the-pricing-model"/>
    <w:p>
      <w:pPr>
        <w:pStyle w:val="Heading1"/>
      </w:pPr>
      <w:r>
        <w:t xml:space="preserve">The Pricing Model</w:t>
      </w:r>
    </w:p>
    <w:p>
      <w:pPr>
        <w:pStyle w:val="FirstParagraph"/>
      </w:pPr>
      <w:r>
        <w:rPr>
          <w:b/>
          <w:bCs/>
        </w:rPr>
        <w:t xml:space="preserve">Q: Doesn't the model just reproduce the peer-group mean? Is that real evidence of pricing headroom?</w:t>
      </w:r>
    </w:p>
    <w:p>
      <w:pPr>
        <w:pStyle w:val="BlockText"/>
      </w:pPr>
      <w:r>
        <w:t xml:space="preserve">Fair challenge. "Fair value" is a peer-comparison estimate, not a causal optimum, we don't claim otherwise. What makes it more than a restated mean: it's calibrated (conformal calibration verifies the 80% interval actually achieves 80% coverage), segment-split, and host-tier-aware, so the comparison is to truly similar peers, not the whole market average.</w:t>
      </w:r>
    </w:p>
    <w:p>
      <w:pPr>
        <w:pStyle w:val="FirstParagraph"/>
      </w:pPr>
      <w:r>
        <w:rPr>
          <w:b/>
          <w:bCs/>
        </w:rPr>
        <w:t xml:space="preserve">Q: If the model successfully pushes underpriced hosts to raise price, doesn't that shift the market floor itself?</w:t>
      </w:r>
    </w:p>
    <w:p>
      <w:pPr>
        <w:pStyle w:val="BlockText"/>
      </w:pPr>
      <w:r>
        <w:t xml:space="preserve">Real concern, three things bound it: adoption realistically caps around 42% steady-state, so the aggregate moves slowly; the measured elasticity is partial-equilibrium (one listing moving against peers who hold still); the true market-wide elasticity is almost certainly larger once guests' outside options bind, which blunts a runaway effect; and if underpriced listings exist due to genuine information asymmetry, correcting that is a one-time efficiency gain, not indefinite inflation, provided the model retrains on a normal cadence rather than chasing its own effect on the market in real time.</w:t>
      </w:r>
    </w:p>
    <w:p>
      <w:pPr>
        <w:pStyle w:val="FirstParagraph"/>
      </w:pPr>
      <w:r>
        <w:rPr>
          <w:b/>
          <w:bCs/>
        </w:rPr>
        <w:t xml:space="preserve">Q: The seasonal pricing layer is simulated. Why should we trust seasonal recommendations built on a hotel-market proxy?</w:t>
      </w:r>
    </w:p>
    <w:p>
      <w:pPr>
        <w:pStyle w:val="BlockText"/>
      </w:pPr>
      <w:r>
        <w:t xml:space="preserve">We don't ask you to trust the shape blindly, it's explicitly labeled illustrative everywhere it appears. Two of the three components are real (real per-neighborhood occupancy, a real neighborhood-specific amplitude weight); only the citywide curve shape is simulated, from a real, cited source (NYC hotel ADR data), because Airbnb doesn't publish calendar-level NYC price data. It's a stand-in pending real data, not a finished claim.</w:t>
      </w:r>
    </w:p>
    <w:bookmarkEnd w:id="10"/>
    <w:bookmarkStart w:id="11" w:name="financial-case"/>
    <w:p>
      <w:pPr>
        <w:pStyle w:val="Heading1"/>
      </w:pPr>
      <w:r>
        <w:t xml:space="preserve">Financial Case</w:t>
      </w:r>
    </w:p>
    <w:p>
      <w:pPr>
        <w:pStyle w:val="FirstParagraph"/>
      </w:pPr>
      <w:r>
        <w:rPr>
          <w:b/>
          <w:bCs/>
        </w:rPr>
        <w:t xml:space="preserve">Q: Can we check your arithmetic?</w:t>
      </w:r>
    </w:p>
    <w:p>
      <w:pPr>
        <w:pStyle w:val="BlockText"/>
      </w:pPr>
      <w:r>
        <w:t xml:space="preserve">Yes, and we would rather you did.</w:t>
      </w:r>
      <w:r>
        <w:t xml:space="preserve"> </w:t>
      </w:r>
      <w:r>
        <w:rPr>
          <w:rStyle w:val="VerbatimChar"/>
        </w:rPr>
        <w:t xml:space="preserve">model v4/elasticity/reproduce_revenue_lift.py</w:t>
      </w:r>
      <w:r>
        <w:t xml:space="preserve"> </w:t>
      </w:r>
      <w:r>
        <w:t xml:space="preserve">regenerates the headline figures from committed data. It returns $7.56M host GBV, $1.17M in Airbnb fees and 77,499 nights against the $7.57M / $1.17M / 77,606 we report, agreement to roughly 0.1%, with the residual coming from the outlier-trim boundary. Two details in that script are easy to get wrong and are documented inside it: the 1–99 percentile trim applies to</w:t>
      </w:r>
      <w:r>
        <w:t xml:space="preserve"> </w:t>
      </w:r>
      <w:r>
        <w:rPr>
          <w:b/>
          <w:bCs/>
        </w:rPr>
        <w:t xml:space="preserve">nightly price</w:t>
      </w:r>
      <w:r>
        <w:t xml:space="preserve"> </w:t>
      </w:r>
      <w:r>
        <w:t xml:space="preserve">rather than to the revenue delta (trimming the delta understates the result by $1.6M), and recovered nights are summed across</w:t>
      </w:r>
      <w:r>
        <w:t xml:space="preserve"> </w:t>
      </w:r>
      <w:r>
        <w:rPr>
          <w:b/>
          <w:bCs/>
        </w:rPr>
        <w:t xml:space="preserve">both</w:t>
      </w:r>
      <w:r>
        <w:t xml:space="preserve"> </w:t>
      </w:r>
      <w:r>
        <w:t xml:space="preserve">review tiers, because the sub-142 tier nets zero revenue at breakeven while still recovering real bookings.</w:t>
      </w:r>
      <w:r>
        <w:t xml:space="preserve"> </w:t>
      </w:r>
      <w:r>
        <w:rPr>
          <w:b/>
          <w:bCs/>
        </w:rPr>
        <w:t xml:space="preserve">Backup slide B2</w:t>
      </w:r>
      <w:r>
        <w:t xml:space="preserve"> </w:t>
      </w:r>
      <w:r>
        <w:t xml:space="preserve">has the build-up.</w:t>
      </w:r>
    </w:p>
    <w:p>
      <w:pPr>
        <w:pStyle w:val="FirstParagraph"/>
      </w:pPr>
      <w:r>
        <w:rPr>
          <w:b/>
          <w:bCs/>
        </w:rPr>
        <w:t xml:space="preserve">Q: Your model says</w:t>
      </w:r>
      <w:r>
        <w:rPr>
          <w:b/>
          <w:bCs/>
        </w:rPr>
        <w:t xml:space="preserve"> </w:t>
      </w:r>
      <w:r>
        <w:rPr>
          <w:b/>
          <w:bCs/>
        </w:rPr>
        <w:t xml:space="preserve">“Uncertain”</w:t>
      </w:r>
      <w:r>
        <w:rPr>
          <w:b/>
          <w:bCs/>
        </w:rPr>
        <w:t xml:space="preserve"> </w:t>
      </w:r>
      <w:r>
        <w:rPr>
          <w:b/>
          <w:bCs/>
        </w:rPr>
        <w:t xml:space="preserve">for most listings. How much of the $7.6M comes from listings you can't actually make a call on?</w:t>
      </w:r>
    </w:p>
    <w:p>
      <w:pPr>
        <w:pStyle w:val="BlockText"/>
      </w:pPr>
      <w:r>
        <w:t xml:space="preserve">Sixty-nine percent, and we'd rather say that first than have you find it. The confident-call subset is 543 listings worth</w:t>
      </w:r>
      <w:r>
        <w:t xml:space="preserve"> </w:t>
      </w:r>
      <w:r>
        <w:rPr>
          <w:b/>
          <w:bCs/>
        </w:rPr>
        <w:t xml:space="preserve">$2.34M</w:t>
      </w:r>
      <w:r>
        <w:t xml:space="preserve">; the remaining</w:t>
      </w:r>
      <w:r>
        <w:t xml:space="preserve"> </w:t>
      </w:r>
      <w:r>
        <w:rPr>
          <w:b/>
          <w:bCs/>
        </w:rPr>
        <w:t xml:space="preserve">$5.21M</w:t>
      </w:r>
      <w:r>
        <w:t xml:space="preserve"> </w:t>
      </w:r>
      <w:r>
        <w:t xml:space="preserve">comes from listings whose current price sits</w:t>
      </w:r>
      <w:r>
        <w:t xml:space="preserve"> </w:t>
      </w:r>
      <w:r>
        <w:rPr>
          <w:i/>
          <w:iCs/>
        </w:rPr>
        <w:t xml:space="preserve">inside</w:t>
      </w:r>
      <w:r>
        <w:t xml:space="preserve"> </w:t>
      </w:r>
      <w:r>
        <w:t xml:space="preserve">our calibrated interval. Two things about that. First,</w:t>
      </w:r>
      <w:r>
        <w:t xml:space="preserve"> </w:t>
      </w:r>
      <w:r>
        <w:t xml:space="preserve">“Uncertain”</w:t>
      </w:r>
      <w:r>
        <w:t xml:space="preserve"> </w:t>
      </w:r>
      <w:r>
        <w:t xml:space="preserve">is a statement about the interval, not the absence of signal. The revenue math uses q50, the central estimate, which is still the best point estimate for a listing no matter how wide the band around it is, and the model-noise discount already haircuts the gap for exactly that reason. Second, and more usefully: at 15.5%, the confident subset alone returns</w:t>
      </w:r>
      <w:r>
        <w:t xml:space="preserve"> </w:t>
      </w:r>
      <w:r>
        <w:rPr>
          <w:b/>
          <w:bCs/>
        </w:rPr>
        <w:t xml:space="preserve">$363K a year</w:t>
      </w:r>
      <w:r>
        <w:t xml:space="preserve"> </w:t>
      </w:r>
      <w:r>
        <w:t xml:space="preserve">against a $65K build and $30K annual run. It clears the funding bar on its own. So you can take $2.34M or $7.56M and the decision doesn't change, which is the honest reason we're comfortable showing you both.</w:t>
      </w:r>
    </w:p>
    <w:p>
      <w:pPr>
        <w:pStyle w:val="FirstParagraph"/>
      </w:pPr>
      <w:r>
        <w:rPr>
          <w:b/>
          <w:bCs/>
        </w:rPr>
        <w:t xml:space="preserve">Q: If the tool tells a host</w:t>
      </w:r>
      <w:r>
        <w:rPr>
          <w:b/>
          <w:bCs/>
        </w:rPr>
        <w:t xml:space="preserve"> </w:t>
      </w:r>
      <w:r>
        <w:rPr>
          <w:b/>
          <w:bCs/>
        </w:rPr>
        <w:t xml:space="preserve">“Uncertain,”</w:t>
      </w:r>
      <w:r>
        <w:rPr>
          <w:b/>
          <w:bCs/>
        </w:rPr>
        <w:t xml:space="preserve"> </w:t>
      </w:r>
      <w:r>
        <w:rPr>
          <w:b/>
          <w:bCs/>
        </w:rPr>
        <w:t xml:space="preserve">why would they act on it at all?</w:t>
      </w:r>
    </w:p>
    <w:p>
      <w:pPr>
        <w:pStyle w:val="BlockText"/>
      </w:pPr>
      <w:r>
        <w:t xml:space="preserve">For those listings they probably wouldn't act on price alone, and the product doesn't pretend otherwise, and that's the difference between our tool and a black-box recommendation. What a host in that position still gets is the peer comparison and the ranked amenity gaps versus high performers, which is the part of the recommendation that doesn't depend on the price call being sharp. It's also why we report the confident subset separately: it separates</w:t>
      </w:r>
      <w:r>
        <w:t xml:space="preserve"> </w:t>
      </w:r>
      <w:r>
        <w:t xml:space="preserve">“what we'd confidently tell a host to do today”</w:t>
      </w:r>
      <w:r>
        <w:t xml:space="preserve"> </w:t>
      </w:r>
      <w:r>
        <w:t xml:space="preserve">from</w:t>
      </w:r>
      <w:r>
        <w:t xml:space="preserve"> </w:t>
      </w:r>
      <w:r>
        <w:t xml:space="preserve">“the full measured gap in the market.”</w:t>
      </w:r>
    </w:p>
    <w:p>
      <w:pPr>
        <w:pStyle w:val="FirstParagraph"/>
      </w:pPr>
      <w:r>
        <w:rPr>
          <w:b/>
          <w:bCs/>
        </w:rPr>
        <w:t xml:space="preserve">Q: Isn't your revenue number essentially just the monthly listings?</w:t>
      </w:r>
    </w:p>
    <w:p>
      <w:pPr>
        <w:pStyle w:val="BlockText"/>
      </w:pPr>
      <w:r>
        <w:t xml:space="preserve">Yes, and that is the honest answer rather than a dodge. Of the $7.57M combined figure, roughly $7.94M comes from the monthly segment; short-stay nets close to zero (+$0.34M underpriced, −$0.70M overpriced). The reason is that monthly elasticity came back statistically insignificant (p = 0.734), so we hold it occupancy-neutral and the full price gap flows through, while short-stay demand is near unit-elastic so raising an underpriced listing barely nets anything after the occupancy drop. We flag this as the softest spot in the stack ourselves, because it rests on a null result rather than a measurement. It is the first thing we would re-test with more within-listing price variation.</w:t>
      </w:r>
    </w:p>
    <w:p>
      <w:pPr>
        <w:pStyle w:val="FirstParagraph"/>
      </w:pPr>
      <w:r>
        <w:rPr>
          <w:b/>
          <w:bCs/>
        </w:rPr>
        <w:t xml:space="preserve">Q: If short-stay demand is near-unit elastic, what's actually in this for Airbnb?</w:t>
      </w:r>
    </w:p>
    <w:p>
      <w:pPr>
        <w:pStyle w:val="BlockText"/>
      </w:pPr>
      <w:r>
        <w:t xml:space="preserve">Less than a naive occupancy-neutral assumption implies, which is exactly why we don't use one. On the measured elasticity, the combined figure is $7.57M in host GBV, $1.17M in Airbnb fee revenue, and 77,606 recovered nights annually. The occupancy-neutral ceiling would be roughly $26.8M in GBV, and we show it as upside rather than the headline. The value on the short-stay side is not primarily dollars; it is volume, retention, and search conversion.</w:t>
      </w:r>
    </w:p>
    <w:p>
      <w:pPr>
        <w:pStyle w:val="FirstParagraph"/>
      </w:pPr>
      <w:r>
        <w:rPr>
          <w:b/>
          <w:bCs/>
        </w:rPr>
        <w:t xml:space="preserve">Q: What about the overpriced half of listings. Is lowering their price also an opportunity?</w:t>
      </w:r>
    </w:p>
    <w:p>
      <w:pPr>
        <w:pStyle w:val="BlockText"/>
      </w:pPr>
      <w:r>
        <w:t xml:space="preserve">Yes, and we include it, though the story there is nights rather than dollars. On the floor, established overpriced hosts (≥142 reviews) actually lose a small amount of revenue when they cut price, −$0.70M in aggregate, because revenue elasticity (1+β) ≈ 0.08 means the extra bookings nearly but not quite offset the lower rate. We book that loss honestly rather than hide it. What the overpriced side delivers is 77,606 previously empty nights converting to bookings, which is marketplace liquidity, host retention, and search conversion for Airbnb. Underpriced is margin; overpriced is volume. We also set the 1,506 overpriced listings below 142 reviews to zero even though they are probably elastic enough to gain revenue, because we have not measured them.</w:t>
      </w:r>
    </w:p>
    <w:p>
      <w:pPr>
        <w:pStyle w:val="FirstParagraph"/>
      </w:pPr>
      <w:r>
        <w:rPr>
          <w:b/>
          <w:bCs/>
        </w:rPr>
        <w:t xml:space="preserve">Q: Why 142 reviews? That looks like a number you picked.</w:t>
      </w:r>
    </w:p>
    <w:p>
      <w:pPr>
        <w:pStyle w:val="BlockText"/>
      </w:pPr>
      <w:r>
        <w:t xml:space="preserve">It is the median review count of the panel the elasticity was actually measured on, and nothing behavioral changes between 140 and 144 reviews. We are not claiming a discontinuity. It is the honest boundary of where our measurement applies: above it we use the measured β = −0.92, below it we fall back to the −1.0 mathematical breakeven rather than extrapolate. A fuller panel would let us estimate elasticity continuously across review counts instead of segmenting at a single line, which is part of our data ask.</w:t>
      </w:r>
    </w:p>
    <w:p>
      <w:pPr>
        <w:pStyle w:val="FirstParagraph"/>
      </w:pPr>
      <w:r>
        <w:rPr>
          <w:b/>
          <w:bCs/>
        </w:rPr>
        <w:t xml:space="preserve">Q: Your payback period looks suspiciously short. What are we missing?</w:t>
      </w:r>
    </w:p>
    <w:p>
      <w:pPr>
        <w:pStyle w:val="BlockText"/>
      </w:pPr>
      <w:r>
        <w:t xml:space="preserve">The payback is short because the cost base is small, not because the revenue is large. We cost this as an incremental feature on infrastructure Airbnb already owns rather than a greenfield build, so the Year-1 cost is roughly $95K against $117K of first-year revenue at a 10% adoption ramp. The revenue side has been discounted at multiple points: a 1–99 percentile outlier trim, the model's own median error applied against the residual gap, the measured elasticity applied to established listings, and zero credit claimed for any listing whose elasticity we did not measure. A useful structural point: because the cost base is small, the funding conclusion barely moves even if you disagree with our revenue estimate by a wide margin.</w:t>
      </w:r>
    </w:p>
    <w:p>
      <w:pPr>
        <w:pStyle w:val="FirstParagraph"/>
      </w:pPr>
      <w:r>
        <w:rPr>
          <w:b/>
          <w:bCs/>
        </w:rPr>
        <w:t xml:space="preserve">Q: Did you account for the time value of money?</w:t>
      </w:r>
    </w:p>
    <w:p>
      <w:pPr>
        <w:pStyle w:val="BlockText"/>
      </w:pPr>
      <w:r>
        <w:t xml:space="preserve">Yes, at a 10% discount rate, the standard corporate rate for a moderate-risk internal project per Corporate Finance Institute, the same source as our payback methodology. On the modeled adoption ramp we present, five-year cumulative net falls from $1.61M nominal to $1.14M in present value, a haircut of roughly 29%, and the project is cash-positive in Year 1 after discounting. One clarification worth making before it is asked: our appendix also carries a flat sensitivity table whose 100% row shows $5.63M nominal against $4.26M NPV. That row holds full adoption constant for five years, which no product actually does. It is a stress test, not the forecast, and the ramp is what the deck runs on. We show nominal and NPV side by side rather than presenting nominal sums under an NPV banner.</w:t>
      </w:r>
    </w:p>
    <w:p>
      <w:pPr>
        <w:pStyle w:val="FirstParagraph"/>
      </w:pPr>
      <w:r>
        <w:rPr>
          <w:b/>
          <w:bCs/>
        </w:rPr>
        <w:t xml:space="preserve">Q: Where does your adoption curve come from? Isn’t 42% steady-state optimistic?</w:t>
      </w:r>
    </w:p>
    <w:p>
      <w:pPr>
        <w:pStyle w:val="BlockText"/>
      </w:pPr>
      <w:r>
        <w:t xml:space="preserve">It is a recalibration of general benchmarks, and we label it that way rather than claiming an Airbnb-specific precedent, because none exists publicly. The shape is Rogers’ Diffusion of Innovation, which suits an opt-in tool adopted host by host rather than mandated across an enterprise. We deliberately did not use Bass diffusion’s classical parameters, which are calibrated to 10–15 year durable-goods cycles and far too slow for a digital feature. The steady state of 42% sits just under the top-quartile mark in real SaaS feature-adoption data (Product Metrics Benchmark Report 2024, 181 companies: average 24.5%, median 16.5%, top quartile above 45%), so we are claiming a figure near the top of the observed range but not beyond it. The more useful point is that the funding decision does not depend on winning this argument: Year 1 assumes only about 10% uptake and is already cash-positive, at roughly $117K of revenue against $95K of cost.</w:t>
      </w:r>
      <w:r>
        <w:t xml:space="preserve"> </w:t>
      </w:r>
      <w:r>
        <w:rPr>
          <w:b/>
          <w:bCs/>
        </w:rPr>
        <w:t xml:space="preserve">Backup slide B6</w:t>
      </w:r>
      <w:r>
        <w:t xml:space="preserve"> </w:t>
      </w:r>
      <w:r>
        <w:t xml:space="preserve">has the curve.</w:t>
      </w:r>
    </w:p>
    <w:p>
      <w:pPr>
        <w:pStyle w:val="FirstParagraph"/>
      </w:pPr>
      <w:r>
        <w:rPr>
          <w:b/>
          <w:bCs/>
        </w:rPr>
        <w:t xml:space="preserve">Q: Your $65K cost estimate is your own. Your $190K estimate is sourced. Why do you lead with the unsourced one?</w:t>
      </w:r>
    </w:p>
    <w:p>
      <w:pPr>
        <w:pStyle w:val="BlockText"/>
      </w:pPr>
      <w:r>
        <w:t xml:space="preserve">Because the sourced one answers a different question. The $190K greenfield figure uses Glassdoor 2026 fully-loaded compensation benchmarks and estimates what it would cost to build this as a standalone product from nothing. Airbnb is not a greenfield: model-serving infrastructure, A/B testing pipelines, and pricing-feature engineering already exist, and Smart Pricing shipping today is direct evidence of that. Costing a feature as if none of that existed overstates cost and understates return. So we lead with the marginal number and show the greenfield figure alongside it rather than dropping it, because the weaker-sourced number is the one carrying the better ROI and we would rather you see both than discover that later. If you prefer the greenfield basis, the project still pays back inside Year 2 at 35% adoption.</w:t>
      </w:r>
    </w:p>
    <w:p>
      <w:pPr>
        <w:pStyle w:val="FirstParagraph"/>
      </w:pPr>
      <w:r>
        <w:rPr>
          <w:b/>
          <w:bCs/>
        </w:rPr>
        <w:t xml:space="preserve">Q: You changed your position on the overpriced side partway through. Why should we trust the current framing?</w:t>
      </w:r>
    </w:p>
    <w:p>
      <w:pPr>
        <w:pStyle w:val="BlockText"/>
      </w:pPr>
      <w:r>
        <w:t xml:space="preserve">Because the change corrected a real inconsistency rather than chasing a better number, and it made the headline figure smaller, not larger. The earlier version applied the measured elasticity to every short-stay listing and excluded the overpriced half entirely on a population-average argument. Both were versions of the same error: using a coefficient measured on established hosts to reason about listings that are nothing like them. The current version applies the same segmentation to both sides. It reduced the headline from $9.6M to $7.57M.</w:t>
      </w:r>
    </w:p>
    <w:bookmarkEnd w:id="11"/>
    <w:bookmarkStart w:id="12" w:name="product-positioning"/>
    <w:p>
      <w:pPr>
        <w:pStyle w:val="Heading1"/>
      </w:pPr>
      <w:r>
        <w:t xml:space="preserve">Product &amp; Positioning</w:t>
      </w:r>
    </w:p>
    <w:p>
      <w:pPr>
        <w:pStyle w:val="FirstParagraph"/>
      </w:pPr>
      <w:r>
        <w:rPr>
          <w:b/>
          <w:bCs/>
        </w:rPr>
        <w:t xml:space="preserve">Q: Smart Pricing already exists. Why does Airbnb need this instead of just improving Smart Pricing?</w:t>
      </w:r>
    </w:p>
    <w:p>
      <w:pPr>
        <w:pStyle w:val="BlockText"/>
      </w:pPr>
      <w:r>
        <w:t xml:space="preserve">This is explicitly framed as building on Smart Pricing, not replacing it: same basic recommendation, plus the evidence Smart Pricing withholds (the actual peer comparables, the specific amenity gaps, a price simulator). The differentiator is agency and explainability, not a different number.</w:t>
      </w:r>
    </w:p>
    <w:p>
      <w:pPr>
        <w:pStyle w:val="FirstParagraph"/>
      </w:pPr>
      <w:r>
        <w:rPr>
          <w:b/>
          <w:bCs/>
        </w:rPr>
        <w:t xml:space="preserve">Q: In the live demo, is every listing's projection equally trustworthy?</w:t>
      </w:r>
    </w:p>
    <w:p>
      <w:pPr>
        <w:pStyle w:val="BlockText"/>
      </w:pPr>
      <w:r>
        <w:t xml:space="preserve">No, and the UI says so directly: one listing (from Jai's validated 64-listing panel) uses the measured elasticity coefficient; every other demo listing is explicitly labeled illustrative, cohort-based, not yet measured for that listing type. We'd rather the distinction be visible than discovered.</w:t>
      </w:r>
    </w:p>
    <w:p>
      <w:pPr>
        <w:pStyle w:val="FirstParagraph"/>
      </w:pPr>
      <w:r>
        <w:rPr>
          <w:b/>
          <w:bCs/>
        </w:rPr>
        <w:t xml:space="preserve">Q: This scraper operates outside Airbnb's own Terms of Service. Isn't that a problem for an internal tool?</w:t>
      </w:r>
    </w:p>
    <w:p>
      <w:pPr>
        <w:pStyle w:val="BlockText"/>
      </w:pPr>
      <w:r>
        <w:t xml:space="preserve">Yes, if this were the production data-access plan, which it isn't. The scraper is an internal proof of concept, built to prove the technique works, given this team has no internal Airbnb access. The actual production path is Airbnb's own Preferred Partner API, host-authorized access, the same mechanism real short-term-rental pricing companies already use.</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2026-08-04T18:12:04Z</dcterms:created>
  <dcterms:modified xsi:type="dcterms:W3CDTF">2026-08-04T18:12:04Z</dcterms:modified>
</cp:coreProperties>
</file>

<file path=docProps/custom.xml><?xml version="1.0" encoding="utf-8"?>
<Properties xmlns="http://schemas.openxmlformats.org/officeDocument/2006/custom-properties" xmlns:vt="http://schemas.openxmlformats.org/officeDocument/2006/docPropsVTypes"/>
</file>