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Why short-stay and monthly are separate</w:t>
            </w:r>
            <w:r>
              <w:t xml:space="preserve"> </w:t>
            </w:r>
            <w:r>
              <w:t xml:space="preserve">markets</w:t>
            </w:r>
          </w:p>
        </w:tc>
        <w:tc>
          <w:tcPr/>
          <w:p>
            <w:pPr>
              <w:pStyle w:val="Compact"/>
              <w:jc w:val="left"/>
            </w:pPr>
            <w:r>
              <w:t xml:space="preserve">Model V2,</w:t>
            </w:r>
            <w:r>
              <w:t xml:space="preserve"> </w:t>
            </w:r>
            <w:r>
              <w:t xml:space="preserve">“Why the two markets</w:t>
            </w:r>
            <w:r>
              <w:t xml:space="preserve"> </w:t>
            </w:r>
            <w:r>
              <w:t xml:space="preserve">diverge”</w:t>
            </w:r>
          </w:p>
        </w:tc>
      </w:tr>
      <w:tr>
        <w:tc>
          <w:tcPr/>
          <w:p>
            <w:pPr>
              <w:pStyle w:val="Compact"/>
              <w:jc w:val="left"/>
            </w:pPr>
            <w:r>
              <w:t xml:space="preserve">“Most of your listings are Uncertain”</w:t>
            </w:r>
          </w:p>
        </w:tc>
        <w:tc>
          <w:tcPr/>
          <w:p>
            <w:pPr>
              <w:pStyle w:val="Compact"/>
              <w:jc w:val="left"/>
            </w:pPr>
            <w:r>
              <w:t xml:space="preserve">How much of the figure rests on a</w:t>
            </w:r>
            <w:r>
              <w:t xml:space="preserve"> </w:t>
            </w:r>
            <w:r>
              <w:t xml:space="preserve">confident call</w:t>
            </w:r>
          </w:p>
        </w:tc>
      </w:tr>
      <w:tr>
        <w:tc>
          <w:tcPr/>
          <w:p>
            <w:pPr>
              <w:pStyle w:val="Compact"/>
              <w:jc w:val="left"/>
            </w:pPr>
            <w:r>
              <w:t xml:space="preserve">“Can we check your arithmetic?”</w:t>
            </w:r>
          </w:p>
        </w:tc>
        <w:tc>
          <w:tcPr/>
          <w:p>
            <w:pPr>
              <w:pStyle w:val="Compact"/>
              <w:jc w:val="left"/>
            </w:pPr>
            <w:r>
              <w:t xml:space="preserve">The combined figure, the</w:t>
            </w:r>
            <w:r>
              <w:t xml:space="preserve"> </w:t>
            </w:r>
            <w:r>
              <w:t xml:space="preserve">reproduction script</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four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Yes, and it is applied only to the tier it was measured on. See</w:t>
      </w:r>
      <w:r>
        <w:t xml:space="preserve"> </w:t>
      </w:r>
      <w:r>
        <w:t xml:space="preserve">“Why the coefficient is not applied uniformly.”</w:t>
      </w:r>
    </w:p>
    <w:p>
      <w:pPr>
        <w:pStyle w:val="Compact"/>
        <w:numPr>
          <w:ilvl w:val="0"/>
          <w:numId w:val="1001"/>
        </w:numPr>
      </w:pPr>
      <w:r>
        <w:rPr>
          <w:i/>
          <w:iCs/>
        </w:rPr>
        <w:t xml:space="preserve">“Your model says Uncertain for most listings. How much of the $7.6M rests on calls you can't actually make?”</w:t>
      </w:r>
      <w:r>
        <w:t xml:space="preserve"> </w:t>
      </w:r>
      <w:r>
        <w:t xml:space="preserve">69% of it. The confident subset alone is $2.34M host GBV / $363K a year in fees, which still funds the build. See</w:t>
      </w:r>
      <w:r>
        <w:t xml:space="preserve"> </w:t>
      </w:r>
      <w:r>
        <w:t xml:space="preserve">“How much of the figure rests on a confident call.”</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settled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fell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truly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p>
      <w:pPr>
        <w:pStyle w:val="BodyText"/>
      </w:pPr>
      <w:r>
        <w:rPr>
          <w:b/>
          <w:bCs/>
        </w:rPr>
        <w:t xml:space="preserve">Why the two markets diverge.</w:t>
      </w:r>
      <w:r>
        <w:t xml:space="preserve"> </w:t>
      </w:r>
      <w:r>
        <w:t xml:space="preserve">The two groups sell against different alternatives, which is the economic basis for splitting them and not merely a statistical one. A short-stay listing competes with hotels and with other short-stay listings for the same specific dates, where a guest can compare several options in minutes and switching costs nothing. A monthly listing, defined here by a 28-night minimum, competes with apartment sublets and corporate housing, and its guest is solving a housing problem (a relocation, a contract, a semester) against a far thinner set of substitutes. That difference in the substitute set is the mechanism behind the elasticity results reported later in this document: short-stay demand moves measurably with price (β = −0.916), while the monthly panel returned no detectable response at all.</w:t>
      </w:r>
    </w:p>
    <w:p>
      <w:pPr>
        <w:pStyle w:val="BodyText"/>
      </w:pPr>
      <w:r>
        <w:t xml:space="preserve">It is worth stating precisely what that second result is and is not. It is a</w:t>
      </w:r>
      <w:r>
        <w:t xml:space="preserve"> </w:t>
      </w:r>
      <w:r>
        <w:rPr>
          <w:b/>
          <w:bCs/>
        </w:rPr>
        <w:t xml:space="preserve">failure to detect</w:t>
      </w:r>
      <w:r>
        <w:t xml:space="preserve"> </w:t>
      </w:r>
      <w:r>
        <w:t xml:space="preserve">a price response in a small pilot, not a demonstration that monthly guests are insensitive to price. The distinction matters because the entire monthly revenue figure rests on it, and because the two claims would justify very different confidence in the number. One engine serves both markets; it is calibrated separately for each, with its own comparables and its own elasticity treatment, and no pooled estimate of anything is computed in production.</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p>
      <w:pPr>
        <w:pStyle w:val="BodyText"/>
      </w:pPr>
      <w:r>
        <w:rPr>
          <w:b/>
          <w:bCs/>
        </w:rPr>
        <w:t xml:space="preserve">Why this is a modelling constraint, not just a finding.</w:t>
      </w:r>
      <w:r>
        <w:t xml:space="preserve"> </w:t>
      </w:r>
      <w:r>
        <w:t xml:space="preserve">Review count is not a competing lever alongside price; it is a</w:t>
      </w:r>
      <w:r>
        <w:t xml:space="preserve"> </w:t>
      </w:r>
      <w:r>
        <w:rPr>
          <w:b/>
          <w:bCs/>
        </w:rPr>
        <w:t xml:space="preserve">confounder of any naive price comparison</w:t>
      </w:r>
      <w:r>
        <w:t xml:space="preserve">. Two listings advertised at the same nightly rate are not equivalent if one carries four hundred reviews and the other three, because the reputation difference moves occupancy on its own. This is the reason the question</w:t>
      </w:r>
      <w:r>
        <w:t xml:space="preserve"> </w:t>
      </w:r>
      <w:r>
        <w:t xml:space="preserve">“is this listing expensive?”</w:t>
      </w:r>
      <w:r>
        <w:t xml:space="preserve"> </w:t>
      </w:r>
      <w:r>
        <w:t xml:space="preserve">has no answer when asked of a price in isolation, and the reason it cannot be answered by comparing prices within a neighborhood either. Both the GBM and the KNN cohort match therefore condition on reputation, location, size, property type and amenities before any pricing gap is computed.</w:t>
      </w:r>
    </w:p>
    <w:p>
      <w:pPr>
        <w:pStyle w:val="BodyText"/>
      </w:pPr>
      <w:r>
        <w:t xml:space="preserve">The consequence is that the model answers a narrower and more defensible question than</w:t>
      </w:r>
      <w:r>
        <w:t xml:space="preserve"> </w:t>
      </w:r>
      <w:r>
        <w:t xml:space="preserve">“is this listing overpriced?”</w:t>
      </w:r>
      <w:r>
        <w:t xml:space="preserve"> </w:t>
      </w:r>
      <w:r>
        <w:t xml:space="preserve">It answers:</w:t>
      </w:r>
      <w:r>
        <w:t xml:space="preserve"> </w:t>
      </w:r>
      <w:r>
        <w:rPr>
          <w:i/>
          <w:iCs/>
        </w:rPr>
        <w:t xml:space="preserve">what would this listing charge if it were priced like its genuine peers?</w:t>
      </w:r>
      <w:r>
        <w:t xml:space="preserve"> </w:t>
      </w:r>
      <w:r>
        <w:t xml:space="preserve">That is a conditional expectation, not a causal optimum, and the distinction is carried through every downstream figure in this document; see</w:t>
      </w:r>
      <w:r>
        <w:t xml:space="preserve"> </w:t>
      </w:r>
      <w:r>
        <w:t xml:space="preserve">“Limitations Carried Forward,”</w:t>
      </w:r>
      <w:r>
        <w:t xml:space="preserve"> </w:t>
      </w:r>
      <w:r>
        <w:t xml:space="preserve">where the residual is described as a conditional pricing gap rather than proof of causal mispricing.</w:t>
      </w:r>
    </w:p>
    <w:bookmarkEnd w:id="22"/>
    <w:bookmarkEnd w:id="23"/>
    <w:bookmarkStart w:id="27" w:name="X58630797d8d264ac7d59b7d5b96778656a06b1d"/>
    <w:p>
      <w:pPr>
        <w:pStyle w:val="Heading1"/>
      </w:pPr>
      <w:r>
        <w:t xml:space="preserve">Model V4: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3"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2"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76% of underpriced short-stay listings sit below the 142-review threshold, and 99% fall short of the panel profile on reviews, tenure, or both.</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n/a</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p>
      <w:pPr>
        <w:pStyle w:val="BodyText"/>
      </w:pPr>
      <w:r>
        <w:rPr>
          <w:b/>
          <w:bCs/>
        </w:rPr>
        <w:t xml:space="preserve">The arithmetic is reproducible from committed data.</w:t>
      </w:r>
      <w:r>
        <w:t xml:space="preserve"> </w:t>
      </w:r>
      <w:r>
        <w:rPr>
          <w:rStyle w:val="VerbatimChar"/>
        </w:rPr>
        <w:t xml:space="preserve">model v4/elasticity/reproduce_revenue_lift.py</w:t>
      </w:r>
      <w:r>
        <w:t xml:space="preserve"> </w:t>
      </w:r>
      <w:r>
        <w:t xml:space="preserve">regenerates these figures from</w:t>
      </w:r>
      <w:r>
        <w:t xml:space="preserve"> </w:t>
      </w:r>
      <w:r>
        <w:rPr>
          <w:rStyle w:val="VerbatimChar"/>
        </w:rPr>
        <w:t xml:space="preserve">active_listings_clean_v6.csv</w:t>
      </w:r>
      <w:r>
        <w:t xml:space="preserve"> </w:t>
      </w:r>
      <w:r>
        <w:t xml:space="preserve">and the model outputs, so the numbers can be checked rather than taken on trust. It returns $7.56M host GBV, $1.17M in Airbnb fees and 77,499 nights against the $7.57M / $1.17M / 77,606 reported here. That is agreement to roughly 0.1%, with the small residual coming from the outlier-trim boundary. Two implementation details are documented in the script because both are easy to get wrong: the 1–99 percentile trim is applied to</w:t>
      </w:r>
      <w:r>
        <w:t xml:space="preserve"> </w:t>
      </w:r>
      <w:r>
        <w:rPr>
          <w:b/>
          <w:bCs/>
        </w:rPr>
        <w:t xml:space="preserve">nightly price</w:t>
      </w:r>
      <w:r>
        <w:t xml:space="preserve">, not to the revenue delta (trimming the delta instead produces $5.97M, a $1.6M understatement), and the recovered-nights total is summed across</w:t>
      </w:r>
      <w:r>
        <w:t xml:space="preserve"> </w:t>
      </w:r>
      <w:r>
        <w:rPr>
          <w:b/>
          <w:bCs/>
        </w:rPr>
        <w:t xml:space="preserve">both review tiers</w:t>
      </w:r>
      <w:r>
        <w:t xml:space="preserve">, because the sub-142 tier held at breakeven nets zero revenue while still recovering real bookings. Counting nights only where revenue is non-zero undercounts them roughly threefold.</w:t>
      </w:r>
    </w:p>
    <w:bookmarkEnd w:id="39"/>
    <w:bookmarkStart w:id="40" w:name="X094832c08797cd38bbad65668aef20d0fc4b03b"/>
    <w:p>
      <w:pPr>
        <w:pStyle w:val="Heading3"/>
      </w:pPr>
      <w:r>
        <w:t xml:space="preserve">How much of the figure rests on a confident call</w:t>
      </w:r>
    </w:p>
    <w:p>
      <w:pPr>
        <w:pStyle w:val="FirstParagraph"/>
      </w:pPr>
      <w:r>
        <w:t xml:space="preserve">The model issues one of three directional calls,</w:t>
      </w:r>
      <w:r>
        <w:t xml:space="preserve"> </w:t>
      </w:r>
      <w:r>
        <w:t xml:space="preserve">“confident: raise,”</w:t>
      </w:r>
      <w:r>
        <w:t xml:space="preserve"> </w:t>
      </w:r>
      <w:r>
        <w:t xml:space="preserve">“confident: lower,”</w:t>
      </w:r>
      <w:r>
        <w:t xml:space="preserve"> </w:t>
      </w:r>
      <w:r>
        <w:t xml:space="preserve">or</w:t>
      </w:r>
      <w:r>
        <w:t xml:space="preserve"> </w:t>
      </w:r>
      <w:r>
        <w:t xml:space="preserve">“uncertain,”</w:t>
      </w:r>
      <w:r>
        <w:t xml:space="preserve"> </w:t>
      </w:r>
      <w:r>
        <w:t xml:space="preserve">based on whether a listing's current price falls entirely outside its own calibrated interval. It returns a confident call on roughly one listing in five, which means most of the headline figure comes from listings the model will not make a directional call on. This is stated here rather than left to be discovered.</w:t>
      </w:r>
    </w:p>
    <w:tbl>
      <w:tblPr>
        <w:tblStyle w:val="Table"/>
        <w:tblW w:type="pct" w:w="4878"/>
        <w:tblLayout w:type="fixed"/>
        <w:tblLook w:firstRow="1" w:lastRow="0" w:firstColumn="0" w:lastColumn="0" w:noHBand="0" w:noVBand="0" w:val="0020"/>
      </w:tblPr>
      <w:tblGrid>
        <w:gridCol w:w="2800"/>
        <w:gridCol w:w="1448"/>
        <w:gridCol w:w="1448"/>
        <w:gridCol w:w="2028"/>
      </w:tblGrid>
      <w:tr>
        <w:trPr>
          <w:tblHeader w:val="on"/>
        </w:trPr>
        <w:tc>
          <w:tcPr/>
          <w:p>
            <w:pPr>
              <w:pStyle w:val="Compact"/>
              <w:jc w:val="left"/>
            </w:pPr>
            <w:r>
              <w:rPr>
                <w:b/>
                <w:bCs/>
              </w:rPr>
              <w:t xml:space="preserve">Confidence bucket</w:t>
            </w:r>
          </w:p>
        </w:tc>
        <w:tc>
          <w:tcPr/>
          <w:p>
            <w:pPr>
              <w:pStyle w:val="Compact"/>
              <w:jc w:val="left"/>
            </w:pPr>
            <w:r>
              <w:rPr>
                <w:b/>
                <w:bCs/>
              </w:rPr>
              <w:t xml:space="preserve">Listings</w:t>
            </w:r>
          </w:p>
        </w:tc>
        <w:tc>
          <w:tcPr/>
          <w:p>
            <w:pPr>
              <w:pStyle w:val="Compact"/>
              <w:jc w:val="left"/>
            </w:pPr>
            <w:r>
              <w:rPr>
                <w:b/>
                <w:bCs/>
              </w:rPr>
              <w:t xml:space="preserve">Host GBV</w:t>
            </w:r>
          </w:p>
        </w:tc>
        <w:tc>
          <w:tcPr/>
          <w:p>
            <w:pPr>
              <w:pStyle w:val="Compact"/>
              <w:jc w:val="left"/>
            </w:pPr>
            <w:r>
              <w:rPr>
                <w:b/>
                <w:bCs/>
              </w:rPr>
              <w:t xml:space="preserve">Share</w:t>
            </w:r>
          </w:p>
        </w:tc>
      </w:tr>
      <w:tr>
        <w:tc>
          <w:tcPr/>
          <w:p>
            <w:pPr>
              <w:pStyle w:val="Compact"/>
              <w:jc w:val="left"/>
            </w:pPr>
            <w:r>
              <w:t xml:space="preserve">Confident: raise price</w:t>
            </w:r>
          </w:p>
        </w:tc>
        <w:tc>
          <w:tcPr/>
          <w:p>
            <w:pPr>
              <w:pStyle w:val="Compact"/>
              <w:jc w:val="left"/>
            </w:pPr>
            <w:r>
              <w:t xml:space="preserve">449</w:t>
            </w:r>
          </w:p>
        </w:tc>
        <w:tc>
          <w:tcPr/>
          <w:p>
            <w:pPr>
              <w:pStyle w:val="Compact"/>
              <w:jc w:val="left"/>
            </w:pPr>
            <w:r>
              <w:t xml:space="preserve">+$2.79M</w:t>
            </w:r>
          </w:p>
        </w:tc>
        <w:tc>
          <w:tcPr/>
          <w:p>
            <w:pPr>
              <w:pStyle w:val="Compact"/>
              <w:jc w:val="left"/>
            </w:pPr>
            <w:r>
              <w:t xml:space="preserve">n/a</w:t>
            </w:r>
          </w:p>
        </w:tc>
      </w:tr>
      <w:tr>
        <w:tc>
          <w:tcPr/>
          <w:p>
            <w:pPr>
              <w:pStyle w:val="Compact"/>
              <w:jc w:val="left"/>
            </w:pPr>
            <w:r>
              <w:t xml:space="preserve">Confident: lower price</w:t>
            </w:r>
          </w:p>
        </w:tc>
        <w:tc>
          <w:tcPr/>
          <w:p>
            <w:pPr>
              <w:pStyle w:val="Compact"/>
              <w:jc w:val="left"/>
            </w:pPr>
            <w:r>
              <w:t xml:space="preserve">94</w:t>
            </w:r>
          </w:p>
        </w:tc>
        <w:tc>
          <w:tcPr/>
          <w:p>
            <w:pPr>
              <w:pStyle w:val="Compact"/>
              <w:jc w:val="left"/>
            </w:pPr>
            <w:r>
              <w:t xml:space="preserve">−$0.45M</w:t>
            </w:r>
          </w:p>
        </w:tc>
        <w:tc>
          <w:tcPr/>
          <w:p>
            <w:pPr>
              <w:pStyle w:val="Compact"/>
              <w:jc w:val="left"/>
            </w:pPr>
            <w:r>
              <w:t xml:space="preserve">n/a</w:t>
            </w:r>
          </w:p>
        </w:tc>
      </w:tr>
      <w:tr>
        <w:tc>
          <w:tcPr/>
          <w:p>
            <w:pPr>
              <w:pStyle w:val="Compact"/>
              <w:jc w:val="left"/>
            </w:pPr>
            <w:r>
              <w:t xml:space="preserve">Uncertain (inside interval)</w:t>
            </w:r>
          </w:p>
        </w:tc>
        <w:tc>
          <w:tcPr/>
          <w:p>
            <w:pPr>
              <w:pStyle w:val="Compact"/>
              <w:jc w:val="left"/>
            </w:pPr>
            <w:r>
              <w:t xml:space="preserve">3,192</w:t>
            </w:r>
          </w:p>
        </w:tc>
        <w:tc>
          <w:tcPr/>
          <w:p>
            <w:pPr>
              <w:pStyle w:val="Compact"/>
              <w:jc w:val="left"/>
            </w:pPr>
            <w:r>
              <w:t xml:space="preserve">+$5.21M</w:t>
            </w:r>
          </w:p>
        </w:tc>
        <w:tc>
          <w:tcPr/>
          <w:p>
            <w:pPr>
              <w:pStyle w:val="Compact"/>
              <w:jc w:val="left"/>
            </w:pPr>
            <w:r>
              <w:rPr>
                <w:b/>
                <w:bCs/>
              </w:rPr>
              <w:t xml:space="preserve">69% of total</w:t>
            </w:r>
          </w:p>
        </w:tc>
      </w:tr>
    </w:tbl>
    <w:p>
      <w:pPr>
        <w:pStyle w:val="BodyText"/>
      </w:pPr>
      <w:r>
        <w:t xml:space="preserve">Two things follow. First,</w:t>
      </w:r>
      <w:r>
        <w:t xml:space="preserve"> </w:t>
      </w:r>
      <w:r>
        <w:t xml:space="preserve">“Uncertain”</w:t>
      </w:r>
      <w:r>
        <w:t xml:space="preserve"> </w:t>
      </w:r>
      <w:r>
        <w:t xml:space="preserve">is a statement about the width of the interval, not the absence of signal: the revenue math uses q50, the central estimate, which remains the best point estimate for a listing regardless of how wide the band around it is, and the model-noise discount already haircuts the gap for precisely that reason. Second, and more usefully, the confident subset alone is worth</w:t>
      </w:r>
      <w:r>
        <w:t xml:space="preserve"> </w:t>
      </w:r>
      <w:r>
        <w:rPr>
          <w:b/>
          <w:bCs/>
        </w:rPr>
        <w:t xml:space="preserve">$2.34M in host GBV, or $363K/yr in Airbnb fees at full adoption</w:t>
      </w:r>
      <w:r>
        <w:t xml:space="preserve">, against a $65K build and $30K/yr run cost. It clears the funding bar on its own.</w:t>
      </w:r>
    </w:p>
    <w:p>
      <w:pPr>
        <w:pStyle w:val="BodyText"/>
      </w:pPr>
      <w:r>
        <w:t xml:space="preserve">That is the point worth making rather than defending the larger number: the decision to fund does not change whether the reviewer accepts $7.57M or only $2.34M. Both are shown for that reason. Backup slide B4 carries this table if the question comes up live.</w:t>
      </w:r>
    </w:p>
    <w:bookmarkEnd w:id="40"/>
    <w:bookmarkStart w:id="41"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1"/>
    <w:bookmarkEnd w:id="42"/>
    <w:bookmarkEnd w:id="43"/>
    <w:bookmarkStart w:id="50" w:name="the-financial-case-cost-roi-and-timeline"/>
    <w:p>
      <w:pPr>
        <w:pStyle w:val="Heading1"/>
      </w:pPr>
      <w:r>
        <w:t xml:space="preserve">The Financial Case: Cost, ROI, and Timeline</w:t>
      </w:r>
    </w:p>
    <w:bookmarkStart w:id="44"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4"/>
    <w:bookmarkStart w:id="45"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5"/>
    <w:bookmarkStart w:id="46"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rPr>
          <w:b/>
          <w:bCs/>
        </w:rPr>
        <w:t xml:space="preserve">Read this table as a sensitivity, not as the forecast.</w:t>
      </w:r>
      <w:r>
        <w:t xml:space="preserve"> </w:t>
      </w:r>
      <w:r>
        <w:t xml:space="preserve">Each row holds one adoption rate flat for five years, which no product actually does. The presentation leads with the modeled ramp in</w:t>
      </w:r>
      <w:r>
        <w:t xml:space="preserve"> </w:t>
      </w:r>
      <w:r>
        <w:t xml:space="preserve">“Adoption ramp and five-year timeline”</w:t>
      </w:r>
      <w:r>
        <w:t xml:space="preserve"> </w:t>
      </w:r>
      <w:r>
        <w:t xml:space="preserve">below, where adoption starts near 10% and climbs; the deck’s ROI slide and Backup B6 both run on that curve. This table answers</w:t>
      </w:r>
      <w:r>
        <w:t xml:space="preserve"> </w:t>
      </w:r>
      <w:r>
        <w:t xml:space="preserve">“what if adoption settled at X?”</w:t>
      </w:r>
      <w:r>
        <w:t xml:space="preserve">, which is a useful stress test and a different question.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6"/>
    <w:bookmarkStart w:id="47"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w:t>
      </w:r>
    </w:p>
    <w:p>
      <w:pPr>
        <w:pStyle w:val="BodyText"/>
      </w:pPr>
      <w:r>
        <w:rPr>
          <w:b/>
          <w:bCs/>
        </w:rPr>
        <w:t xml:space="preserve">Which five-year figure applies depends on the adoption assumption, and the two are easy to confuse.</w:t>
      </w:r>
      <w:r>
        <w:t xml:space="preserve"> </w:t>
      </w:r>
      <w:r>
        <w:t xml:space="preserve">On the modeled ramp below, which is what the presentation runs on, five-year cumulative net falls from</w:t>
      </w:r>
      <w:r>
        <w:t xml:space="preserve"> </w:t>
      </w:r>
      <w:r>
        <w:rPr>
          <w:b/>
          <w:bCs/>
        </w:rPr>
        <w:t xml:space="preserve">$1.61M nominal to $1.14M in present value</w:t>
      </w:r>
      <w:r>
        <w:t xml:space="preserve">, a haircut of roughly 29%. The larger $5.63M / $4.26M pair in the sensitivity table above is the</w:t>
      </w:r>
      <w:r>
        <w:t xml:space="preserve"> </w:t>
      </w:r>
      <w:r>
        <w:rPr>
          <w:b/>
          <w:bCs/>
        </w:rPr>
        <w:t xml:space="preserve">100% steady-state row</w:t>
      </w:r>
      <w:r>
        <w:t xml:space="preserve">, held constant across all five years, and it is shown for completeness rather than as a forecast. The ramp is the honest number because adoption does not arrive on day one. Either way the project is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7"/>
    <w:bookmarkStart w:id="48"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8"/>
    <w:bookmarkStart w:id="49"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the measured β = −0.92 is applied, which absorbs most of the apparent gain.</w:t>
      </w:r>
    </w:p>
    <w:p>
      <w:pPr>
        <w:pStyle w:val="Compact"/>
        <w:numPr>
          <w:ilvl w:val="0"/>
          <w:numId w:val="1003"/>
        </w:numPr>
      </w:pPr>
      <w:r>
        <w:rPr>
          <w:b/>
          <w:bCs/>
        </w:rPr>
        <w:t xml:space="preserve">Underpriced, newer.</w:t>
      </w:r>
      <w:r>
        <w:t xml:space="preserve"> </w:t>
      </w:r>
      <w:r>
        <w:t xml:space="preserve">set to breakeven, claiming zero rather than an unmeasured gain.</w:t>
      </w:r>
    </w:p>
    <w:p>
      <w:pPr>
        <w:pStyle w:val="Compact"/>
        <w:numPr>
          <w:ilvl w:val="0"/>
          <w:numId w:val="1003"/>
        </w:numPr>
      </w:pPr>
      <w:r>
        <w:rPr>
          <w:b/>
          <w:bCs/>
        </w:rPr>
        <w:t xml:space="preserve">Overpriced, established.</w:t>
      </w:r>
      <w:r>
        <w:t xml:space="preserve"> </w:t>
      </w:r>
      <w:r>
        <w:t xml:space="preserve">the full −$0.70M loss is booked rather than hidden.</w:t>
      </w:r>
    </w:p>
    <w:p>
      <w:pPr>
        <w:pStyle w:val="Compact"/>
        <w:numPr>
          <w:ilvl w:val="0"/>
          <w:numId w:val="1003"/>
        </w:numPr>
      </w:pPr>
      <w:r>
        <w:rPr>
          <w:b/>
          <w:bCs/>
        </w:rPr>
        <w:t xml:space="preserve">Overpriced, newer.</w:t>
      </w:r>
      <w:r>
        <w:t xml:space="preserve"> </w:t>
      </w:r>
      <w:r>
        <w:t xml:space="preserve">set to zero, forfeiting a gain that is probable but unproven.</w:t>
      </w:r>
    </w:p>
    <w:p>
      <w:pPr>
        <w:pStyle w:val="Compact"/>
        <w:numPr>
          <w:ilvl w:val="0"/>
          <w:numId w:val="1003"/>
        </w:numPr>
      </w:pPr>
      <w:r>
        <w:rPr>
          <w:b/>
          <w:bCs/>
        </w:rPr>
        <w:t xml:space="preserve">Recovered nights.</w:t>
      </w:r>
      <w:r>
        <w:t xml:space="preserve"> </w:t>
      </w:r>
      <w:r>
        <w:t xml:space="preserve">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the $26.8M ceiling counts underpriced only, so even the stated ceiling is understated.</w:t>
      </w:r>
    </w:p>
    <w:p>
      <w:pPr>
        <w:pStyle w:val="Compact"/>
        <w:numPr>
          <w:ilvl w:val="0"/>
          <w:numId w:val="1003"/>
        </w:numPr>
      </w:pPr>
      <w:r>
        <w:rPr>
          <w:b/>
          <w:bCs/>
        </w:rPr>
        <w:t xml:space="preserve">Time value.</w:t>
      </w:r>
      <w:r>
        <w:t xml:space="preserve"> </w:t>
      </w:r>
      <w:r>
        <w:t xml:space="preserve">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49"/>
    <w:bookmarkEnd w:id="50"/>
    <w:bookmarkStart w:id="51" w:name="where-we-ended-up"/>
    <w:p>
      <w:pPr>
        <w:pStyle w:val="Heading1"/>
      </w:pPr>
      <w:r>
        <w:t xml:space="preserve">Where We Ended Up</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at full adoption, and 77,606 recovered nights</w:t>
      </w:r>
      <w:r>
        <w:t xml:space="preserve">, against a $65K incremental build and $30K/yr run cost. Presented on a modeled adoption ramp rather than a flat rate: roughly 10% uptake in Year 1 climbing to 42% by Year 4, which is cash-positive in Year 1 and returns $1.14M cumulative NPV over five years.</w:t>
      </w:r>
    </w:p>
    <w:p>
      <w:pPr>
        <w:numPr>
          <w:ilvl w:val="0"/>
          <w:numId w:val="1004"/>
        </w:numPr>
      </w:pPr>
      <w:r>
        <w:t xml:space="preserve">A second, harder floor beneath that headline: restricted to the 543 listings the model will make a confident directional call on, the case is</w:t>
      </w:r>
      <w:r>
        <w:t xml:space="preserve"> </w:t>
      </w:r>
      <w:r>
        <w:rPr>
          <w:b/>
          <w:bCs/>
        </w:rPr>
        <w:t xml:space="preserve">$2.34M host GBV / $363K a year in fees</w:t>
      </w:r>
      <w:r>
        <w:t xml:space="preserve">, which still clears the same build and run cost. The funding decision does not depend on which of the two figures a reviewer accepts.</w:t>
      </w:r>
    </w:p>
    <w:p>
      <w:pPr>
        <w:numPr>
          <w:ilvl w:val="0"/>
          <w:numId w:val="1004"/>
        </w:numPr>
      </w:pPr>
      <w:r>
        <w:t xml:space="preserve">A reproduction script (</w:t>
      </w:r>
      <w:r>
        <w:rPr>
          <w:rStyle w:val="VerbatimChar"/>
        </w:rPr>
        <w:t xml:space="preserve">reproduce_revenue_lift.py</w:t>
      </w:r>
      <w:r>
        <w:t xml:space="preserve">) that regenerates the headline figures from committed data to within 0.1%, so the arithmetic behind the business case can be checked directly rather than taken on trust.</w:t>
      </w:r>
    </w:p>
    <w:bookmarkEnd w:id="51"/>
    <w:bookmarkStart w:id="52"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2"/>
    <w:bookmarkStart w:id="53" w:name="relevance-to-the-team"/>
    <w:p>
      <w:pPr>
        <w:pStyle w:val="Heading1"/>
      </w:pPr>
      <w:r>
        <w:t xml:space="preserve">Relevance to the Team</w:t>
      </w:r>
    </w:p>
    <w:p>
      <w:pPr>
        <w:pStyle w:val="FirstParagraph"/>
      </w:pPr>
      <w:r>
        <w:t xml:space="preserve">The graded criteria list</w:t>
      </w:r>
      <w:r>
        <w:t xml:space="preserve"> </w:t>
      </w:r>
      <w:r>
        <w:t xml:space="preserve">“relevance to team members' current company/career, if applicable.”</w:t>
      </w:r>
      <w:r>
        <w:t xml:space="preserve"> </w:t>
      </w:r>
      <w:r>
        <w:t xml:space="preserve">The closing slide covers this at the level the presentation needs. What follows is backup depth for Q&amp;A, in case the question is asked directly rather than a required section in its own right.</w:t>
      </w:r>
    </w:p>
    <w:p>
      <w:pPr>
        <w:pStyle w:val="BodyText"/>
      </w:pPr>
      <w:r>
        <w:rPr>
          <w:b/>
          <w:bCs/>
        </w:rPr>
        <w:t xml:space="preserve">A worked example: supply chain planning (Brendan Meara).</w:t>
      </w:r>
      <w:r>
        <w:t xml:space="preserve"> </w:t>
      </w:r>
      <w:r>
        <w:t xml:space="preserve">The central problem in this project is one that recurs across analytics functions: a decision-maker holding a recommendation they do not trust, and therefore not acting on it. In supply planning the recommendation is a forecast or a replenishment signal; here it is a price. The failure mode is identical either way. A statistically sound number that a planner overrides on instinct produces the same outcome as no number at all.</w:t>
      </w:r>
    </w:p>
    <w:p>
      <w:pPr>
        <w:pStyle w:val="BodyText"/>
      </w:pPr>
      <w:r>
        <w:t xml:space="preserve">That is why this project treats explainability as a product requirement rather than a refinement, and why the Commander's Intent framing carried over from Army logistics is load-bearing rather than decorative. The consequence is measurable in our own adoption table: the difference between 15% and 35% adoption is roughly $234K a year in Airbnb fee revenue, and adoption is a trust problem rather than a modeling one. The model was never the hard part.</w:t>
      </w:r>
    </w:p>
    <w:p>
      <w:pPr>
        <w:pStyle w:val="BodyText"/>
      </w:pPr>
      <w:r>
        <w:rPr>
          <w:i/>
          <w:iCs/>
        </w:rPr>
        <w:t xml:space="preserve">Other team members can speak to their own parallels if the question comes up in Q&amp;A. One concrete example carries more weight here than five general ones, so this section is deliberately not five paragraphs.</w:t>
      </w:r>
    </w:p>
    <w:bookmarkEnd w:id="53"/>
    <w:bookmarkStart w:id="54"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2026-08-04T18:12:04Z</dcterms:created>
  <dcterms:modified xsi:type="dcterms:W3CDTF">2026-08-04T18:12:04Z</dcterms:modified>
</cp:coreProperties>
</file>

<file path=docProps/custom.xml><?xml version="1.0" encoding="utf-8"?>
<Properties xmlns="http://schemas.openxmlformats.org/officeDocument/2006/custom-properties" xmlns:vt="http://schemas.openxmlformats.org/officeDocument/2006/docPropsVTypes"/>
</file>