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 —</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three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 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 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 Yes, and it is applied only to the tier it was measured on. See</w:t>
      </w:r>
      <w:r>
        <w:t xml:space="preserve"> </w:t>
      </w:r>
      <w:r>
        <w:t xml:space="preserve">“Why the coefficient is not applied uniformly.”</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landed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landed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genuinely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genuinely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genuinely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bookmarkEnd w:id="22"/>
    <w:bookmarkEnd w:id="23"/>
    <w:bookmarkStart w:id="27" w:name="X58630797d8d264ac7d59b7d5b96778656a06b1d"/>
    <w:p>
      <w:pPr>
        <w:pStyle w:val="Heading1"/>
      </w:pPr>
      <w:r>
        <w:t xml:space="preserve">Model V4 —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genuinely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genuinely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2"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1"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99.3% of underpriced short-stay listings in the dataset sit below that profile.</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bookmarkEnd w:id="39"/>
    <w:bookmarkStart w:id="40"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0"/>
    <w:bookmarkEnd w:id="41"/>
    <w:bookmarkEnd w:id="42"/>
    <w:bookmarkStart w:id="49" w:name="the-financial-case-cost-roi-and-timeline"/>
    <w:p>
      <w:pPr>
        <w:pStyle w:val="Heading1"/>
      </w:pPr>
      <w:r>
        <w:t xml:space="preserve">The Financial Case: Cost, ROI, and Timeline</w:t>
      </w:r>
    </w:p>
    <w:bookmarkStart w:id="43"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3"/>
    <w:bookmarkStart w:id="44"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4"/>
    <w:bookmarkStart w:id="45"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t xml:space="preserve">The 25% and 35% rows are the ones to lead with.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5"/>
    <w:bookmarkStart w:id="46"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 Five-year net revenue falls from $5.63M nominal to $4.26M in present value, a haircut of roughly 24%. The project remains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6"/>
    <w:bookmarkStart w:id="47"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7"/>
    <w:bookmarkStart w:id="48"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 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 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 the measured β = −0.92 is applied, which absorbs most of the apparent gain.</w:t>
      </w:r>
    </w:p>
    <w:p>
      <w:pPr>
        <w:pStyle w:val="Compact"/>
        <w:numPr>
          <w:ilvl w:val="0"/>
          <w:numId w:val="1003"/>
        </w:numPr>
      </w:pPr>
      <w:r>
        <w:rPr>
          <w:b/>
          <w:bCs/>
        </w:rPr>
        <w:t xml:space="preserve">Underpriced, newer</w:t>
      </w:r>
      <w:r>
        <w:t xml:space="preserve"> </w:t>
      </w:r>
      <w:r>
        <w:t xml:space="preserve">— set to breakeven, claiming zero rather than an unmeasured gain.</w:t>
      </w:r>
    </w:p>
    <w:p>
      <w:pPr>
        <w:pStyle w:val="Compact"/>
        <w:numPr>
          <w:ilvl w:val="0"/>
          <w:numId w:val="1003"/>
        </w:numPr>
      </w:pPr>
      <w:r>
        <w:rPr>
          <w:b/>
          <w:bCs/>
        </w:rPr>
        <w:t xml:space="preserve">Overpriced, established</w:t>
      </w:r>
      <w:r>
        <w:t xml:space="preserve"> </w:t>
      </w:r>
      <w:r>
        <w:t xml:space="preserve">— the full −$0.70M loss is booked rather than hidden.</w:t>
      </w:r>
    </w:p>
    <w:p>
      <w:pPr>
        <w:pStyle w:val="Compact"/>
        <w:numPr>
          <w:ilvl w:val="0"/>
          <w:numId w:val="1003"/>
        </w:numPr>
      </w:pPr>
      <w:r>
        <w:rPr>
          <w:b/>
          <w:bCs/>
        </w:rPr>
        <w:t xml:space="preserve">Overpriced, newer</w:t>
      </w:r>
      <w:r>
        <w:t xml:space="preserve"> </w:t>
      </w:r>
      <w:r>
        <w:t xml:space="preserve">— set to zero, forfeiting a gain that is probable but unproven.</w:t>
      </w:r>
    </w:p>
    <w:p>
      <w:pPr>
        <w:pStyle w:val="Compact"/>
        <w:numPr>
          <w:ilvl w:val="0"/>
          <w:numId w:val="1003"/>
        </w:numPr>
      </w:pPr>
      <w:r>
        <w:rPr>
          <w:b/>
          <w:bCs/>
        </w:rPr>
        <w:t xml:space="preserve">Recovered nights</w:t>
      </w:r>
      <w:r>
        <w:t xml:space="preserve"> </w:t>
      </w:r>
      <w:r>
        <w:t xml:space="preserve">— 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 the $26.8M ceiling counts underpriced only, so even the stated ceiling is understated.</w:t>
      </w:r>
    </w:p>
    <w:p>
      <w:pPr>
        <w:pStyle w:val="Compact"/>
        <w:numPr>
          <w:ilvl w:val="0"/>
          <w:numId w:val="1003"/>
        </w:numPr>
      </w:pPr>
      <w:r>
        <w:rPr>
          <w:b/>
          <w:bCs/>
        </w:rPr>
        <w:t xml:space="preserve">Time value</w:t>
      </w:r>
      <w:r>
        <w:t xml:space="preserve"> </w:t>
      </w:r>
      <w:r>
        <w:t xml:space="preserve">— 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8"/>
    <w:bookmarkEnd w:id="49"/>
    <w:bookmarkStart w:id="50" w:name="where-we-landed"/>
    <w:p>
      <w:pPr>
        <w:pStyle w:val="Heading1"/>
      </w:pPr>
      <w:r>
        <w:t xml:space="preserve">Where We Landed</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and 77,606 recovered nights</w:t>
      </w:r>
      <w:r>
        <w:t xml:space="preserve">, against a $65K incremental build and $30K/yr run cost, discounted at 10% and net-positive in Year 1.</w:t>
      </w:r>
    </w:p>
    <w:bookmarkEnd w:id="50"/>
    <w:bookmarkStart w:id="51"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1"/>
    <w:bookmarkStart w:id="52" w:name="relevance-to-the-team"/>
    <w:p>
      <w:pPr>
        <w:pStyle w:val="Heading1"/>
      </w:pPr>
      <w:r>
        <w:t xml:space="preserve">Relevance to the Team</w:t>
      </w:r>
    </w:p>
    <w:p>
      <w:pPr>
        <w:pStyle w:val="FirstParagraph"/>
      </w:pPr>
      <w:r>
        <w:t xml:space="preserve">The graded criteria ask for relevance to team members' own companies and careers. Backup detail for that, beyond what fits in the closing slide:</w:t>
      </w:r>
    </w:p>
    <w:p>
      <w:pPr>
        <w:pStyle w:val="BodyText"/>
      </w:pPr>
      <w:r>
        <w:rPr>
          <w:b/>
          <w:bCs/>
        </w:rPr>
        <w:t xml:space="preserve">Brendan Meara — supply chain planning.</w:t>
      </w:r>
      <w:r>
        <w:t xml:space="preserve"> </w:t>
      </w:r>
      <w:r>
        <w:t xml:space="preserve">The core problem here is one he has worked in a different industry: a decision-maker holding a recommendation they do not trust, and therefore not acting on it. In supply planning the recommendation is a forecast or a replenishment signal; here it is a price. The failure mode is identical. A statistically sound number that a planner overrides on instinct produces the same outcome as no number at all, which is why this project treats explainability as a product requirement rather than a nice-to-have, and why the Commander's Intent framing (from his Army service as a logistics and armor officer) is load-bearing rather than decorative. The measurable consequence sits in the adoption sensitivity table: the difference between 15% and 35% adoption is roughly $234K a year in Airbnb fee revenue, and adoption is a trust problem, not a modeling one.</w:t>
      </w:r>
    </w:p>
    <w:p>
      <w:pPr>
        <w:pStyle w:val="BodyText"/>
      </w:pPr>
      <w:r>
        <w:rPr>
          <w:b/>
          <w:bCs/>
        </w:rPr>
        <w:t xml:space="preserve">[Jai, Manas, Rachael, Francois — to complete.]</w:t>
      </w:r>
      <w:r>
        <w:t xml:space="preserve"> </w:t>
      </w:r>
      <w:r>
        <w:t xml:space="preserve">Each teammate should add two or three sentences here on how this work connects to their own role or target industry. This is a graded component and currently only one of five is written. Keep it concrete: the specific transferable problem, not a general statement that analytics is useful.</w:t>
      </w:r>
    </w:p>
    <w:bookmarkEnd w:id="52"/>
    <w:bookmarkStart w:id="53"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2026-07-31T23:31:40Z</dcterms:created>
  <dcterms:modified xsi:type="dcterms:W3CDTF">2026-07-31T23:31:40Z</dcterms:modified>
</cp:coreProperties>
</file>

<file path=docProps/custom.xml><?xml version="1.0" encoding="utf-8"?>
<Properties xmlns="http://schemas.openxmlformats.org/officeDocument/2006/custom-properties" xmlns:vt="http://schemas.openxmlformats.org/officeDocument/2006/docPropsVTypes"/>
</file>