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aapppquawew" w:id="0"/>
      <w:bookmarkEnd w:id="0"/>
      <w:r w:rsidDel="00000000" w:rsidR="00000000" w:rsidRPr="00000000">
        <w:rPr>
          <w:rtl w:val="0"/>
        </w:rPr>
        <w:t xml:space="preserve">Rješenje: Aplikacija za predviđanje potrošnje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15i6z7lcd62" w:id="1"/>
      <w:bookmarkEnd w:id="1"/>
      <w:r w:rsidDel="00000000" w:rsidR="00000000" w:rsidRPr="00000000">
        <w:rPr>
          <w:rtl w:val="0"/>
        </w:rPr>
        <w:t xml:space="preserve">Opis aplikacije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Predviđa potrošnju s pomoću ARIMA modela te omogućuje korisnicima vizualizaciju rezultata kroz web sučelje.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5druwders0cv" w:id="2"/>
      <w:bookmarkEnd w:id="2"/>
      <w:r w:rsidDel="00000000" w:rsidR="00000000" w:rsidRPr="00000000">
        <w:rPr>
          <w:rtl w:val="0"/>
        </w:rPr>
        <w:t xml:space="preserve">Pregled rješenja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dvbgl4hbuky" w:id="3"/>
      <w:bookmarkEnd w:id="3"/>
      <w:r w:rsidDel="00000000" w:rsidR="00000000" w:rsidRPr="00000000">
        <w:rPr>
          <w:rtl w:val="0"/>
        </w:rPr>
        <w:t xml:space="preserve">2.1. Izgled aplikacije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azmzmos3z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pqrptgy1pcc" w:id="5"/>
      <w:bookmarkEnd w:id="5"/>
      <w:r w:rsidDel="00000000" w:rsidR="00000000" w:rsidRPr="00000000">
        <w:rPr>
          <w:rtl w:val="0"/>
        </w:rPr>
        <w:t xml:space="preserve">2.2. Komponente rješenja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Rješenje je izgrađeno kao backend API servis i frontend aplikacija.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komponenta - Python API servis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Zaprima podatke za izračun predviđanja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Računa predviđanje s pomoću ARIMA modela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Računa pokazatelje sažetka izvedbe modela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Vraća rezultate klijentu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komponenta - React aplikacije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Učitava podatke za izračun predviđanja u obliku CSV datoteke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Omogućuje izbor parametara ARIMA modela 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Komunicira s Python API servisom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Iscrtava graf s rezultatima ARIMA predviđanja i povijesnim podacima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sažetak izvedbe modela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cs4iv40o9eg" w:id="6"/>
      <w:bookmarkEnd w:id="6"/>
      <w:r w:rsidDel="00000000" w:rsidR="00000000" w:rsidRPr="00000000">
        <w:rPr>
          <w:rtl w:val="0"/>
        </w:rPr>
        <w:t xml:space="preserve">2.3. Sažetak izvedbe modela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Za sažetak se koriste pokazatelji RMSE, MAE, MAPE, AIC i BIC. U svim pokazateljima manja vrijednost je bolja, tj. RMSE, MAE i MAPE pokazuju bolju točnost, a AIC i BIC pokazuju minimalnu pogrešku uz manju složenost.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RMSE (Root Mean Square Error) — Korijen srednje kvadratne pogreške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Mjeri prosječnu veličinu pogreške između predviđenih i stvarnih vrijednosti.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MAE (Mean Absolute Error) — Srednja apsolutna pogreška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Mjeri prosječnu apsolutnu razliku između stvarnih i predviđenih vrijednosti.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MAPE (Mean Absolute Percentage Error) — Srednja apsolutna postotna pogreška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Mjeri prosječnu apsolutnu pogrešku kao postotak stvarne vrijednosti.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AIC (Akaike Information Criterion) — Akaikeov kriterij informacija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Mjeri kakvoću statističkog modela u odnosu na druge modele, uzimajući u obzir složenost modela (broj parametara).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BIC (Bayesian Information Criterion) — Bajesov kriterij informacija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Slično kao AIC, ali s jačom kaznom za složenost modela.</w:t>
      </w:r>
    </w:p>
    <w:p w:rsidR="00000000" w:rsidDel="00000000" w:rsidP="00000000" w:rsidRDefault="00000000" w:rsidRPr="00000000" w14:paraId="00000021">
      <w:pPr>
        <w:pStyle w:val="Heading1"/>
        <w:ind w:left="720" w:firstLine="0"/>
        <w:rPr/>
      </w:pPr>
      <w:bookmarkStart w:colFirst="0" w:colLast="0" w:name="_cc4pn9m7994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8xd95giem9ga" w:id="8"/>
      <w:bookmarkEnd w:id="8"/>
      <w:r w:rsidDel="00000000" w:rsidR="00000000" w:rsidRPr="00000000">
        <w:rPr>
          <w:rtl w:val="0"/>
        </w:rPr>
        <w:t xml:space="preserve">Pokretanje aplikacije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Aplikacije se pokreće iz VS Code okoline. U nastavku su navedene programske podrške koje je potrebno instalirati i upute kako pokrenuti frontend aplikaciju i backend servis.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9yj8i65zybc" w:id="9"/>
      <w:bookmarkEnd w:id="9"/>
      <w:r w:rsidDel="00000000" w:rsidR="00000000" w:rsidRPr="00000000">
        <w:rPr>
          <w:rtl w:val="0"/>
        </w:rPr>
        <w:t xml:space="preserve">3.1. Potrebna programska podrška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em4cd35mcmm" w:id="10"/>
      <w:bookmarkEnd w:id="10"/>
      <w:r w:rsidDel="00000000" w:rsidR="00000000" w:rsidRPr="00000000">
        <w:rPr>
          <w:rtl w:val="0"/>
        </w:rPr>
        <w:t xml:space="preserve">3.2. Upute za pokretanje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Otvoriti VS Code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Otvoriti projekt “arima-project”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Otvoriti terminal 1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terminalu 1 pozicionirati se u “arima-frontend” mapu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Pokrenuti react aplikaciju s naredbom “npm start”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aplikacija se otvara na adresi: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Otvoriti terminal 2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terminalu 2 pozicionirati se u “arima-project” vršnu mapu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Pokrenuti python servis s naredbom “python </w:t>
      </w:r>
      <w:r w:rsidDel="00000000" w:rsidR="00000000" w:rsidRPr="00000000">
        <w:rPr>
          <w:rtl w:val="0"/>
        </w:rPr>
        <w:t xml:space="preserve">app.py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 servis se otvara na adresi: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kgeqj07mpfrm" w:id="11"/>
      <w:bookmarkEnd w:id="11"/>
      <w:r w:rsidDel="00000000" w:rsidR="00000000" w:rsidRPr="00000000">
        <w:rPr>
          <w:rtl w:val="0"/>
        </w:rPr>
        <w:t xml:space="preserve">Korištene biblioteke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3p5veb80bm6p" w:id="12"/>
      <w:bookmarkEnd w:id="12"/>
      <w:r w:rsidDel="00000000" w:rsidR="00000000" w:rsidRPr="00000000">
        <w:rPr>
          <w:rtl w:val="0"/>
        </w:rPr>
        <w:t xml:space="preserve">4.1. Python biblioteke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https://pypi.org/project/Flask/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Koristimo da bi pretvorili python aplikacije u API servis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Flask_cors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https://pypi.org/project/flask-cors/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Omogućuje nam da možemo komunicirati s frontendom na drugoj domeni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Koristi se za manipulaciju tabličnim podacima excel, csv,.. za uvoz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Statsmodel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https://pypi.org/project/statsmodels/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Koristi se za izračun predviđanja pomoću Arima statističkog modela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https://pypi.org/project/numpy/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Koristi se za izračun prikaza sažetka modela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gh55frr71zzm" w:id="13"/>
      <w:bookmarkEnd w:id="13"/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rtl w:val="0"/>
        </w:rPr>
        <w:t xml:space="preserve">Javascript biblioteke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Biblioteka za razvoj korisničkog sučelja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Papaparse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https://www.npmjs.com/package/papaparse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Koristi se učitavanje i za rad csv datotekom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https://www.npmjs.com/package/axios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Koristi se za slanje podataka na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Chart.js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Koristi se za iscrtavanje grafova na sučelju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react-chartjs-2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https://www.npmjs.com/package/react-chartjs-2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Omotač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  <w:t xml:space="preserve"> za jednostavnije korištenje u React-u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chart.js" TargetMode="External"/><Relationship Id="rId11" Type="http://schemas.openxmlformats.org/officeDocument/2006/relationships/hyperlink" Target="http://localhost:5000/" TargetMode="External"/><Relationship Id="rId22" Type="http://schemas.openxmlformats.org/officeDocument/2006/relationships/hyperlink" Target="http://chart.js" TargetMode="External"/><Relationship Id="rId10" Type="http://schemas.openxmlformats.org/officeDocument/2006/relationships/hyperlink" Target="http://localhost:3000/" TargetMode="External"/><Relationship Id="rId21" Type="http://schemas.openxmlformats.org/officeDocument/2006/relationships/hyperlink" Target="https://www.npmjs.com/package/react-chartjs-2" TargetMode="External"/><Relationship Id="rId13" Type="http://schemas.openxmlformats.org/officeDocument/2006/relationships/hyperlink" Target="https://pypi.org/project/flask-cors/" TargetMode="External"/><Relationship Id="rId12" Type="http://schemas.openxmlformats.org/officeDocument/2006/relationships/hyperlink" Target="https://pypi.org/project/Flas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en" TargetMode="External"/><Relationship Id="rId15" Type="http://schemas.openxmlformats.org/officeDocument/2006/relationships/hyperlink" Target="https://pypi.org/project/statsmodels/" TargetMode="External"/><Relationship Id="rId14" Type="http://schemas.openxmlformats.org/officeDocument/2006/relationships/hyperlink" Target="https://pypi.org/project/pandas/" TargetMode="External"/><Relationship Id="rId17" Type="http://schemas.openxmlformats.org/officeDocument/2006/relationships/hyperlink" Target="https://www.npmjs.com/package/react" TargetMode="External"/><Relationship Id="rId16" Type="http://schemas.openxmlformats.org/officeDocument/2006/relationships/hyperlink" Target="https://pypi.org/project/nump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pmjs.com/package/axio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npmjs.com/package/papaparse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www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