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1A25" w14:textId="77777777" w:rsidR="001E01CF" w:rsidRDefault="001E01C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Cloud data storage and third-party vendor disclosure</w:t>
      </w:r>
    </w:p>
    <w:p w14:paraId="4F93C29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29D5A85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Status:</w:t>
      </w:r>
      <w:r>
        <w:rPr>
          <w:rFonts w:ascii="Calibri" w:hAnsi="Calibri" w:cs="Calibri"/>
          <w:sz w:val="20"/>
          <w:szCs w:val="20"/>
        </w:rPr>
        <w:t xml:space="preserve"> Internal working template — Thin Line completes deployment facts; agency reviews and includes the approved version in its interface packet. </w:t>
      </w:r>
    </w:p>
    <w:p w14:paraId="19A69296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Purpose:</w:t>
      </w:r>
      <w:r>
        <w:rPr>
          <w:rFonts w:ascii="Calibri" w:hAnsi="Calibri" w:cs="Calibri"/>
          <w:sz w:val="20"/>
          <w:szCs w:val="20"/>
        </w:rPr>
        <w:t xml:space="preserve"> Documents where solution data is stored and identifies third parties involved in storage, backup, authentication, telemetry, or other processing that may retain agency or CJI-related data. </w:t>
      </w:r>
    </w:p>
    <w:p w14:paraId="2652381F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Handling:</w:t>
      </w:r>
      <w:r>
        <w:rPr>
          <w:rFonts w:ascii="Calibri" w:hAnsi="Calibri" w:cs="Calibri"/>
          <w:sz w:val="20"/>
          <w:szCs w:val="20"/>
        </w:rPr>
        <w:t xml:space="preserve"> Mark the completed attachment </w:t>
      </w:r>
      <w:r>
        <w:rPr>
          <w:rFonts w:ascii="Calibri" w:hAnsi="Calibri" w:cs="Calibri"/>
          <w:b/>
          <w:bCs/>
          <w:sz w:val="20"/>
          <w:szCs w:val="20"/>
        </w:rPr>
        <w:t>FOR OFFICIAL USE ONLY (FOUO)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or with the agency/DPS-required handling label.</w:t>
      </w:r>
    </w:p>
    <w:p w14:paraId="3B3FB682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6496A60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Thin Line owns the accuracy of the cloud architecture and vendor details. The agency owns acceptance and submission. Do not submit bracketed placeholders, unverified regions, or a vendor list copied from another agency.</w:t>
      </w:r>
    </w:p>
    <w:p w14:paraId="1982B3DA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63A76E8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Submission information</w:t>
      </w:r>
    </w:p>
    <w:p w14:paraId="4BF06B6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5177"/>
      </w:tblGrid>
      <w:tr w:rsidR="00000000" w14:paraId="14EB02F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557FC6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13A699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Entry</w:t>
            </w:r>
          </w:p>
        </w:tc>
      </w:tr>
      <w:tr w:rsidR="00000000" w14:paraId="742FF4D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DE81B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3599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[AGENCY NAME]</w:t>
            </w:r>
          </w:p>
        </w:tc>
      </w:tr>
      <w:tr w:rsidR="00000000" w14:paraId="7FEAED8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04B3E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ORI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E38ED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[ORI]</w:t>
            </w:r>
          </w:p>
        </w:tc>
      </w:tr>
      <w:tr w:rsidR="00000000" w14:paraId="27CCDAA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A7025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 tenant key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11F41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[TENANT KEY]</w:t>
            </w:r>
          </w:p>
        </w:tc>
      </w:tr>
      <w:tr w:rsidR="00000000" w14:paraId="19E78D9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ED5ED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Production environment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5CF31E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[ENVIRONMENT NAME]</w:t>
            </w:r>
          </w:p>
        </w:tc>
      </w:tr>
      <w:tr w:rsidR="00000000" w14:paraId="3322313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3046A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Effective date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1267B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24CE8C5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C72BB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 preparer/reviewer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E4639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[NAME / TITLE]</w:t>
            </w:r>
          </w:p>
        </w:tc>
      </w:tr>
      <w:tr w:rsidR="00000000" w14:paraId="352740E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EA238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61773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[NAME / TITLE]</w:t>
            </w:r>
          </w:p>
        </w:tc>
      </w:tr>
      <w:tr w:rsidR="00000000" w14:paraId="1F7D093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F212D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Related network diagram revision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CAC1E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[TITLE / REVISION / DATE]</w:t>
            </w:r>
          </w:p>
        </w:tc>
      </w:tr>
    </w:tbl>
    <w:p w14:paraId="1AD858F5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8D962C7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Packet-ready summary</w:t>
      </w:r>
    </w:p>
    <w:p w14:paraId="46AF59D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016562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Complete the inventories below first, then use this narrative:</w:t>
      </w:r>
    </w:p>
    <w:p w14:paraId="03F4408F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C5D635F" w14:textId="77777777" w:rsidR="001E01CF" w:rsidRDefault="001E01CF">
      <w:pPr>
        <w:pStyle w:val="NormalWeb"/>
        <w:divId w:val="1630624181"/>
        <w:rPr>
          <w:rFonts w:ascii="Calibri" w:hAnsi="Calibri" w:cs="Calibri"/>
          <w:color w:val="333333"/>
          <w:sz w:val="20"/>
          <w:szCs w:val="20"/>
        </w:rPr>
      </w:pPr>
      <w:r>
        <w:rPr>
          <w:rFonts w:ascii="Calibri" w:hAnsi="Calibri" w:cs="Calibri"/>
          <w:color w:val="333333"/>
          <w:sz w:val="20"/>
          <w:szCs w:val="20"/>
        </w:rPr>
        <w:t xml:space="preserve">Thin Line Software LLC hosts `[AGENCY NAME]`'s Thin Line `[RMS / CAD / JMS]` production environment in </w:t>
      </w:r>
      <w:r>
        <w:rPr>
          <w:rFonts w:ascii="Calibri" w:hAnsi="Calibri" w:cs="Calibri"/>
          <w:b/>
          <w:bCs/>
          <w:color w:val="333333"/>
          <w:sz w:val="20"/>
          <w:szCs w:val="20"/>
        </w:rPr>
        <w:t>Microsoft Azure Government</w:t>
      </w:r>
      <w:r>
        <w:rPr>
          <w:rFonts w:ascii="Calibri" w:hAnsi="Calibri" w:cs="Calibri"/>
          <w:color w:val="333333"/>
          <w:sz w:val="20"/>
          <w:szCs w:val="20"/>
        </w:rPr>
        <w:t>. Primary application data is stored in `[AZURE SQL DATABASE NAME]` in `[PRIMARY AZURE GOVERNMENT REGION]`. File attachments are stored in `[AZURE STORAGE ACCOUNT / FILE SHARE OR N/A]` in `[REGION]`. Backups and recovery copies are maintained through `[AZURE BACKUP / SQL PITR / LTR SERVICES]` in `[REGION OR REDUNDANCY SCOPE]` under the retention settings listed in this attachment. Application and security logs are stored in `[LOG SERVICES]` in `[REGION]` for `[RETENTION]`.</w:t>
      </w:r>
    </w:p>
    <w:p w14:paraId="35BA20E8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&gt;</w:t>
      </w:r>
    </w:p>
    <w:p w14:paraId="408D459D" w14:textId="77777777" w:rsidR="001E01CF" w:rsidRDefault="001E01CF">
      <w:pPr>
        <w:pStyle w:val="NormalWeb"/>
        <w:divId w:val="298268291"/>
        <w:rPr>
          <w:rFonts w:ascii="Calibri" w:hAnsi="Calibri" w:cs="Calibri"/>
          <w:color w:val="333333"/>
          <w:sz w:val="20"/>
          <w:szCs w:val="20"/>
        </w:rPr>
      </w:pPr>
      <w:r>
        <w:rPr>
          <w:rFonts w:ascii="Calibri" w:hAnsi="Calibri" w:cs="Calibri"/>
          <w:color w:val="333333"/>
          <w:sz w:val="20"/>
          <w:szCs w:val="20"/>
        </w:rPr>
        <w:t>Microsoft Corporation is the primary third-party cloud service provider involved in hosting and storage through Microsoft Azure Government. Additional third parties that store or retain agency-related information are identified in the Third-party vendor register below, including the data involved, purpose, storage location, retention, and contract/security evidence. Data in transit is protected using TLS 1.2 or higher. Data at rest is protected using the Azure encryption controls identified in the storage i</w:t>
      </w:r>
      <w:r>
        <w:rPr>
          <w:rFonts w:ascii="Calibri" w:hAnsi="Calibri" w:cs="Calibri"/>
          <w:color w:val="333333"/>
          <w:sz w:val="20"/>
          <w:szCs w:val="20"/>
        </w:rPr>
        <w:t>nventory. Thin Line does not represent the Thin Line application or an Azure service as a FIPS-validated product; applicable evidence is tied to the cryptographic modules and configured Azure Government services.</w:t>
      </w:r>
    </w:p>
    <w:p w14:paraId="06B47001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3399347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Cloud storage inventory</w:t>
      </w:r>
    </w:p>
    <w:p w14:paraId="62D3FE7B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9D69FE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List every service that persistently stores production data, attachments, backups, logs, identity data, exports, queues, or other agency-related records. A processing service that does not retain data should still be disclosed in the vendor register with its verified retention behavior.</w:t>
      </w:r>
    </w:p>
    <w:p w14:paraId="39C15E5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081"/>
        <w:gridCol w:w="1410"/>
        <w:gridCol w:w="970"/>
        <w:gridCol w:w="1520"/>
        <w:gridCol w:w="1410"/>
        <w:gridCol w:w="1190"/>
        <w:gridCol w:w="1520"/>
        <w:gridCol w:w="1410"/>
        <w:gridCol w:w="1300"/>
        <w:gridCol w:w="1410"/>
        <w:gridCol w:w="860"/>
        <w:gridCol w:w="750"/>
      </w:tblGrid>
      <w:tr w:rsidR="00000000" w14:paraId="4AE87E0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4D58DE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572301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Data/service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E6957B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Data stored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0191C2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41A5E7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Cloud/environment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86745F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Resource name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2B381A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Physical region/data residency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142440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Replication/backup location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BF66D2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Encryption at rest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D84948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Key owner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7FF8BD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Retention/deletion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766399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Access owner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D79E80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Evidence date</w:t>
            </w:r>
          </w:p>
        </w:tc>
      </w:tr>
      <w:tr w:rsidR="00000000" w14:paraId="4586009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36963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ST-01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2EDD5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SQL Database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EDD5AE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RMS/CAD structured application data and audit records as configured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2B38D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309EF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Government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505F0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[SERVER / DATABASE]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5A407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[REGION]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682CF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[PITR/LTR/GEO DETAILS AND REGION]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91AC63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[TDE / AES DETAILS]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8F35B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[MICROSOFT-MANAGED OR CUSTOMER-MANAGED]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0BBE70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[PITR/LTR / OFFBOARDING]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95A12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556163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483C369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D14A7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ST-02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21A39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Storage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8EEB0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Attachments/files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BEE7E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594E6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Government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20F41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[ACCOUNT / SHARE / CONTAINER OR N/A]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42200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[REGION]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D3936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[REDUNDANCY / BACKUP / REGION]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CB58C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[SERVICE ENCRYPTION]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1962C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[KEY 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EFEECD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[RETENTION / DELETION]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A8D50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028F3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2845F41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085A36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ST-03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79AB66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Logs/telemetry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B1437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[APPLICATION / SECURITY / AUDIT / DIAGNOSTIC DATA]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761D26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Microsoft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490A6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Government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20015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[APPLICATION INSIGHTS / LOG ANALYTICS / SENTINEL]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DFE86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[REGION]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E39F0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[IF APPLICABLE]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94AD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[ENCRYPTION]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996F93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[KEY 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5A473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[DAYS / ARCHIVE]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6A3F7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[THIN LINE / SHARED]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11FDE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46F11CA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B2BFA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ST-04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6FF9B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Identity service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CC696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User identity, authentication, and MFA metadata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F37E0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[DESCOPE / AGENCY IDP / OTHER]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370A4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[ENVIRONMENT]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91BB3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[PROJECT / TENANT]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C888D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[VERIFIED REGION / RESIDENCY]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35B79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[IF APPLICABLE]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D0B10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[VENDOR CONTROL]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2575C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[KEY 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24FBEE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[RETENTION / DELETION]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E1DE1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[AGENCY / THIN LINE / SHARED]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11B8F3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5565F65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E49BA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34ABAA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AA699B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A238C6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68D91F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5E6841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D27853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5F0BE1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5776CD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757BEE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200AD6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4CA87C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E85085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3A8B43C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A173DF6" w14:textId="77777777" w:rsidR="001E01CF" w:rsidRDefault="001E01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Storage categories to verify</w:t>
      </w:r>
    </w:p>
    <w:p w14:paraId="28B0C9E1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13D8978" w14:textId="77777777" w:rsidR="001E01CF" w:rsidRDefault="001E01CF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Production relational databases</w:t>
      </w:r>
    </w:p>
    <w:p w14:paraId="50CF7412" w14:textId="77777777" w:rsidR="001E01CF" w:rsidRDefault="001E01C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Attachments, reports, exports, images, and uploaded files</w:t>
      </w:r>
    </w:p>
    <w:p w14:paraId="41A4A836" w14:textId="77777777" w:rsidR="001E01CF" w:rsidRDefault="001E01C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Database point-in-time restore and long-term retention copies</w:t>
      </w:r>
    </w:p>
    <w:p w14:paraId="64D5F901" w14:textId="77777777" w:rsidR="001E01CF" w:rsidRDefault="001E01CF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Storage snapshots, soft-delete versions, or geo-replicas</w:t>
      </w:r>
    </w:p>
    <w:p w14:paraId="7FBE8FF3" w14:textId="77777777" w:rsidR="001E01CF" w:rsidRDefault="001E01C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Application, security, access, and audit logs</w:t>
      </w:r>
    </w:p>
    <w:p w14:paraId="4CA54F65" w14:textId="77777777" w:rsidR="001E01CF" w:rsidRDefault="001E01CF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Message queues or caches only if they retain agency/CJI data</w:t>
      </w:r>
    </w:p>
    <w:p w14:paraId="7CE3A1BD" w14:textId="77777777" w:rsidR="001E01CF" w:rsidRDefault="001E01C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Identity/MFA records</w:t>
      </w:r>
    </w:p>
    <w:p w14:paraId="43C0DDE0" w14:textId="77777777" w:rsidR="001E01CF" w:rsidRDefault="001E01CF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Support exports, troubleshooting copies, or temporary files</w:t>
      </w:r>
    </w:p>
    <w:p w14:paraId="590CAAEC" w14:textId="77777777" w:rsidR="001E01CF" w:rsidRDefault="001E01CF">
      <w:pPr>
        <w:numPr>
          <w:ilvl w:val="0"/>
          <w:numId w:val="9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Disaster-recovery replicas</w:t>
      </w:r>
    </w:p>
    <w:p w14:paraId="560603B0" w14:textId="77777777" w:rsidR="001E01CF" w:rsidRDefault="001E01CF">
      <w:pPr>
        <w:numPr>
          <w:ilvl w:val="0"/>
          <w:numId w:val="10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AI or integration services if submitted content is retained</w:t>
      </w:r>
    </w:p>
    <w:p w14:paraId="3FC85C9E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0495DF89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Third-party vendor register</w:t>
      </w:r>
    </w:p>
    <w:p w14:paraId="04AD3ED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0550C78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Include Microsoft and every other third party that stores or may retain agency-related information. Do not describe a vendor as "processing only" until its contract and current service documentation confirm that behavior.</w:t>
      </w:r>
    </w:p>
    <w:p w14:paraId="07033E78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977"/>
        <w:gridCol w:w="812"/>
        <w:gridCol w:w="1046"/>
        <w:gridCol w:w="1960"/>
        <w:gridCol w:w="1559"/>
        <w:gridCol w:w="2290"/>
        <w:gridCol w:w="970"/>
        <w:gridCol w:w="2840"/>
        <w:gridCol w:w="860"/>
        <w:gridCol w:w="970"/>
      </w:tblGrid>
      <w:tr w:rsidR="00000000" w14:paraId="10F3844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802C74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Vendor/legal entity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363416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78F094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B24DA2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Data involved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592109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Stores/retains data?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55204D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Storage environment/location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C4EF22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Retention/deletion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16B7ED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CJI access potential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9AF15E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Agreement/evidence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2A56C6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Thin Line owner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4FC989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000000" w14:paraId="2D97CA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268D3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Microsoft Corporation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03F5E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Microsoft Azure Government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FE96D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Primary CSP: application hosting, database, file, backup, and logging services as listed above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ED4E6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CJI and application data according to enabled services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E4D9B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824DA0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Azure Government; exact regions in storage inventory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E8D9C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Per configured service policies and contract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F77B4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[YES/NO; EXPLAIN SUPPORT ACCESS MODEL]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41911D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[CJIS/CONTRACT/COMPLIANCE REFERENCES]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8C71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AAE17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REQUIRED</w:t>
            </w:r>
          </w:p>
        </w:tc>
      </w:tr>
      <w:tr w:rsidR="00000000" w14:paraId="2F1C10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4716C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Descope, Inc.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41B88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Identity/authentication/MFA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50933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Identity provider for configured Thin Line sign-in flows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2BA69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Identity and authentication metadata; verify whether CJI is prohibited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A2454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[VERIFY]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48492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[VERIFY DATA RESIDENCY]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2C066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[VERIFY]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FEB36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[VERIFY]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3628C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[DPA / SECURITY / RESIDENCY EVIDENCE]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C80FF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1992A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VERIFY</w:t>
            </w:r>
          </w:p>
        </w:tc>
      </w:tr>
      <w:tr w:rsidR="00000000" w14:paraId="05F3B21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B76D1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[VENDOR]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E0314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[SERVICE]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CFD75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[ROLE]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8547A6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[DATA]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1A8EB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[YES/NO/TRANSIENT — EVIDENCE]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E2A90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[LOCATION]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7B262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[RETENTION/DELETION]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73208D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[YES/NO]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B4832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[AGREEMENT/EVIDENCE]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188FBD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4F2963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[STATUS]</w:t>
            </w:r>
          </w:p>
        </w:tc>
      </w:tr>
    </w:tbl>
    <w:p w14:paraId="710461F0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02E33DD" w14:textId="77777777" w:rsidR="001E01CF" w:rsidRDefault="001E01C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Vendors/services requiring an explicit include-or-exclude decision</w:t>
      </w:r>
    </w:p>
    <w:p w14:paraId="178892E8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6D789E2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Review the agency's enabled production features. Potential integrations in the Thin Line platform include identity providers, Azure AI services, payment processors, mapping/geocoding, email/SMS, webhooks, error monitoring, and support tooling.</w:t>
      </w:r>
    </w:p>
    <w:p w14:paraId="47583022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D3B6CD5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For each:</w:t>
      </w:r>
    </w:p>
    <w:p w14:paraId="0BCAF11D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03908ED3" w14:textId="77777777" w:rsidR="001E01CF" w:rsidRDefault="001E01CF">
      <w:pPr>
        <w:numPr>
          <w:ilvl w:val="0"/>
          <w:numId w:val="11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Include</w:t>
      </w:r>
      <w:r>
        <w:rPr>
          <w:rFonts w:ascii="Calibri" w:eastAsia="Times New Roman" w:hAnsi="Calibri" w:cs="Calibri"/>
          <w:sz w:val="20"/>
          <w:szCs w:val="20"/>
        </w:rPr>
        <w:t xml:space="preserve"> it when agency-related data is sent and the service stores, logs, backs up, or otherwise retains that data.</w:t>
      </w:r>
    </w:p>
    <w:p w14:paraId="5BC3EB59" w14:textId="77777777" w:rsidR="001E01CF" w:rsidRDefault="001E01CF">
      <w:pPr>
        <w:numPr>
          <w:ilvl w:val="0"/>
          <w:numId w:val="12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Disclose as processing-only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>only when current contractual and technical evidence establishes no retention beyond approved transient processing.</w:t>
      </w:r>
    </w:p>
    <w:p w14:paraId="0628A61A" w14:textId="77777777" w:rsidR="001E01CF" w:rsidRDefault="001E01CF">
      <w:pPr>
        <w:numPr>
          <w:ilvl w:val="0"/>
          <w:numId w:val="13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Exclude with rationale</w:t>
      </w:r>
      <w:r>
        <w:rPr>
          <w:rFonts w:ascii="Calibri" w:eastAsia="Times New Roman" w:hAnsi="Calibri" w:cs="Calibri"/>
          <w:sz w:val="20"/>
          <w:szCs w:val="20"/>
        </w:rPr>
        <w:t xml:space="preserve"> when the integration is disabled for the agency or no agency-related data reaches it.</w:t>
      </w:r>
    </w:p>
    <w:p w14:paraId="6078F515" w14:textId="77777777" w:rsidR="001E01CF" w:rsidRDefault="001E01CF">
      <w:pPr>
        <w:numPr>
          <w:ilvl w:val="0"/>
          <w:numId w:val="14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Do not send CJI to a service that has not been approved for that data.</w:t>
      </w:r>
    </w:p>
    <w:p w14:paraId="1B5F04F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74E4582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Backup, retention, and deletion</w:t>
      </w:r>
    </w:p>
    <w:p w14:paraId="00CD548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6364"/>
      </w:tblGrid>
      <w:tr w:rsidR="00000000" w14:paraId="3A2F3DF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30CA1C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C672CF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Deployment-specific answer</w:t>
            </w:r>
          </w:p>
        </w:tc>
      </w:tr>
      <w:tr w:rsidR="00000000" w14:paraId="2D491A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68697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SQL point-in-time restore window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A20FE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[DURATION / VERIFIED DATE]</w:t>
            </w:r>
          </w:p>
        </w:tc>
      </w:tr>
      <w:tr w:rsidR="00000000" w14:paraId="07FC335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957340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SQL long-term retention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733D1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[WEEKLY / MONTHLY / YEARLY SETTINGS]</w:t>
            </w:r>
          </w:p>
        </w:tc>
      </w:tr>
      <w:tr w:rsidR="00000000" w14:paraId="146EB8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4B489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File/storage backup and redundancy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2D49A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[SETTING / REGION / VERIFIED DATE]</w:t>
            </w:r>
          </w:p>
        </w:tc>
      </w:tr>
      <w:tr w:rsidR="00000000" w14:paraId="2ADFDC6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A028F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Log retention/archive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50C69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[SERVICE / DURATION]</w:t>
            </w:r>
          </w:p>
        </w:tc>
      </w:tr>
      <w:tr w:rsidR="00000000" w14:paraId="2B957A0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167EBB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Immutability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8B1B0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[ENABLED / DISABLED / NOT USED — DO NOT ASSUME]</w:t>
            </w:r>
          </w:p>
        </w:tc>
      </w:tr>
      <w:tr w:rsidR="00000000" w14:paraId="3ABC130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77A7F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Legal hold support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72F8B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[PROCESS / N/A]</w:t>
            </w:r>
          </w:p>
        </w:tc>
      </w:tr>
      <w:tr w:rsidR="00000000" w14:paraId="488A476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32636F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Tenant offboarding export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1D7125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[FORMAT / OWNER / TIMING]</w:t>
            </w:r>
          </w:p>
        </w:tc>
      </w:tr>
      <w:tr w:rsidR="00000000" w14:paraId="1CFE831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E2CFCD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Production deletion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4AD5F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[PROCESS / APPROVAL / TIMING]</w:t>
            </w:r>
          </w:p>
        </w:tc>
      </w:tr>
      <w:tr w:rsidR="00000000" w14:paraId="7E89A9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F83C4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Backup expiration after deletion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2D8D11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[TIMING / SERVICE BEHAVIOR]</w:t>
            </w:r>
          </w:p>
        </w:tc>
      </w:tr>
      <w:tr w:rsidR="00000000" w14:paraId="53F4D1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2D1C8A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Third-party account/data deletion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AC9C4C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[VENDOR-BY-VENDOR PROCESS]</w:t>
            </w:r>
          </w:p>
        </w:tc>
      </w:tr>
    </w:tbl>
    <w:p w14:paraId="722911EE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CA1BFB0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Retention periods must match the agency contract, records requirements, and configured cloud settings. A capability offered by Azure is not evidence that it is enabled.</w:t>
      </w:r>
    </w:p>
    <w:p w14:paraId="54438FE3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EF3E636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Data-flow and location reconciliation</w:t>
      </w:r>
    </w:p>
    <w:p w14:paraId="2DD36AED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2B9E09D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Each storage service appears on the network/data-flow diagram or is represented by a labeled storage class.</w:t>
      </w:r>
    </w:p>
    <w:p w14:paraId="4FEAAAB2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Every region is taken from current production resource inventory, not an infrastructure default.</w:t>
      </w:r>
    </w:p>
    <w:p w14:paraId="78A34953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Replicas and backups are included, not only the primary database.</w:t>
      </w:r>
    </w:p>
    <w:p w14:paraId="2B40ED1D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Attachment/file storage has been mapped to an actual Azure resource and region.</w:t>
      </w:r>
    </w:p>
    <w:p w14:paraId="74D54407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Telemetry/log services have current regions and retention settings.</w:t>
      </w:r>
    </w:p>
    <w:p w14:paraId="349FC03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The TLETS connector's storage/logging behavior is documented after topology and implementation are approved.</w:t>
      </w:r>
    </w:p>
    <w:p w14:paraId="6F9E11F6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Each third-party endpoint receiving agency data has an include/exclude decision.</w:t>
      </w:r>
    </w:p>
    <w:p w14:paraId="1E24009B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Vendor contracts and service documentation support residency, retention, deletion, and access statements.</w:t>
      </w:r>
    </w:p>
    <w:p w14:paraId="6638060F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No secrets, connection strings, private keys, or unnecessary sensitive identifiers appear in the attachment.</w:t>
      </w:r>
    </w:p>
    <w:p w14:paraId="0E4D5FCB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960A944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Evidence checklist</w:t>
      </w:r>
    </w:p>
    <w:p w14:paraId="1C4A6A3A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6DD9E25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Attach or retain for assessor review:</w:t>
      </w:r>
    </w:p>
    <w:p w14:paraId="5ACD61C6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42CC312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Current Azure Government resource export showing resource type, name, subscription, resource group, and region</w:t>
      </w:r>
    </w:p>
    <w:p w14:paraId="144450B9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Azure SQL TDE status</w:t>
      </w:r>
    </w:p>
    <w:p w14:paraId="1BD9921D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SQL PITR and LTR settings, including immutability status</w:t>
      </w:r>
    </w:p>
    <w:p w14:paraId="04C73243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Azure Storage encryption, redundancy, backup, soft-delete, and region settings</w:t>
      </w:r>
    </w:p>
    <w:p w14:paraId="68DFF201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Application Insights/Log Analytics/Sentinel region and retention settings, as applicable</w:t>
      </w:r>
    </w:p>
    <w:p w14:paraId="7253FD02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Data-flow/network diagram matching the inventory IDs</w:t>
      </w:r>
    </w:p>
    <w:p w14:paraId="1B1E1E1B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Microsoft Azure Government contract/enrollment and applicable compliance references</w:t>
      </w:r>
    </w:p>
    <w:p w14:paraId="6D75A655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Third-party DPA, data-residency, retention/deletion, and security documentation</w:t>
      </w:r>
    </w:p>
    <w:p w14:paraId="557AF161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Agency-specific enabled-integration review</w:t>
      </w:r>
    </w:p>
    <w:p w14:paraId="688B02A8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Thin Line and agency approval/signoff</w:t>
      </w:r>
    </w:p>
    <w:p w14:paraId="37F1E0DE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54C6576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Approval</w:t>
      </w:r>
    </w:p>
    <w:p w14:paraId="6EDD3E46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1312"/>
        <w:gridCol w:w="3179"/>
        <w:gridCol w:w="646"/>
      </w:tblGrid>
      <w:tr w:rsidR="00000000" w14:paraId="683B8F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AAFE8A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F3B865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Name/title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F5C060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Signature or approval record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E1F9DE" w14:textId="77777777" w:rsidR="001E01CF" w:rsidRDefault="001E01CF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Date</w:t>
            </w:r>
          </w:p>
        </w:tc>
      </w:tr>
      <w:tr w:rsidR="00000000" w14:paraId="6937E03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EC5BB6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 technical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873B7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014915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5D5FFB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74ECB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A2B658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 security/compliance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39FF32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0007F8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3E70A9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BE9DE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B1DD9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technical/LASO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A4EC1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021B87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E6D678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6E8DA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BD48E4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approving authority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A22AB7" w14:textId="77777777" w:rsidR="001E01CF" w:rsidRDefault="001E01CF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4DB129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921CFB" w14:textId="77777777" w:rsidR="001E01CF" w:rsidRDefault="001E01CF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3DB3B6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82417D2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Known Thin Line baseline — verify per agency</w:t>
      </w:r>
    </w:p>
    <w:p w14:paraId="7BB2B0CC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1357654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Repository evidence supports the following baseline, but the completed attachment must use current production exports:</w:t>
      </w:r>
    </w:p>
    <w:p w14:paraId="4B091D80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7BD9F0D" w14:textId="77777777" w:rsidR="001E01CF" w:rsidRDefault="001E01CF">
      <w:pPr>
        <w:numPr>
          <w:ilvl w:val="0"/>
          <w:numId w:val="15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Thin Line production deployment patterns target </w:t>
      </w:r>
      <w:r>
        <w:rPr>
          <w:rFonts w:ascii="Calibri" w:eastAsia="Times New Roman" w:hAnsi="Calibri" w:cs="Calibri"/>
          <w:b/>
          <w:bCs/>
          <w:sz w:val="20"/>
          <w:szCs w:val="20"/>
        </w:rPr>
        <w:t>Microsoft Azure Government</w:t>
      </w:r>
      <w:r>
        <w:rPr>
          <w:rFonts w:ascii="Calibri" w:eastAsia="Times New Roman" w:hAnsi="Calibri" w:cs="Calibri"/>
          <w:sz w:val="20"/>
          <w:szCs w:val="20"/>
        </w:rPr>
        <w:t>.</w:t>
      </w:r>
    </w:p>
    <w:p w14:paraId="008B909D" w14:textId="77777777" w:rsidR="001E01CF" w:rsidRDefault="001E01CF">
      <w:pPr>
        <w:numPr>
          <w:ilvl w:val="0"/>
          <w:numId w:val="16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Agency RMS/CAD application tiers commonly use Azure App Service and Azure SQL Database.</w:t>
      </w:r>
    </w:p>
    <w:p w14:paraId="0537972D" w14:textId="77777777" w:rsidR="001E01CF" w:rsidRDefault="001E01CF">
      <w:pPr>
        <w:numPr>
          <w:ilvl w:val="0"/>
          <w:numId w:val="17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Current agency inventories place common production application and SQL resources in </w:t>
      </w:r>
      <w:r>
        <w:rPr>
          <w:rFonts w:ascii="Calibri" w:eastAsia="Times New Roman" w:hAnsi="Calibri" w:cs="Calibri"/>
          <w:b/>
          <w:bCs/>
          <w:sz w:val="20"/>
          <w:szCs w:val="20"/>
        </w:rPr>
        <w:t>US Gov Texas</w:t>
      </w:r>
      <w:r>
        <w:rPr>
          <w:rFonts w:ascii="Calibri" w:eastAsia="Times New Roman" w:hAnsi="Calibri" w:cs="Calibri"/>
          <w:sz w:val="20"/>
          <w:szCs w:val="20"/>
        </w:rPr>
        <w:t xml:space="preserve">; some telemetry resources may be in </w:t>
      </w:r>
      <w:r>
        <w:rPr>
          <w:rFonts w:ascii="Calibri" w:eastAsia="Times New Roman" w:hAnsi="Calibri" w:cs="Calibri"/>
          <w:b/>
          <w:bCs/>
          <w:sz w:val="20"/>
          <w:szCs w:val="20"/>
        </w:rPr>
        <w:t>US Gov Virginia</w:t>
      </w:r>
      <w:r>
        <w:rPr>
          <w:rFonts w:ascii="Calibri" w:eastAsia="Times New Roman" w:hAnsi="Calibri" w:cs="Calibri"/>
          <w:sz w:val="20"/>
          <w:szCs w:val="20"/>
        </w:rPr>
        <w:t>.</w:t>
      </w:r>
    </w:p>
    <w:p w14:paraId="40AF5F68" w14:textId="77777777" w:rsidR="001E01CF" w:rsidRDefault="001E01CF">
      <w:pPr>
        <w:numPr>
          <w:ilvl w:val="0"/>
          <w:numId w:val="18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Azure SQL TDE has been verified for documented agency databases, but each packet needs current per-tenant evidence.</w:t>
      </w:r>
    </w:p>
    <w:p w14:paraId="22EBF7C0" w14:textId="77777777" w:rsidR="001E01CF" w:rsidRDefault="001E01CF">
      <w:pPr>
        <w:numPr>
          <w:ilvl w:val="0"/>
          <w:numId w:val="19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Attachments use an Azure file-storage pattern, but the actual storage account, region, redundancy, backup, and retention must be mapped and verified before submission.</w:t>
      </w:r>
    </w:p>
    <w:p w14:paraId="518C489B" w14:textId="77777777" w:rsidR="001E01CF" w:rsidRDefault="001E01CF">
      <w:pPr>
        <w:numPr>
          <w:ilvl w:val="0"/>
          <w:numId w:val="20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Microsoft is the primary hosting/storage third party.</w:t>
      </w:r>
    </w:p>
    <w:p w14:paraId="0DCA4392" w14:textId="77777777" w:rsidR="001E01CF" w:rsidRDefault="001E01CF">
      <w:pPr>
        <w:numPr>
          <w:ilvl w:val="0"/>
          <w:numId w:val="21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Descope is used in configured identity flows; its data residency, retention, and CJI scope require a current vendor/configuration review.</w:t>
      </w:r>
    </w:p>
    <w:p w14:paraId="238EE2AD" w14:textId="77777777" w:rsidR="001E01CF" w:rsidRDefault="001E01CF">
      <w:pPr>
        <w:numPr>
          <w:ilvl w:val="0"/>
          <w:numId w:val="22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The proposed TLETS connector's persistent storage, logs, and region cannot be finalized until the topology and implementation are approved.</w:t>
      </w:r>
    </w:p>
    <w:p w14:paraId="3B9AC7E3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BF31C6B" w14:textId="77777777" w:rsidR="001E01CF" w:rsidRDefault="001E01C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Related</w:t>
      </w:r>
    </w:p>
    <w:p w14:paraId="7895FD40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D216BEC" w14:textId="77777777" w:rsidR="001E01CF" w:rsidRDefault="001E01CF">
      <w:pPr>
        <w:numPr>
          <w:ilvl w:val="0"/>
          <w:numId w:val="23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[Interface Approval Packet answers](interface-approval-packet.md)</w:t>
      </w:r>
    </w:p>
    <w:p w14:paraId="76361752" w14:textId="77777777" w:rsidR="001E01CF" w:rsidRDefault="001E01CF">
      <w:pPr>
        <w:numPr>
          <w:ilvl w:val="0"/>
          <w:numId w:val="24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[Agency network diagram template](agency-network-diagram-template.md)</w:t>
      </w:r>
    </w:p>
    <w:p w14:paraId="142995C9" w14:textId="77777777" w:rsidR="001E01CF" w:rsidRDefault="001E01CF">
      <w:pPr>
        <w:numPr>
          <w:ilvl w:val="0"/>
          <w:numId w:val="25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[Agency boundary equipment worksheet](agency-boundary-equipment-worksheet.md)</w:t>
      </w:r>
    </w:p>
    <w:p w14:paraId="1A63F033" w14:textId="77777777" w:rsidR="001E01CF" w:rsidRDefault="001E01CF">
      <w:pPr>
        <w:numPr>
          <w:ilvl w:val="0"/>
          <w:numId w:val="26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[Direct-interface scope](direct-interface-scope.md)</w:t>
      </w:r>
    </w:p>
    <w:p w14:paraId="0702A681" w14:textId="77777777" w:rsidR="001E01CF" w:rsidRDefault="001E01CF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sectPr w:rsidR="001E0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403"/>
    <w:multiLevelType w:val="multilevel"/>
    <w:tmpl w:val="B9F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79F"/>
    <w:multiLevelType w:val="multilevel"/>
    <w:tmpl w:val="BC20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21594"/>
    <w:multiLevelType w:val="multilevel"/>
    <w:tmpl w:val="071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0CF8"/>
    <w:multiLevelType w:val="multilevel"/>
    <w:tmpl w:val="78D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32180"/>
    <w:multiLevelType w:val="multilevel"/>
    <w:tmpl w:val="DB4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70454"/>
    <w:multiLevelType w:val="multilevel"/>
    <w:tmpl w:val="92E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2698B"/>
    <w:multiLevelType w:val="multilevel"/>
    <w:tmpl w:val="82B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A68F0"/>
    <w:multiLevelType w:val="multilevel"/>
    <w:tmpl w:val="360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20374"/>
    <w:multiLevelType w:val="multilevel"/>
    <w:tmpl w:val="69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D7E6F"/>
    <w:multiLevelType w:val="multilevel"/>
    <w:tmpl w:val="831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65F2F"/>
    <w:multiLevelType w:val="multilevel"/>
    <w:tmpl w:val="8E7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6490"/>
    <w:multiLevelType w:val="multilevel"/>
    <w:tmpl w:val="63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A4A55"/>
    <w:multiLevelType w:val="multilevel"/>
    <w:tmpl w:val="A88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674F1"/>
    <w:multiLevelType w:val="multilevel"/>
    <w:tmpl w:val="233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E25CC"/>
    <w:multiLevelType w:val="multilevel"/>
    <w:tmpl w:val="97A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40D6B"/>
    <w:multiLevelType w:val="multilevel"/>
    <w:tmpl w:val="F88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20883"/>
    <w:multiLevelType w:val="multilevel"/>
    <w:tmpl w:val="756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F508D"/>
    <w:multiLevelType w:val="multilevel"/>
    <w:tmpl w:val="D49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004CE"/>
    <w:multiLevelType w:val="multilevel"/>
    <w:tmpl w:val="E7D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22F69"/>
    <w:multiLevelType w:val="multilevel"/>
    <w:tmpl w:val="061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2127F"/>
    <w:multiLevelType w:val="multilevel"/>
    <w:tmpl w:val="77F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6637E"/>
    <w:multiLevelType w:val="multilevel"/>
    <w:tmpl w:val="4C4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004D0"/>
    <w:multiLevelType w:val="multilevel"/>
    <w:tmpl w:val="A4F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F68D2"/>
    <w:multiLevelType w:val="multilevel"/>
    <w:tmpl w:val="212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D1818"/>
    <w:multiLevelType w:val="multilevel"/>
    <w:tmpl w:val="1B5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C4700"/>
    <w:multiLevelType w:val="multilevel"/>
    <w:tmpl w:val="38A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8083">
    <w:abstractNumId w:val="21"/>
  </w:num>
  <w:num w:numId="2" w16cid:durableId="1229609658">
    <w:abstractNumId w:val="10"/>
  </w:num>
  <w:num w:numId="3" w16cid:durableId="1534490790">
    <w:abstractNumId w:val="18"/>
  </w:num>
  <w:num w:numId="4" w16cid:durableId="1167789901">
    <w:abstractNumId w:val="8"/>
  </w:num>
  <w:num w:numId="5" w16cid:durableId="1183589322">
    <w:abstractNumId w:val="6"/>
  </w:num>
  <w:num w:numId="6" w16cid:durableId="1055855442">
    <w:abstractNumId w:val="13"/>
  </w:num>
  <w:num w:numId="7" w16cid:durableId="340594545">
    <w:abstractNumId w:val="22"/>
  </w:num>
  <w:num w:numId="8" w16cid:durableId="1924795082">
    <w:abstractNumId w:val="2"/>
  </w:num>
  <w:num w:numId="9" w16cid:durableId="1741947969">
    <w:abstractNumId w:val="4"/>
  </w:num>
  <w:num w:numId="10" w16cid:durableId="1646352368">
    <w:abstractNumId w:val="24"/>
  </w:num>
  <w:num w:numId="11" w16cid:durableId="850067471">
    <w:abstractNumId w:val="25"/>
  </w:num>
  <w:num w:numId="12" w16cid:durableId="929198345">
    <w:abstractNumId w:val="23"/>
  </w:num>
  <w:num w:numId="13" w16cid:durableId="847214888">
    <w:abstractNumId w:val="14"/>
  </w:num>
  <w:num w:numId="14" w16cid:durableId="383218587">
    <w:abstractNumId w:val="19"/>
  </w:num>
  <w:num w:numId="15" w16cid:durableId="2089114250">
    <w:abstractNumId w:val="15"/>
  </w:num>
  <w:num w:numId="16" w16cid:durableId="677386058">
    <w:abstractNumId w:val="9"/>
  </w:num>
  <w:num w:numId="17" w16cid:durableId="710959704">
    <w:abstractNumId w:val="7"/>
  </w:num>
  <w:num w:numId="18" w16cid:durableId="2083678383">
    <w:abstractNumId w:val="3"/>
  </w:num>
  <w:num w:numId="19" w16cid:durableId="2050184956">
    <w:abstractNumId w:val="20"/>
  </w:num>
  <w:num w:numId="20" w16cid:durableId="854925874">
    <w:abstractNumId w:val="17"/>
  </w:num>
  <w:num w:numId="21" w16cid:durableId="1820884338">
    <w:abstractNumId w:val="1"/>
  </w:num>
  <w:num w:numId="22" w16cid:durableId="470564902">
    <w:abstractNumId w:val="12"/>
  </w:num>
  <w:num w:numId="23" w16cid:durableId="2088576806">
    <w:abstractNumId w:val="11"/>
  </w:num>
  <w:num w:numId="24" w16cid:durableId="1127358630">
    <w:abstractNumId w:val="5"/>
  </w:num>
  <w:num w:numId="25" w16cid:durableId="1579825185">
    <w:abstractNumId w:val="16"/>
  </w:num>
  <w:num w:numId="26" w16cid:durableId="161562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3D"/>
    <w:rsid w:val="001E01CF"/>
    <w:rsid w:val="00B0433D"/>
    <w:rsid w:val="00B5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425B3"/>
  <w15:chartTrackingRefBased/>
  <w15:docId w15:val="{FA615280-2841-4F11-B152-E2D0688F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8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100" w:beforeAutospacing="1" w:after="100" w:afterAutospacing="1"/>
      <w:outlineLvl w:val="1"/>
    </w:pPr>
    <w:rPr>
      <w:b/>
      <w:bCs/>
      <w:color w:val="1F4E7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00" w:beforeAutospacing="1" w:after="100" w:afterAutospacing="1"/>
      <w:outlineLvl w:val="2"/>
    </w:pPr>
    <w:rPr>
      <w:b/>
      <w:bCs/>
      <w:color w:val="1F4E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26829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1F4E78"/>
        <w:bottom w:val="none" w:sz="0" w:space="0" w:color="auto"/>
        <w:right w:val="none" w:sz="0" w:space="0" w:color="auto"/>
      </w:divBdr>
    </w:div>
    <w:div w:id="163062418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1F4E7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1587</Words>
  <Characters>9048</Characters>
  <Application>Microsoft Office Word</Application>
  <DocSecurity>4</DocSecurity>
  <Lines>75</Lines>
  <Paragraphs>21</Paragraphs>
  <ScaleCrop>false</ScaleCrop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Keslin</dc:creator>
  <cp:keywords/>
  <dc:description/>
  <cp:lastModifiedBy>Matthew Keslin</cp:lastModifiedBy>
  <cp:revision>2</cp:revision>
  <dcterms:created xsi:type="dcterms:W3CDTF">2026-07-21T01:00:00Z</dcterms:created>
  <dcterms:modified xsi:type="dcterms:W3CDTF">2026-07-21T01:00:00Z</dcterms:modified>
</cp:coreProperties>
</file>