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72B4E" w14:textId="77777777" w:rsidR="00B55282" w:rsidRDefault="00B55282">
      <w:pPr>
        <w:spacing w:line="240" w:lineRule="auto"/>
        <w:rPr>
          <w:rFonts w:ascii="Google Sans" w:eastAsia="Google Sans" w:hAnsi="Google Sans" w:cs="Google Sans"/>
          <w:b/>
          <w:color w:val="0070C0"/>
          <w:u w:val="single"/>
        </w:rPr>
      </w:pPr>
    </w:p>
    <w:p w14:paraId="446547D2" w14:textId="77777777" w:rsidR="00B55282" w:rsidRDefault="00132359">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7C81201F" w14:textId="77777777" w:rsidR="00B55282" w:rsidRDefault="00132359">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00BA477E" w14:textId="77777777" w:rsidR="00B55282" w:rsidRDefault="00132359">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just to take notes on what you've learned about a specific tool or concept. You can also use this chart as a way to continue practicing applying the NIST CSF framework to different situations you may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B55282" w14:paraId="6AC3E3AD" w14:textId="77777777">
        <w:trPr>
          <w:trHeight w:val="420"/>
        </w:trPr>
        <w:tc>
          <w:tcPr>
            <w:tcW w:w="2055" w:type="dxa"/>
            <w:shd w:val="clear" w:color="auto" w:fill="auto"/>
            <w:tcMar>
              <w:top w:w="100" w:type="dxa"/>
              <w:left w:w="100" w:type="dxa"/>
              <w:bottom w:w="100" w:type="dxa"/>
              <w:right w:w="100" w:type="dxa"/>
            </w:tcMar>
          </w:tcPr>
          <w:p w14:paraId="05555490" w14:textId="77777777" w:rsidR="00B55282" w:rsidRDefault="00132359">
            <w:pPr>
              <w:widowControl w:val="0"/>
              <w:spacing w:line="360" w:lineRule="auto"/>
              <w:rPr>
                <w:rFonts w:ascii="Google Sans" w:eastAsia="Google Sans" w:hAnsi="Google Sans" w:cs="Google Sans"/>
                <w:b/>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3599DD19" w14:textId="248A453E" w:rsidR="00B55282" w:rsidRDefault="00132359">
            <w:pPr>
              <w:widowControl w:val="0"/>
              <w:spacing w:line="360" w:lineRule="auto"/>
              <w:rPr>
                <w:rFonts w:ascii="Google Sans" w:eastAsia="Google Sans" w:hAnsi="Google Sans" w:cs="Google Sans"/>
              </w:rPr>
            </w:pPr>
            <w:r w:rsidRPr="00132359">
              <w:rPr>
                <w:rFonts w:ascii="Google Sans" w:eastAsia="Google Sans" w:hAnsi="Google Sans" w:cs="Google Sans"/>
              </w:rPr>
              <w:t xml:space="preserve">The organization experienced a serious network disruption when all services stopped responding. The cybersecurity team investigated and identified the issue as a </w:t>
            </w:r>
            <w:r w:rsidRPr="00132359">
              <w:rPr>
                <w:rFonts w:ascii="Google Sans" w:eastAsia="Google Sans" w:hAnsi="Google Sans" w:cs="Google Sans"/>
                <w:b/>
                <w:bCs/>
              </w:rPr>
              <w:t>Distributed Denial of Service (DDoS)</w:t>
            </w:r>
            <w:r w:rsidRPr="00132359">
              <w:rPr>
                <w:rFonts w:ascii="Google Sans" w:eastAsia="Google Sans" w:hAnsi="Google Sans" w:cs="Google Sans"/>
              </w:rPr>
              <w:t xml:space="preserve"> attack. This attack was carried out using a high volume of </w:t>
            </w:r>
            <w:r w:rsidRPr="00132359">
              <w:rPr>
                <w:rFonts w:ascii="Google Sans" w:eastAsia="Google Sans" w:hAnsi="Google Sans" w:cs="Google Sans"/>
                <w:b/>
                <w:bCs/>
              </w:rPr>
              <w:t>ICMP packets</w:t>
            </w:r>
            <w:r w:rsidRPr="00132359">
              <w:rPr>
                <w:rFonts w:ascii="Google Sans" w:eastAsia="Google Sans" w:hAnsi="Google Sans" w:cs="Google Sans"/>
              </w:rPr>
              <w:t xml:space="preserve"> (often used in ping commands), which overloaded the network and caused critical systems to become unresponsive. The response team acted quickly by </w:t>
            </w:r>
            <w:r w:rsidRPr="00132359">
              <w:rPr>
                <w:rFonts w:ascii="Google Sans" w:eastAsia="Google Sans" w:hAnsi="Google Sans" w:cs="Google Sans"/>
                <w:b/>
                <w:bCs/>
              </w:rPr>
              <w:t>blocking the attack</w:t>
            </w:r>
            <w:r w:rsidRPr="00132359">
              <w:rPr>
                <w:rFonts w:ascii="Google Sans" w:eastAsia="Google Sans" w:hAnsi="Google Sans" w:cs="Google Sans"/>
              </w:rPr>
              <w:t xml:space="preserve"> and temporarily shutting down non-essential services to prioritize the recovery of mission-critical operations.</w:t>
            </w:r>
          </w:p>
        </w:tc>
      </w:tr>
      <w:tr w:rsidR="00B55282" w14:paraId="01C79E22" w14:textId="77777777">
        <w:trPr>
          <w:trHeight w:val="420"/>
        </w:trPr>
        <w:tc>
          <w:tcPr>
            <w:tcW w:w="2055" w:type="dxa"/>
            <w:shd w:val="clear" w:color="auto" w:fill="auto"/>
            <w:tcMar>
              <w:top w:w="100" w:type="dxa"/>
              <w:left w:w="100" w:type="dxa"/>
              <w:bottom w:w="100" w:type="dxa"/>
              <w:right w:w="100" w:type="dxa"/>
            </w:tcMar>
          </w:tcPr>
          <w:p w14:paraId="78024B65" w14:textId="77777777" w:rsidR="00B55282" w:rsidRDefault="00132359">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0B1362F2" w14:textId="49907FFD" w:rsidR="00B55282" w:rsidRDefault="00132359">
            <w:pPr>
              <w:widowControl w:val="0"/>
              <w:spacing w:line="360" w:lineRule="auto"/>
              <w:rPr>
                <w:rFonts w:ascii="Google Sans" w:eastAsia="Google Sans" w:hAnsi="Google Sans" w:cs="Google Sans"/>
              </w:rPr>
            </w:pPr>
            <w:r w:rsidRPr="00132359">
              <w:rPr>
                <w:rFonts w:ascii="Google Sans" w:eastAsia="Google Sans" w:hAnsi="Google Sans" w:cs="Google Sans"/>
              </w:rPr>
              <w:t>An external threat actor launched an ICMP flood attack, targeting the company’s internal infrastructure. As a result, the entire network was impacted. The cybersecurity team had to identify and secure all vital systems and ensure that critical business functions were restored as soon as possible.</w:t>
            </w:r>
          </w:p>
        </w:tc>
      </w:tr>
      <w:tr w:rsidR="00B55282" w14:paraId="7EC28C06" w14:textId="77777777">
        <w:trPr>
          <w:trHeight w:val="420"/>
        </w:trPr>
        <w:tc>
          <w:tcPr>
            <w:tcW w:w="2055" w:type="dxa"/>
            <w:shd w:val="clear" w:color="auto" w:fill="auto"/>
            <w:tcMar>
              <w:top w:w="100" w:type="dxa"/>
              <w:left w:w="100" w:type="dxa"/>
              <w:bottom w:w="100" w:type="dxa"/>
              <w:right w:w="100" w:type="dxa"/>
            </w:tcMar>
          </w:tcPr>
          <w:p w14:paraId="620A2503" w14:textId="77777777" w:rsidR="00B55282" w:rsidRDefault="00132359">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3A3AD9CE" w14:textId="75CD295C" w:rsidR="00B55282" w:rsidRDefault="00132359">
            <w:pPr>
              <w:widowControl w:val="0"/>
              <w:spacing w:line="360" w:lineRule="auto"/>
              <w:rPr>
                <w:rFonts w:ascii="Google Sans" w:eastAsia="Google Sans" w:hAnsi="Google Sans" w:cs="Google Sans"/>
              </w:rPr>
            </w:pPr>
            <w:r w:rsidRPr="00132359">
              <w:rPr>
                <w:rFonts w:ascii="Google Sans" w:eastAsia="Google Sans" w:hAnsi="Google Sans" w:cs="Google Sans"/>
              </w:rPr>
              <w:t>To strengthen the network against similar attacks in the future, the team implemented a firewall rule to limit how many ICMP packets can be received in a short period. Additionally, they deployed Intrusion Detection and Prevention Systems (IDS/IPS), which help detect and block suspicious traffic patterns before they affect system performance.</w:t>
            </w:r>
          </w:p>
        </w:tc>
      </w:tr>
      <w:tr w:rsidR="00B55282" w14:paraId="67B14384" w14:textId="77777777">
        <w:trPr>
          <w:trHeight w:val="1061"/>
        </w:trPr>
        <w:tc>
          <w:tcPr>
            <w:tcW w:w="2055" w:type="dxa"/>
            <w:shd w:val="clear" w:color="auto" w:fill="auto"/>
            <w:tcMar>
              <w:top w:w="100" w:type="dxa"/>
              <w:left w:w="100" w:type="dxa"/>
              <w:bottom w:w="100" w:type="dxa"/>
              <w:right w:w="100" w:type="dxa"/>
            </w:tcMar>
          </w:tcPr>
          <w:p w14:paraId="0882BA5E" w14:textId="77777777" w:rsidR="00B55282" w:rsidRDefault="00132359">
            <w:pPr>
              <w:widowControl w:val="0"/>
              <w:spacing w:line="360" w:lineRule="auto"/>
              <w:rPr>
                <w:rFonts w:ascii="Google Sans" w:eastAsia="Google Sans" w:hAnsi="Google Sans" w:cs="Google Sans"/>
              </w:rPr>
            </w:pPr>
            <w:r>
              <w:rPr>
                <w:rFonts w:ascii="Google Sans" w:eastAsia="Google Sans" w:hAnsi="Google Sans" w:cs="Google Sans"/>
              </w:rPr>
              <w:lastRenderedPageBreak/>
              <w:t>Detect</w:t>
            </w:r>
          </w:p>
        </w:tc>
        <w:tc>
          <w:tcPr>
            <w:tcW w:w="8025" w:type="dxa"/>
            <w:shd w:val="clear" w:color="auto" w:fill="auto"/>
            <w:tcMar>
              <w:top w:w="100" w:type="dxa"/>
              <w:left w:w="100" w:type="dxa"/>
              <w:bottom w:w="100" w:type="dxa"/>
              <w:right w:w="100" w:type="dxa"/>
            </w:tcMar>
          </w:tcPr>
          <w:p w14:paraId="1A34691D" w14:textId="70408D5B" w:rsidR="00B55282" w:rsidRDefault="00132359">
            <w:pPr>
              <w:widowControl w:val="0"/>
              <w:spacing w:line="360" w:lineRule="auto"/>
              <w:rPr>
                <w:rFonts w:ascii="Google Sans" w:eastAsia="Google Sans" w:hAnsi="Google Sans" w:cs="Google Sans"/>
              </w:rPr>
            </w:pPr>
            <w:r w:rsidRPr="00132359">
              <w:rPr>
                <w:rFonts w:ascii="Google Sans" w:eastAsia="Google Sans" w:hAnsi="Google Sans" w:cs="Google Sans"/>
              </w:rPr>
              <w:t>To improve detection, the firewall was configured to verify the source of incoming IP addresses, helping to block spoofed or fake traffic. Network monitoring software was also introduced to observe traffic flow in real-time and identify early signs of abnormal or malicious activity.</w:t>
            </w:r>
          </w:p>
        </w:tc>
      </w:tr>
      <w:tr w:rsidR="00B55282" w14:paraId="0307EABF" w14:textId="77777777">
        <w:trPr>
          <w:trHeight w:val="420"/>
        </w:trPr>
        <w:tc>
          <w:tcPr>
            <w:tcW w:w="2055" w:type="dxa"/>
            <w:shd w:val="clear" w:color="auto" w:fill="auto"/>
            <w:tcMar>
              <w:top w:w="100" w:type="dxa"/>
              <w:left w:w="100" w:type="dxa"/>
              <w:bottom w:w="100" w:type="dxa"/>
              <w:right w:w="100" w:type="dxa"/>
            </w:tcMar>
          </w:tcPr>
          <w:p w14:paraId="167811D2" w14:textId="77777777" w:rsidR="00B55282" w:rsidRDefault="00132359">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17506A3A" w14:textId="6E06EEB1" w:rsidR="00B55282" w:rsidRDefault="00132359">
            <w:pPr>
              <w:widowControl w:val="0"/>
              <w:spacing w:line="360" w:lineRule="auto"/>
              <w:rPr>
                <w:rFonts w:ascii="Google Sans" w:eastAsia="Google Sans" w:hAnsi="Google Sans" w:cs="Google Sans"/>
              </w:rPr>
            </w:pPr>
            <w:r w:rsidRPr="00132359">
              <w:rPr>
                <w:rFonts w:ascii="Google Sans" w:eastAsia="Google Sans" w:hAnsi="Google Sans" w:cs="Google Sans"/>
              </w:rPr>
              <w:t>Moving forward, the response plan involves isolating any compromised systems to contain potential damage. The team will focus on restoring essential services, analyzing security logs for unusual activity, and sharing detailed reports with leadership and, if required, with external authorities. This structured response ensures better incident handling and accountability.</w:t>
            </w:r>
          </w:p>
        </w:tc>
      </w:tr>
      <w:tr w:rsidR="00B55282" w14:paraId="5F87BEB1" w14:textId="77777777">
        <w:trPr>
          <w:trHeight w:val="420"/>
        </w:trPr>
        <w:tc>
          <w:tcPr>
            <w:tcW w:w="2055" w:type="dxa"/>
            <w:shd w:val="clear" w:color="auto" w:fill="auto"/>
            <w:tcMar>
              <w:top w:w="100" w:type="dxa"/>
              <w:left w:w="100" w:type="dxa"/>
              <w:bottom w:w="100" w:type="dxa"/>
              <w:right w:w="100" w:type="dxa"/>
            </w:tcMar>
          </w:tcPr>
          <w:p w14:paraId="61C5534A" w14:textId="77777777" w:rsidR="00B55282" w:rsidRDefault="00132359">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6A1916AC" w14:textId="3A50D924" w:rsidR="00B55282" w:rsidRDefault="00132359" w:rsidP="00132359">
            <w:pPr>
              <w:widowControl w:val="0"/>
              <w:spacing w:line="360" w:lineRule="auto"/>
              <w:rPr>
                <w:rFonts w:ascii="Google Sans" w:eastAsia="Google Sans" w:hAnsi="Google Sans" w:cs="Google Sans"/>
              </w:rPr>
            </w:pPr>
            <w:r w:rsidRPr="00132359">
              <w:rPr>
                <w:rFonts w:ascii="Google Sans" w:eastAsia="Google Sans" w:hAnsi="Google Sans" w:cs="Google Sans"/>
              </w:rPr>
              <w:t>To fully recover from an ICMP-based DDoS attack, the organization must first block the malicious traffic at the firewall level to prevent further overload. Next, all non-critical services should be paused to reduce internal network strain, allowing the restoration of critical systems to take priority. Once the attack subsides and traffic returns to normal levels, the remaining services can be brought back online gradually. This structured and prioritized recovery process helps ensure that essential operations are restored quickly and efficiently, while minimizing the risk of further disruption.</w:t>
            </w:r>
          </w:p>
        </w:tc>
      </w:tr>
    </w:tbl>
    <w:p w14:paraId="75AB6FF4" w14:textId="77777777" w:rsidR="00B55282" w:rsidRDefault="00B55282">
      <w:pPr>
        <w:spacing w:after="200" w:line="360" w:lineRule="auto"/>
        <w:ind w:left="-360" w:right="-360"/>
        <w:rPr>
          <w:rFonts w:ascii="Google Sans" w:eastAsia="Google Sans" w:hAnsi="Google Sans" w:cs="Google Sans"/>
        </w:rPr>
      </w:pPr>
    </w:p>
    <w:p w14:paraId="4CF2D3CF" w14:textId="77777777" w:rsidR="00B55282" w:rsidRDefault="00000000">
      <w:pPr>
        <w:spacing w:after="200" w:line="360" w:lineRule="auto"/>
        <w:ind w:left="-360" w:right="-360"/>
        <w:rPr>
          <w:rFonts w:ascii="Google Sans" w:eastAsia="Google Sans" w:hAnsi="Google Sans" w:cs="Google Sans"/>
        </w:rPr>
      </w:pPr>
      <w:r>
        <w:pict w14:anchorId="2F806D5E">
          <v:rect id="_x0000_i1025" style="width:0;height:1.5pt" o:hralign="center" o:hrstd="t" o:hr="t" fillcolor="#a0a0a0" stroked="f"/>
        </w:pict>
      </w:r>
    </w:p>
    <w:p w14:paraId="1AB482E5" w14:textId="77777777" w:rsidR="00B55282" w:rsidRDefault="00B55282">
      <w:pPr>
        <w:spacing w:line="360" w:lineRule="auto"/>
        <w:ind w:left="-360" w:right="-360"/>
        <w:rPr>
          <w:rFonts w:ascii="Google Sans" w:eastAsia="Google Sans" w:hAnsi="Google Sans" w:cs="Google Sans"/>
        </w:rPr>
      </w:pPr>
    </w:p>
    <w:tbl>
      <w:tblPr>
        <w:tblStyle w:val="a0"/>
        <w:tblW w:w="1006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B55282" w14:paraId="306FCD52" w14:textId="77777777">
        <w:tc>
          <w:tcPr>
            <w:tcW w:w="10065" w:type="dxa"/>
            <w:shd w:val="clear" w:color="auto" w:fill="auto"/>
            <w:tcMar>
              <w:top w:w="100" w:type="dxa"/>
              <w:left w:w="100" w:type="dxa"/>
              <w:bottom w:w="100" w:type="dxa"/>
              <w:right w:w="100" w:type="dxa"/>
            </w:tcMar>
          </w:tcPr>
          <w:p w14:paraId="038BAB1D" w14:textId="77777777" w:rsidR="00E52FB7" w:rsidRDefault="00132359" w:rsidP="00E52FB7">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p w14:paraId="1A0E44BD" w14:textId="7A074269" w:rsidR="00B55282" w:rsidRDefault="00132359" w:rsidP="00E52FB7">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br/>
            </w:r>
            <w:r w:rsidRPr="00132359">
              <w:rPr>
                <w:rFonts w:ascii="Google Sans" w:eastAsia="Google Sans" w:hAnsi="Google Sans" w:cs="Google Sans"/>
              </w:rPr>
              <w:t>Through this incident analysis, I gained a deeper understanding of how everyday network protocols like ICMP can be exploited in malicious attacks. It highlighted the importance of proactive defense mechanisms, such as firewalls and monitoring tools, which play a major role in both preventing and identifying threats. Applying the NIST Cybersecurity Framework made it easier to organize the incident response steps and understand the broader context of cybersecurity planning. This exercise also emphasized that successful incident handling requires not only technical knowledge but also coordination, communication, and strategic decision-making to protect critical business functions.</w:t>
            </w:r>
          </w:p>
        </w:tc>
      </w:tr>
    </w:tbl>
    <w:p w14:paraId="4C248147" w14:textId="77777777" w:rsidR="00B55282" w:rsidRDefault="00B55282">
      <w:pPr>
        <w:spacing w:line="360" w:lineRule="auto"/>
        <w:ind w:left="-360" w:right="-360"/>
        <w:rPr>
          <w:rFonts w:ascii="Google Sans" w:eastAsia="Google Sans" w:hAnsi="Google Sans" w:cs="Google Sans"/>
        </w:rPr>
      </w:pPr>
    </w:p>
    <w:sectPr w:rsidR="00B55282">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17D6F" w14:textId="77777777" w:rsidR="0014539C" w:rsidRDefault="0014539C">
      <w:pPr>
        <w:spacing w:line="240" w:lineRule="auto"/>
      </w:pPr>
      <w:r>
        <w:separator/>
      </w:r>
    </w:p>
  </w:endnote>
  <w:endnote w:type="continuationSeparator" w:id="0">
    <w:p w14:paraId="663CA3EA" w14:textId="77777777" w:rsidR="0014539C" w:rsidRDefault="00145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A684A25-FC26-4CB7-8E58-8C61EE3FD7BA}"/>
    <w:embedBold r:id="rId2" w:fontKey="{F6174316-6A9B-4397-BB6B-E8C53FEB4F1B}"/>
  </w:font>
  <w:font w:name="Calibri">
    <w:panose1 w:val="020F0502020204030204"/>
    <w:charset w:val="00"/>
    <w:family w:val="swiss"/>
    <w:pitch w:val="variable"/>
    <w:sig w:usb0="E4002EFF" w:usb1="C200247B" w:usb2="00000009" w:usb3="00000000" w:csb0="000001FF" w:csb1="00000000"/>
    <w:embedRegular r:id="rId3" w:fontKey="{C7C52028-41E0-47AA-9E8A-F3CFEF5298A6}"/>
  </w:font>
  <w:font w:name="Cambria">
    <w:panose1 w:val="02040503050406030204"/>
    <w:charset w:val="00"/>
    <w:family w:val="roman"/>
    <w:pitch w:val="variable"/>
    <w:sig w:usb0="E00006FF" w:usb1="420024FF" w:usb2="02000000" w:usb3="00000000" w:csb0="0000019F" w:csb1="00000000"/>
    <w:embedRegular r:id="rId4" w:fontKey="{9E3B7F08-269E-4ECD-8AE2-C140D9E493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394F" w14:textId="77777777" w:rsidR="00B55282" w:rsidRDefault="00B552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B06DD" w14:textId="77777777" w:rsidR="0014539C" w:rsidRDefault="0014539C">
      <w:pPr>
        <w:spacing w:line="240" w:lineRule="auto"/>
      </w:pPr>
      <w:r>
        <w:separator/>
      </w:r>
    </w:p>
  </w:footnote>
  <w:footnote w:type="continuationSeparator" w:id="0">
    <w:p w14:paraId="44323DA9" w14:textId="77777777" w:rsidR="0014539C" w:rsidRDefault="001453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E1F80" w14:textId="77777777" w:rsidR="00B55282" w:rsidRDefault="00B5528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43D91" w14:textId="77777777" w:rsidR="00B55282" w:rsidRDefault="00132359">
    <w:r>
      <w:rPr>
        <w:noProof/>
      </w:rPr>
      <w:drawing>
        <wp:inline distT="114300" distB="114300" distL="114300" distR="114300" wp14:anchorId="6BE569AE" wp14:editId="5B1433C4">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82"/>
    <w:rsid w:val="00056E6E"/>
    <w:rsid w:val="000764AA"/>
    <w:rsid w:val="00132359"/>
    <w:rsid w:val="0014539C"/>
    <w:rsid w:val="002441C8"/>
    <w:rsid w:val="003C23E7"/>
    <w:rsid w:val="00B55282"/>
    <w:rsid w:val="00B76A4A"/>
    <w:rsid w:val="00E267F8"/>
    <w:rsid w:val="00E52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54C0"/>
  <w15:docId w15:val="{831D4DF8-0AE7-4854-8E8E-082592CB4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55245">
      <w:bodyDiv w:val="1"/>
      <w:marLeft w:val="0"/>
      <w:marRight w:val="0"/>
      <w:marTop w:val="0"/>
      <w:marBottom w:val="0"/>
      <w:divBdr>
        <w:top w:val="none" w:sz="0" w:space="0" w:color="auto"/>
        <w:left w:val="none" w:sz="0" w:space="0" w:color="auto"/>
        <w:bottom w:val="none" w:sz="0" w:space="0" w:color="auto"/>
        <w:right w:val="none" w:sz="0" w:space="0" w:color="auto"/>
      </w:divBdr>
    </w:div>
    <w:div w:id="1314217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535</Words>
  <Characters>3053</Characters>
  <Application>Microsoft Office Word</Application>
  <DocSecurity>0</DocSecurity>
  <Lines>25</Lines>
  <Paragraphs>7</Paragraphs>
  <ScaleCrop>false</ScaleCrop>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 Espinosa</dc:creator>
  <cp:lastModifiedBy>Espinosa, Melissa</cp:lastModifiedBy>
  <cp:revision>3</cp:revision>
  <dcterms:created xsi:type="dcterms:W3CDTF">2025-04-23T06:57:00Z</dcterms:created>
  <dcterms:modified xsi:type="dcterms:W3CDTF">2025-04-23T08:32:00Z</dcterms:modified>
</cp:coreProperties>
</file>