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Calibri" w:hAnsi="Calibri"/>
          <w:b/>
          <w:i w:val="0"/>
          <w:color w:val="000000"/>
          <w:sz w:val="48"/>
        </w:rPr>
        <w:t>BehaveGuard Roadmap</w:t>
      </w:r>
    </w:p>
    <w:p>
      <w:pPr>
        <w:spacing w:after="320"/>
      </w:pPr>
      <w:r>
        <w:rPr>
          <w:rFonts w:ascii="Calibri" w:hAnsi="Calibri"/>
          <w:b w:val="0"/>
          <w:i w:val="0"/>
          <w:color w:val="667085"/>
          <w:sz w:val="26"/>
        </w:rPr>
        <w:t>From development prototype to defensible behavioral authentication</w:t>
      </w:r>
    </w:p>
    <w:p>
      <w:pPr>
        <w:spacing w:after="100" w:line="264" w:lineRule="auto"/>
      </w:pPr>
      <w:r>
        <w:rPr>
          <w:rFonts w:ascii="Calibri" w:hAnsi="Calibri"/>
          <w:b/>
          <w:i w:val="0"/>
          <w:color w:val="1F4D78"/>
          <w:sz w:val="22"/>
        </w:rPr>
        <w:t xml:space="preserve">Prepared: </w:t>
      </w:r>
      <w:r>
        <w:rPr>
          <w:rFonts w:ascii="Calibri" w:hAnsi="Calibri"/>
          <w:b w:val="0"/>
          <w:i w:val="0"/>
          <w:color w:val="172033"/>
          <w:sz w:val="22"/>
        </w:rPr>
        <w:t>13 July 2026</w:t>
      </w:r>
    </w:p>
    <w:p>
      <w:pPr>
        <w:spacing w:after="100" w:line="264" w:lineRule="auto"/>
      </w:pPr>
      <w:r>
        <w:rPr>
          <w:rFonts w:ascii="Calibri" w:hAnsi="Calibri"/>
          <w:b/>
          <w:i w:val="0"/>
          <w:color w:val="1F4D78"/>
          <w:sz w:val="22"/>
        </w:rPr>
        <w:t xml:space="preserve">Current release: </w:t>
      </w:r>
      <w:r>
        <w:rPr>
          <w:rFonts w:ascii="Calibri" w:hAnsi="Calibri"/>
          <w:b w:val="0"/>
          <w:i w:val="0"/>
          <w:color w:val="172033"/>
          <w:sz w:val="22"/>
        </w:rPr>
        <w:t>Integrated enrollment, 1:1 verification, 1:N identification, training, and admin analytics</w:t>
      </w:r>
    </w:p>
    <w:p>
      <w:pPr>
        <w:spacing w:after="100" w:line="264" w:lineRule="auto"/>
      </w:pPr>
      <w:r>
        <w:rPr>
          <w:rFonts w:ascii="Calibri" w:hAnsi="Calibri"/>
          <w:b/>
          <w:i w:val="0"/>
          <w:color w:val="1F4D78"/>
          <w:sz w:val="22"/>
        </w:rPr>
        <w:t xml:space="preserve">Decision: </w:t>
      </w:r>
      <w:r>
        <w:rPr>
          <w:rFonts w:ascii="Calibri" w:hAnsi="Calibri"/>
          <w:b w:val="0"/>
          <w:i w:val="0"/>
          <w:color w:val="172033"/>
          <w:sz w:val="22"/>
        </w:rPr>
        <w:t>Prioritize repeated-session data, shorter verification, and calibrated multimodal scoring; defer logins and RBAC</w:t>
      </w:r>
    </w:p>
    <w:tbl>
      <w:tblPr>
        <w:tblW w:type="dxa" w:w="9360"/>
        <w:jc w:val="left"/>
        <w:tblLayout w:type="fixed"/>
        <w:tblLook w:firstColumn="1" w:firstRow="1" w:lastColumn="0" w:lastRow="0" w:noHBand="0" w:noVBand="1" w:val="04A0"/>
        <w:tblInd w:w="120" w:type="dxa"/>
      </w:tblPr>
      <w:tblGrid>
        <w:gridCol w:w="9360"/>
      </w:tblGrid>
      <w:tr>
        <w:tc>
          <w:tcPr>
            <w:tcW w:type="dxa" w:w="9360"/>
            <w:shd w:fill="FFF6DB"/>
            <w:tcMar>
              <w:top w:w="80" w:type="dxa"/>
              <w:start w:w="120" w:type="dxa"/>
              <w:bottom w:w="80" w:type="dxa"/>
              <w:end w:w="120" w:type="dxa"/>
            </w:tcMar>
            <w:vAlign w:val="center"/>
          </w:tcPr>
          <w:p>
            <w:pPr>
              <w:spacing w:after="0" w:line="269" w:lineRule="auto"/>
            </w:pPr>
            <w:r>
              <w:rPr>
                <w:rFonts w:ascii="Calibri" w:hAnsi="Calibri"/>
                <w:b/>
                <w:i w:val="0"/>
                <w:color w:val="7A5A00"/>
                <w:sz w:val="22"/>
              </w:rPr>
              <w:t xml:space="preserve">Executive recommendation  </w:t>
            </w:r>
            <w:r>
              <w:rPr>
                <w:rFonts w:ascii="Calibri" w:hAnsi="Calibri"/>
                <w:b w:val="0"/>
                <w:i w:val="0"/>
                <w:color w:val="172033"/>
                <w:sz w:val="22"/>
              </w:rPr>
              <w:t>Keep full enrollment for strong templates, use the new short protocol for routine verification, and collect three to five independent sessions per profile before treating certainty as an operational authentication claim.</w:t>
            </w:r>
          </w:p>
        </w:tc>
      </w:tr>
    </w:tbl>
    <w:p>
      <w:pPr>
        <w:spacing w:after="60"/>
      </w:pPr>
    </w:p>
    <w:p>
      <w:pPr>
        <w:pStyle w:val="Heading1"/>
      </w:pPr>
      <w:r>
        <w:t>Current position</w:t>
      </w:r>
    </w:p>
    <w:p>
      <w:pPr>
        <w:keepLines/>
      </w:pPr>
      <w:r>
        <w:t>BehaveGuard is now a working local-first behavioral authentication system. The frontend collects keyboard and mouse dynamics; the backend stores profiles and sessions, retrains saved models after enrollment, performs detailed 1:1 verification, ranks selected candidates for 1:N identification, and exposes administrative comparisons.</w:t>
      </w:r>
    </w:p>
    <w:tbl>
      <w:tblPr>
        <w:tblStyle w:val="TableGrid"/>
        <w:tblW w:type="dxa" w:w="9360"/>
        <w:jc w:val="left"/>
        <w:tblLayout w:type="fixed"/>
        <w:tblLook w:firstColumn="1" w:firstRow="1" w:lastColumn="0" w:lastRow="0" w:noHBand="0" w:noVBand="1" w:val="04A0"/>
        <w:tblInd w:w="120" w:type="dxa"/>
      </w:tblPr>
      <w:tblGrid>
        <w:gridCol w:w="1900"/>
        <w:gridCol w:w="3300"/>
        <w:gridCol w:w="4160"/>
      </w:tblGrid>
      <w:tr>
        <w:trPr>
          <w:tblHeader w:val="true"/>
        </w:trPr>
        <w:tc>
          <w:tcPr>
            <w:tcW w:type="dxa" w:w="1900"/>
            <w:shd w:fill="F2F4F7"/>
            <w:tcMar>
              <w:top w:w="80" w:type="dxa"/>
              <w:start w:w="120" w:type="dxa"/>
              <w:bottom w:w="80" w:type="dxa"/>
              <w:end w:w="120" w:type="dxa"/>
            </w:tcMar>
            <w:vAlign w:val="center"/>
          </w:tcPr>
          <w:p>
            <w:pPr>
              <w:spacing w:before="0" w:after="0" w:line="259" w:lineRule="auto"/>
            </w:pPr>
            <w:r>
              <w:rPr>
                <w:rFonts w:ascii="Calibri" w:hAnsi="Calibri"/>
                <w:b/>
                <w:i w:val="0"/>
                <w:color w:val="1F4D78"/>
                <w:sz w:val="20"/>
              </w:rPr>
              <w:t>Capability</w:t>
            </w:r>
          </w:p>
        </w:tc>
        <w:tc>
          <w:tcPr>
            <w:tcW w:type="dxa" w:w="3300"/>
            <w:shd w:fill="F2F4F7"/>
            <w:tcMar>
              <w:top w:w="80" w:type="dxa"/>
              <w:start w:w="120" w:type="dxa"/>
              <w:bottom w:w="80" w:type="dxa"/>
              <w:end w:w="120" w:type="dxa"/>
            </w:tcMar>
            <w:vAlign w:val="center"/>
          </w:tcPr>
          <w:p>
            <w:pPr>
              <w:spacing w:before="0" w:after="0" w:line="259" w:lineRule="auto"/>
            </w:pPr>
            <w:r>
              <w:rPr>
                <w:rFonts w:ascii="Calibri" w:hAnsi="Calibri"/>
                <w:b/>
                <w:i w:val="0"/>
                <w:color w:val="1F4D78"/>
                <w:sz w:val="20"/>
              </w:rPr>
              <w:t>Current state</w:t>
            </w:r>
          </w:p>
        </w:tc>
        <w:tc>
          <w:tcPr>
            <w:tcW w:type="dxa" w:w="4160"/>
            <w:shd w:fill="F2F4F7"/>
            <w:tcMar>
              <w:top w:w="80" w:type="dxa"/>
              <w:start w:w="120" w:type="dxa"/>
              <w:bottom w:w="80" w:type="dxa"/>
              <w:end w:w="120" w:type="dxa"/>
            </w:tcMar>
            <w:vAlign w:val="center"/>
          </w:tcPr>
          <w:p>
            <w:pPr>
              <w:spacing w:before="0" w:after="0" w:line="259" w:lineRule="auto"/>
            </w:pPr>
            <w:r>
              <w:rPr>
                <w:rFonts w:ascii="Calibri" w:hAnsi="Calibri"/>
                <w:b/>
                <w:i w:val="0"/>
                <w:color w:val="1F4D78"/>
                <w:sz w:val="20"/>
              </w:rPr>
              <w:t>Interpretation</w:t>
            </w:r>
          </w:p>
        </w:tc>
      </w:tr>
      <w:tr>
        <w:tc>
          <w:tcPr>
            <w:tcW w:type="dxa" w:w="190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Enrollment</w:t>
            </w:r>
          </w:p>
        </w:tc>
        <w:tc>
          <w:tcPr>
            <w:tcW w:type="dxa" w:w="330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Full keyboard, clicking, pursuit, and drag protocol</w:t>
            </w:r>
          </w:p>
        </w:tc>
        <w:tc>
          <w:tcPr>
            <w:tcW w:type="dxa" w:w="416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Updates centroids and trained artifacts automatically</w:t>
            </w:r>
          </w:p>
        </w:tc>
      </w:tr>
      <w:tr>
        <w:tc>
          <w:tcPr>
            <w:tcW w:type="dxa" w:w="190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Verification</w:t>
            </w:r>
          </w:p>
        </w:tc>
        <w:tc>
          <w:tcPr>
            <w:tcW w:type="dxa" w:w="330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Short protocol: 30-second typing segments, 10 targets, two 8-second pursuit trials, five drags</w:t>
            </w:r>
          </w:p>
        </w:tc>
        <w:tc>
          <w:tcPr>
            <w:tcW w:type="dxa" w:w="416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Faster probes while retaining both modalities</w:t>
            </w:r>
          </w:p>
        </w:tc>
      </w:tr>
      <w:tr>
        <w:tc>
          <w:tcPr>
            <w:tcW w:type="dxa" w:w="190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Scoring</w:t>
            </w:r>
          </w:p>
        </w:tc>
        <w:tc>
          <w:tcPr>
            <w:tcW w:type="dxa" w:w="330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Centroid + tuned RBF-SVM + experimental BiLSTM/TCN vote</w:t>
            </w:r>
          </w:p>
        </w:tc>
        <w:tc>
          <w:tcPr>
            <w:tcW w:type="dxa" w:w="416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Component evidence is visible in results</w:t>
            </w:r>
          </w:p>
        </w:tc>
      </w:tr>
      <w:tr>
        <w:tc>
          <w:tcPr>
            <w:tcW w:type="dxa" w:w="190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Administration</w:t>
            </w:r>
          </w:p>
        </w:tc>
        <w:tc>
          <w:tcPr>
            <w:tcW w:type="dxa" w:w="330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Profile comparison, character ratings, WPM, timing, mouse statistics, trends, blacklist/delete</w:t>
            </w:r>
          </w:p>
        </w:tc>
        <w:tc>
          <w:tcPr>
            <w:tcW w:type="dxa" w:w="416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Designed for exploration; no login layer by request</w:t>
            </w:r>
          </w:p>
        </w:tc>
      </w:tr>
    </w:tbl>
    <w:p>
      <w:pPr>
        <w:spacing w:before="80" w:after="80"/>
      </w:pPr>
    </w:p>
    <w:p>
      <w:pPr>
        <w:pStyle w:val="Heading1"/>
      </w:pPr>
      <w:r>
        <w:t>What was implemented now</w:t>
      </w:r>
    </w:p>
    <w:p>
      <w:pPr>
        <w:spacing w:after="100" w:line="264" w:lineRule="auto"/>
      </w:pPr>
      <w:r>
        <w:rPr>
          <w:rFonts w:ascii="Calibri" w:hAnsi="Calibri"/>
          <w:b/>
          <w:i w:val="0"/>
          <w:color w:val="1F4D78"/>
          <w:sz w:val="22"/>
        </w:rPr>
        <w:t xml:space="preserve">Short verification: </w:t>
      </w:r>
      <w:r>
        <w:rPr>
          <w:rFonts w:ascii="Calibri" w:hAnsi="Calibri"/>
          <w:b w:val="0"/>
          <w:i w:val="0"/>
          <w:color w:val="172033"/>
          <w:sz w:val="22"/>
        </w:rPr>
        <w:t>Routine 1:1 and 1:N checks now take a reduced protocol; enrollment remains comprehensive so template quality does not silently decline.</w:t>
      </w:r>
    </w:p>
    <w:p>
      <w:pPr>
        <w:spacing w:after="100" w:line="264" w:lineRule="auto"/>
      </w:pPr>
      <w:r>
        <w:rPr>
          <w:rFonts w:ascii="Calibri" w:hAnsi="Calibri"/>
          <w:b/>
          <w:i w:val="0"/>
          <w:color w:val="1F4D78"/>
          <w:sz w:val="22"/>
        </w:rPr>
        <w:t xml:space="preserve">Online ensemble: </w:t>
      </w:r>
      <w:r>
        <w:rPr>
          <w:rFonts w:ascii="Calibri" w:hAnsi="Calibri"/>
          <w:b w:val="0"/>
          <w:i w:val="0"/>
          <w:color w:val="172033"/>
          <w:sz w:val="22"/>
        </w:rPr>
        <w:t>The production scorer now blends normalized profile-centroid similarity, the tuned RBF-SVM, and a low-weight experimental BiLSTM keyboard plus TCN mouse vote. Neural evidence is visible instead of presented as unexplained certainty.</w:t>
      </w:r>
    </w:p>
    <w:p>
      <w:pPr>
        <w:spacing w:after="100" w:line="264" w:lineRule="auto"/>
      </w:pPr>
      <w:r>
        <w:rPr>
          <w:rFonts w:ascii="Calibri" w:hAnsi="Calibri"/>
          <w:b/>
          <w:i w:val="0"/>
          <w:color w:val="1F4D78"/>
          <w:sz w:val="22"/>
        </w:rPr>
        <w:t xml:space="preserve">Longitudinal analytics: </w:t>
      </w:r>
      <w:r>
        <w:rPr>
          <w:rFonts w:ascii="Calibri" w:hAnsi="Calibri"/>
          <w:b w:val="0"/>
          <w:i w:val="0"/>
          <w:color w:val="172033"/>
          <w:sz w:val="22"/>
        </w:rPr>
        <w:t>The character-comparison dashboard now plots WPM and click-error trends across enrollment sessions. These plots become increasingly useful as repeat sessions are collected.</w:t>
      </w:r>
    </w:p>
    <w:p>
      <w:pPr>
        <w:spacing w:after="100" w:line="264" w:lineRule="auto"/>
      </w:pPr>
      <w:r>
        <w:rPr>
          <w:rFonts w:ascii="Calibri" w:hAnsi="Calibri"/>
          <w:b/>
          <w:i w:val="0"/>
          <w:color w:val="1F4D78"/>
          <w:sz w:val="22"/>
        </w:rPr>
        <w:t xml:space="preserve">Missing modalities: </w:t>
      </w:r>
      <w:r>
        <w:rPr>
          <w:rFonts w:ascii="Calibri" w:hAnsi="Calibri"/>
          <w:b w:val="0"/>
          <w:i w:val="0"/>
          <w:color w:val="172033"/>
          <w:sz w:val="22"/>
        </w:rPr>
        <w:t>Absent keyboard or mouse measurements are labelled. Population-relative character ratings use a neutral display value for unavailable axes rather than treating missing data as poor behavior.</w:t>
      </w:r>
    </w:p>
    <w:p>
      <w:pPr>
        <w:pStyle w:val="Heading1"/>
      </w:pPr>
      <w:r>
        <w:t>Priority roadmap</w:t>
      </w:r>
    </w:p>
    <w:tbl>
      <w:tblPr>
        <w:tblStyle w:val="TableGrid"/>
        <w:tblW w:type="dxa" w:w="9360"/>
        <w:jc w:val="left"/>
        <w:tblLayout w:type="fixed"/>
        <w:tblLook w:firstColumn="1" w:firstRow="1" w:lastColumn="0" w:lastRow="0" w:noHBand="0" w:noVBand="1" w:val="04A0"/>
        <w:tblInd w:w="120" w:type="dxa"/>
      </w:tblPr>
      <w:tblGrid>
        <w:gridCol w:w="1100"/>
        <w:gridCol w:w="3380"/>
        <w:gridCol w:w="4880"/>
      </w:tblGrid>
      <w:tr>
        <w:trPr>
          <w:tblHeader w:val="true"/>
        </w:trPr>
        <w:tc>
          <w:tcPr>
            <w:tcW w:type="dxa" w:w="1100"/>
            <w:shd w:fill="F2F4F7"/>
            <w:tcMar>
              <w:top w:w="80" w:type="dxa"/>
              <w:start w:w="120" w:type="dxa"/>
              <w:bottom w:w="80" w:type="dxa"/>
              <w:end w:w="120" w:type="dxa"/>
            </w:tcMar>
            <w:vAlign w:val="center"/>
          </w:tcPr>
          <w:p>
            <w:pPr>
              <w:spacing w:before="0" w:after="0" w:line="259" w:lineRule="auto"/>
            </w:pPr>
            <w:r>
              <w:rPr>
                <w:rFonts w:ascii="Calibri" w:hAnsi="Calibri"/>
                <w:b/>
                <w:i w:val="0"/>
                <w:color w:val="1F4D78"/>
                <w:sz w:val="20"/>
              </w:rPr>
              <w:t>Priority</w:t>
            </w:r>
          </w:p>
        </w:tc>
        <w:tc>
          <w:tcPr>
            <w:tcW w:type="dxa" w:w="3380"/>
            <w:shd w:fill="F2F4F7"/>
            <w:tcMar>
              <w:top w:w="80" w:type="dxa"/>
              <w:start w:w="120" w:type="dxa"/>
              <w:bottom w:w="80" w:type="dxa"/>
              <w:end w:w="120" w:type="dxa"/>
            </w:tcMar>
            <w:vAlign w:val="center"/>
          </w:tcPr>
          <w:p>
            <w:pPr>
              <w:spacing w:before="0" w:after="0" w:line="259" w:lineRule="auto"/>
            </w:pPr>
            <w:r>
              <w:rPr>
                <w:rFonts w:ascii="Calibri" w:hAnsi="Calibri"/>
                <w:b/>
                <w:i w:val="0"/>
                <w:color w:val="1F4D78"/>
                <w:sz w:val="20"/>
              </w:rPr>
              <w:t>Workstream</w:t>
            </w:r>
          </w:p>
        </w:tc>
        <w:tc>
          <w:tcPr>
            <w:tcW w:type="dxa" w:w="4880"/>
            <w:shd w:fill="F2F4F7"/>
            <w:tcMar>
              <w:top w:w="80" w:type="dxa"/>
              <w:start w:w="120" w:type="dxa"/>
              <w:bottom w:w="80" w:type="dxa"/>
              <w:end w:w="120" w:type="dxa"/>
            </w:tcMar>
            <w:vAlign w:val="center"/>
          </w:tcPr>
          <w:p>
            <w:pPr>
              <w:spacing w:before="0" w:after="0" w:line="259" w:lineRule="auto"/>
            </w:pPr>
            <w:r>
              <w:rPr>
                <w:rFonts w:ascii="Calibri" w:hAnsi="Calibri"/>
                <w:b/>
                <w:i w:val="0"/>
                <w:color w:val="1F4D78"/>
                <w:sz w:val="20"/>
              </w:rPr>
              <w:t>Completion signal</w:t>
            </w:r>
          </w:p>
        </w:tc>
      </w:tr>
      <w:tr>
        <w:tc>
          <w:tcPr>
            <w:tcW w:type="dxa" w:w="110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P0</w:t>
            </w:r>
          </w:p>
        </w:tc>
        <w:tc>
          <w:tcPr>
            <w:tcW w:type="dxa" w:w="338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Collect 3–5 sessions per profile across at least three days</w:t>
            </w:r>
          </w:p>
        </w:tc>
        <w:tc>
          <w:tcPr>
            <w:tcW w:type="dxa" w:w="488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Every active profile has independent enrollment and probe evidence</w:t>
            </w:r>
          </w:p>
        </w:tc>
      </w:tr>
      <w:tr>
        <w:tc>
          <w:tcPr>
            <w:tcW w:type="dxa" w:w="110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P0</w:t>
            </w:r>
          </w:p>
        </w:tc>
        <w:tc>
          <w:tcPr>
            <w:tcW w:type="dxa" w:w="338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Session-disjoint evaluation and threshold calibration</w:t>
            </w:r>
          </w:p>
        </w:tc>
        <w:tc>
          <w:tcPr>
            <w:tcW w:type="dxa" w:w="488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FAR, FRR, EER, TAR at fixed FAR, and confidence intervals reported without window leakage</w:t>
            </w:r>
          </w:p>
        </w:tc>
      </w:tr>
      <w:tr>
        <w:tc>
          <w:tcPr>
            <w:tcW w:type="dxa" w:w="110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P1</w:t>
            </w:r>
          </w:p>
        </w:tc>
        <w:tc>
          <w:tcPr>
            <w:tcW w:type="dxa" w:w="338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Measure quick-protocol accuracy versus duration</w:t>
            </w:r>
          </w:p>
        </w:tc>
        <w:tc>
          <w:tcPr>
            <w:tcW w:type="dxa" w:w="488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Choose the shortest protocol that stays within an agreed accuracy loss</w:t>
            </w:r>
          </w:p>
        </w:tc>
      </w:tr>
      <w:tr>
        <w:tc>
          <w:tcPr>
            <w:tcW w:type="dxa" w:w="110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P1</w:t>
            </w:r>
          </w:p>
        </w:tc>
        <w:tc>
          <w:tcPr>
            <w:tcW w:type="dxa" w:w="338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Retrain the sequence model on independent sessions</w:t>
            </w:r>
          </w:p>
        </w:tc>
        <w:tc>
          <w:tcPr>
            <w:tcW w:type="dxa" w:w="488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Neural embeddings improve the classical baseline on held-out days</w:t>
            </w:r>
          </w:p>
        </w:tc>
      </w:tr>
      <w:tr>
        <w:tc>
          <w:tcPr>
            <w:tcW w:type="dxa" w:w="110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P1</w:t>
            </w:r>
          </w:p>
        </w:tc>
        <w:tc>
          <w:tcPr>
            <w:tcW w:type="dxa" w:w="338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Outlier and enrollment-quality controls</w:t>
            </w:r>
          </w:p>
        </w:tc>
        <w:tc>
          <w:tcPr>
            <w:tcW w:type="dxa" w:w="488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Low-quality or anomalous sessions cannot update templates silently</w:t>
            </w:r>
          </w:p>
        </w:tc>
      </w:tr>
      <w:tr>
        <w:tc>
          <w:tcPr>
            <w:tcW w:type="dxa" w:w="110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P2</w:t>
            </w:r>
          </w:p>
        </w:tc>
        <w:tc>
          <w:tcPr>
            <w:tcW w:type="dxa" w:w="338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PostgreSQL/pgvector, background jobs, model rollback</w:t>
            </w:r>
          </w:p>
        </w:tc>
        <w:tc>
          <w:tcPr>
            <w:tcW w:type="dxa" w:w="488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Repeatable deployment and safe model promotion</w:t>
            </w:r>
          </w:p>
        </w:tc>
      </w:tr>
      <w:tr>
        <w:tc>
          <w:tcPr>
            <w:tcW w:type="dxa" w:w="110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Deferred</w:t>
            </w:r>
          </w:p>
        </w:tc>
        <w:tc>
          <w:tcPr>
            <w:tcW w:type="dxa" w:w="338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Login, organization RBAC, and account management</w:t>
            </w:r>
          </w:p>
        </w:tc>
        <w:tc>
          <w:tcPr>
            <w:tcW w:type="dxa" w:w="488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Intentionally excluded from the current local research release</w:t>
            </w:r>
          </w:p>
        </w:tc>
      </w:tr>
    </w:tbl>
    <w:p>
      <w:pPr>
        <w:spacing w:before="80" w:after="80"/>
      </w:pPr>
    </w:p>
    <w:p>
      <w:pPr>
        <w:pStyle w:val="Heading1"/>
      </w:pPr>
      <w:r>
        <w:t>Data collection protocol</w:t>
      </w:r>
    </w:p>
    <w:tbl>
      <w:tblPr>
        <w:tblW w:type="dxa" w:w="9360"/>
        <w:jc w:val="left"/>
        <w:tblLayout w:type="fixed"/>
        <w:tblLook w:firstColumn="1" w:firstRow="1" w:lastColumn="0" w:lastRow="0" w:noHBand="0" w:noVBand="1" w:val="04A0"/>
        <w:tblInd w:w="120" w:type="dxa"/>
      </w:tblPr>
      <w:tblGrid>
        <w:gridCol w:w="9360"/>
      </w:tblGrid>
      <w:tr>
        <w:tc>
          <w:tcPr>
            <w:tcW w:type="dxa" w:w="9360"/>
            <w:shd w:fill="E8EEF5"/>
            <w:tcMar>
              <w:top w:w="80" w:type="dxa"/>
              <w:start w:w="120" w:type="dxa"/>
              <w:bottom w:w="80" w:type="dxa"/>
              <w:end w:w="120" w:type="dxa"/>
            </w:tcMar>
            <w:vAlign w:val="center"/>
          </w:tcPr>
          <w:p>
            <w:pPr>
              <w:spacing w:after="0" w:line="269" w:lineRule="auto"/>
            </w:pPr>
            <w:r>
              <w:rPr>
                <w:rFonts w:ascii="Calibri" w:hAnsi="Calibri"/>
                <w:b/>
                <w:i w:val="0"/>
                <w:color w:val="1F4D78"/>
                <w:sz w:val="22"/>
              </w:rPr>
              <w:t xml:space="preserve">Minimum  </w:t>
            </w:r>
            <w:r>
              <w:rPr>
                <w:rFonts w:ascii="Calibri" w:hAnsi="Calibri"/>
                <w:b w:val="0"/>
                <w:i w:val="0"/>
                <w:color w:val="172033"/>
                <w:sz w:val="22"/>
              </w:rPr>
              <w:t>Three independent sessions per profile. Five sessions across different days and times is preferred. A single long session split into windows does not count as independent evidence.</w:t>
            </w:r>
          </w:p>
        </w:tc>
      </w:tr>
    </w:tbl>
    <w:p>
      <w:pPr>
        <w:spacing w:after="60"/>
      </w:pPr>
    </w:p>
    <w:tbl>
      <w:tblPr>
        <w:tblStyle w:val="TableGrid"/>
        <w:tblW w:type="dxa" w:w="9360"/>
        <w:jc w:val="left"/>
        <w:tblLayout w:type="fixed"/>
        <w:tblLook w:firstColumn="1" w:firstRow="1" w:lastColumn="0" w:lastRow="0" w:noHBand="0" w:noVBand="1" w:val="04A0"/>
        <w:tblInd w:w="120" w:type="dxa"/>
      </w:tblPr>
      <w:tblGrid>
        <w:gridCol w:w="1700"/>
        <w:gridCol w:w="3500"/>
        <w:gridCol w:w="4160"/>
      </w:tblGrid>
      <w:tr>
        <w:trPr>
          <w:tblHeader w:val="true"/>
        </w:trPr>
        <w:tc>
          <w:tcPr>
            <w:tcW w:type="dxa" w:w="1700"/>
            <w:shd w:fill="F2F4F7"/>
            <w:tcMar>
              <w:top w:w="80" w:type="dxa"/>
              <w:start w:w="120" w:type="dxa"/>
              <w:bottom w:w="80" w:type="dxa"/>
              <w:end w:w="120" w:type="dxa"/>
            </w:tcMar>
            <w:vAlign w:val="center"/>
          </w:tcPr>
          <w:p>
            <w:pPr>
              <w:spacing w:before="0" w:after="0" w:line="259" w:lineRule="auto"/>
            </w:pPr>
            <w:r>
              <w:rPr>
                <w:rFonts w:ascii="Calibri" w:hAnsi="Calibri"/>
                <w:b/>
                <w:i w:val="0"/>
                <w:color w:val="1F4D78"/>
                <w:sz w:val="20"/>
              </w:rPr>
              <w:t>Dimension</w:t>
            </w:r>
          </w:p>
        </w:tc>
        <w:tc>
          <w:tcPr>
            <w:tcW w:type="dxa" w:w="3500"/>
            <w:shd w:fill="F2F4F7"/>
            <w:tcMar>
              <w:top w:w="80" w:type="dxa"/>
              <w:start w:w="120" w:type="dxa"/>
              <w:bottom w:w="80" w:type="dxa"/>
              <w:end w:w="120" w:type="dxa"/>
            </w:tcMar>
            <w:vAlign w:val="center"/>
          </w:tcPr>
          <w:p>
            <w:pPr>
              <w:spacing w:before="0" w:after="0" w:line="259" w:lineRule="auto"/>
            </w:pPr>
            <w:r>
              <w:rPr>
                <w:rFonts w:ascii="Calibri" w:hAnsi="Calibri"/>
                <w:b/>
                <w:i w:val="0"/>
                <w:color w:val="1F4D78"/>
                <w:sz w:val="20"/>
              </w:rPr>
              <w:t>Recommended variation</w:t>
            </w:r>
          </w:p>
        </w:tc>
        <w:tc>
          <w:tcPr>
            <w:tcW w:type="dxa" w:w="4160"/>
            <w:shd w:fill="F2F4F7"/>
            <w:tcMar>
              <w:top w:w="80" w:type="dxa"/>
              <w:start w:w="120" w:type="dxa"/>
              <w:bottom w:w="80" w:type="dxa"/>
              <w:end w:w="120" w:type="dxa"/>
            </w:tcMar>
            <w:vAlign w:val="center"/>
          </w:tcPr>
          <w:p>
            <w:pPr>
              <w:spacing w:before="0" w:after="0" w:line="259" w:lineRule="auto"/>
            </w:pPr>
            <w:r>
              <w:rPr>
                <w:rFonts w:ascii="Calibri" w:hAnsi="Calibri"/>
                <w:b/>
                <w:i w:val="0"/>
                <w:color w:val="1F4D78"/>
                <w:sz w:val="20"/>
              </w:rPr>
              <w:t>Reason</w:t>
            </w:r>
          </w:p>
        </w:tc>
      </w:tr>
      <w:tr>
        <w:tc>
          <w:tcPr>
            <w:tcW w:type="dxa" w:w="170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Day/time</w:t>
            </w:r>
          </w:p>
        </w:tc>
        <w:tc>
          <w:tcPr>
            <w:tcW w:type="dxa" w:w="350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At least three days; varied time of day</w:t>
            </w:r>
          </w:p>
        </w:tc>
        <w:tc>
          <w:tcPr>
            <w:tcW w:type="dxa" w:w="416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Captures natural rhythm drift and fatigue</w:t>
            </w:r>
          </w:p>
        </w:tc>
      </w:tr>
      <w:tr>
        <w:tc>
          <w:tcPr>
            <w:tcW w:type="dxa" w:w="170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Device</w:t>
            </w:r>
          </w:p>
        </w:tc>
        <w:tc>
          <w:tcPr>
            <w:tcW w:type="dxa" w:w="350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Primary device plus at least one alternate where practical</w:t>
            </w:r>
          </w:p>
        </w:tc>
        <w:tc>
          <w:tcPr>
            <w:tcW w:type="dxa" w:w="416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Separates person-specific behavior from device geometry</w:t>
            </w:r>
          </w:p>
        </w:tc>
      </w:tr>
      <w:tr>
        <w:tc>
          <w:tcPr>
            <w:tcW w:type="dxa" w:w="170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Environment</w:t>
            </w:r>
          </w:p>
        </w:tc>
        <w:tc>
          <w:tcPr>
            <w:tcW w:type="dxa" w:w="350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Normal desk conditions; record coarse device context</w:t>
            </w:r>
          </w:p>
        </w:tc>
        <w:tc>
          <w:tcPr>
            <w:tcW w:type="dxa" w:w="416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Supports device-aware quality analysis without fingerprinting</w:t>
            </w:r>
          </w:p>
        </w:tc>
      </w:tr>
      <w:tr>
        <w:tc>
          <w:tcPr>
            <w:tcW w:type="dxa" w:w="170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Enrollment</w:t>
            </w:r>
          </w:p>
        </w:tc>
        <w:tc>
          <w:tcPr>
            <w:tcW w:type="dxa" w:w="350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Full protocol</w:t>
            </w:r>
          </w:p>
        </w:tc>
        <w:tc>
          <w:tcPr>
            <w:tcW w:type="dxa" w:w="416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Maximizes stable template evidence</w:t>
            </w:r>
          </w:p>
        </w:tc>
      </w:tr>
      <w:tr>
        <w:tc>
          <w:tcPr>
            <w:tcW w:type="dxa" w:w="170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Probe</w:t>
            </w:r>
          </w:p>
        </w:tc>
        <w:tc>
          <w:tcPr>
            <w:tcW w:type="dxa" w:w="350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Short protocol plus occasional full probe</w:t>
            </w:r>
          </w:p>
        </w:tc>
        <w:tc>
          <w:tcPr>
            <w:tcW w:type="dxa" w:w="416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Measures convenience/accuracy tradeoff</w:t>
            </w:r>
          </w:p>
        </w:tc>
      </w:tr>
    </w:tbl>
    <w:p>
      <w:pPr>
        <w:spacing w:before="80" w:after="80"/>
      </w:pPr>
    </w:p>
    <w:p>
      <w:pPr>
        <w:pStyle w:val="Heading1"/>
      </w:pPr>
      <w:r>
        <w:t>Evaluation and promotion gates</w:t>
      </w:r>
    </w:p>
    <w:p>
      <w:pPr>
        <w:spacing w:after="100" w:line="264" w:lineRule="auto"/>
      </w:pPr>
      <w:r>
        <w:rPr>
          <w:rFonts w:ascii="Calibri" w:hAnsi="Calibri"/>
          <w:b/>
          <w:i w:val="0"/>
          <w:color w:val="1F4D78"/>
          <w:sz w:val="22"/>
        </w:rPr>
        <w:t xml:space="preserve">Splitting: </w:t>
      </w:r>
      <w:r>
        <w:rPr>
          <w:rFonts w:ascii="Calibri" w:hAnsi="Calibri"/>
          <w:b w:val="0"/>
          <w:i w:val="0"/>
          <w:color w:val="172033"/>
          <w:sz w:val="22"/>
        </w:rPr>
        <w:t>Assign the parent real session before creating windows. No window, normalization statistic, or derived feature from a held-out session may enter training.</w:t>
      </w:r>
    </w:p>
    <w:p>
      <w:pPr>
        <w:spacing w:after="100" w:line="264" w:lineRule="auto"/>
      </w:pPr>
      <w:r>
        <w:rPr>
          <w:rFonts w:ascii="Calibri" w:hAnsi="Calibri"/>
          <w:b/>
          <w:i w:val="0"/>
          <w:color w:val="1F4D78"/>
          <w:sz w:val="22"/>
        </w:rPr>
        <w:t xml:space="preserve">Verification: </w:t>
      </w:r>
      <w:r>
        <w:rPr>
          <w:rFonts w:ascii="Calibri" w:hAnsi="Calibri"/>
          <w:b w:val="0"/>
          <w:i w:val="0"/>
          <w:color w:val="172033"/>
          <w:sz w:val="22"/>
        </w:rPr>
        <w:t>Report ROC-AUC, EER, FAR/FRR, TAR at FAR 1%, 0.1%, and 0.01% where sample size permits, plus bootstrap confidence intervals by profile/session.</w:t>
      </w:r>
    </w:p>
    <w:p>
      <w:pPr>
        <w:spacing w:after="100" w:line="264" w:lineRule="auto"/>
      </w:pPr>
      <w:r>
        <w:rPr>
          <w:rFonts w:ascii="Calibri" w:hAnsi="Calibri"/>
          <w:b/>
          <w:i w:val="0"/>
          <w:color w:val="1F4D78"/>
          <w:sz w:val="22"/>
        </w:rPr>
        <w:t xml:space="preserve">Identification: </w:t>
      </w:r>
      <w:r>
        <w:rPr>
          <w:rFonts w:ascii="Calibri" w:hAnsi="Calibri"/>
          <w:b w:val="0"/>
          <w:i w:val="0"/>
          <w:color w:val="172033"/>
          <w:sz w:val="22"/>
        </w:rPr>
        <w:t>Report top-1, top-3, false-identification rate, no-match accuracy, and top-1/top-2 margin behavior for realistic candidate sets.</w:t>
      </w:r>
    </w:p>
    <w:p>
      <w:pPr>
        <w:spacing w:after="100" w:line="264" w:lineRule="auto"/>
      </w:pPr>
      <w:r>
        <w:rPr>
          <w:rFonts w:ascii="Calibri" w:hAnsi="Calibri"/>
          <w:b/>
          <w:i w:val="0"/>
          <w:color w:val="1F4D78"/>
          <w:sz w:val="22"/>
        </w:rPr>
        <w:t xml:space="preserve">Promotion: </w:t>
      </w:r>
      <w:r>
        <w:rPr>
          <w:rFonts w:ascii="Calibri" w:hAnsi="Calibri"/>
          <w:b w:val="0"/>
          <w:i w:val="0"/>
          <w:color w:val="172033"/>
          <w:sz w:val="22"/>
        </w:rPr>
        <w:t>A new model must beat the robust classical baseline, pass missing-modality tests, meet latency targets, and preserve schema compatibility before becoming active.</w:t>
      </w:r>
    </w:p>
    <w:p>
      <w:pPr>
        <w:pStyle w:val="Heading1"/>
      </w:pPr>
      <w:r>
        <w:t>Known limitations and controls</w:t>
      </w:r>
    </w:p>
    <w:tbl>
      <w:tblPr>
        <w:tblStyle w:val="TableGrid"/>
        <w:tblW w:type="dxa" w:w="9360"/>
        <w:jc w:val="left"/>
        <w:tblLayout w:type="fixed"/>
        <w:tblLook w:firstColumn="1" w:firstRow="1" w:lastColumn="0" w:lastRow="0" w:noHBand="0" w:noVBand="1" w:val="04A0"/>
        <w:tblInd w:w="120" w:type="dxa"/>
      </w:tblPr>
      <w:tblGrid>
        <w:gridCol w:w="2200"/>
        <w:gridCol w:w="3300"/>
        <w:gridCol w:w="3860"/>
      </w:tblGrid>
      <w:tr>
        <w:trPr>
          <w:tblHeader w:val="true"/>
        </w:trPr>
        <w:tc>
          <w:tcPr>
            <w:tcW w:type="dxa" w:w="2200"/>
            <w:shd w:fill="F2F4F7"/>
            <w:tcMar>
              <w:top w:w="80" w:type="dxa"/>
              <w:start w:w="120" w:type="dxa"/>
              <w:bottom w:w="80" w:type="dxa"/>
              <w:end w:w="120" w:type="dxa"/>
            </w:tcMar>
            <w:vAlign w:val="center"/>
          </w:tcPr>
          <w:p>
            <w:pPr>
              <w:spacing w:before="0" w:after="0" w:line="259" w:lineRule="auto"/>
            </w:pPr>
            <w:r>
              <w:rPr>
                <w:rFonts w:ascii="Calibri" w:hAnsi="Calibri"/>
                <w:b/>
                <w:i w:val="0"/>
                <w:color w:val="1F4D78"/>
                <w:sz w:val="20"/>
              </w:rPr>
              <w:t>Risk</w:t>
            </w:r>
          </w:p>
        </w:tc>
        <w:tc>
          <w:tcPr>
            <w:tcW w:type="dxa" w:w="3300"/>
            <w:shd w:fill="F2F4F7"/>
            <w:tcMar>
              <w:top w:w="80" w:type="dxa"/>
              <w:start w:w="120" w:type="dxa"/>
              <w:bottom w:w="80" w:type="dxa"/>
              <w:end w:w="120" w:type="dxa"/>
            </w:tcMar>
            <w:vAlign w:val="center"/>
          </w:tcPr>
          <w:p>
            <w:pPr>
              <w:spacing w:before="0" w:after="0" w:line="259" w:lineRule="auto"/>
            </w:pPr>
            <w:r>
              <w:rPr>
                <w:rFonts w:ascii="Calibri" w:hAnsi="Calibri"/>
                <w:b/>
                <w:i w:val="0"/>
                <w:color w:val="1F4D78"/>
                <w:sz w:val="20"/>
              </w:rPr>
              <w:t>Current control</w:t>
            </w:r>
          </w:p>
        </w:tc>
        <w:tc>
          <w:tcPr>
            <w:tcW w:type="dxa" w:w="3860"/>
            <w:shd w:fill="F2F4F7"/>
            <w:tcMar>
              <w:top w:w="80" w:type="dxa"/>
              <w:start w:w="120" w:type="dxa"/>
              <w:bottom w:w="80" w:type="dxa"/>
              <w:end w:w="120" w:type="dxa"/>
            </w:tcMar>
            <w:vAlign w:val="center"/>
          </w:tcPr>
          <w:p>
            <w:pPr>
              <w:spacing w:before="0" w:after="0" w:line="259" w:lineRule="auto"/>
            </w:pPr>
            <w:r>
              <w:rPr>
                <w:rFonts w:ascii="Calibri" w:hAnsi="Calibri"/>
                <w:b/>
                <w:i w:val="0"/>
                <w:color w:val="1F4D78"/>
                <w:sz w:val="20"/>
              </w:rPr>
              <w:t>Next control</w:t>
            </w:r>
          </w:p>
        </w:tc>
      </w:tr>
      <w:tr>
        <w:tc>
          <w:tcPr>
            <w:tcW w:type="dxa" w:w="220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Most identities have one session</w:t>
            </w:r>
          </w:p>
        </w:tc>
        <w:tc>
          <w:tcPr>
            <w:tcW w:type="dxa" w:w="330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elrond merged into saruman; benchmarks relabelled development-only</w:t>
            </w:r>
          </w:p>
        </w:tc>
        <w:tc>
          <w:tcPr>
            <w:tcW w:type="dxa" w:w="386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Collect independent multi-day sessions</w:t>
            </w:r>
          </w:p>
        </w:tc>
      </w:tr>
      <w:tr>
        <w:tc>
          <w:tcPr>
            <w:tcW w:type="dxa" w:w="220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Neural domain mismatch</w:t>
            </w:r>
          </w:p>
        </w:tc>
        <w:tc>
          <w:tcPr>
            <w:tcW w:type="dxa" w:w="330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Neural vote receives only 10% ensemble weight</w:t>
            </w:r>
          </w:p>
        </w:tc>
        <w:tc>
          <w:tcPr>
            <w:tcW w:type="dxa" w:w="386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Retrain and recalibrate on independent quick/full probes</w:t>
            </w:r>
          </w:p>
        </w:tc>
      </w:tr>
      <w:tr>
        <w:tc>
          <w:tcPr>
            <w:tcW w:type="dxa" w:w="220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False certainty</w:t>
            </w:r>
          </w:p>
        </w:tc>
        <w:tc>
          <w:tcPr>
            <w:tcW w:type="dxa" w:w="330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Minimum similarity and candidate-margin checks</w:t>
            </w:r>
          </w:p>
        </w:tc>
        <w:tc>
          <w:tcPr>
            <w:tcW w:type="dxa" w:w="386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Calibrated probabilities and confidence intervals</w:t>
            </w:r>
          </w:p>
        </w:tc>
      </w:tr>
      <w:tr>
        <w:tc>
          <w:tcPr>
            <w:tcW w:type="dxa" w:w="220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Template poisoning</w:t>
            </w:r>
          </w:p>
        </w:tc>
        <w:tc>
          <w:tcPr>
            <w:tcW w:type="dxa" w:w="330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Rejected probes never update templates</w:t>
            </w:r>
          </w:p>
        </w:tc>
        <w:tc>
          <w:tcPr>
            <w:tcW w:type="dxa" w:w="386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Explicit quality/outlier gate before every update</w:t>
            </w:r>
          </w:p>
        </w:tc>
      </w:tr>
      <w:tr>
        <w:tc>
          <w:tcPr>
            <w:tcW w:type="dxa" w:w="220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Sensitive behavior data</w:t>
            </w:r>
          </w:p>
        </w:tc>
        <w:tc>
          <w:tcPr>
            <w:tcW w:type="dxa" w:w="330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Payloads excluded from logs and browser persistence</w:t>
            </w:r>
          </w:p>
        </w:tc>
        <w:tc>
          <w:tcPr>
            <w:tcW w:type="dxa" w:w="386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Retention policy, encrypted storage, export/delete audit</w:t>
            </w:r>
          </w:p>
        </w:tc>
      </w:tr>
      <w:tr>
        <w:tc>
          <w:tcPr>
            <w:tcW w:type="dxa" w:w="220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Local admin access</w:t>
            </w:r>
          </w:p>
        </w:tc>
        <w:tc>
          <w:tcPr>
            <w:tcW w:type="dxa" w:w="330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No public deployment assumed</w:t>
            </w:r>
          </w:p>
        </w:tc>
        <w:tc>
          <w:tcPr>
            <w:tcW w:type="dxa" w:w="386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Add access controls only when deployment scope requires them</w:t>
            </w:r>
          </w:p>
        </w:tc>
      </w:tr>
    </w:tbl>
    <w:p>
      <w:pPr>
        <w:spacing w:before="80" w:after="80"/>
      </w:pPr>
    </w:p>
    <w:p>
      <w:pPr>
        <w:pStyle w:val="Heading1"/>
      </w:pPr>
      <w:r>
        <w:t>Current development benchmark</w:t>
      </w:r>
    </w:p>
    <w:tbl>
      <w:tblPr>
        <w:tblStyle w:val="TableGrid"/>
        <w:tblW w:type="dxa" w:w="9360"/>
        <w:jc w:val="left"/>
        <w:tblLayout w:type="fixed"/>
        <w:tblLook w:firstColumn="1" w:firstRow="1" w:lastColumn="0" w:lastRow="0" w:noHBand="0" w:noVBand="1" w:val="04A0"/>
        <w:tblInd w:w="120" w:type="dxa"/>
      </w:tblPr>
      <w:tblGrid>
        <w:gridCol w:w="2500"/>
        <w:gridCol w:w="2300"/>
        <w:gridCol w:w="4560"/>
      </w:tblGrid>
      <w:tr>
        <w:trPr>
          <w:tblHeader w:val="true"/>
        </w:trPr>
        <w:tc>
          <w:tcPr>
            <w:tcW w:type="dxa" w:w="2500"/>
            <w:shd w:fill="F2F4F7"/>
            <w:tcMar>
              <w:top w:w="80" w:type="dxa"/>
              <w:start w:w="120" w:type="dxa"/>
              <w:bottom w:w="80" w:type="dxa"/>
              <w:end w:w="120" w:type="dxa"/>
            </w:tcMar>
            <w:vAlign w:val="center"/>
          </w:tcPr>
          <w:p>
            <w:pPr>
              <w:spacing w:before="0" w:after="0" w:line="259" w:lineRule="auto"/>
            </w:pPr>
            <w:r>
              <w:rPr>
                <w:rFonts w:ascii="Calibri" w:hAnsi="Calibri"/>
                <w:b/>
                <w:i w:val="0"/>
                <w:color w:val="1F4D78"/>
                <w:sz w:val="20"/>
              </w:rPr>
              <w:t>Model / test</w:t>
            </w:r>
          </w:p>
        </w:tc>
        <w:tc>
          <w:tcPr>
            <w:tcW w:type="dxa" w:w="2300"/>
            <w:shd w:fill="F2F4F7"/>
            <w:tcMar>
              <w:top w:w="80" w:type="dxa"/>
              <w:start w:w="120" w:type="dxa"/>
              <w:bottom w:w="80" w:type="dxa"/>
              <w:end w:w="120" w:type="dxa"/>
            </w:tcMar>
            <w:vAlign w:val="center"/>
          </w:tcPr>
          <w:p>
            <w:pPr>
              <w:spacing w:before="0" w:after="0" w:line="259" w:lineRule="auto"/>
            </w:pPr>
            <w:r>
              <w:rPr>
                <w:rFonts w:ascii="Calibri" w:hAnsi="Calibri"/>
                <w:b/>
                <w:i w:val="0"/>
                <w:color w:val="1F4D78"/>
                <w:sz w:val="20"/>
              </w:rPr>
              <w:t>Result</w:t>
            </w:r>
          </w:p>
        </w:tc>
        <w:tc>
          <w:tcPr>
            <w:tcW w:type="dxa" w:w="4560"/>
            <w:shd w:fill="F2F4F7"/>
            <w:tcMar>
              <w:top w:w="80" w:type="dxa"/>
              <w:start w:w="120" w:type="dxa"/>
              <w:bottom w:w="80" w:type="dxa"/>
              <w:end w:w="120" w:type="dxa"/>
            </w:tcMar>
            <w:vAlign w:val="center"/>
          </w:tcPr>
          <w:p>
            <w:pPr>
              <w:spacing w:before="0" w:after="0" w:line="259" w:lineRule="auto"/>
            </w:pPr>
            <w:r>
              <w:rPr>
                <w:rFonts w:ascii="Calibri" w:hAnsi="Calibri"/>
                <w:b/>
                <w:i w:val="0"/>
                <w:color w:val="1F4D78"/>
                <w:sz w:val="20"/>
              </w:rPr>
              <w:t>Meaning</w:t>
            </w:r>
          </w:p>
        </w:tc>
      </w:tr>
      <w:tr>
        <w:tc>
          <w:tcPr>
            <w:tcW w:type="dxa" w:w="250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Random Forest</w:t>
            </w:r>
          </w:p>
        </w:tc>
        <w:tc>
          <w:tcPr>
            <w:tcW w:type="dxa" w:w="230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96% held-window top-1; AUC 0.9990</w:t>
            </w:r>
          </w:p>
        </w:tc>
        <w:tc>
          <w:tcPr>
            <w:tcW w:type="dxa" w:w="456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Strongest development classifier; not an independent-session result</w:t>
            </w:r>
          </w:p>
        </w:tc>
      </w:tr>
      <w:tr>
        <w:tc>
          <w:tcPr>
            <w:tcW w:type="dxa" w:w="250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Tuned RBF-SVM</w:t>
            </w:r>
          </w:p>
        </w:tc>
        <w:tc>
          <w:tcPr>
            <w:tcW w:type="dxa" w:w="230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82% top-1; AUC 0.9589</w:t>
            </w:r>
          </w:p>
        </w:tc>
        <w:tc>
          <w:tcPr>
            <w:tcW w:type="dxa" w:w="456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Stable online classical component</w:t>
            </w:r>
          </w:p>
        </w:tc>
      </w:tr>
      <w:tr>
        <w:tc>
          <w:tcPr>
            <w:tcW w:type="dxa" w:w="250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BiLSTM + TCN</w:t>
            </w:r>
          </w:p>
        </w:tc>
        <w:tc>
          <w:tcPr>
            <w:tcW w:type="dxa" w:w="230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90% held-window validation</w:t>
            </w:r>
          </w:p>
        </w:tc>
        <w:tc>
          <w:tcPr>
            <w:tcW w:type="dxa" w:w="456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Experimental low-weight online vote</w:t>
            </w:r>
          </w:p>
        </w:tc>
      </w:tr>
      <w:tr>
        <w:tc>
          <w:tcPr>
            <w:tcW w:type="dxa" w:w="250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Full-session 1:N</w:t>
            </w:r>
          </w:p>
        </w:tc>
        <w:tc>
          <w:tcPr>
            <w:tcW w:type="dxa" w:w="230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10/10 correct</w:t>
            </w:r>
          </w:p>
        </w:tc>
        <w:tc>
          <w:tcPr>
            <w:tcW w:type="dxa" w:w="456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In-sample sanity check only</w:t>
            </w:r>
          </w:p>
        </w:tc>
      </w:tr>
      <w:tr>
        <w:tc>
          <w:tcPr>
            <w:tcW w:type="dxa" w:w="250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Full-session 1:1</w:t>
            </w:r>
          </w:p>
        </w:tc>
        <w:tc>
          <w:tcPr>
            <w:tcW w:type="dxa" w:w="230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10/10 genuine accepted; 0/80 impostor accepted at 62%</w:t>
            </w:r>
          </w:p>
        </w:tc>
        <w:tc>
          <w:tcPr>
            <w:tcW w:type="dxa" w:w="4560"/>
            <w:tcMar>
              <w:top w:w="80" w:type="dxa"/>
              <w:start w:w="120" w:type="dxa"/>
              <w:bottom w:w="80" w:type="dxa"/>
              <w:end w:w="120" w:type="dxa"/>
            </w:tcMar>
            <w:vAlign w:val="center"/>
          </w:tcPr>
          <w:p>
            <w:pPr>
              <w:spacing w:before="0" w:after="0" w:line="259" w:lineRule="auto"/>
            </w:pPr>
            <w:r>
              <w:rPr>
                <w:rFonts w:ascii="Calibri" w:hAnsi="Calibri"/>
                <w:b w:val="0"/>
                <w:i w:val="0"/>
                <w:color w:val="172033"/>
                <w:sz w:val="20"/>
              </w:rPr>
              <w:t>Development threshold sanity check only</w:t>
            </w:r>
          </w:p>
        </w:tc>
      </w:tr>
    </w:tbl>
    <w:p>
      <w:pPr>
        <w:spacing w:before="80" w:after="80"/>
      </w:pPr>
    </w:p>
    <w:tbl>
      <w:tblPr>
        <w:tblW w:type="dxa" w:w="9360"/>
        <w:jc w:val="left"/>
        <w:tblLayout w:type="fixed"/>
        <w:tblLook w:firstColumn="1" w:firstRow="1" w:lastColumn="0" w:lastRow="0" w:noHBand="0" w:noVBand="1" w:val="04A0"/>
        <w:tblInd w:w="120" w:type="dxa"/>
      </w:tblPr>
      <w:tblGrid>
        <w:gridCol w:w="9360"/>
      </w:tblGrid>
      <w:tr>
        <w:tc>
          <w:tcPr>
            <w:tcW w:type="dxa" w:w="9360"/>
            <w:shd w:fill="FFF6DB"/>
            <w:tcMar>
              <w:top w:w="80" w:type="dxa"/>
              <w:start w:w="120" w:type="dxa"/>
              <w:bottom w:w="80" w:type="dxa"/>
              <w:end w:w="120" w:type="dxa"/>
            </w:tcMar>
            <w:vAlign w:val="center"/>
          </w:tcPr>
          <w:p>
            <w:pPr>
              <w:spacing w:after="0" w:line="269" w:lineRule="auto"/>
            </w:pPr>
            <w:r>
              <w:rPr>
                <w:rFonts w:ascii="Calibri" w:hAnsi="Calibri"/>
                <w:b/>
                <w:i w:val="0"/>
                <w:color w:val="9B1C1C"/>
                <w:sz w:val="22"/>
              </w:rPr>
              <w:t xml:space="preserve">Interpretation rule  </w:t>
            </w:r>
            <w:r>
              <w:rPr>
                <w:rFonts w:ascii="Calibri" w:hAnsi="Calibri"/>
                <w:b w:val="0"/>
                <w:i w:val="0"/>
                <w:color w:val="172033"/>
                <w:sz w:val="22"/>
              </w:rPr>
              <w:t>Within-session performance answers whether the pipeline can separate these recordings. Only session-disjoint performance can answer whether BehaveGuard authenticates the same person later.</w:t>
            </w:r>
          </w:p>
        </w:tc>
      </w:tr>
    </w:tbl>
    <w:p>
      <w:pPr>
        <w:spacing w:after="60"/>
      </w:pPr>
    </w:p>
    <w:p>
      <w:pPr>
        <w:pStyle w:val="Heading1"/>
      </w:pPr>
      <w:r>
        <w:t>Immediate operating checklist</w:t>
      </w:r>
    </w:p>
    <w:p>
      <w:pPr>
        <w:spacing w:after="100" w:line="264" w:lineRule="auto"/>
      </w:pPr>
      <w:r>
        <w:rPr>
          <w:rFonts w:ascii="Calibri" w:hAnsi="Calibri"/>
          <w:b/>
          <w:i w:val="0"/>
          <w:color w:val="1F4D78"/>
          <w:sz w:val="22"/>
        </w:rPr>
        <w:t xml:space="preserve">Collect: </w:t>
      </w:r>
      <w:r>
        <w:rPr>
          <w:rFonts w:ascii="Calibri" w:hAnsi="Calibri"/>
          <w:b w:val="0"/>
          <w:i w:val="0"/>
          <w:color w:val="172033"/>
          <w:sz w:val="22"/>
        </w:rPr>
        <w:t>Add repeat enrollments without deleting the original sessions.</w:t>
      </w:r>
    </w:p>
    <w:p>
      <w:pPr>
        <w:spacing w:after="100" w:line="264" w:lineRule="auto"/>
      </w:pPr>
      <w:r>
        <w:rPr>
          <w:rFonts w:ascii="Calibri" w:hAnsi="Calibri"/>
          <w:b/>
          <w:i w:val="0"/>
          <w:color w:val="1F4D78"/>
          <w:sz w:val="22"/>
        </w:rPr>
        <w:t xml:space="preserve">Inspect: </w:t>
      </w:r>
      <w:r>
        <w:rPr>
          <w:rFonts w:ascii="Calibri" w:hAnsi="Calibri"/>
          <w:b w:val="0"/>
          <w:i w:val="0"/>
          <w:color w:val="172033"/>
          <w:sz w:val="22"/>
        </w:rPr>
        <w:t>Use character cards, WPM/click trends, and the similarity matrix to find unstable or confusable profiles.</w:t>
      </w:r>
    </w:p>
    <w:p>
      <w:pPr>
        <w:spacing w:after="100" w:line="264" w:lineRule="auto"/>
      </w:pPr>
      <w:r>
        <w:rPr>
          <w:rFonts w:ascii="Calibri" w:hAnsi="Calibri"/>
          <w:b/>
          <w:i w:val="0"/>
          <w:color w:val="1F4D78"/>
          <w:sz w:val="22"/>
        </w:rPr>
        <w:t xml:space="preserve">Verify: </w:t>
      </w:r>
      <w:r>
        <w:rPr>
          <w:rFonts w:ascii="Calibri" w:hAnsi="Calibri"/>
          <w:b w:val="0"/>
          <w:i w:val="0"/>
          <w:color w:val="172033"/>
          <w:sz w:val="22"/>
        </w:rPr>
        <w:t>Use both 1:1 and multi-candidate probes; record no-match outcomes, not only successful demonstrations.</w:t>
      </w:r>
    </w:p>
    <w:p>
      <w:pPr>
        <w:spacing w:after="100" w:line="264" w:lineRule="auto"/>
      </w:pPr>
      <w:r>
        <w:rPr>
          <w:rFonts w:ascii="Calibri" w:hAnsi="Calibri"/>
          <w:b/>
          <w:i w:val="0"/>
          <w:color w:val="1F4D78"/>
          <w:sz w:val="22"/>
        </w:rPr>
        <w:t xml:space="preserve">Retrain: </w:t>
      </w:r>
      <w:r>
        <w:rPr>
          <w:rFonts w:ascii="Calibri" w:hAnsi="Calibri"/>
          <w:b w:val="0"/>
          <w:i w:val="0"/>
          <w:color w:val="172033"/>
          <w:sz w:val="22"/>
        </w:rPr>
        <w:t>Run the reproducible experiment command after meaningful new data, then review the saved report before promotion.</w:t>
      </w:r>
    </w:p>
    <w:p>
      <w:pPr>
        <w:spacing w:after="100" w:line="264" w:lineRule="auto"/>
      </w:pPr>
      <w:r>
        <w:rPr>
          <w:rFonts w:ascii="Calibri" w:hAnsi="Calibri"/>
          <w:b/>
          <w:i w:val="0"/>
          <w:color w:val="1F4D78"/>
          <w:sz w:val="22"/>
        </w:rPr>
        <w:t xml:space="preserve">Recalibrate: </w:t>
      </w:r>
      <w:r>
        <w:rPr>
          <w:rFonts w:ascii="Calibri" w:hAnsi="Calibri"/>
          <w:b w:val="0"/>
          <w:i w:val="0"/>
          <w:color w:val="172033"/>
          <w:sz w:val="22"/>
        </w:rPr>
        <w:t>Do not preserve the 62% threshold automatically after the dataset changes.</w:t>
      </w:r>
    </w:p>
    <w:tbl>
      <w:tblPr>
        <w:tblW w:type="dxa" w:w="9360"/>
        <w:jc w:val="left"/>
        <w:tblLayout w:type="fixed"/>
        <w:tblLook w:firstColumn="1" w:firstRow="1" w:lastColumn="0" w:lastRow="0" w:noHBand="0" w:noVBand="1" w:val="04A0"/>
        <w:tblInd w:w="120" w:type="dxa"/>
      </w:tblPr>
      <w:tblGrid>
        <w:gridCol w:w="9360"/>
      </w:tblGrid>
      <w:tr>
        <w:tc>
          <w:tcPr>
            <w:tcW w:type="dxa" w:w="9360"/>
            <w:shd w:fill="E8EEF5"/>
            <w:tcMar>
              <w:top w:w="80" w:type="dxa"/>
              <w:start w:w="120" w:type="dxa"/>
              <w:bottom w:w="80" w:type="dxa"/>
              <w:end w:w="120" w:type="dxa"/>
            </w:tcMar>
            <w:vAlign w:val="center"/>
          </w:tcPr>
          <w:p>
            <w:pPr>
              <w:spacing w:after="0" w:line="269" w:lineRule="auto"/>
            </w:pPr>
            <w:r>
              <w:rPr>
                <w:rFonts w:ascii="Calibri" w:hAnsi="Calibri"/>
                <w:b/>
                <w:i w:val="0"/>
                <w:color w:val="16794A"/>
                <w:sz w:val="22"/>
              </w:rPr>
              <w:t xml:space="preserve">Next milestone  </w:t>
            </w:r>
            <w:r>
              <w:rPr>
                <w:rFonts w:ascii="Calibri" w:hAnsi="Calibri"/>
                <w:b w:val="0"/>
                <w:i w:val="0"/>
                <w:color w:val="172033"/>
                <w:sz w:val="22"/>
              </w:rPr>
              <w:t>Reach at least 27 independent sessions (9 identities × 3 sessions), rerun the evaluation with real-session splits, and decide whether the short protocol is accurate enough for default verification.</w:t>
            </w:r>
          </w:p>
        </w:tc>
      </w:tr>
    </w:tbl>
    <w:p>
      <w:pPr>
        <w:spacing w:after="6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7"/>
      </w:rPr>
      <w:t>Internal development brief  |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667085"/>
        <w:sz w:val="17"/>
      </w:rPr>
      <w:t>BEHAVEGUARD  |  PRODUCT &amp; ML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