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1B475">
      <w:pPr>
        <w:jc w:val="right"/>
      </w:pPr>
    </w:p>
    <w:p w14:paraId="068B01A9">
      <w:pPr>
        <w:jc w:val="right"/>
      </w:pPr>
    </w:p>
    <w:p w14:paraId="243FF8FF">
      <w:pPr>
        <w:jc w:val="right"/>
      </w:pPr>
      <w:bookmarkStart w:id="10" w:name="_GoBack"/>
      <w:bookmarkEnd w:id="10"/>
      <w:r>
        <w:drawing>
          <wp:inline distT="0" distB="0" distL="0" distR="0">
            <wp:extent cx="2192020" cy="2995295"/>
            <wp:effectExtent l="0" t="0" r="0" b="0"/>
            <wp:docPr id="1" name="Picture 1" descr="C:/Users/MALAK-11/Desktop/AFAQ.jpegAF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MALAK-11/Desktop/AFAQ.jpegAFAQ"/>
                    <pic:cNvPicPr>
                      <a:picLocks noChangeAspect="1"/>
                    </pic:cNvPicPr>
                  </pic:nvPicPr>
                  <pic:blipFill>
                    <a:blip r:embed="rId8"/>
                    <a:srcRect t="14938" b="10813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p w14:paraId="243FF900">
      <w:pPr>
        <w:pStyle w:val="8"/>
        <w:rPr>
          <w:color w:val="auto"/>
        </w:rPr>
      </w:pPr>
      <w:r>
        <w:rPr>
          <w:color w:val="auto"/>
        </w:rPr>
        <w:t>Security Risk Assessment &amp; Treatment Methodology</w:t>
      </w:r>
    </w:p>
    <w:p w14:paraId="243FF901"/>
    <w:p w14:paraId="243FF902">
      <w:pPr>
        <w:rPr>
          <w:b/>
          <w:bCs/>
          <w:sz w:val="24"/>
          <w:szCs w:val="24"/>
        </w:rPr>
      </w:pPr>
      <w:r>
        <w:rPr>
          <w:sz w:val="28"/>
          <w:szCs w:val="28"/>
        </w:rPr>
        <w:t>Classification:</w:t>
      </w:r>
      <w:r>
        <w:t xml:space="preserve"> </w:t>
      </w:r>
      <w:r>
        <w:rPr>
          <w:b/>
          <w:bCs/>
          <w:sz w:val="24"/>
          <w:szCs w:val="24"/>
        </w:rPr>
        <w:t>Internal</w:t>
      </w:r>
    </w:p>
    <w:p w14:paraId="4F9C3C27">
      <w:r>
        <w:t>This document may only be shared internally without prior confirmation from the owner.</w:t>
      </w:r>
    </w:p>
    <w:tbl>
      <w:tblPr>
        <w:tblStyle w:val="10"/>
        <w:tblW w:w="0" w:type="auto"/>
        <w:tblInd w:w="0" w:type="dxa"/>
        <w:tblBorders>
          <w:top w:val="single" w:color="ACD78D" w:themeColor="accent4" w:themeTint="99" w:sz="4" w:space="0"/>
          <w:left w:val="single" w:color="ACD78D" w:themeColor="accent4" w:themeTint="99" w:sz="4" w:space="0"/>
          <w:bottom w:val="single" w:color="ACD78D" w:themeColor="accent4" w:themeTint="99" w:sz="4" w:space="0"/>
          <w:right w:val="single" w:color="ACD78D" w:themeColor="accent4" w:themeTint="99" w:sz="4" w:space="0"/>
          <w:insideH w:val="single" w:color="ACD78D" w:themeColor="accent4" w:themeTint="99" w:sz="4" w:space="0"/>
          <w:insideV w:val="single" w:color="ACD78D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249"/>
        <w:gridCol w:w="905"/>
        <w:gridCol w:w="1258"/>
        <w:gridCol w:w="2530"/>
        <w:gridCol w:w="1258"/>
        <w:gridCol w:w="1159"/>
      </w:tblGrid>
      <w:tr w14:paraId="6DEF2E19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1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75A105C5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Version </w:t>
            </w:r>
          </w:p>
        </w:tc>
        <w:tc>
          <w:tcPr>
            <w:tcW w:w="112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3D6745D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Approved By</w:t>
            </w:r>
          </w:p>
        </w:tc>
        <w:tc>
          <w:tcPr>
            <w:tcW w:w="123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3DEEF28B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Owner</w:t>
            </w:r>
          </w:p>
        </w:tc>
        <w:tc>
          <w:tcPr>
            <w:tcW w:w="115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12DB8322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Date Last Updated</w:t>
            </w:r>
          </w:p>
          <w:p w14:paraId="0A427184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40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32099757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Review Frequency</w:t>
            </w:r>
          </w:p>
        </w:tc>
        <w:tc>
          <w:tcPr>
            <w:tcW w:w="126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nil"/>
              <w:insideV w:val="nil"/>
            </w:tcBorders>
            <w:shd w:val="clear" w:color="auto" w:fill="75BD42" w:themeFill="accent4"/>
          </w:tcPr>
          <w:p w14:paraId="34FFBBE6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Next Review </w:t>
            </w:r>
          </w:p>
        </w:tc>
        <w:tc>
          <w:tcPr>
            <w:tcW w:w="1909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75BD42" w:themeFill="accent4"/>
          </w:tcPr>
          <w:p w14:paraId="51D8317B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2E564BB2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914" w:type="dxa"/>
            <w:tcBorders>
              <w:top w:val="single" w:color="FFFFFF" w:themeColor="background1" w:sz="4" w:space="0"/>
            </w:tcBorders>
          </w:tcPr>
          <w:p w14:paraId="0BC85CF0">
            <w:pPr>
              <w:spacing w:after="0" w:line="240" w:lineRule="auto"/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1.0</w:t>
            </w:r>
          </w:p>
        </w:tc>
        <w:tc>
          <w:tcPr>
            <w:tcW w:w="1129" w:type="dxa"/>
            <w:tcBorders>
              <w:top w:val="single" w:color="FFFFFF" w:themeColor="background1" w:sz="4" w:space="0"/>
            </w:tcBorders>
          </w:tcPr>
          <w:p w14:paraId="20A20D60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Dr. Noura Al-Qahtani (CEO) and the Board of Directors</w:t>
            </w:r>
          </w:p>
        </w:tc>
        <w:tc>
          <w:tcPr>
            <w:tcW w:w="1234" w:type="dxa"/>
            <w:tcBorders>
              <w:top w:val="single" w:color="FFFFFF" w:themeColor="background1" w:sz="4" w:space="0"/>
            </w:tcBorders>
          </w:tcPr>
          <w:p w14:paraId="03E7D978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Ms. Sara Al-Harbi (CISO)</w:t>
            </w:r>
          </w:p>
        </w:tc>
        <w:tc>
          <w:tcPr>
            <w:tcW w:w="1158" w:type="dxa"/>
            <w:tcBorders>
              <w:top w:val="single" w:color="FFFFFF" w:themeColor="background1" w:sz="4" w:space="0"/>
            </w:tcBorders>
          </w:tcPr>
          <w:p w14:paraId="708E8FE8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September 12, 2026</w:t>
            </w:r>
          </w:p>
        </w:tc>
        <w:tc>
          <w:tcPr>
            <w:tcW w:w="1409" w:type="dxa"/>
            <w:tcBorders>
              <w:top w:val="single" w:color="FFFFFF" w:themeColor="background1" w:sz="4" w:space="0"/>
            </w:tcBorders>
          </w:tcPr>
          <w:p w14:paraId="2833A3C7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Annually, or upon material/significant changes</w:t>
            </w:r>
          </w:p>
        </w:tc>
        <w:tc>
          <w:tcPr>
            <w:tcW w:w="1263" w:type="dxa"/>
            <w:tcBorders>
              <w:top w:val="single" w:color="FFFFFF" w:themeColor="background1" w:sz="4" w:space="0"/>
            </w:tcBorders>
          </w:tcPr>
          <w:p w14:paraId="601EE3BB">
            <w:pPr>
              <w:spacing w:after="0" w:line="240" w:lineRule="auto"/>
              <w:rPr>
                <w:rFonts w:hint="default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September 12, 202</w:t>
            </w:r>
            <w:r>
              <w:rPr>
                <w:rFonts w:hint="default" w:ascii="SimSun" w:hAnsi="SimSun" w:eastAsia="SimSun" w:cs="SimSu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1909" w:type="dxa"/>
            <w:tcBorders>
              <w:top w:val="single" w:color="FFFFFF" w:themeColor="background1" w:sz="4" w:space="0"/>
            </w:tcBorders>
          </w:tcPr>
          <w:p w14:paraId="1C135FFE">
            <w:pPr>
              <w:spacing w:after="0" w:line="240" w:lineRule="auto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3C8D2184"/>
    <w:p w14:paraId="243FF912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/>
        <w:rPr>
          <w:rFonts w:ascii="Calibri" w:hAnsi="Calibri" w:eastAsia="Calibri" w:cs="Calibri"/>
          <w:sz w:val="32"/>
          <w:szCs w:val="32"/>
        </w:rPr>
      </w:pPr>
      <w:r>
        <w:rPr>
          <w:sz w:val="28"/>
          <w:szCs w:val="28"/>
        </w:rPr>
        <w:t>Contents</w:t>
      </w:r>
    </w:p>
    <w:sdt>
      <w:sdtPr>
        <w:id w:val="255335649"/>
        <w:docPartObj>
          <w:docPartGallery w:val="Table of Contents"/>
          <w:docPartUnique/>
        </w:docPartObj>
      </w:sdtPr>
      <w:sdtContent>
        <w:p w14:paraId="2B78D10B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"_Toc168605547" </w:instrText>
          </w:r>
          <w:r>
            <w:fldChar w:fldCharType="separate"/>
          </w:r>
          <w:r>
            <w:rPr>
              <w:rStyle w:val="6"/>
            </w:rPr>
            <w:t>Purpose of This Document</w:t>
          </w:r>
          <w:r>
            <w:tab/>
          </w:r>
          <w:r>
            <w:fldChar w:fldCharType="begin"/>
          </w:r>
          <w:r>
            <w:instrText xml:space="preserve"> PAGEREF _Toc168605547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F86784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"_Toc168605548" </w:instrText>
          </w:r>
          <w:r>
            <w:fldChar w:fldCharType="separate"/>
          </w:r>
          <w:r>
            <w:rPr>
              <w:rStyle w:val="6"/>
            </w:rPr>
            <w:t>The Risk Log</w:t>
          </w:r>
          <w:r>
            <w:tab/>
          </w:r>
          <w:r>
            <w:fldChar w:fldCharType="begin"/>
          </w:r>
          <w:r>
            <w:instrText xml:space="preserve"> PAGEREF _Toc168605548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8A80898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"_Toc168605549" </w:instrText>
          </w:r>
          <w:r>
            <w:fldChar w:fldCharType="separate"/>
          </w:r>
          <w:r>
            <w:rPr>
              <w:rStyle w:val="6"/>
            </w:rPr>
            <w:t>Roles &amp; Responsibilities</w:t>
          </w:r>
          <w:r>
            <w:tab/>
          </w:r>
          <w:r>
            <w:fldChar w:fldCharType="begin"/>
          </w:r>
          <w:r>
            <w:instrText xml:space="preserve"> PAGEREF _Toc168605549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5EA0A9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"_Toc168605550" </w:instrText>
          </w:r>
          <w:r>
            <w:fldChar w:fldCharType="separate"/>
          </w:r>
          <w:r>
            <w:rPr>
              <w:rStyle w:val="6"/>
            </w:rPr>
            <w:t>Summary of approach</w:t>
          </w:r>
          <w:r>
            <w:tab/>
          </w:r>
          <w:r>
            <w:fldChar w:fldCharType="begin"/>
          </w:r>
          <w:r>
            <w:instrText xml:space="preserve"> PAGEREF _Toc168605550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464D62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"_Toc168605551" </w:instrText>
          </w:r>
          <w:r>
            <w:fldChar w:fldCharType="separate"/>
          </w:r>
          <w:r>
            <w:rPr>
              <w:rStyle w:val="6"/>
            </w:rPr>
            <w:t>Risk Identification</w:t>
          </w:r>
          <w:r>
            <w:tab/>
          </w:r>
          <w:r>
            <w:fldChar w:fldCharType="begin"/>
          </w:r>
          <w:r>
            <w:instrText xml:space="preserve"> PAGEREF _Toc168605551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138836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"_Toc168605552" </w:instrText>
          </w:r>
          <w:r>
            <w:fldChar w:fldCharType="separate"/>
          </w:r>
          <w:r>
            <w:rPr>
              <w:rStyle w:val="6"/>
            </w:rPr>
            <w:t>Treatment Plans</w:t>
          </w:r>
          <w:r>
            <w:tab/>
          </w:r>
          <w:r>
            <w:fldChar w:fldCharType="begin"/>
          </w:r>
          <w:r>
            <w:instrText xml:space="preserve"> PAGEREF _Toc168605552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5D50C4">
          <w:pPr>
            <w:pStyle w:val="9"/>
            <w:tabs>
              <w:tab w:val="right" w:leader="dot" w:pos="9016"/>
            </w:tabs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"_Toc168605553" </w:instrText>
          </w:r>
          <w:r>
            <w:fldChar w:fldCharType="separate"/>
          </w:r>
          <w:r>
            <w:rPr>
              <w:rStyle w:val="6"/>
            </w:rPr>
            <w:t>Escalation</w:t>
          </w:r>
          <w:r>
            <w:tab/>
          </w:r>
          <w:r>
            <w:fldChar w:fldCharType="begin"/>
          </w:r>
          <w:r>
            <w:instrText xml:space="preserve"> PAGEREF _Toc168605553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3FF919">
          <w:pPr>
            <w:widowControl w:val="0"/>
            <w:tabs>
              <w:tab w:val="right" w:leader="dot" w:pos="12000"/>
            </w:tabs>
            <w:spacing w:before="60" w:after="0"/>
            <w:rPr>
              <w:b/>
            </w:rPr>
          </w:pPr>
          <w:r>
            <w:fldChar w:fldCharType="end"/>
          </w:r>
        </w:p>
      </w:sdtContent>
    </w:sdt>
    <w:p w14:paraId="243FF91B">
      <w:pPr>
        <w:pStyle w:val="2"/>
        <w:rPr>
          <w:color w:val="auto"/>
        </w:rPr>
      </w:pPr>
      <w:bookmarkStart w:id="0" w:name="_Toc168605547"/>
      <w:r>
        <w:rPr>
          <w:color w:val="auto"/>
        </w:rPr>
        <w:t>Purpose of This Document</w:t>
      </w:r>
      <w:bookmarkEnd w:id="0"/>
    </w:p>
    <w:p w14:paraId="243FF91C">
      <w:r>
        <w:t>The following document outlines the overall approach to information security within</w:t>
      </w:r>
      <w:r>
        <w:rPr>
          <w:highlight w:val="yellow"/>
          <w:lang w:val="en-US"/>
        </w:rPr>
        <w:t xml:space="preserve"> (Digital Horizons Bank)</w:t>
      </w:r>
      <w:r>
        <w:t xml:space="preserve">. </w:t>
      </w:r>
    </w:p>
    <w:p w14:paraId="243FF91D">
      <w:r>
        <w:t xml:space="preserve">It is intended as guidance on crucial aspects of managing critical principles of information security risks. </w:t>
      </w:r>
    </w:p>
    <w:p w14:paraId="243FF91E">
      <w:r>
        <w:t>The content is for staff, auditors, suppliers and customers. Further supporting details can be found in the referenced policies and procedures.</w:t>
      </w:r>
    </w:p>
    <w:p w14:paraId="243FF91F">
      <w:pPr>
        <w:pStyle w:val="2"/>
        <w:rPr>
          <w:color w:val="auto"/>
        </w:rPr>
      </w:pPr>
      <w:bookmarkStart w:id="1" w:name="_Toc168605548"/>
      <w:r>
        <w:rPr>
          <w:color w:val="auto"/>
        </w:rPr>
        <w:t>The Risk Log</w:t>
      </w:r>
      <w:bookmarkEnd w:id="1"/>
      <w:r>
        <w:rPr>
          <w:color w:val="auto"/>
        </w:rPr>
        <w:t xml:space="preserve"> </w:t>
      </w:r>
    </w:p>
    <w:p w14:paraId="243FF921">
      <w:r>
        <w:t xml:space="preserve">The Information security risk log can be found in </w:t>
      </w:r>
      <w:r>
        <w:rPr>
          <w:highlight w:val="yellow"/>
          <w:lang w:val="en-US"/>
        </w:rPr>
        <w:t>Digital Horizons Bank ISMS Central Drive / Risk Management / REQUIRED-ISMS-FORM-06-1 Asset-Based Risk Tool.xlsx</w:t>
      </w:r>
      <w:r>
        <w:t>.</w:t>
      </w:r>
    </w:p>
    <w:p w14:paraId="2C10346B">
      <w:r>
        <w:t>Access to the risk log is restricted to:</w:t>
      </w:r>
    </w:p>
    <w:p w14:paraId="69775216">
      <w:bookmarkStart w:id="2" w:name="_Toc168605549"/>
      <w:r>
        <w:t>Access Permissions: Restricted to the Risk and Vulnerability Assessment Team, the CISO (Sara Al-Harbi) with read-only access, and designated representatives from Senior Management and Internal Audit.</w:t>
      </w:r>
    </w:p>
    <w:p w14:paraId="243FF922">
      <w:pPr>
        <w:pStyle w:val="2"/>
        <w:rPr>
          <w:color w:val="auto"/>
        </w:rPr>
      </w:pPr>
      <w:r>
        <w:rPr>
          <w:color w:val="auto"/>
        </w:rPr>
        <w:t xml:space="preserve">Roles &amp; </w:t>
      </w:r>
      <w:sdt>
        <w:sdtPr>
          <w:rPr>
            <w:color w:val="auto"/>
          </w:rPr>
          <w:tag w:val="goog_rdk_0"/>
          <w:id w:val="610092828"/>
        </w:sdtPr>
        <w:sdtEndPr>
          <w:rPr>
            <w:color w:val="auto"/>
          </w:rPr>
        </w:sdtEndPr>
        <w:sdtContent/>
      </w:sdt>
      <w:r>
        <w:rPr>
          <w:color w:val="auto"/>
        </w:rPr>
        <w:t>Responsibilities</w:t>
      </w:r>
      <w:bookmarkEnd w:id="2"/>
    </w:p>
    <w:p w14:paraId="243FF9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</w:p>
    <w:p w14:paraId="243FF924">
      <w:pPr>
        <w:rPr>
          <w:b/>
        </w:rPr>
      </w:pPr>
      <w:r>
        <w:rPr>
          <w:b/>
        </w:rPr>
        <w:t>Information Security Group (ISG)</w:t>
      </w:r>
    </w:p>
    <w:p w14:paraId="243FF92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Establishing the organisation's risk management policy, objectives, and risk appetite.</w:t>
      </w:r>
    </w:p>
    <w:p w14:paraId="243FF92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Allocating necessary resources to support the risk treatment process.</w:t>
      </w:r>
    </w:p>
    <w:p w14:paraId="243FF92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Ensuring risk treatment activities are aligned with the organisation's overall strategic objectives.</w:t>
      </w:r>
    </w:p>
    <w:p w14:paraId="243FF928">
      <w:pPr>
        <w:rPr>
          <w:b/>
        </w:rPr>
      </w:pPr>
      <w:r>
        <w:rPr>
          <w:b/>
        </w:rPr>
        <w:t>Risk owners</w:t>
      </w:r>
    </w:p>
    <w:p w14:paraId="243FF92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Identifying and assessing risks associated with their specific areas of responsibility.</w:t>
      </w:r>
    </w:p>
    <w:p w14:paraId="243FF92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Defining risk criteria and acceptable risk levels.</w:t>
      </w:r>
    </w:p>
    <w:p w14:paraId="243FF92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Select appropriate risk treatment options (accept, avoid, transfer, or mitigate) based on the organisation's risk appetite and criteria.</w:t>
      </w:r>
    </w:p>
    <w:p w14:paraId="243FF92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Implementing and monitoring risk treatment plans.</w:t>
      </w:r>
    </w:p>
    <w:p w14:paraId="243FF92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Reporting on risk treatment progress.</w:t>
      </w:r>
    </w:p>
    <w:p w14:paraId="243FF92E">
      <w:pPr>
        <w:rPr>
          <w:b/>
        </w:rPr>
      </w:pPr>
      <w:sdt>
        <w:sdtPr>
          <w:tag w:val="goog_rdk_1"/>
          <w:id w:val="-1874451242"/>
        </w:sdtPr>
        <w:sdtContent/>
      </w:sdt>
      <w:r>
        <w:rPr>
          <w:b/>
        </w:rPr>
        <w:t>Information Security Officer (ISO):</w:t>
      </w:r>
    </w:p>
    <w:p w14:paraId="243FF92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Developing and maintaining the risk treatment methodology and associated tools and techniques.</w:t>
      </w:r>
    </w:p>
    <w:p w14:paraId="243FF93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Providing guidance and support to risk owners and stakeholders in the risk treatment process.</w:t>
      </w:r>
    </w:p>
    <w:p w14:paraId="243FF93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Monitoring the overall risk treatment progress and effectiveness.</w:t>
      </w:r>
    </w:p>
    <w:p w14:paraId="243FF93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Reporting on the risk treatment process to top management and relevant stakeholders.</w:t>
      </w:r>
    </w:p>
    <w:p w14:paraId="243FF93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Coordinating risk treatment activities.</w:t>
      </w:r>
    </w:p>
    <w:p w14:paraId="243FF934">
      <w:pPr>
        <w:pStyle w:val="2"/>
        <w:rPr>
          <w:color w:val="auto"/>
        </w:rPr>
      </w:pPr>
      <w:bookmarkStart w:id="3" w:name="_Toc168605550"/>
      <w:r>
        <w:rPr>
          <w:color w:val="auto"/>
        </w:rPr>
        <w:t>Summary of approach</w:t>
      </w:r>
      <w:bookmarkEnd w:id="3"/>
    </w:p>
    <w:p w14:paraId="243FF935">
      <w:r>
        <w:t xml:space="preserve">The risk management approach is broken down into five key steps: </w:t>
      </w:r>
    </w:p>
    <w:p w14:paraId="243FF936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05350" cy="2646680"/>
            <wp:effectExtent l="0" t="0" r="0" b="1270"/>
            <wp:docPr id="1094428315" name="Picture 2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8315" name="Picture 2" descr="A screenshot of a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828" cy="26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F938">
      <w:pPr>
        <w:pStyle w:val="2"/>
        <w:rPr>
          <w:color w:val="auto"/>
        </w:rPr>
      </w:pPr>
      <w:bookmarkStart w:id="4" w:name="_Toc168605551"/>
      <w:r>
        <w:rPr>
          <w:color w:val="auto"/>
        </w:rPr>
        <w:t>Risk Identification</w:t>
      </w:r>
      <w:bookmarkEnd w:id="4"/>
    </w:p>
    <w:p w14:paraId="243FF939">
      <w:r>
        <w:t xml:space="preserve">The identification of security risks can come through many methods. Within the </w:t>
      </w:r>
      <w:r>
        <w:rPr>
          <w:highlight w:val="yellow"/>
          <w:lang w:val="en-US"/>
        </w:rPr>
        <w:t>(Digital Horizons Bank)</w:t>
      </w:r>
      <w:r>
        <w:t>, these include, but are not limited to:</w:t>
      </w:r>
    </w:p>
    <w:p w14:paraId="243FF93A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Annual review of the organisation's context</w:t>
      </w:r>
      <w:r>
        <w:t xml:space="preserve"> – Any changes to scope, stakeholders or legislation that may introduce new risks.</w:t>
      </w:r>
    </w:p>
    <w:p w14:paraId="243FF93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Monitoring emerging threats</w:t>
      </w:r>
      <w:r>
        <w:t xml:space="preserve"> – through alerts from vendors on security threats, updates from the media, and notifications from organisations such as the UK National Cyber Security Centre (NCSC).</w:t>
      </w:r>
    </w:p>
    <w:p w14:paraId="243FF93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SWOT analysis</w:t>
      </w:r>
      <w:r>
        <w:t xml:space="preserve"> – a method of reviewing an organisation's strengths, weaknesses, Opportunities and Threats. [</w:t>
      </w:r>
      <w:r>
        <w:rPr>
          <w:lang w:val="en-US"/>
        </w:rPr>
        <w:t>بنك الآفاق الرقمية (Digital Horizons Bank)</w:t>
      </w:r>
      <w:r>
        <w:t>] undertakes such an assessment of significant threats annually.</w:t>
      </w:r>
    </w:p>
    <w:p w14:paraId="243FF93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Stakeholder engagement</w:t>
      </w:r>
      <w:r>
        <w:t xml:space="preserve"> – Feedback from staff within and outside the organisation.</w:t>
      </w:r>
    </w:p>
    <w:p w14:paraId="243FF93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Security audits</w:t>
      </w:r>
      <w:r>
        <w:t xml:space="preserve"> – external audits, penetration &amp; vulnerability testing. [</w:t>
      </w:r>
      <w:r>
        <w:rPr>
          <w:lang w:val="en-US"/>
        </w:rPr>
        <w:t>بنك الآفاق الرقمية (Digital Horizons Bank)</w:t>
      </w:r>
      <w:r>
        <w:t>] uses both external audits and conducts annual penetration tests.</w:t>
      </w:r>
    </w:p>
    <w:p w14:paraId="243FF93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14" w:hanging="357"/>
      </w:pPr>
      <w:r>
        <w:rPr>
          <w:b/>
        </w:rPr>
        <w:t>Risk assessment of critical systems</w:t>
      </w:r>
      <w:r>
        <w:t xml:space="preserve"> – A top-to-bottom review of components and the likely risks to their continued operation.</w:t>
      </w:r>
    </w:p>
    <w:p w14:paraId="243FF941">
      <w:pPr>
        <w:pStyle w:val="2"/>
        <w:rPr>
          <w:rFonts w:hint="cs" w:cstheme="majorBidi"/>
          <w:sz w:val="24"/>
          <w:szCs w:val="24"/>
          <w:lang w:bidi="ar-SA"/>
        </w:rPr>
      </w:pPr>
      <w:bookmarkStart w:id="5" w:name="_heading=h.tyjcwt" w:colFirst="0" w:colLast="0"/>
      <w:bookmarkEnd w:id="5"/>
      <w:r>
        <w:t xml:space="preserve">Risk Assessment </w:t>
      </w:r>
    </w:p>
    <w:p w14:paraId="1469A1EA">
      <w:r>
        <w:t xml:space="preserve">Each risk is then evaluated based on its likelihood and impact. Likelihood refers to the probability of a risk occurring, while impact represents the potential consequences if the risk materialises. </w:t>
      </w:r>
    </w:p>
    <w:p w14:paraId="243FF943">
      <w:r>
        <w:rPr>
          <w:highlight w:val="yellow"/>
          <w:lang w:val="en-US"/>
        </w:rPr>
        <w:t xml:space="preserve">   (Digital Horizons Bank)</w:t>
      </w:r>
      <w:r>
        <w:t xml:space="preserve"> has chosen to use the following measurement scales:</w:t>
      </w:r>
    </w:p>
    <w:tbl>
      <w:tblPr>
        <w:tblStyle w:val="11"/>
        <w:tblW w:w="8910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6195"/>
        <w:gridCol w:w="840"/>
      </w:tblGrid>
      <w:tr w14:paraId="243FF94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243FF944">
            <w:pPr>
              <w:spacing w:after="0" w:line="240" w:lineRule="auto"/>
              <w:jc w:val="center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Likelihood</w:t>
            </w:r>
          </w:p>
        </w:tc>
        <w:tc>
          <w:tcPr>
            <w:tcW w:w="6195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243FF945">
            <w:pPr>
              <w:spacing w:after="0" w:line="240" w:lineRule="auto"/>
              <w:jc w:val="center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84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243FF946">
            <w:pPr>
              <w:spacing w:after="0" w:line="240" w:lineRule="auto"/>
              <w:jc w:val="center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Score</w:t>
            </w:r>
          </w:p>
        </w:tc>
      </w:tr>
      <w:tr w14:paraId="243FF94E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1875" w:type="dxa"/>
          </w:tcPr>
          <w:p w14:paraId="243FF948">
            <w:pPr>
              <w:spacing w:after="0" w:line="240" w:lineRule="auto"/>
              <w:jc w:val="center"/>
            </w:pPr>
            <w:r>
              <w:t>Remote</w:t>
            </w:r>
          </w:p>
        </w:tc>
        <w:tc>
          <w:tcPr>
            <w:tcW w:w="6195" w:type="dxa"/>
          </w:tcPr>
          <w:p w14:paraId="243FF949">
            <w:pPr>
              <w:numPr>
                <w:ilvl w:val="0"/>
                <w:numId w:val="5"/>
              </w:numPr>
              <w:spacing w:after="0" w:line="240" w:lineRule="auto"/>
              <w:ind w:left="270" w:hanging="180"/>
            </w:pPr>
            <w:r>
              <w:t xml:space="preserve">The risk is improbable to occur under normal circumstances. </w:t>
            </w:r>
          </w:p>
          <w:p w14:paraId="243FF94A">
            <w:pPr>
              <w:numPr>
                <w:ilvl w:val="0"/>
                <w:numId w:val="5"/>
              </w:numPr>
              <w:spacing w:after="0" w:line="240" w:lineRule="auto"/>
              <w:ind w:left="270" w:hanging="180"/>
            </w:pPr>
            <w:r>
              <w:t xml:space="preserve">There may be no known instances or only a few rare cases in similar organisations or environments. </w:t>
            </w:r>
          </w:p>
          <w:p w14:paraId="243FF94B">
            <w:pPr>
              <w:numPr>
                <w:ilvl w:val="0"/>
                <w:numId w:val="5"/>
              </w:numPr>
              <w:spacing w:after="0" w:line="240" w:lineRule="auto"/>
              <w:ind w:left="270" w:hanging="180"/>
            </w:pPr>
            <w:r>
              <w:t>This category is typically reserved for risks considered negligible or theoretical.</w:t>
            </w:r>
          </w:p>
          <w:p w14:paraId="243FF94C">
            <w:pPr>
              <w:spacing w:after="0" w:line="240" w:lineRule="auto"/>
              <w:ind w:left="720"/>
            </w:pPr>
          </w:p>
        </w:tc>
        <w:tc>
          <w:tcPr>
            <w:tcW w:w="840" w:type="dxa"/>
          </w:tcPr>
          <w:p w14:paraId="243FF94D">
            <w:pPr>
              <w:spacing w:after="0" w:line="240" w:lineRule="auto"/>
              <w:jc w:val="center"/>
            </w:pPr>
            <w:r>
              <w:t>1</w:t>
            </w:r>
          </w:p>
        </w:tc>
      </w:tr>
      <w:tr w14:paraId="243FF955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243FF94F">
            <w:pPr>
              <w:spacing w:after="0" w:line="240" w:lineRule="auto"/>
              <w:jc w:val="center"/>
            </w:pPr>
            <w:r>
              <w:t>Unlikely</w:t>
            </w:r>
          </w:p>
        </w:tc>
        <w:tc>
          <w:tcPr>
            <w:tcW w:w="6195" w:type="dxa"/>
          </w:tcPr>
          <w:p w14:paraId="243FF950">
            <w:pPr>
              <w:numPr>
                <w:ilvl w:val="0"/>
                <w:numId w:val="6"/>
              </w:numPr>
              <w:spacing w:after="0" w:line="240" w:lineRule="auto"/>
              <w:ind w:left="270" w:hanging="180"/>
            </w:pPr>
            <w:r>
              <w:t>The risk has a low chance of occurring.</w:t>
            </w:r>
          </w:p>
          <w:p w14:paraId="243FF951">
            <w:pPr>
              <w:numPr>
                <w:ilvl w:val="0"/>
                <w:numId w:val="6"/>
              </w:numPr>
              <w:spacing w:after="0" w:line="240" w:lineRule="auto"/>
              <w:ind w:left="270" w:hanging="180"/>
            </w:pPr>
            <w:r>
              <w:t xml:space="preserve">It might happen in exceptional circumstances but is not expected to occur regularly. </w:t>
            </w:r>
          </w:p>
          <w:p w14:paraId="243FF952">
            <w:pPr>
              <w:numPr>
                <w:ilvl w:val="0"/>
                <w:numId w:val="6"/>
              </w:numPr>
              <w:spacing w:after="0" w:line="240" w:lineRule="auto"/>
              <w:ind w:left="270" w:hanging="180"/>
            </w:pPr>
            <w:r>
              <w:t>This level is for recognised risks uncommon in your industry or operational environment.</w:t>
            </w:r>
          </w:p>
          <w:p w14:paraId="243FF953">
            <w:pPr>
              <w:spacing w:after="0" w:line="240" w:lineRule="auto"/>
              <w:ind w:left="720"/>
            </w:pPr>
          </w:p>
        </w:tc>
        <w:tc>
          <w:tcPr>
            <w:tcW w:w="840" w:type="dxa"/>
          </w:tcPr>
          <w:p w14:paraId="243FF954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43FF95C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243FF956">
            <w:pPr>
              <w:spacing w:after="0" w:line="240" w:lineRule="auto"/>
              <w:jc w:val="center"/>
            </w:pPr>
            <w:r>
              <w:t>Possible</w:t>
            </w:r>
          </w:p>
        </w:tc>
        <w:tc>
          <w:tcPr>
            <w:tcW w:w="6195" w:type="dxa"/>
          </w:tcPr>
          <w:p w14:paraId="243FF957">
            <w:pPr>
              <w:numPr>
                <w:ilvl w:val="0"/>
                <w:numId w:val="7"/>
              </w:numPr>
              <w:spacing w:after="0" w:line="240" w:lineRule="auto"/>
              <w:ind w:left="270" w:hanging="180"/>
            </w:pPr>
            <w:r>
              <w:t xml:space="preserve">The risk has a moderate likelihood of occurring. </w:t>
            </w:r>
          </w:p>
          <w:p w14:paraId="243FF958">
            <w:pPr>
              <w:numPr>
                <w:ilvl w:val="0"/>
                <w:numId w:val="7"/>
              </w:numPr>
              <w:spacing w:after="0" w:line="240" w:lineRule="auto"/>
              <w:ind w:left="270" w:hanging="180"/>
            </w:pPr>
            <w:r>
              <w:t xml:space="preserve">There is an equal chance of the risk occurring or not occurring. </w:t>
            </w:r>
          </w:p>
          <w:p w14:paraId="243FF959">
            <w:pPr>
              <w:numPr>
                <w:ilvl w:val="0"/>
                <w:numId w:val="7"/>
              </w:numPr>
              <w:spacing w:after="0" w:line="240" w:lineRule="auto"/>
              <w:ind w:left="270" w:hanging="180"/>
            </w:pPr>
            <w:r>
              <w:t>It's a realistic possibility in your current environment and should be given a fair amount of attention.</w:t>
            </w:r>
          </w:p>
          <w:p w14:paraId="243FF95A">
            <w:pPr>
              <w:spacing w:after="0" w:line="240" w:lineRule="auto"/>
              <w:ind w:left="720"/>
            </w:pPr>
          </w:p>
        </w:tc>
        <w:tc>
          <w:tcPr>
            <w:tcW w:w="840" w:type="dxa"/>
          </w:tcPr>
          <w:p w14:paraId="243FF95B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243FF963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243FF95D">
            <w:pPr>
              <w:spacing w:after="0" w:line="240" w:lineRule="auto"/>
              <w:jc w:val="center"/>
            </w:pPr>
            <w:r>
              <w:t>Probable</w:t>
            </w:r>
          </w:p>
        </w:tc>
        <w:tc>
          <w:tcPr>
            <w:tcW w:w="6195" w:type="dxa"/>
          </w:tcPr>
          <w:p w14:paraId="243FF95E">
            <w:pPr>
              <w:numPr>
                <w:ilvl w:val="0"/>
                <w:numId w:val="8"/>
              </w:numPr>
              <w:spacing w:after="0" w:line="240" w:lineRule="auto"/>
              <w:ind w:left="270" w:hanging="180"/>
            </w:pPr>
            <w:r>
              <w:t>The risk is more likely to occur than not.</w:t>
            </w:r>
          </w:p>
          <w:p w14:paraId="243FF95F">
            <w:pPr>
              <w:numPr>
                <w:ilvl w:val="0"/>
                <w:numId w:val="8"/>
              </w:numPr>
              <w:spacing w:after="0" w:line="240" w:lineRule="auto"/>
              <w:ind w:left="270" w:hanging="180"/>
            </w:pPr>
            <w:r>
              <w:t xml:space="preserve"> There have been instances of this risk materialising in similar contexts, or there are factors in your environment that increase its likelihood. </w:t>
            </w:r>
          </w:p>
          <w:p w14:paraId="243FF960">
            <w:pPr>
              <w:numPr>
                <w:ilvl w:val="0"/>
                <w:numId w:val="8"/>
              </w:numPr>
              <w:spacing w:after="0" w:line="240" w:lineRule="auto"/>
              <w:ind w:left="270" w:hanging="180"/>
            </w:pPr>
            <w:r>
              <w:t>It requires proactive management and monitoring.</w:t>
            </w:r>
          </w:p>
          <w:p w14:paraId="243FF961">
            <w:pPr>
              <w:spacing w:after="0" w:line="240" w:lineRule="auto"/>
              <w:ind w:left="720"/>
            </w:pPr>
          </w:p>
        </w:tc>
        <w:tc>
          <w:tcPr>
            <w:tcW w:w="840" w:type="dxa"/>
          </w:tcPr>
          <w:p w14:paraId="243FF962">
            <w:pPr>
              <w:spacing w:after="0" w:line="240" w:lineRule="auto"/>
              <w:jc w:val="center"/>
            </w:pPr>
            <w:r>
              <w:t>4</w:t>
            </w:r>
          </w:p>
        </w:tc>
      </w:tr>
      <w:tr w14:paraId="243FF96A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5" w:type="dxa"/>
          </w:tcPr>
          <w:p w14:paraId="243FF964">
            <w:pPr>
              <w:spacing w:after="0" w:line="240" w:lineRule="auto"/>
              <w:jc w:val="center"/>
            </w:pPr>
            <w:r>
              <w:t>Highly Probable</w:t>
            </w:r>
          </w:p>
        </w:tc>
        <w:tc>
          <w:tcPr>
            <w:tcW w:w="6195" w:type="dxa"/>
          </w:tcPr>
          <w:p w14:paraId="243FF965">
            <w:pPr>
              <w:numPr>
                <w:ilvl w:val="0"/>
                <w:numId w:val="9"/>
              </w:numPr>
              <w:spacing w:after="0" w:line="240" w:lineRule="auto"/>
              <w:ind w:left="270" w:hanging="180"/>
            </w:pPr>
            <w:r>
              <w:t xml:space="preserve">The risk is almost certain to occur. </w:t>
            </w:r>
          </w:p>
          <w:p w14:paraId="243FF966">
            <w:pPr>
              <w:numPr>
                <w:ilvl w:val="0"/>
                <w:numId w:val="9"/>
              </w:numPr>
              <w:spacing w:after="0" w:line="240" w:lineRule="auto"/>
              <w:ind w:left="270" w:hanging="180"/>
            </w:pPr>
            <w:r>
              <w:t xml:space="preserve">Strong evidence or historical data suggests this risk is frequent in your setting. </w:t>
            </w:r>
          </w:p>
          <w:p w14:paraId="243FF967">
            <w:pPr>
              <w:numPr>
                <w:ilvl w:val="0"/>
                <w:numId w:val="9"/>
              </w:numPr>
              <w:spacing w:after="0" w:line="240" w:lineRule="auto"/>
              <w:ind w:left="270" w:hanging="180"/>
            </w:pPr>
            <w:r>
              <w:t>This level indicates a high-priority risk that demands immediate and effective mitigation measures.</w:t>
            </w:r>
          </w:p>
          <w:p w14:paraId="243FF968">
            <w:pPr>
              <w:spacing w:after="0" w:line="240" w:lineRule="auto"/>
              <w:ind w:left="720"/>
            </w:pPr>
          </w:p>
        </w:tc>
        <w:tc>
          <w:tcPr>
            <w:tcW w:w="840" w:type="dxa"/>
          </w:tcPr>
          <w:p w14:paraId="243FF969">
            <w:pPr>
              <w:spacing w:after="0" w:line="240" w:lineRule="auto"/>
              <w:jc w:val="center"/>
            </w:pPr>
            <w:r>
              <w:t>5</w:t>
            </w:r>
          </w:p>
        </w:tc>
      </w:tr>
    </w:tbl>
    <w:p w14:paraId="243FF96B">
      <w:pPr>
        <w:rPr>
          <w:sz w:val="24"/>
          <w:szCs w:val="24"/>
        </w:rPr>
      </w:pPr>
    </w:p>
    <w:tbl>
      <w:tblPr>
        <w:tblStyle w:val="10"/>
        <w:tblW w:w="8940" w:type="dxa"/>
        <w:tblInd w:w="0" w:type="dxa"/>
        <w:tblBorders>
          <w:top w:val="single" w:color="ACD78D" w:themeColor="accent4" w:themeTint="99" w:sz="4" w:space="0"/>
          <w:left w:val="single" w:color="ACD78D" w:themeColor="accent4" w:themeTint="99" w:sz="4" w:space="0"/>
          <w:bottom w:val="single" w:color="ACD78D" w:themeColor="accent4" w:themeTint="99" w:sz="4" w:space="0"/>
          <w:right w:val="single" w:color="ACD78D" w:themeColor="accent4" w:themeTint="99" w:sz="4" w:space="0"/>
          <w:insideH w:val="single" w:color="ACD78D" w:themeColor="accent4" w:themeTint="99" w:sz="4" w:space="0"/>
          <w:insideV w:val="single" w:color="ACD78D" w:themeColor="accent4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180"/>
        <w:gridCol w:w="870"/>
      </w:tblGrid>
      <w:tr w14:paraId="243FF96F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  <w:tcBorders>
              <w:top w:val="single" w:color="75BD42" w:themeColor="accent4" w:sz="4" w:space="0"/>
              <w:left w:val="single" w:color="75BD42" w:themeColor="accent4" w:sz="4" w:space="0"/>
              <w:bottom w:val="single" w:color="75BD42" w:themeColor="accent4" w:sz="4" w:space="0"/>
              <w:right w:val="nil"/>
              <w:insideH w:val="single" w:sz="4" w:space="0"/>
              <w:insideV w:val="nil"/>
            </w:tcBorders>
            <w:shd w:val="clear" w:color="auto" w:fill="75BD42" w:themeFill="accent4"/>
          </w:tcPr>
          <w:p w14:paraId="243FF96C">
            <w:pPr>
              <w:spacing w:after="0" w:line="240" w:lineRule="auto"/>
              <w:jc w:val="center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Impact</w:t>
            </w:r>
          </w:p>
        </w:tc>
        <w:tc>
          <w:tcPr>
            <w:tcW w:w="6180" w:type="dxa"/>
            <w:tcBorders>
              <w:top w:val="single" w:color="75BD42" w:themeColor="accent4" w:sz="4" w:space="0"/>
              <w:bottom w:val="single" w:color="75BD42" w:themeColor="accent4" w:sz="4" w:space="0"/>
              <w:right w:val="nil"/>
              <w:insideH w:val="single" w:sz="4" w:space="0"/>
              <w:insideV w:val="nil"/>
            </w:tcBorders>
            <w:shd w:val="clear" w:color="auto" w:fill="75BD42" w:themeFill="accent4"/>
          </w:tcPr>
          <w:p w14:paraId="243FF96D">
            <w:pPr>
              <w:spacing w:after="0" w:line="240" w:lineRule="auto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870" w:type="dxa"/>
            <w:tcBorders>
              <w:top w:val="single" w:color="75BD42" w:themeColor="accent4" w:sz="4" w:space="0"/>
              <w:bottom w:val="single" w:color="75BD42" w:themeColor="accent4" w:sz="4" w:space="0"/>
              <w:right w:val="single" w:color="75BD42" w:themeColor="accent4" w:sz="4" w:space="0"/>
              <w:insideH w:val="single" w:sz="4" w:space="0"/>
              <w:insideV w:val="nil"/>
            </w:tcBorders>
            <w:shd w:val="clear" w:color="auto" w:fill="75BD42" w:themeFill="accent4"/>
          </w:tcPr>
          <w:p w14:paraId="243FF96E">
            <w:pPr>
              <w:spacing w:after="0" w:line="240" w:lineRule="auto"/>
              <w:jc w:val="center"/>
              <w:rPr>
                <w:b w:val="0"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Score</w:t>
            </w:r>
          </w:p>
        </w:tc>
      </w:tr>
      <w:tr w14:paraId="243FF975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  <w:shd w:val="clear" w:color="auto" w:fill="E3F1D9" w:themeFill="accent4" w:themeFillTint="33"/>
          </w:tcPr>
          <w:p w14:paraId="243FF970">
            <w:pPr>
              <w:spacing w:after="0" w:line="240" w:lineRule="auto"/>
              <w:jc w:val="center"/>
            </w:pPr>
            <w:r>
              <w:t>Insignificant</w:t>
            </w:r>
          </w:p>
        </w:tc>
        <w:tc>
          <w:tcPr>
            <w:tcW w:w="6180" w:type="dxa"/>
            <w:shd w:val="clear" w:color="auto" w:fill="E3F1D9" w:themeFill="accent4" w:themeFillTint="33"/>
          </w:tcPr>
          <w:p w14:paraId="243FF971">
            <w:pPr>
              <w:numPr>
                <w:ilvl w:val="0"/>
                <w:numId w:val="10"/>
              </w:numPr>
              <w:spacing w:after="0" w:line="240" w:lineRule="auto"/>
              <w:ind w:left="360" w:hanging="270"/>
            </w:pPr>
            <w:r>
              <w:t xml:space="preserve">The impact is negligible, with no notable consequences on operations, reputation, or finances. </w:t>
            </w:r>
          </w:p>
          <w:p w14:paraId="243FF972">
            <w:pPr>
              <w:numPr>
                <w:ilvl w:val="0"/>
                <w:numId w:val="10"/>
              </w:numPr>
              <w:spacing w:after="0" w:line="240" w:lineRule="auto"/>
              <w:ind w:left="360" w:hanging="270"/>
            </w:pPr>
            <w:r>
              <w:t>It would not cause any interruption to normal business activities or require significant effort to address.</w:t>
            </w:r>
          </w:p>
          <w:p w14:paraId="243FF973">
            <w:pPr>
              <w:spacing w:after="0" w:line="240" w:lineRule="auto"/>
              <w:ind w:left="720"/>
            </w:pPr>
          </w:p>
        </w:tc>
        <w:tc>
          <w:tcPr>
            <w:tcW w:w="870" w:type="dxa"/>
            <w:shd w:val="clear" w:color="auto" w:fill="E3F1D9" w:themeFill="accent4" w:themeFillTint="33"/>
          </w:tcPr>
          <w:p w14:paraId="243FF974">
            <w:pPr>
              <w:spacing w:after="0" w:line="240" w:lineRule="auto"/>
              <w:jc w:val="center"/>
            </w:pPr>
            <w:r>
              <w:t>1</w:t>
            </w:r>
          </w:p>
        </w:tc>
      </w:tr>
      <w:tr w14:paraId="243FF97B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43FF976">
            <w:pPr>
              <w:spacing w:after="0" w:line="240" w:lineRule="auto"/>
              <w:jc w:val="center"/>
            </w:pPr>
            <w:r>
              <w:t xml:space="preserve">Minor </w:t>
            </w:r>
          </w:p>
        </w:tc>
        <w:tc>
          <w:tcPr>
            <w:tcW w:w="6180" w:type="dxa"/>
          </w:tcPr>
          <w:p w14:paraId="243FF977">
            <w:pPr>
              <w:numPr>
                <w:ilvl w:val="0"/>
                <w:numId w:val="11"/>
              </w:numPr>
              <w:spacing w:after="0" w:line="240" w:lineRule="auto"/>
              <w:ind w:left="360" w:hanging="270"/>
            </w:pPr>
            <w:r>
              <w:t xml:space="preserve">The impact causes a minor inconvenience that can be easily managed or resolved through routine procedures. </w:t>
            </w:r>
          </w:p>
          <w:p w14:paraId="243FF978">
            <w:pPr>
              <w:numPr>
                <w:ilvl w:val="0"/>
                <w:numId w:val="11"/>
              </w:numPr>
              <w:spacing w:after="0" w:line="240" w:lineRule="auto"/>
              <w:ind w:left="360" w:hanging="270"/>
            </w:pPr>
            <w:r>
              <w:t>It may result in a slight delay or minor costs, but it does not significantly affect business operations or objectives.</w:t>
            </w:r>
          </w:p>
          <w:p w14:paraId="243FF979">
            <w:pPr>
              <w:spacing w:after="0" w:line="240" w:lineRule="auto"/>
              <w:ind w:left="720"/>
            </w:pPr>
          </w:p>
        </w:tc>
        <w:tc>
          <w:tcPr>
            <w:tcW w:w="870" w:type="dxa"/>
          </w:tcPr>
          <w:p w14:paraId="243FF97A">
            <w:pPr>
              <w:spacing w:after="0" w:line="240" w:lineRule="auto"/>
              <w:jc w:val="center"/>
            </w:pPr>
            <w:r>
              <w:t>2</w:t>
            </w:r>
          </w:p>
        </w:tc>
      </w:tr>
      <w:tr w14:paraId="243FF982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  <w:shd w:val="clear" w:color="auto" w:fill="E3F1D9" w:themeFill="accent4" w:themeFillTint="33"/>
          </w:tcPr>
          <w:p w14:paraId="243FF97C">
            <w:pPr>
              <w:spacing w:after="0" w:line="240" w:lineRule="auto"/>
              <w:jc w:val="center"/>
            </w:pPr>
            <w:r>
              <w:t xml:space="preserve">Moderate </w:t>
            </w:r>
          </w:p>
        </w:tc>
        <w:tc>
          <w:tcPr>
            <w:tcW w:w="6180" w:type="dxa"/>
            <w:shd w:val="clear" w:color="auto" w:fill="E3F1D9" w:themeFill="accent4" w:themeFillTint="33"/>
          </w:tcPr>
          <w:p w14:paraId="243FF97D">
            <w:pPr>
              <w:numPr>
                <w:ilvl w:val="0"/>
                <w:numId w:val="12"/>
              </w:numPr>
              <w:spacing w:after="0" w:line="240" w:lineRule="auto"/>
            </w:pPr>
            <w:r>
              <w:t xml:space="preserve">The impact is noticeable and may cause some disruption but can be managed or worked around without significant difficulty. </w:t>
            </w:r>
          </w:p>
          <w:p w14:paraId="243FF97E">
            <w:pPr>
              <w:numPr>
                <w:ilvl w:val="0"/>
                <w:numId w:val="12"/>
              </w:numPr>
              <w:spacing w:after="0" w:line="240" w:lineRule="auto"/>
            </w:pPr>
            <w:r>
              <w:t xml:space="preserve">This level might involve moderate financial costs, a temporary reduction in productivity, or some strain on resources. </w:t>
            </w:r>
          </w:p>
          <w:p w14:paraId="243FF97F">
            <w:pPr>
              <w:numPr>
                <w:ilvl w:val="0"/>
                <w:numId w:val="12"/>
              </w:numPr>
              <w:spacing w:after="0" w:line="240" w:lineRule="auto"/>
            </w:pPr>
            <w:r>
              <w:t>It requires management attention but is within the organisation's capacity to handle effectively.</w:t>
            </w:r>
          </w:p>
          <w:p w14:paraId="243FF980">
            <w:pPr>
              <w:spacing w:after="0" w:line="240" w:lineRule="auto"/>
              <w:ind w:left="720"/>
            </w:pPr>
          </w:p>
        </w:tc>
        <w:tc>
          <w:tcPr>
            <w:tcW w:w="870" w:type="dxa"/>
            <w:shd w:val="clear" w:color="auto" w:fill="E3F1D9" w:themeFill="accent4" w:themeFillTint="33"/>
          </w:tcPr>
          <w:p w14:paraId="243FF981">
            <w:pPr>
              <w:spacing w:after="0" w:line="240" w:lineRule="auto"/>
              <w:jc w:val="center"/>
            </w:pPr>
            <w:r>
              <w:t>3</w:t>
            </w:r>
          </w:p>
        </w:tc>
      </w:tr>
      <w:tr w14:paraId="243FF989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</w:tcPr>
          <w:p w14:paraId="243FF983">
            <w:pPr>
              <w:spacing w:after="0" w:line="240" w:lineRule="auto"/>
              <w:jc w:val="center"/>
            </w:pPr>
            <w:r>
              <w:t>Major</w:t>
            </w:r>
          </w:p>
        </w:tc>
        <w:tc>
          <w:tcPr>
            <w:tcW w:w="6180" w:type="dxa"/>
          </w:tcPr>
          <w:p w14:paraId="243FF984">
            <w:pPr>
              <w:numPr>
                <w:ilvl w:val="0"/>
                <w:numId w:val="12"/>
              </w:numPr>
              <w:spacing w:after="0" w:line="240" w:lineRule="auto"/>
            </w:pPr>
            <w:r>
              <w:t xml:space="preserve">The impact causes significant disruption to services or operations. </w:t>
            </w:r>
          </w:p>
          <w:p w14:paraId="243FF985">
            <w:pPr>
              <w:numPr>
                <w:ilvl w:val="0"/>
                <w:numId w:val="12"/>
              </w:numPr>
              <w:spacing w:after="0" w:line="240" w:lineRule="auto"/>
            </w:pPr>
            <w:r>
              <w:t xml:space="preserve">It may result in substantial financial loss, severe damage to reputation, or considerable resource allocation to address. </w:t>
            </w:r>
          </w:p>
          <w:p w14:paraId="243FF986">
            <w:pPr>
              <w:numPr>
                <w:ilvl w:val="0"/>
                <w:numId w:val="12"/>
              </w:numPr>
              <w:spacing w:after="0" w:line="240" w:lineRule="auto"/>
            </w:pPr>
            <w:r>
              <w:t>Recovery from this level of impact requires significant effort and may affect the organisation's strategic objectives or long-term plans.</w:t>
            </w:r>
          </w:p>
          <w:p w14:paraId="243FF987">
            <w:pPr>
              <w:spacing w:after="0" w:line="240" w:lineRule="auto"/>
              <w:ind w:left="720"/>
            </w:pPr>
          </w:p>
        </w:tc>
        <w:tc>
          <w:tcPr>
            <w:tcW w:w="870" w:type="dxa"/>
          </w:tcPr>
          <w:p w14:paraId="243FF988">
            <w:pPr>
              <w:spacing w:after="0" w:line="240" w:lineRule="auto"/>
              <w:jc w:val="center"/>
            </w:pPr>
            <w:r>
              <w:t>4</w:t>
            </w:r>
          </w:p>
        </w:tc>
      </w:tr>
      <w:tr w14:paraId="243FF990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0" w:type="dxa"/>
            <w:shd w:val="clear" w:color="auto" w:fill="E3F1D9" w:themeFill="accent4" w:themeFillTint="33"/>
          </w:tcPr>
          <w:p w14:paraId="243FF98A">
            <w:pPr>
              <w:spacing w:after="0" w:line="240" w:lineRule="auto"/>
              <w:jc w:val="center"/>
            </w:pPr>
            <w:r>
              <w:t>Catastrophic</w:t>
            </w:r>
          </w:p>
        </w:tc>
        <w:tc>
          <w:tcPr>
            <w:tcW w:w="6180" w:type="dxa"/>
            <w:shd w:val="clear" w:color="auto" w:fill="E3F1D9" w:themeFill="accent4" w:themeFillTint="33"/>
          </w:tcPr>
          <w:p w14:paraId="243FF98B">
            <w:pPr>
              <w:numPr>
                <w:ilvl w:val="0"/>
                <w:numId w:val="12"/>
              </w:numPr>
              <w:spacing w:after="0" w:line="240" w:lineRule="auto"/>
            </w:pPr>
            <w:r>
              <w:t>The impact is so severe that it threatens the existence and continued operation of the organisation.</w:t>
            </w:r>
          </w:p>
          <w:p w14:paraId="243FF98C">
            <w:pPr>
              <w:numPr>
                <w:ilvl w:val="0"/>
                <w:numId w:val="12"/>
              </w:numPr>
              <w:spacing w:after="0" w:line="240" w:lineRule="auto"/>
            </w:pPr>
            <w:r>
              <w:t xml:space="preserve">It could lead to long-term or permanent damage to the organisation's reputation, financial stability, or market position. </w:t>
            </w:r>
          </w:p>
          <w:p w14:paraId="243FF98D">
            <w:pPr>
              <w:numPr>
                <w:ilvl w:val="0"/>
                <w:numId w:val="12"/>
              </w:numPr>
              <w:spacing w:after="0" w:line="240" w:lineRule="auto"/>
            </w:pPr>
            <w:r>
              <w:t>This impact may involve legal ramifications, significant financial losses, and critical damage to organisational assets or stakeholder relationships.</w:t>
            </w:r>
          </w:p>
          <w:p w14:paraId="243FF98E">
            <w:pPr>
              <w:spacing w:after="0" w:line="240" w:lineRule="auto"/>
              <w:ind w:left="720"/>
            </w:pPr>
          </w:p>
        </w:tc>
        <w:tc>
          <w:tcPr>
            <w:tcW w:w="870" w:type="dxa"/>
            <w:shd w:val="clear" w:color="auto" w:fill="E3F1D9" w:themeFill="accent4" w:themeFillTint="33"/>
          </w:tcPr>
          <w:p w14:paraId="243FF98F">
            <w:pPr>
              <w:spacing w:after="0" w:line="240" w:lineRule="auto"/>
              <w:jc w:val="center"/>
            </w:pPr>
            <w:r>
              <w:t>5</w:t>
            </w:r>
          </w:p>
        </w:tc>
      </w:tr>
    </w:tbl>
    <w:p w14:paraId="243FF991">
      <w:pPr>
        <w:rPr>
          <w:sz w:val="28"/>
          <w:szCs w:val="28"/>
        </w:rPr>
      </w:pPr>
    </w:p>
    <w:p w14:paraId="243FF992">
      <w:pPr>
        <w:pStyle w:val="2"/>
        <w:rPr>
          <w:sz w:val="24"/>
          <w:szCs w:val="24"/>
        </w:rPr>
      </w:pPr>
      <w:bookmarkStart w:id="6" w:name="_heading=h.3dy6vkm" w:colFirst="0" w:colLast="0"/>
      <w:bookmarkEnd w:id="6"/>
      <w:r>
        <w:t>Risk Prioritisation</w:t>
      </w:r>
      <w:r>
        <w:rPr>
          <w:sz w:val="24"/>
          <w:szCs w:val="24"/>
        </w:rPr>
        <w:t xml:space="preserve"> </w:t>
      </w:r>
    </w:p>
    <w:p w14:paraId="243FF993">
      <w:r>
        <w:t xml:space="preserve">The </w:t>
      </w:r>
      <w:r>
        <w:rPr>
          <w:highlight w:val="yellow"/>
          <w:lang w:val="en-US"/>
        </w:rPr>
        <w:t xml:space="preserve"> (Digital Horizons Bank)</w:t>
      </w:r>
      <w:r>
        <w:t xml:space="preserve"> then ranks the risks based on their likelihood and impact to help focus on the most significant ones. Using a combination of (Impact x Likelihood) gives each risk an overall rating. The top priorities are the high likelihood and high impact quadrant risks. </w:t>
      </w:r>
    </w:p>
    <w:p w14:paraId="243FF994">
      <w:r>
        <w:br w:type="page"/>
      </w:r>
    </w:p>
    <w:p w14:paraId="7EA60167"/>
    <w:tbl>
      <w:tblPr>
        <w:tblStyle w:val="12"/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17"/>
        <w:gridCol w:w="1339"/>
        <w:gridCol w:w="571"/>
        <w:gridCol w:w="1239"/>
        <w:gridCol w:w="1239"/>
        <w:gridCol w:w="1239"/>
        <w:gridCol w:w="1240"/>
        <w:gridCol w:w="1241"/>
      </w:tblGrid>
      <w:tr w14:paraId="243FF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W w:w="8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5">
            <w:pPr>
              <w:widowControl w:val="0"/>
              <w:spacing w:after="0" w:line="276" w:lineRule="auto"/>
              <w:jc w:val="center"/>
              <w:rPr>
                <w:b/>
              </w:rPr>
            </w:pPr>
            <w:r>
              <w:rPr>
                <w:b/>
              </w:rPr>
              <w:t>IMPACT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6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Catastrophic</w:t>
            </w:r>
          </w:p>
        </w:tc>
        <w:tc>
          <w:tcPr>
            <w:tcW w:w="576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7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5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8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5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9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10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A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15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B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20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C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25</w:t>
            </w:r>
          </w:p>
        </w:tc>
      </w:tr>
      <w:tr w14:paraId="243F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F99E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9F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Major Disruption</w:t>
            </w:r>
          </w:p>
        </w:tc>
        <w:tc>
          <w:tcPr>
            <w:tcW w:w="576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0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4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1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4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2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8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3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4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16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5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20</w:t>
            </w:r>
          </w:p>
        </w:tc>
      </w:tr>
      <w:tr w14:paraId="243FF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F9A7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8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Moderate / Workaround</w:t>
            </w:r>
          </w:p>
        </w:tc>
        <w:tc>
          <w:tcPr>
            <w:tcW w:w="576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9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3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A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3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B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6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C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9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D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AE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15</w:t>
            </w:r>
          </w:p>
        </w:tc>
      </w:tr>
      <w:tr w14:paraId="243FF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F9B0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1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sz w:val="18"/>
                <w:szCs w:val="18"/>
              </w:rPr>
              <w:t>Minor / Inconvenience</w:t>
            </w:r>
          </w:p>
        </w:tc>
        <w:tc>
          <w:tcPr>
            <w:tcW w:w="576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2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3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4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4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5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6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6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8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000000" w:sz="4" w:space="0"/>
              <w:right w:val="single" w:color="000000" w:sz="4" w:space="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7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10</w:t>
            </w:r>
          </w:p>
        </w:tc>
      </w:tr>
      <w:tr w14:paraId="243FF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F9B9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A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sz w:val="18"/>
                <w:szCs w:val="18"/>
              </w:rPr>
              <w:t>Insignificant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B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1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C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1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D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2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E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3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00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BF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4</w:t>
            </w:r>
          </w:p>
        </w:tc>
        <w:tc>
          <w:tcPr>
            <w:tcW w:w="1247" w:type="dxa"/>
            <w:tcBorders>
              <w:top w:val="single" w:color="CCCCCC" w:sz="4" w:space="0"/>
              <w:left w:val="single" w:color="CCCCCC" w:sz="4" w:space="0"/>
              <w:bottom w:val="single" w:color="auto" w:sz="4" w:space="0"/>
              <w:right w:val="single" w:color="000000" w:sz="4" w:space="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0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t>5</w:t>
            </w:r>
          </w:p>
        </w:tc>
      </w:tr>
      <w:tr w14:paraId="243FF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W w:w="8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3FF9C2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3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576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4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5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1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6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2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7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3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8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4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9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5</w:t>
            </w:r>
          </w:p>
        </w:tc>
      </w:tr>
      <w:tr w14:paraId="243FF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3FF9CB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C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D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E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Remote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CF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Unlikely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0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Possible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1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Probable</w:t>
            </w:r>
          </w:p>
        </w:tc>
        <w:tc>
          <w:tcPr>
            <w:tcW w:w="1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2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Highly Probable</w:t>
            </w:r>
          </w:p>
        </w:tc>
      </w:tr>
      <w:tr w14:paraId="243FF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3FF9D4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5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6">
            <w:pPr>
              <w:widowControl w:val="0"/>
              <w:spacing w:after="0" w:line="276" w:lineRule="auto"/>
              <w:rPr>
                <w:rFonts w:ascii="Calibri" w:hAnsi="Calibri" w:eastAsia="Calibri" w:cs="Calibri"/>
              </w:rPr>
            </w:pPr>
          </w:p>
        </w:tc>
        <w:tc>
          <w:tcPr>
            <w:tcW w:w="62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FF9D7">
            <w:pPr>
              <w:widowControl w:val="0"/>
              <w:spacing w:after="0" w:line="276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b/>
              </w:rPr>
              <w:t>LIKELIHOOD</w:t>
            </w:r>
          </w:p>
        </w:tc>
      </w:tr>
    </w:tbl>
    <w:p w14:paraId="243FF9D9"/>
    <w:p w14:paraId="243FF9DA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Red: Extreme risks that threaten the continued operation of the organisation.</w:t>
      </w:r>
    </w:p>
    <w:p w14:paraId="243FF9DB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Amber: Moderate risks that threaten service operations.</w:t>
      </w:r>
    </w:p>
    <w:p w14:paraId="243FF9DC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t>Yellow: Lower risks that would cause inconvenience but could be worked around.</w:t>
      </w:r>
    </w:p>
    <w:p w14:paraId="243FF9DD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Green: Insignificant risks that should be resolved but would cause no notable operational issues.</w:t>
      </w:r>
    </w:p>
    <w:p w14:paraId="243FF9DE">
      <w:pPr>
        <w:pStyle w:val="2"/>
      </w:pPr>
      <w:r>
        <w:t>Risk Mitigation</w:t>
      </w:r>
    </w:p>
    <w:p w14:paraId="243FF9DF">
      <w:r>
        <w:t>The Information Security team will then develop strategies to manage the prioritised risks. There are four main approaches to risk mitigation:</w:t>
      </w:r>
    </w:p>
    <w:p w14:paraId="243FF9E0">
      <w:pPr>
        <w:numPr>
          <w:ilvl w:val="0"/>
          <w:numId w:val="14"/>
        </w:numPr>
        <w:spacing w:after="0"/>
      </w:pPr>
      <w:r>
        <w:rPr>
          <w:b/>
        </w:rPr>
        <w:t>Accept</w:t>
      </w:r>
      <w:r>
        <w:t xml:space="preserve">: If a risk has a low likelihood and impact, it might be acceptable to acknowledge and monitor it. </w:t>
      </w:r>
    </w:p>
    <w:p w14:paraId="243FF9E1">
      <w:pPr>
        <w:numPr>
          <w:ilvl w:val="0"/>
          <w:numId w:val="14"/>
        </w:numPr>
        <w:spacing w:after="0"/>
      </w:pPr>
      <w:r>
        <w:rPr>
          <w:b/>
        </w:rPr>
        <w:t>Avoid</w:t>
      </w:r>
      <w:r>
        <w:t xml:space="preserve">: If possible, change your plans to avoid the risk altogether. </w:t>
      </w:r>
    </w:p>
    <w:p w14:paraId="243FF9E2">
      <w:pPr>
        <w:numPr>
          <w:ilvl w:val="0"/>
          <w:numId w:val="14"/>
        </w:numPr>
        <w:spacing w:after="0"/>
      </w:pPr>
      <w:r>
        <w:rPr>
          <w:b/>
        </w:rPr>
        <w:t>Transfer</w:t>
      </w:r>
      <w:r>
        <w:t>: Shift the risk to another party (e.g., through insurance or outsourcing).</w:t>
      </w:r>
    </w:p>
    <w:p w14:paraId="243FF9E3">
      <w:pPr>
        <w:numPr>
          <w:ilvl w:val="0"/>
          <w:numId w:val="14"/>
        </w:numPr>
      </w:pPr>
      <w:r>
        <w:rPr>
          <w:b/>
        </w:rPr>
        <w:t>Mitigate</w:t>
      </w:r>
      <w:r>
        <w:t>: Implement actions to reduce the likelihood and/or impact of the risk (e.g., additional training, backup plans, diversifying suppliers).</w:t>
      </w:r>
    </w:p>
    <w:p w14:paraId="243FF9E4">
      <w:r>
        <w:t>Risk mitigation plans are then created and monitored, and ownership is assigned for resolving risks to a satisfactory level with which the [</w:t>
      </w:r>
      <w:r>
        <w:rPr>
          <w:lang w:val="en-US"/>
        </w:rPr>
        <w:t>بنك الآفاق الرقمية (Digital Horizons Bank)</w:t>
      </w:r>
      <w:r>
        <w:t>] is comfortable.</w:t>
      </w:r>
    </w:p>
    <w:p w14:paraId="385F3591">
      <w:r>
        <w:t>The risk log must clearly document the selected risk treatment options (accept, avoid, transfer, mitigate).</w:t>
      </w:r>
    </w:p>
    <w:p w14:paraId="103B5B1D">
      <w:pPr>
        <w:rPr>
          <w:rStyle w:val="13"/>
        </w:rPr>
      </w:pPr>
      <w:r>
        <w:t xml:space="preserve">Each decision should be justified based on the risk assessment and the organisation's risk appetite. </w:t>
      </w:r>
    </w:p>
    <w:p w14:paraId="0D43B7E6">
      <w:pPr>
        <w:rPr>
          <w:rStyle w:val="13"/>
          <w:b/>
          <w:bCs/>
          <w:u w:val="single"/>
        </w:rPr>
      </w:pPr>
      <w:r>
        <w:rPr>
          <w:rStyle w:val="13"/>
          <w:b/>
          <w:bCs/>
          <w:u w:val="single"/>
        </w:rPr>
        <w:t>Documentation</w:t>
      </w:r>
    </w:p>
    <w:tbl>
      <w:tblPr>
        <w:tblStyle w:val="10"/>
        <w:tblW w:w="0" w:type="auto"/>
        <w:tblInd w:w="0" w:type="dxa"/>
        <w:tblBorders>
          <w:top w:val="single" w:color="ACD78D" w:themeColor="accent4" w:themeTint="99" w:sz="4" w:space="0"/>
          <w:left w:val="single" w:color="ACD78D" w:themeColor="accent4" w:themeTint="99" w:sz="4" w:space="0"/>
          <w:bottom w:val="single" w:color="ACD78D" w:themeColor="accent4" w:themeTint="99" w:sz="4" w:space="0"/>
          <w:right w:val="single" w:color="ACD78D" w:themeColor="accent4" w:themeTint="99" w:sz="4" w:space="0"/>
          <w:insideH w:val="single" w:color="ACD78D" w:themeColor="accent4" w:themeTint="99" w:sz="4" w:space="0"/>
          <w:insideV w:val="single" w:color="ACD78D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320"/>
      </w:tblGrid>
      <w:tr w14:paraId="251E635C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75BD42" w:themeColor="accent4" w:sz="4" w:space="0"/>
              <w:left w:val="single" w:color="75BD42" w:themeColor="accent4" w:sz="4" w:space="0"/>
              <w:bottom w:val="single" w:color="75BD42" w:themeColor="accent4" w:sz="4" w:space="0"/>
              <w:right w:val="nil"/>
              <w:insideH w:val="single" w:sz="4" w:space="0"/>
              <w:insideV w:val="nil"/>
            </w:tcBorders>
            <w:shd w:val="clear" w:color="auto" w:fill="75BD42" w:themeFill="accent4"/>
          </w:tcPr>
          <w:p w14:paraId="089BD095">
            <w:pPr>
              <w:spacing w:after="0" w:line="240" w:lineRule="auto"/>
              <w:rPr>
                <w:rStyle w:val="13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4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Accept</w:t>
            </w:r>
          </w:p>
        </w:tc>
        <w:tc>
          <w:tcPr>
            <w:tcW w:w="7320" w:type="dxa"/>
            <w:tcBorders>
              <w:top w:val="single" w:color="75BD42" w:themeColor="accent4" w:sz="4" w:space="0"/>
              <w:bottom w:val="single" w:color="75BD42" w:themeColor="accent4" w:sz="4" w:space="0"/>
              <w:right w:val="single" w:color="75BD42" w:themeColor="accent4" w:sz="4" w:space="0"/>
              <w:insideH w:val="single" w:sz="4" w:space="0"/>
              <w:insideV w:val="nil"/>
            </w:tcBorders>
            <w:shd w:val="clear" w:color="auto" w:fill="75BD42" w:themeFill="accent4"/>
          </w:tcPr>
          <w:p w14:paraId="5C9D99B4">
            <w:pPr>
              <w:spacing w:after="0" w:line="240" w:lineRule="auto"/>
              <w:rPr>
                <w:rStyle w:val="13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Provide justification for accepting the risk, including a cost-benefit analysis if applicable.</w:t>
            </w:r>
          </w:p>
        </w:tc>
      </w:tr>
      <w:tr w14:paraId="2773FF93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3F1D9" w:themeFill="accent4" w:themeFillTint="33"/>
          </w:tcPr>
          <w:p w14:paraId="19D69984">
            <w:pPr>
              <w:spacing w:after="0" w:line="240" w:lineRule="auto"/>
              <w:rPr>
                <w:rStyle w:val="13"/>
                <w:b/>
                <w:bCs/>
              </w:rPr>
            </w:pPr>
            <w:r>
              <w:rPr>
                <w:rStyle w:val="14"/>
                <w:b/>
                <w:bCs/>
              </w:rPr>
              <w:t>Avoid</w:t>
            </w:r>
          </w:p>
        </w:tc>
        <w:tc>
          <w:tcPr>
            <w:tcW w:w="7320" w:type="dxa"/>
            <w:shd w:val="clear" w:color="auto" w:fill="E3F1D9" w:themeFill="accent4" w:themeFillTint="33"/>
          </w:tcPr>
          <w:p w14:paraId="58CC0F4E">
            <w:pPr>
              <w:spacing w:after="0" w:line="240" w:lineRule="auto"/>
              <w:rPr>
                <w:rStyle w:val="13"/>
              </w:rPr>
            </w:pPr>
            <w:r>
              <w:t>Describe the changes made to plans or processes to avoid the risk.</w:t>
            </w:r>
          </w:p>
        </w:tc>
      </w:tr>
      <w:tr w14:paraId="6ADD5BF7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82074E2">
            <w:pPr>
              <w:spacing w:after="0" w:line="240" w:lineRule="auto"/>
              <w:rPr>
                <w:rStyle w:val="13"/>
                <w:b/>
                <w:bCs/>
              </w:rPr>
            </w:pPr>
            <w:r>
              <w:rPr>
                <w:rStyle w:val="14"/>
                <w:b/>
                <w:bCs/>
              </w:rPr>
              <w:t>Transfer</w:t>
            </w:r>
          </w:p>
        </w:tc>
        <w:tc>
          <w:tcPr>
            <w:tcW w:w="7320" w:type="dxa"/>
          </w:tcPr>
          <w:p w14:paraId="0030CAB6">
            <w:pPr>
              <w:spacing w:after="0" w:line="240" w:lineRule="auto"/>
              <w:rPr>
                <w:rStyle w:val="13"/>
              </w:rPr>
            </w:pPr>
            <w:r>
              <w:t>Detail the mechanisms for transferring the risk, such as insurance or outsourcing, and the associated agreements.</w:t>
            </w:r>
          </w:p>
        </w:tc>
      </w:tr>
      <w:tr w14:paraId="0CFF1DA0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single" w:color="ACD78D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3F1D9" w:themeFill="accent4" w:themeFillTint="33"/>
          </w:tcPr>
          <w:p w14:paraId="491E073F">
            <w:pPr>
              <w:spacing w:after="0" w:line="240" w:lineRule="auto"/>
              <w:rPr>
                <w:rStyle w:val="13"/>
                <w:b/>
                <w:bCs/>
              </w:rPr>
            </w:pPr>
            <w:r>
              <w:rPr>
                <w:rStyle w:val="14"/>
                <w:b/>
                <w:bCs/>
              </w:rPr>
              <w:t>Mitigate</w:t>
            </w:r>
          </w:p>
        </w:tc>
        <w:tc>
          <w:tcPr>
            <w:tcW w:w="7320" w:type="dxa"/>
            <w:shd w:val="clear" w:color="auto" w:fill="E3F1D9" w:themeFill="accent4" w:themeFillTint="33"/>
          </w:tcPr>
          <w:p w14:paraId="2008CF22">
            <w:pPr>
              <w:spacing w:after="0" w:line="240" w:lineRule="auto"/>
              <w:rPr>
                <w:rStyle w:val="13"/>
              </w:rPr>
            </w:pPr>
            <w:r>
              <w:t>Outline the specific actions taken to reduce the risk, including technical, administrative, and physical controls.</w:t>
            </w:r>
          </w:p>
        </w:tc>
      </w:tr>
    </w:tbl>
    <w:p w14:paraId="37E50D0B"/>
    <w:p w14:paraId="08467C35">
      <w:r>
        <w:t>Risk treatment decisions should be recorded in the risk log, approved by the respective risk owner, and reviewed by the Information Security Officer (ISO).</w:t>
      </w:r>
    </w:p>
    <w:p w14:paraId="76F4B3A7">
      <w:pPr>
        <w:pStyle w:val="3"/>
      </w:pPr>
      <w:r>
        <w:t>Risk Acceptance Criteria</w:t>
      </w:r>
    </w:p>
    <w:p w14:paraId="6B43B7B7">
      <w:r>
        <w:t xml:space="preserve">Risk acceptance criteria are defined as the level of risk that the organisation is willing to accept without further mitigation. </w:t>
      </w:r>
    </w:p>
    <w:p w14:paraId="1FEBE177">
      <w:r>
        <w:t>The criteria are approved by top management based on the organisation's risk appetite and strategic objectives.</w:t>
      </w:r>
    </w:p>
    <w:p w14:paraId="57397F8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Risk Appetite Statement:</w:t>
      </w:r>
    </w:p>
    <w:p w14:paraId="13CA6525">
      <w:pPr>
        <w:pStyle w:val="7"/>
        <w:keepNext w:val="0"/>
        <w:keepLines w:val="0"/>
        <w:widowControl/>
        <w:suppressLineNumbers w:val="0"/>
      </w:pPr>
      <w:r>
        <w:t xml:space="preserve">"Digital Horizons Bank maintains a strictly </w:t>
      </w:r>
      <w:r>
        <w:rPr>
          <w:b/>
          <w:bCs/>
        </w:rPr>
        <w:t>minimal/zero-tolerance risk appetite</w:t>
      </w:r>
      <w:r>
        <w:t xml:space="preserve"> regarding any risks that threaten the confidentiality, integrity, and availability of customer banking and personal data (in strict compliance with the Saudi Central Bank - SAMA Cybersecurity Framework and the Personal Data Protection Law - PDPL), as well as core banking systems and digital channels (Afdaq Plus / Afaq Net). The Bank maintains a </w:t>
      </w:r>
      <w:r>
        <w:rPr>
          <w:b/>
          <w:bCs/>
        </w:rPr>
        <w:t>low-to-moderate risk appetite</w:t>
      </w:r>
      <w:r>
        <w:t xml:space="preserve"> exclusively within non-production and controlled sandboxed development environments, strictly ensuring no real production or customer PII is utilized."</w:t>
      </w:r>
    </w:p>
    <w:p w14:paraId="47526B19"/>
    <w:p w14:paraId="373560FB">
      <w:pPr>
        <w:rPr>
          <w:b/>
          <w:bCs/>
          <w:u w:val="single"/>
        </w:rPr>
      </w:pPr>
      <w:r>
        <w:rPr>
          <w:rStyle w:val="13"/>
          <w:b/>
          <w:bCs/>
          <w:u w:val="single"/>
        </w:rPr>
        <w:t>Criteria</w:t>
      </w:r>
    </w:p>
    <w:tbl>
      <w:tblPr>
        <w:tblStyle w:val="15"/>
        <w:tblW w:w="5000" w:type="pct"/>
        <w:tblInd w:w="0" w:type="dxa"/>
        <w:tblBorders>
          <w:top w:val="single" w:color="ACD78D" w:themeColor="accent4" w:themeTint="99" w:sz="4" w:space="0"/>
          <w:left w:val="single" w:color="ACD78D" w:themeColor="accent4" w:themeTint="99" w:sz="4" w:space="0"/>
          <w:bottom w:val="single" w:color="ACD78D" w:themeColor="accent4" w:themeTint="99" w:sz="4" w:space="0"/>
          <w:right w:val="single" w:color="ACD78D" w:themeColor="accent4" w:themeTint="99" w:sz="4" w:space="0"/>
          <w:insideH w:val="single" w:color="ACD78D" w:themeColor="accent4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5760"/>
      </w:tblGrid>
      <w:tr w14:paraId="295E09F2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pct"/>
            <w:shd w:val="clear" w:color="auto" w:fill="E3F1D9" w:themeFill="accent4" w:themeFillTint="33"/>
          </w:tcPr>
          <w:p w14:paraId="15D6535B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14"/>
                <w:b/>
                <w:bCs/>
              </w:rPr>
              <w:t>Low Risks (Score 1-4):**</w:t>
            </w:r>
          </w:p>
        </w:tc>
        <w:tc>
          <w:tcPr>
            <w:tcW w:w="3116" w:type="pct"/>
            <w:shd w:val="clear" w:color="auto" w:fill="E3F1D9" w:themeFill="accent4" w:themeFillTint="33"/>
          </w:tcPr>
          <w:p w14:paraId="5A487930">
            <w:pPr>
              <w:spacing w:after="0" w:line="240" w:lineRule="auto"/>
            </w:pPr>
            <w:r>
              <w:t>Acceptable without further treatment, but should be monitored.</w:t>
            </w:r>
          </w:p>
        </w:tc>
      </w:tr>
      <w:tr w14:paraId="4D341F25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pct"/>
          </w:tcPr>
          <w:p w14:paraId="17B044C9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14"/>
                <w:b/>
                <w:bCs/>
              </w:rPr>
              <w:t>Medium Risks (Score 5-10</w:t>
            </w:r>
          </w:p>
        </w:tc>
        <w:tc>
          <w:tcPr>
            <w:tcW w:w="3116" w:type="pct"/>
          </w:tcPr>
          <w:p w14:paraId="604B8B84">
            <w:pPr>
              <w:spacing w:after="0" w:line="240" w:lineRule="auto"/>
            </w:pPr>
            <w:r>
              <w:t>May be accepted if cost of mitigation exceeds the benefits. Requires management approval.</w:t>
            </w:r>
          </w:p>
        </w:tc>
      </w:tr>
      <w:tr w14:paraId="5492931A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pct"/>
            <w:shd w:val="clear" w:color="auto" w:fill="E3F1D9" w:themeFill="accent4" w:themeFillTint="33"/>
          </w:tcPr>
          <w:p w14:paraId="639BA043">
            <w:pPr>
              <w:spacing w:after="0" w:line="240" w:lineRule="auto"/>
              <w:rPr>
                <w:b/>
                <w:bCs/>
              </w:rPr>
            </w:pPr>
            <w:r>
              <w:rPr>
                <w:rStyle w:val="14"/>
                <w:b/>
                <w:bCs/>
              </w:rPr>
              <w:t>High Risks (Score 11-15):**</w:t>
            </w:r>
          </w:p>
        </w:tc>
        <w:tc>
          <w:tcPr>
            <w:tcW w:w="3116" w:type="pct"/>
            <w:shd w:val="clear" w:color="auto" w:fill="E3F1D9" w:themeFill="accent4" w:themeFillTint="33"/>
          </w:tcPr>
          <w:p w14:paraId="646011AA">
            <w:pPr>
              <w:spacing w:after="0" w:line="240" w:lineRule="auto"/>
            </w:pPr>
            <w:r>
              <w:t>Require mitigation measures to reduce risk to an acceptable level. Cannot be accepted without a comprehensive risk treatment plan.</w:t>
            </w:r>
          </w:p>
        </w:tc>
      </w:tr>
      <w:tr w14:paraId="4A3DA8AC">
        <w:tblPrEx>
          <w:tblBorders>
            <w:top w:val="single" w:color="ACD78D" w:themeColor="accent4" w:themeTint="99" w:sz="4" w:space="0"/>
            <w:left w:val="single" w:color="ACD78D" w:themeColor="accent4" w:themeTint="99" w:sz="4" w:space="0"/>
            <w:bottom w:val="single" w:color="ACD78D" w:themeColor="accent4" w:themeTint="99" w:sz="4" w:space="0"/>
            <w:right w:val="single" w:color="ACD78D" w:themeColor="accent4" w:themeTint="99" w:sz="4" w:space="0"/>
            <w:insideH w:val="single" w:color="ACD78D" w:themeColor="accent4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4" w:type="pct"/>
          </w:tcPr>
          <w:p w14:paraId="16223F50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rPr>
                <w:rStyle w:val="14"/>
                <w:b/>
                <w:bCs/>
              </w:rPr>
              <w:t>Critical Risks (Score 16-25)</w:t>
            </w:r>
          </w:p>
        </w:tc>
        <w:tc>
          <w:tcPr>
            <w:tcW w:w="3116" w:type="pct"/>
          </w:tcPr>
          <w:p w14:paraId="3AE3A4FF">
            <w:pPr>
              <w:spacing w:after="0" w:line="240" w:lineRule="auto"/>
            </w:pPr>
            <w:r>
              <w:t xml:space="preserve">Unacceptable. Immediate action required to mitigate or transfer the risk. </w:t>
            </w:r>
          </w:p>
        </w:tc>
      </w:tr>
    </w:tbl>
    <w:p w14:paraId="3A7CA6C0">
      <w:r>
        <w:t>These criteria are reviewed and approved by the Information Security Group (ISG) and are revisited annually or whenever significant changes occur</w:t>
      </w:r>
    </w:p>
    <w:p w14:paraId="53293D6D"/>
    <w:p w14:paraId="243FF9E5">
      <w:pPr>
        <w:pStyle w:val="2"/>
        <w:rPr>
          <w:sz w:val="24"/>
          <w:szCs w:val="24"/>
        </w:rPr>
      </w:pPr>
      <w:bookmarkStart w:id="7" w:name="_heading=h.4d34og8" w:colFirst="0" w:colLast="0"/>
      <w:bookmarkEnd w:id="7"/>
      <w:r>
        <w:t>Risk Monitoring</w:t>
      </w:r>
    </w:p>
    <w:p w14:paraId="243FF9E6">
      <w:r>
        <w:t xml:space="preserve">Risks are continuously monitored and reviewed, with updates to the risk assessment captured as the situation evolves and the mitigation plans are adjusted accordingly. </w:t>
      </w:r>
    </w:p>
    <w:p w14:paraId="243FF9E7">
      <w:r>
        <w:t>Regular risk reviews help ensure that you stay proactive in managing risks and that your approach remains effective.</w:t>
      </w:r>
    </w:p>
    <w:p w14:paraId="243FF9E8">
      <w:pPr>
        <w:pStyle w:val="2"/>
        <w:rPr>
          <w:color w:val="auto"/>
        </w:rPr>
      </w:pPr>
      <w:bookmarkStart w:id="8" w:name="_Toc168605552"/>
      <w:r>
        <w:rPr>
          <w:color w:val="auto"/>
        </w:rPr>
        <w:t>Treatment Plans</w:t>
      </w:r>
      <w:bookmarkEnd w:id="8"/>
    </w:p>
    <w:p w14:paraId="243FF9E9">
      <w:r>
        <w:t>In our approach to managing and mitigating information security risks, we employ a threshold-based strategy to ensure that each risk is addressed with the appropriate level of detail and attention.</w:t>
      </w:r>
    </w:p>
    <w:p w14:paraId="243FF9EA">
      <w:r>
        <w:t>As per our combined likelihood and impact assessment, quantified risks with a score greater than ten warrant the development of a comprehensive risk treatment plan. These plans will provide in-depth strategies and actions tailored to each high-scoring risk's specific nature and complexity, ensuring robust and effective mitigation.</w:t>
      </w:r>
    </w:p>
    <w:p w14:paraId="243FF9EB">
      <w:r>
        <w:t>The mitigation strategies and control measures will be documented directly within our risk log for risks that score nine or lower. This approach allows us to maintain a concise and manageable risk log while dedicating more detailed planning and resources to risks that pose a more significant threat to our organisation's information security posture.</w:t>
      </w:r>
    </w:p>
    <w:p w14:paraId="243FF9EC">
      <w:r>
        <w:t>This methodology aligns with our commitment to a proactive and prioritised risk management process, ensuring that thorough and specific treatment plans address the most significant risks.</w:t>
      </w:r>
    </w:p>
    <w:p w14:paraId="243FF9EF">
      <w:r>
        <w:t>The Treatment Plan should be attached to the Risk Record in the Risk Log.</w:t>
      </w:r>
    </w:p>
    <w:p w14:paraId="243FF9F0">
      <w:pPr>
        <w:pStyle w:val="2"/>
        <w:rPr>
          <w:color w:val="auto"/>
        </w:rPr>
      </w:pPr>
      <w:bookmarkStart w:id="9" w:name="_Toc168605553"/>
      <w:r>
        <w:rPr>
          <w:color w:val="auto"/>
        </w:rPr>
        <w:t>Escalation</w:t>
      </w:r>
      <w:bookmarkEnd w:id="9"/>
    </w:p>
    <w:p w14:paraId="243FF9F1">
      <w:r>
        <w:t xml:space="preserve">Any risk deemed a 'major' category should be escalated via the management structure to the Corporate Risk Register. </w:t>
      </w:r>
    </w:p>
    <w:p w14:paraId="243FF9F2">
      <w:pPr>
        <w:rPr>
          <w:sz w:val="24"/>
          <w:szCs w:val="24"/>
        </w:rPr>
      </w:pPr>
    </w:p>
    <w:p w14:paraId="243FF9F3"/>
    <w:p w14:paraId="3D1F8F1C"/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FFA06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  <w:rPr>
        <w:color w:val="000000"/>
      </w:rPr>
    </w:pPr>
  </w:p>
  <w:tbl>
    <w:tblPr>
      <w:tblStyle w:val="17"/>
      <w:tblW w:w="9015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3005"/>
      <w:gridCol w:w="3005"/>
      <w:gridCol w:w="3005"/>
    </w:tblGrid>
    <w:tr w14:paraId="243FFA0A">
      <w:tblPrEx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3005" w:type="dxa"/>
        </w:tcPr>
        <w:p w14:paraId="243FFA0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  <w:tc>
        <w:tcPr>
          <w:tcW w:w="3005" w:type="dxa"/>
        </w:tcPr>
        <w:p w14:paraId="243FFA0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  <w:tc>
        <w:tcPr>
          <w:tcW w:w="3005" w:type="dxa"/>
        </w:tcPr>
        <w:p w14:paraId="243FFA0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680"/>
              <w:tab w:val="right" w:pos="9360"/>
            </w:tabs>
            <w:spacing w:after="0"/>
            <w:rPr>
              <w:color w:val="000000"/>
            </w:rPr>
          </w:pPr>
        </w:p>
      </w:tc>
    </w:tr>
  </w:tbl>
  <w:p w14:paraId="243FFA0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43FFA0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rPr>
        <w:color w:val="000000"/>
      </w:rPr>
    </w:pPr>
  </w:p>
  <w:p w14:paraId="243FFA0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FF9FE"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76" w:lineRule="auto"/>
    </w:pPr>
  </w:p>
  <w:p w14:paraId="243FFA0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701F3"/>
    <w:multiLevelType w:val="multilevel"/>
    <w:tmpl w:val="05A701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8596251"/>
    <w:multiLevelType w:val="multilevel"/>
    <w:tmpl w:val="0859625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09FB1C28"/>
    <w:multiLevelType w:val="multilevel"/>
    <w:tmpl w:val="09FB1C2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BB37D76"/>
    <w:multiLevelType w:val="multilevel"/>
    <w:tmpl w:val="0BB37D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C2C3480"/>
    <w:multiLevelType w:val="multilevel"/>
    <w:tmpl w:val="0C2C34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8732A0D"/>
    <w:multiLevelType w:val="multilevel"/>
    <w:tmpl w:val="18732A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EEB5023"/>
    <w:multiLevelType w:val="multilevel"/>
    <w:tmpl w:val="1EEB50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1A57223"/>
    <w:multiLevelType w:val="multilevel"/>
    <w:tmpl w:val="21A572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1EE548C"/>
    <w:multiLevelType w:val="multilevel"/>
    <w:tmpl w:val="51EE54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30371F2"/>
    <w:multiLevelType w:val="multilevel"/>
    <w:tmpl w:val="530371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A744D7F"/>
    <w:multiLevelType w:val="multilevel"/>
    <w:tmpl w:val="5A744D7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>
    <w:nsid w:val="6136169A"/>
    <w:multiLevelType w:val="multilevel"/>
    <w:tmpl w:val="613616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B033028"/>
    <w:multiLevelType w:val="multilevel"/>
    <w:tmpl w:val="6B0330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6154613"/>
    <w:multiLevelType w:val="multilevel"/>
    <w:tmpl w:val="761546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1"/>
  </w:num>
  <w:num w:numId="5">
    <w:abstractNumId w:val="7"/>
  </w:num>
  <w:num w:numId="6">
    <w:abstractNumId w:val="13"/>
  </w:num>
  <w:num w:numId="7">
    <w:abstractNumId w:val="11"/>
  </w:num>
  <w:num w:numId="8">
    <w:abstractNumId w:val="3"/>
  </w:num>
  <w:num w:numId="9">
    <w:abstractNumId w:val="8"/>
  </w:num>
  <w:num w:numId="10">
    <w:abstractNumId w:val="5"/>
  </w:num>
  <w:num w:numId="11">
    <w:abstractNumId w:val="9"/>
  </w:num>
  <w:num w:numId="12">
    <w:abstractNumId w:val="12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01094"/>
    <w:rsid w:val="2360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E386B" w:themeColor="accent1" w:themeShade="80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Title"/>
    <w:basedOn w:val="1"/>
    <w:next w:val="1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paragraph" w:styleId="9">
    <w:name w:val="toc 1"/>
    <w:basedOn w:val="1"/>
    <w:next w:val="1"/>
    <w:unhideWhenUsed/>
    <w:qFormat/>
    <w:uiPriority w:val="39"/>
    <w:pPr>
      <w:spacing w:after="100"/>
    </w:pPr>
  </w:style>
  <w:style w:type="table" w:customStyle="1" w:styleId="10">
    <w:name w:val="Grid Table 4 Accent 4"/>
    <w:basedOn w:val="5"/>
    <w:qFormat/>
    <w:uiPriority w:val="49"/>
    <w:pPr>
      <w:spacing w:after="0" w:line="240" w:lineRule="auto"/>
    </w:p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  <w:insideV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75BD4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11">
    <w:name w:val="Grid Table 4"/>
    <w:basedOn w:val="5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2">
    <w:name w:val="_Style 49"/>
    <w:basedOn w:val="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3">
    <w:name w:val="hljs-section"/>
    <w:basedOn w:val="4"/>
    <w:qFormat/>
    <w:uiPriority w:val="0"/>
  </w:style>
  <w:style w:type="character" w:customStyle="1" w:styleId="14">
    <w:name w:val="hljs-strong"/>
    <w:basedOn w:val="4"/>
    <w:qFormat/>
    <w:uiPriority w:val="0"/>
  </w:style>
  <w:style w:type="table" w:customStyle="1" w:styleId="15">
    <w:name w:val="List Table 4 Accent 4"/>
    <w:basedOn w:val="5"/>
    <w:qFormat/>
    <w:uiPriority w:val="49"/>
    <w:pPr>
      <w:spacing w:after="0" w:line="240" w:lineRule="auto"/>
    </w:pPr>
    <w:tblPr>
      <w:tblBorders>
        <w:top w:val="single" w:color="ACD78D" w:themeColor="accent4" w:themeTint="99" w:sz="4" w:space="0"/>
        <w:left w:val="single" w:color="ACD78D" w:themeColor="accent4" w:themeTint="99" w:sz="4" w:space="0"/>
        <w:bottom w:val="single" w:color="ACD78D" w:themeColor="accent4" w:themeTint="99" w:sz="4" w:space="0"/>
        <w:right w:val="single" w:color="ACD78D" w:themeColor="accent4" w:themeTint="99" w:sz="4" w:space="0"/>
        <w:insideH w:val="single" w:color="ACD78D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5BD42" w:themeColor="accent4" w:sz="4" w:space="0"/>
          <w:left w:val="single" w:color="75BD42" w:themeColor="accent4" w:sz="4" w:space="0"/>
          <w:bottom w:val="single" w:color="75BD42" w:themeColor="accent4" w:sz="4" w:space="0"/>
          <w:right w:val="single" w:color="75BD42" w:themeColor="accent4" w:sz="4" w:space="0"/>
          <w:insideH w:val="nil"/>
        </w:tcBorders>
        <w:shd w:val="clear" w:color="auto" w:fill="75BD42" w:themeFill="accent4"/>
      </w:tcPr>
    </w:tblStylePr>
    <w:tblStylePr w:type="lastRow">
      <w:rPr>
        <w:b/>
        <w:bCs/>
      </w:rPr>
      <w:tcPr>
        <w:tcBorders>
          <w:top w:val="double" w:color="ACD78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F1D9" w:themeFill="accent4" w:themeFillTint="33"/>
      </w:tcPr>
    </w:tblStylePr>
    <w:tblStylePr w:type="band1Horz">
      <w:tcPr>
        <w:shd w:val="clear" w:color="auto" w:fill="E3F1D9" w:themeFill="accent4" w:themeFillTint="33"/>
      </w:tcPr>
    </w:tblStylePr>
  </w:style>
  <w:style w:type="table" w:customStyle="1" w:styleId="16">
    <w:name w:val="_Style 50"/>
    <w:basedOn w:val="5"/>
    <w:qFormat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51"/>
    <w:basedOn w:val="5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2026-09-18T19:11:00Z</dcterms:created>
  <dc:creator>MK</dc:creator>
  <cp:lastModifiedBy>MK</cp:lastModifiedBy>
  <dcterms:modified xsi:type="dcterms:W3CDTF">2026-09-18T19:13:47Z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6176E8BBDEA242A2854072FA83F14E25_11</vt:lpwstr>
  </property>
  <property fmtid="{D5CDD505-2E9C-101B-9397-08002B2CF9AE}" pid="4" name="KSOTemplateDocerSaveRecord">
    <vt:lpwstr>eyJoZGlkIjoiOGVjNDlkOWMxZWRkZjUwMWFhN2Q5YTJiOTQzODJjMDgiLCJ1c2VySWQiOiI0ODEwMzczODUzNjU2In0=</vt:lpwstr>
  </property>
</Properties>
</file>