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F8A2A">
      <w:pPr>
        <w:spacing w:after="216" w:line="240" w:lineRule="auto"/>
        <w:jc w:val="left"/>
      </w:pPr>
      <w:r>
        <w:drawing>
          <wp:inline distT="0" distB="0" distL="0" distR="0">
            <wp:extent cx="2780665" cy="2352675"/>
            <wp:effectExtent l="0" t="0" r="635" b="9525"/>
            <wp:docPr id="18" name="Picture 18" descr="C:/Users/MALAK-11/Desktop/AFAQ.jpegAF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:/Users/MALAK-11/Desktop/AFAQ.jpegAFAQ"/>
                    <pic:cNvPicPr>
                      <a:picLocks noChangeAspect="1"/>
                    </pic:cNvPicPr>
                  </pic:nvPicPr>
                  <pic:blipFill>
                    <a:blip r:embed="rId8"/>
                    <a:srcRect t="5538" b="9854"/>
                    <a:stretch>
                      <a:fillRect/>
                    </a:stretch>
                  </pic:blipFill>
                  <pic:spPr>
                    <a:xfrm>
                      <a:off x="0" y="0"/>
                      <a:ext cx="278066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F994">
      <w:pPr>
        <w:spacing w:after="216" w:line="240" w:lineRule="auto"/>
        <w:jc w:val="left"/>
      </w:pPr>
    </w:p>
    <w:p w14:paraId="3314CE10">
      <w:pPr>
        <w:spacing w:after="216" w:line="240" w:lineRule="auto"/>
        <w:jc w:val="left"/>
      </w:pPr>
    </w:p>
    <w:p w14:paraId="23C6C991">
      <w:pPr>
        <w:spacing w:after="216" w:line="240" w:lineRule="auto"/>
        <w:jc w:val="left"/>
      </w:pPr>
    </w:p>
    <w:p w14:paraId="5F644E37">
      <w:pPr>
        <w:pStyle w:val="6"/>
        <w:rPr>
          <w:rFonts w:ascii="Aptos" w:hAnsi="Aptos"/>
        </w:rPr>
      </w:pPr>
      <w:r>
        <w:rPr>
          <w:rFonts w:ascii="Aptos" w:hAnsi="Aptos"/>
        </w:rPr>
        <w:t>ISMS Performance Report</w:t>
      </w:r>
    </w:p>
    <w:p w14:paraId="5EF8B7B7"/>
    <w:p w14:paraId="26196F78">
      <w:pPr>
        <w:jc w:val="both"/>
        <w:rPr>
          <w:rFonts w:ascii="Aptos" w:hAnsi="Aptos"/>
        </w:rPr>
      </w:pPr>
    </w:p>
    <w:p w14:paraId="38D6201E">
      <w:pPr>
        <w:rPr>
          <w:rFonts w:ascii="Aptos" w:hAnsi="Aptos"/>
          <w:b/>
          <w:sz w:val="24"/>
          <w:szCs w:val="24"/>
        </w:rPr>
      </w:pPr>
      <w:r>
        <w:rPr>
          <w:rFonts w:ascii="Aptos" w:hAnsi="Aptos"/>
          <w:sz w:val="28"/>
          <w:szCs w:val="28"/>
        </w:rPr>
        <w:t>Classification</w:t>
      </w:r>
      <w:r>
        <w:rPr>
          <w:rFonts w:ascii="Aptos" w:hAnsi="Aptos"/>
          <w:color w:val="008CC8"/>
          <w:sz w:val="28"/>
          <w:szCs w:val="28"/>
        </w:rPr>
        <w:t>: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sz w:val="24"/>
          <w:szCs w:val="24"/>
        </w:rPr>
        <w:t>Internal</w:t>
      </w:r>
    </w:p>
    <w:p w14:paraId="171D552A">
      <w:pPr>
        <w:jc w:val="both"/>
        <w:rPr>
          <w:rFonts w:ascii="Aptos" w:hAnsi="Aptos"/>
        </w:rPr>
      </w:pPr>
      <w:r>
        <w:rPr>
          <w:rFonts w:ascii="Aptos" w:hAnsi="Aptos"/>
        </w:rPr>
        <w:t>This document may be shared with interested parties outside of Bank Al-Afaq Al-Raqmiya.</w:t>
      </w:r>
    </w:p>
    <w:p w14:paraId="5B58F742">
      <w:pPr>
        <w:jc w:val="both"/>
        <w:rPr>
          <w:rFonts w:ascii="Aptos" w:hAnsi="Aptos"/>
        </w:rPr>
      </w:pPr>
    </w:p>
    <w:p w14:paraId="6DE05986">
      <w:pPr>
        <w:jc w:val="both"/>
        <w:rPr>
          <w:rFonts w:ascii="Aptos" w:hAnsi="Aptos"/>
        </w:rPr>
      </w:pPr>
      <w:bookmarkStart w:id="1" w:name="_GoBack"/>
      <w:bookmarkEnd w:id="1"/>
    </w:p>
    <w:tbl>
      <w:tblPr>
        <w:tblStyle w:val="7"/>
        <w:tblW w:w="14700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1557"/>
        <w:gridCol w:w="1450"/>
        <w:gridCol w:w="2000"/>
        <w:gridCol w:w="1763"/>
        <w:gridCol w:w="1775"/>
        <w:gridCol w:w="5240"/>
      </w:tblGrid>
      <w:tr w14:paraId="4A1CC0E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915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F12985B">
            <w:pPr>
              <w:spacing w:after="0" w:line="240" w:lineRule="auto"/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Version </w:t>
            </w:r>
          </w:p>
        </w:tc>
        <w:tc>
          <w:tcPr>
            <w:tcW w:w="1557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76BE528">
            <w:pPr>
              <w:spacing w:after="0" w:line="240" w:lineRule="auto"/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Approved By</w:t>
            </w:r>
          </w:p>
        </w:tc>
        <w:tc>
          <w:tcPr>
            <w:tcW w:w="1450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142DA04">
            <w:pPr>
              <w:spacing w:after="0" w:line="240" w:lineRule="auto"/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Owner</w:t>
            </w:r>
          </w:p>
        </w:tc>
        <w:tc>
          <w:tcPr>
            <w:tcW w:w="2000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CB2A4EC">
            <w:pPr>
              <w:spacing w:after="0" w:line="240" w:lineRule="auto"/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Date Last Updated</w:t>
            </w:r>
          </w:p>
          <w:p w14:paraId="3C6DA091">
            <w:pPr>
              <w:spacing w:after="0" w:line="240" w:lineRule="auto"/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</w:p>
        </w:tc>
        <w:tc>
          <w:tcPr>
            <w:tcW w:w="1763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4B5A24E">
            <w:pPr>
              <w:spacing w:after="0" w:line="240" w:lineRule="auto"/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Review Frequency</w:t>
            </w:r>
          </w:p>
        </w:tc>
        <w:tc>
          <w:tcPr>
            <w:tcW w:w="1775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7207D0D">
            <w:pPr>
              <w:spacing w:after="0" w:line="240" w:lineRule="auto"/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Next Review </w:t>
            </w:r>
          </w:p>
        </w:tc>
        <w:tc>
          <w:tcPr>
            <w:tcW w:w="5240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146A3916">
            <w:pPr>
              <w:spacing w:after="0" w:line="240" w:lineRule="auto"/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 w14:paraId="5452867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915" w:type="dxa"/>
            <w:shd w:val="clear" w:color="auto" w:fill="DAE3F4" w:themeFill="accent1" w:themeFillTint="33"/>
          </w:tcPr>
          <w:p w14:paraId="5B9EC4D8">
            <w:pPr>
              <w:spacing w:after="0" w:line="240" w:lineRule="auto"/>
            </w:pPr>
            <w:r>
              <w:t>1.0</w:t>
            </w:r>
          </w:p>
        </w:tc>
        <w:tc>
          <w:tcPr>
            <w:tcW w:w="1557" w:type="dxa"/>
            <w:shd w:val="clear" w:color="auto" w:fill="DAE3F4" w:themeFill="accent1" w:themeFillTint="33"/>
          </w:tcPr>
          <w:p w14:paraId="3E164B92">
            <w:pPr>
              <w:spacing w:after="0" w:line="240" w:lineRule="auto"/>
            </w:pPr>
            <w:r>
              <w:t>Dr. Noura Al-Qahtani, Chief Executive Officer</w:t>
            </w:r>
          </w:p>
        </w:tc>
        <w:tc>
          <w:tcPr>
            <w:tcW w:w="1450" w:type="dxa"/>
            <w:shd w:val="clear" w:color="auto" w:fill="DAE3F4" w:themeFill="accent1" w:themeFillTint="33"/>
          </w:tcPr>
          <w:p w14:paraId="4ACF457D">
            <w:pPr>
              <w:spacing w:after="0" w:line="240" w:lineRule="auto"/>
            </w:pPr>
            <w:r>
              <w:t>Sarah Al-Harbi, Chief Information Security Officer (CISO)</w:t>
            </w:r>
          </w:p>
        </w:tc>
        <w:tc>
          <w:tcPr>
            <w:tcW w:w="2000" w:type="dxa"/>
            <w:shd w:val="clear" w:color="auto" w:fill="DAE3F4" w:themeFill="accent1" w:themeFillTint="33"/>
          </w:tcPr>
          <w:p w14:paraId="3D71A967">
            <w:pPr>
              <w:spacing w:after="0" w:line="240" w:lineRule="auto"/>
            </w:pPr>
            <w:r>
              <w:t>21 September 2026</w:t>
            </w:r>
          </w:p>
        </w:tc>
        <w:tc>
          <w:tcPr>
            <w:tcW w:w="1763" w:type="dxa"/>
            <w:shd w:val="clear" w:color="auto" w:fill="DAE3F4" w:themeFill="accent1" w:themeFillTint="33"/>
          </w:tcPr>
          <w:p w14:paraId="53026550">
            <w:pPr>
              <w:spacing w:after="0" w:line="240" w:lineRule="auto"/>
            </w:pPr>
            <w:r>
              <w:t>Quarterly</w:t>
            </w:r>
          </w:p>
        </w:tc>
        <w:tc>
          <w:tcPr>
            <w:tcW w:w="1775" w:type="dxa"/>
            <w:shd w:val="clear" w:color="auto" w:fill="DAE3F4" w:themeFill="accent1" w:themeFillTint="33"/>
          </w:tcPr>
          <w:p w14:paraId="2D8313BC">
            <w:pPr>
              <w:spacing w:after="0" w:line="240" w:lineRule="auto"/>
            </w:pPr>
            <w:r>
              <w:t>21 December 2026</w:t>
            </w:r>
          </w:p>
        </w:tc>
        <w:tc>
          <w:tcPr>
            <w:tcW w:w="5240" w:type="dxa"/>
            <w:shd w:val="clear" w:color="auto" w:fill="DAE3F4" w:themeFill="accent1" w:themeFillTint="33"/>
          </w:tcPr>
          <w:p w14:paraId="544AC4A6">
            <w:pPr>
              <w:spacing w:after="0" w:line="240" w:lineRule="auto"/>
            </w:pPr>
          </w:p>
        </w:tc>
      </w:tr>
    </w:tbl>
    <w:p w14:paraId="7CFE09ED">
      <w:pPr>
        <w:jc w:val="both"/>
        <w:rPr>
          <w:rFonts w:ascii="Aptos" w:hAnsi="Aptos"/>
        </w:rPr>
      </w:pPr>
    </w:p>
    <w:p w14:paraId="5F7BA778">
      <w:pPr>
        <w:jc w:val="both"/>
        <w:rPr>
          <w:rFonts w:ascii="Aptos" w:hAnsi="Aptos"/>
        </w:rPr>
      </w:pPr>
    </w:p>
    <w:p w14:paraId="255CFB8E">
      <w:pPr>
        <w:rPr>
          <w:rFonts w:ascii="Aptos" w:hAnsi="Aptos"/>
        </w:rPr>
      </w:pPr>
      <w:bookmarkStart w:id="0" w:name="_2zmqlpl0pfb5" w:colFirst="0" w:colLast="0"/>
      <w:bookmarkEnd w:id="0"/>
      <w:r>
        <w:rPr>
          <w:rFonts w:ascii="Aptos" w:hAnsi="Aptos"/>
        </w:rPr>
        <w:t>Status Key:</w:t>
      </w:r>
    </w:p>
    <w:p w14:paraId="3F188C67">
      <w:pPr>
        <w:pStyle w:val="8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  <w:b/>
          <w:bCs/>
          <w:color w:val="00B050"/>
        </w:rPr>
        <w:t>GREEN</w:t>
      </w:r>
      <w:r>
        <w:rPr>
          <w:rFonts w:ascii="Aptos" w:hAnsi="Aptos"/>
          <w:color w:val="00B050"/>
        </w:rPr>
        <w:t xml:space="preserve"> </w:t>
      </w:r>
      <w:r>
        <w:rPr>
          <w:rFonts w:ascii="Aptos" w:hAnsi="Aptos"/>
        </w:rPr>
        <w:t xml:space="preserve">= Meeting or exceeding target. </w:t>
      </w:r>
    </w:p>
    <w:p w14:paraId="43D2724A">
      <w:pPr>
        <w:pStyle w:val="8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  <w:b/>
          <w:bCs/>
          <w:color w:val="E54C5E" w:themeColor="accent6"/>
          <w14:textFill>
            <w14:solidFill>
              <w14:schemeClr w14:val="accent6"/>
            </w14:solidFill>
          </w14:textFill>
        </w:rPr>
        <w:t>AMBER</w:t>
      </w:r>
      <w:r>
        <w:rPr>
          <w:rFonts w:ascii="Aptos" w:hAnsi="Aptos"/>
          <w:color w:val="E54C5E" w:themeColor="accent6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ascii="Aptos" w:hAnsi="Aptos"/>
        </w:rPr>
        <w:t xml:space="preserve">= Within 10% of target or active remediation plan in place. </w:t>
      </w:r>
    </w:p>
    <w:p w14:paraId="2AE653A4">
      <w:pPr>
        <w:pStyle w:val="8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  <w:b/>
          <w:bCs/>
          <w:color w:val="C00000"/>
        </w:rPr>
        <w:t>RED</w:t>
      </w:r>
      <w:r>
        <w:rPr>
          <w:rFonts w:ascii="Aptos" w:hAnsi="Aptos"/>
          <w:color w:val="C00000"/>
        </w:rPr>
        <w:t xml:space="preserve"> </w:t>
      </w:r>
      <w:r>
        <w:rPr>
          <w:rFonts w:ascii="Aptos" w:hAnsi="Aptos"/>
        </w:rPr>
        <w:t xml:space="preserve">= Significantly below target or no remediation plan. </w:t>
      </w:r>
    </w:p>
    <w:p w14:paraId="212D1A94">
      <w:pPr>
        <w:jc w:val="both"/>
        <w:rPr>
          <w:rFonts w:ascii="Aptos" w:hAnsi="Aptos"/>
        </w:rPr>
      </w:pPr>
    </w:p>
    <w:p w14:paraId="46905268">
      <w:pPr>
        <w:jc w:val="both"/>
        <w:rPr>
          <w:rFonts w:ascii="Aptos" w:hAnsi="Aptos"/>
        </w:rPr>
      </w:pPr>
    </w:p>
    <w:tbl>
      <w:tblPr>
        <w:tblStyle w:val="9"/>
        <w:tblW w:w="5000" w:type="pct"/>
        <w:tblInd w:w="0" w:type="dxa"/>
        <w:tblBorders>
          <w:top w:val="single" w:color="4874CB" w:themeColor="accent1" w:sz="4" w:space="0"/>
          <w:left w:val="single" w:color="4874CB" w:themeColor="accent1" w:sz="4" w:space="0"/>
          <w:bottom w:val="single" w:color="4874CB" w:themeColor="accent1" w:sz="4" w:space="0"/>
          <w:right w:val="single" w:color="4874CB" w:themeColor="accent1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616"/>
        <w:gridCol w:w="1685"/>
        <w:gridCol w:w="1577"/>
        <w:gridCol w:w="1447"/>
        <w:gridCol w:w="1186"/>
        <w:gridCol w:w="2312"/>
        <w:gridCol w:w="2000"/>
        <w:gridCol w:w="820"/>
      </w:tblGrid>
      <w:tr w14:paraId="077B24EE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5" w:hRule="atLeast"/>
        </w:trPr>
        <w:tc>
          <w:tcPr>
            <w:tcW w:w="540" w:type="pct"/>
            <w:shd w:val="clear" w:color="auto" w:fill="4874CB" w:themeFill="accent1"/>
          </w:tcPr>
          <w:p w14:paraId="5A61606D">
            <w:pPr>
              <w:spacing w:after="0" w:line="240" w:lineRule="auto"/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Measure</w:t>
            </w:r>
          </w:p>
        </w:tc>
        <w:tc>
          <w:tcPr>
            <w:tcW w:w="570" w:type="pct"/>
            <w:shd w:val="clear" w:color="auto" w:fill="4874CB" w:themeFill="accent1"/>
          </w:tcPr>
          <w:p w14:paraId="64BD2C6F">
            <w:pPr>
              <w:spacing w:after="0" w:line="240" w:lineRule="auto"/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  <w:tc>
          <w:tcPr>
            <w:tcW w:w="594" w:type="pct"/>
            <w:shd w:val="clear" w:color="auto" w:fill="4874CB" w:themeFill="accent1"/>
          </w:tcPr>
          <w:p w14:paraId="485E7B4F">
            <w:pPr>
              <w:spacing w:after="0" w:line="240" w:lineRule="auto"/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Frequency</w:t>
            </w:r>
          </w:p>
        </w:tc>
        <w:tc>
          <w:tcPr>
            <w:tcW w:w="556" w:type="pct"/>
            <w:shd w:val="clear" w:color="auto" w:fill="4874CB" w:themeFill="accent1"/>
          </w:tcPr>
          <w:p w14:paraId="6BAD6F7F">
            <w:pPr>
              <w:spacing w:after="0" w:line="240" w:lineRule="auto"/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Target/</w:t>
            </w:r>
            <w:r>
              <w:rPr>
                <w:rFonts w:ascii="Aptos" w:hAnsi="Aptos"/>
                <w:b w:val="0"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Threshold</w:t>
            </w:r>
          </w:p>
        </w:tc>
        <w:tc>
          <w:tcPr>
            <w:tcW w:w="510" w:type="pct"/>
            <w:shd w:val="clear" w:color="auto" w:fill="4874CB" w:themeFill="accent1"/>
          </w:tcPr>
          <w:p w14:paraId="779B4741">
            <w:pPr>
              <w:spacing w:after="0" w:line="240" w:lineRule="auto"/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Data Source</w:t>
            </w:r>
          </w:p>
        </w:tc>
        <w:tc>
          <w:tcPr>
            <w:tcW w:w="418" w:type="pct"/>
            <w:shd w:val="clear" w:color="auto" w:fill="4874CB" w:themeFill="accent1"/>
          </w:tcPr>
          <w:p w14:paraId="6B9DBBDF">
            <w:pPr>
              <w:spacing w:after="0" w:line="240" w:lineRule="auto"/>
              <w:rPr>
                <w:rFonts w:ascii="Aptos" w:hAnsi="Aptos"/>
                <w:b w:val="0"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ptos" w:hAnsi="Aptos"/>
                <w:b/>
                <w:bCs w:val="0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RAG Status</w:t>
            </w:r>
            <w:r>
              <w:rPr>
                <w:rFonts w:ascii="Aptos" w:hAnsi="Aptos"/>
                <w:b w:val="0"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br w:type="textWrapping"/>
            </w:r>
            <w:r>
              <w:rPr>
                <w:rFonts w:ascii="Aptos" w:hAnsi="Aptos"/>
                <w:b w:val="0"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(Green/Amber/Red)</w:t>
            </w:r>
          </w:p>
        </w:tc>
        <w:tc>
          <w:tcPr>
            <w:tcW w:w="815" w:type="pct"/>
            <w:shd w:val="clear" w:color="auto" w:fill="4874CB" w:themeFill="accent1"/>
          </w:tcPr>
          <w:p w14:paraId="1B098D04">
            <w:pPr>
              <w:spacing w:after="0" w:line="240" w:lineRule="auto"/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Results</w:t>
            </w:r>
          </w:p>
        </w:tc>
        <w:tc>
          <w:tcPr>
            <w:tcW w:w="705" w:type="pct"/>
            <w:shd w:val="clear" w:color="auto" w:fill="4874CB" w:themeFill="accent1"/>
          </w:tcPr>
          <w:p w14:paraId="5873846E">
            <w:pPr>
              <w:spacing w:after="0" w:line="240" w:lineRule="auto"/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  <w:tc>
          <w:tcPr>
            <w:tcW w:w="289" w:type="pct"/>
            <w:shd w:val="clear" w:color="auto" w:fill="4874CB" w:themeFill="accent1"/>
          </w:tcPr>
          <w:p w14:paraId="62AC4FB8">
            <w:pPr>
              <w:spacing w:after="0" w:line="240" w:lineRule="auto"/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ptos" w:hAnsi="Apto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Last Review </w:t>
            </w:r>
          </w:p>
        </w:tc>
      </w:tr>
      <w:tr w14:paraId="43321F4C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5" w:hRule="atLeast"/>
        </w:trPr>
        <w:tc>
          <w:tcPr>
            <w:tcW w:w="540" w:type="pct"/>
          </w:tcPr>
          <w:p w14:paraId="1A448532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commentRangeStart w:id="0"/>
            <w:r>
              <w:rPr>
                <w:rFonts w:ascii="Aptos" w:hAnsi="Aptos"/>
                <w:b/>
                <w:sz w:val="18"/>
                <w:szCs w:val="18"/>
              </w:rPr>
              <w:t>Policy Review Compliance</w:t>
            </w:r>
            <w:commentRangeEnd w:id="0"/>
            <w:r>
              <w:rPr>
                <w:rStyle w:val="4"/>
                <w:rFonts w:ascii="Aptos" w:hAnsi="Aptos"/>
                <w:sz w:val="18"/>
                <w:szCs w:val="18"/>
              </w:rPr>
              <w:commentReference w:id="0"/>
            </w:r>
          </w:p>
        </w:tc>
        <w:tc>
          <w:tcPr>
            <w:tcW w:w="570" w:type="pct"/>
          </w:tcPr>
          <w:p w14:paraId="51B6949F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Percentage of staff who have acknowledged key policies (Information Security, Acceptable Use, etc.).</w:t>
            </w:r>
          </w:p>
        </w:tc>
        <w:tc>
          <w:tcPr>
            <w:tcW w:w="594" w:type="pct"/>
          </w:tcPr>
          <w:p w14:paraId="64708036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556" w:type="pct"/>
          </w:tcPr>
          <w:p w14:paraId="4AF37966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 acknowledgment</w:t>
            </w:r>
          </w:p>
        </w:tc>
        <w:tc>
          <w:tcPr>
            <w:tcW w:w="510" w:type="pct"/>
          </w:tcPr>
          <w:p w14:paraId="79851977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HR system</w:t>
            </w:r>
          </w:p>
        </w:tc>
        <w:tc>
          <w:tcPr>
            <w:tcW w:w="418" w:type="pct"/>
          </w:tcPr>
          <w:p w14:paraId="197D93F3">
            <w:pPr>
              <w:spacing w:after="0" w:line="240" w:lineRule="auto"/>
            </w:pPr>
            <w:r>
              <w:t>AMBER</w:t>
            </w:r>
          </w:p>
        </w:tc>
        <w:tc>
          <w:tcPr>
            <w:tcW w:w="815" w:type="pct"/>
          </w:tcPr>
          <w:p w14:paraId="43F69835">
            <w:pPr>
              <w:spacing w:after="0" w:line="240" w:lineRule="auto"/>
            </w:pPr>
            <w:r>
              <w:t>Not yet measured</w:t>
            </w:r>
          </w:p>
        </w:tc>
        <w:tc>
          <w:tcPr>
            <w:tcW w:w="705" w:type="pct"/>
          </w:tcPr>
          <w:p w14:paraId="01F37B44">
            <w:pPr>
              <w:spacing w:after="0" w:line="240" w:lineRule="auto"/>
            </w:pPr>
            <w:r>
              <w:t>Organizational culture assessment notes that a 'security-first' culture is not yet fully embedded and some staff view security procedures as bureaucratic overhead — this affects the starting point for policy acknowledgment.</w:t>
            </w:r>
          </w:p>
        </w:tc>
        <w:tc>
          <w:tcPr>
            <w:tcW w:w="289" w:type="pct"/>
          </w:tcPr>
          <w:p w14:paraId="3AB3ADA3">
            <w:pPr>
              <w:spacing w:after="0" w:line="240" w:lineRule="auto"/>
            </w:pPr>
            <w:r>
              <w:t>21 Sep 2026</w:t>
            </w:r>
          </w:p>
        </w:tc>
      </w:tr>
      <w:tr w14:paraId="143B6238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</w:trPr>
        <w:tc>
          <w:tcPr>
            <w:tcW w:w="540" w:type="pct"/>
          </w:tcPr>
          <w:p w14:paraId="74E7858A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a. InfoSec Policy</w:t>
            </w:r>
          </w:p>
        </w:tc>
        <w:tc>
          <w:tcPr>
            <w:tcW w:w="570" w:type="pct"/>
          </w:tcPr>
          <w:p w14:paraId="70FB04A7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staff have reviewed and acknowledged the Information Security Policy.</w:t>
            </w:r>
          </w:p>
        </w:tc>
        <w:tc>
          <w:tcPr>
            <w:tcW w:w="594" w:type="pct"/>
          </w:tcPr>
          <w:p w14:paraId="68EE6EE1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556" w:type="pct"/>
          </w:tcPr>
          <w:p w14:paraId="1E20A374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510" w:type="pct"/>
          </w:tcPr>
          <w:p w14:paraId="652B5A54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HR system</w:t>
            </w:r>
          </w:p>
        </w:tc>
        <w:tc>
          <w:tcPr>
            <w:tcW w:w="418" w:type="pct"/>
          </w:tcPr>
          <w:p w14:paraId="5A0287B1">
            <w:pPr>
              <w:spacing w:after="0" w:line="240" w:lineRule="auto"/>
            </w:pPr>
            <w:r>
              <w:t>N/A</w:t>
            </w:r>
          </w:p>
        </w:tc>
        <w:tc>
          <w:tcPr>
            <w:tcW w:w="815" w:type="pct"/>
          </w:tcPr>
          <w:p w14:paraId="2156E383">
            <w:pPr>
              <w:spacing w:after="0" w:line="240" w:lineRule="auto"/>
            </w:pPr>
            <w:r>
              <w:t>Not yet measured</w:t>
            </w:r>
          </w:p>
        </w:tc>
        <w:tc>
          <w:tcPr>
            <w:tcW w:w="705" w:type="pct"/>
          </w:tcPr>
          <w:p w14:paraId="35C9B30A">
            <w:pPr>
              <w:spacing w:after="0" w:line="240" w:lineRule="auto"/>
            </w:pPr>
            <w:r>
              <w:t>No baseline data available in current case study; to be established once tracking mechanism is implemented.</w:t>
            </w:r>
          </w:p>
        </w:tc>
        <w:tc>
          <w:tcPr>
            <w:tcW w:w="289" w:type="pct"/>
          </w:tcPr>
          <w:p w14:paraId="766FB8FB">
            <w:pPr>
              <w:spacing w:after="0" w:line="240" w:lineRule="auto"/>
            </w:pPr>
            <w:r>
              <w:t>21 Sep 2026</w:t>
            </w:r>
          </w:p>
        </w:tc>
      </w:tr>
      <w:tr w14:paraId="0A96D46B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</w:trPr>
        <w:tc>
          <w:tcPr>
            <w:tcW w:w="540" w:type="pct"/>
          </w:tcPr>
          <w:p w14:paraId="4533BF28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b. Acceptable Use Policy</w:t>
            </w:r>
          </w:p>
        </w:tc>
        <w:tc>
          <w:tcPr>
            <w:tcW w:w="570" w:type="pct"/>
          </w:tcPr>
          <w:p w14:paraId="6D393FF0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staff compliance with Acceptable Use Policy acknowledgment.</w:t>
            </w:r>
          </w:p>
        </w:tc>
        <w:tc>
          <w:tcPr>
            <w:tcW w:w="594" w:type="pct"/>
          </w:tcPr>
          <w:p w14:paraId="4856D54B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556" w:type="pct"/>
          </w:tcPr>
          <w:p w14:paraId="464188DE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510" w:type="pct"/>
          </w:tcPr>
          <w:p w14:paraId="5B2C98B2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HR system</w:t>
            </w:r>
          </w:p>
        </w:tc>
        <w:tc>
          <w:tcPr>
            <w:tcW w:w="418" w:type="pct"/>
          </w:tcPr>
          <w:p w14:paraId="1EE05EC8">
            <w:pPr>
              <w:spacing w:after="0" w:line="240" w:lineRule="auto"/>
            </w:pPr>
            <w:r>
              <w:t>N/A</w:t>
            </w:r>
          </w:p>
        </w:tc>
        <w:tc>
          <w:tcPr>
            <w:tcW w:w="815" w:type="pct"/>
          </w:tcPr>
          <w:p w14:paraId="387C84A2">
            <w:pPr>
              <w:spacing w:after="0" w:line="240" w:lineRule="auto"/>
            </w:pPr>
            <w:r>
              <w:t>Not yet measured</w:t>
            </w:r>
          </w:p>
        </w:tc>
        <w:tc>
          <w:tcPr>
            <w:tcW w:w="705" w:type="pct"/>
          </w:tcPr>
          <w:p w14:paraId="5103C226">
            <w:pPr>
              <w:spacing w:after="0" w:line="240" w:lineRule="auto"/>
            </w:pPr>
            <w:r>
              <w:t>No baseline data available in current case study; to be established once tracking mechanism is implemented.</w:t>
            </w:r>
          </w:p>
        </w:tc>
        <w:tc>
          <w:tcPr>
            <w:tcW w:w="289" w:type="pct"/>
          </w:tcPr>
          <w:p w14:paraId="14A66F5C">
            <w:pPr>
              <w:spacing w:after="0" w:line="240" w:lineRule="auto"/>
            </w:pPr>
            <w:r>
              <w:t>21 Sep 2026</w:t>
            </w:r>
          </w:p>
        </w:tc>
      </w:tr>
      <w:tr w14:paraId="38015BBC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</w:trPr>
        <w:tc>
          <w:tcPr>
            <w:tcW w:w="540" w:type="pct"/>
          </w:tcPr>
          <w:p w14:paraId="575FC4FE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c. Cloud Services Policy</w:t>
            </w:r>
          </w:p>
        </w:tc>
        <w:tc>
          <w:tcPr>
            <w:tcW w:w="570" w:type="pct"/>
          </w:tcPr>
          <w:p w14:paraId="10151FFD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staff compliance with Cloud Services Policy acknowledgment.</w:t>
            </w:r>
          </w:p>
        </w:tc>
        <w:tc>
          <w:tcPr>
            <w:tcW w:w="594" w:type="pct"/>
          </w:tcPr>
          <w:p w14:paraId="1578ECFA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556" w:type="pct"/>
          </w:tcPr>
          <w:p w14:paraId="5B27F1E9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510" w:type="pct"/>
          </w:tcPr>
          <w:p w14:paraId="26784F3D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HR system</w:t>
            </w:r>
          </w:p>
        </w:tc>
        <w:tc>
          <w:tcPr>
            <w:tcW w:w="418" w:type="pct"/>
          </w:tcPr>
          <w:p w14:paraId="307F4E31">
            <w:pPr>
              <w:spacing w:after="0" w:line="240" w:lineRule="auto"/>
            </w:pPr>
            <w:r>
              <w:t>N/A</w:t>
            </w:r>
          </w:p>
        </w:tc>
        <w:tc>
          <w:tcPr>
            <w:tcW w:w="815" w:type="pct"/>
          </w:tcPr>
          <w:p w14:paraId="675E8B59">
            <w:pPr>
              <w:spacing w:after="0" w:line="240" w:lineRule="auto"/>
            </w:pPr>
            <w:r>
              <w:t>Not yet measured</w:t>
            </w:r>
          </w:p>
        </w:tc>
        <w:tc>
          <w:tcPr>
            <w:tcW w:w="705" w:type="pct"/>
          </w:tcPr>
          <w:p w14:paraId="08CF1AE5">
            <w:pPr>
              <w:spacing w:after="0" w:line="240" w:lineRule="auto"/>
            </w:pPr>
            <w:r>
              <w:t>No baseline data available in current case study; to be established once tracking mechanism is implemented.</w:t>
            </w:r>
          </w:p>
        </w:tc>
        <w:tc>
          <w:tcPr>
            <w:tcW w:w="289" w:type="pct"/>
          </w:tcPr>
          <w:p w14:paraId="555BA640">
            <w:pPr>
              <w:spacing w:after="0" w:line="240" w:lineRule="auto"/>
            </w:pPr>
            <w:r>
              <w:t>21 Sep 2026</w:t>
            </w:r>
          </w:p>
        </w:tc>
      </w:tr>
      <w:tr w14:paraId="4BDD60E4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0" w:hRule="atLeast"/>
        </w:trPr>
        <w:tc>
          <w:tcPr>
            <w:tcW w:w="540" w:type="pct"/>
          </w:tcPr>
          <w:p w14:paraId="27290780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d. Secure Development Policy</w:t>
            </w:r>
          </w:p>
        </w:tc>
        <w:tc>
          <w:tcPr>
            <w:tcW w:w="570" w:type="pct"/>
          </w:tcPr>
          <w:p w14:paraId="6C1188EC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Engineering team compliance with Secure Development Policy acknowledgment.</w:t>
            </w:r>
          </w:p>
        </w:tc>
        <w:tc>
          <w:tcPr>
            <w:tcW w:w="594" w:type="pct"/>
          </w:tcPr>
          <w:p w14:paraId="77BEB440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556" w:type="pct"/>
          </w:tcPr>
          <w:p w14:paraId="6A15F874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510" w:type="pct"/>
          </w:tcPr>
          <w:p w14:paraId="67E9680F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HR system</w:t>
            </w:r>
          </w:p>
        </w:tc>
        <w:tc>
          <w:tcPr>
            <w:tcW w:w="418" w:type="pct"/>
          </w:tcPr>
          <w:p w14:paraId="6040B145">
            <w:pPr>
              <w:spacing w:after="0" w:line="240" w:lineRule="auto"/>
            </w:pPr>
            <w:r>
              <w:t>N/A</w:t>
            </w:r>
          </w:p>
        </w:tc>
        <w:tc>
          <w:tcPr>
            <w:tcW w:w="815" w:type="pct"/>
          </w:tcPr>
          <w:p w14:paraId="12077DBF">
            <w:pPr>
              <w:spacing w:after="0" w:line="240" w:lineRule="auto"/>
            </w:pPr>
            <w:r>
              <w:t>Not yet measured</w:t>
            </w:r>
          </w:p>
        </w:tc>
        <w:tc>
          <w:tcPr>
            <w:tcW w:w="705" w:type="pct"/>
          </w:tcPr>
          <w:p w14:paraId="5E9A6D3B">
            <w:pPr>
              <w:spacing w:after="0" w:line="240" w:lineRule="auto"/>
            </w:pPr>
            <w:r>
              <w:t>No baseline data available in current case study; to be established once tracking mechanism is implemented.</w:t>
            </w:r>
          </w:p>
        </w:tc>
        <w:tc>
          <w:tcPr>
            <w:tcW w:w="289" w:type="pct"/>
          </w:tcPr>
          <w:p w14:paraId="19B2645C">
            <w:pPr>
              <w:spacing w:after="0" w:line="240" w:lineRule="auto"/>
            </w:pPr>
            <w:r>
              <w:t>21 Sep 2026</w:t>
            </w:r>
          </w:p>
        </w:tc>
      </w:tr>
      <w:tr w14:paraId="54B11322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</w:trPr>
        <w:tc>
          <w:tcPr>
            <w:tcW w:w="540" w:type="pct"/>
          </w:tcPr>
          <w:p w14:paraId="06DAFA7A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Compliance % to ISO 27001</w:t>
            </w:r>
          </w:p>
        </w:tc>
        <w:tc>
          <w:tcPr>
            <w:tcW w:w="570" w:type="pct"/>
          </w:tcPr>
          <w:p w14:paraId="19C7C029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Percentage of applicable ISO 27001 controls implemented and operational.</w:t>
            </w:r>
          </w:p>
        </w:tc>
        <w:tc>
          <w:tcPr>
            <w:tcW w:w="594" w:type="pct"/>
          </w:tcPr>
          <w:p w14:paraId="1F23B452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556" w:type="pct"/>
          </w:tcPr>
          <w:p w14:paraId="37C975F2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 implementation of scoped controls</w:t>
            </w:r>
          </w:p>
        </w:tc>
        <w:tc>
          <w:tcPr>
            <w:tcW w:w="510" w:type="pct"/>
          </w:tcPr>
          <w:p w14:paraId="46BE9BAE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Audit results/non-conformity logs</w:t>
            </w:r>
          </w:p>
        </w:tc>
        <w:tc>
          <w:tcPr>
            <w:tcW w:w="418" w:type="pct"/>
          </w:tcPr>
          <w:p w14:paraId="4B3E2C68">
            <w:pPr>
              <w:spacing w:after="0" w:line="240" w:lineRule="auto"/>
            </w:pPr>
            <w:r>
              <w:t>RED</w:t>
            </w:r>
          </w:p>
        </w:tc>
        <w:tc>
          <w:tcPr>
            <w:tcW w:w="815" w:type="pct"/>
          </w:tcPr>
          <w:p w14:paraId="3FC9CD7B">
            <w:pPr>
              <w:spacing w:after="0" w:line="240" w:lineRule="auto"/>
            </w:pPr>
            <w:r>
              <w:t>Formal gap analysis against ISO/IEC 27001:2022 clauses and Annex A has not yet been completed; ISMS scope, policy and SoA are still in initial development.</w:t>
            </w:r>
          </w:p>
        </w:tc>
        <w:tc>
          <w:tcPr>
            <w:tcW w:w="705" w:type="pct"/>
          </w:tcPr>
          <w:p w14:paraId="62763161">
            <w:pPr>
              <w:spacing w:after="0" w:line="240" w:lineRule="auto"/>
            </w:pPr>
            <w:r>
              <w:t>This report is produced during the initial implementation project; full compliance % will be measurable only after the gap analysis and Statement of Applicability are finalized.</w:t>
            </w:r>
          </w:p>
        </w:tc>
        <w:tc>
          <w:tcPr>
            <w:tcW w:w="289" w:type="pct"/>
          </w:tcPr>
          <w:p w14:paraId="4DD3A7A7">
            <w:pPr>
              <w:spacing w:after="0" w:line="240" w:lineRule="auto"/>
            </w:pPr>
            <w:r>
              <w:t>21 Sep 2026</w:t>
            </w:r>
          </w:p>
        </w:tc>
      </w:tr>
      <w:tr w14:paraId="662EE530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</w:trPr>
        <w:tc>
          <w:tcPr>
            <w:tcW w:w="540" w:type="pct"/>
          </w:tcPr>
          <w:p w14:paraId="2837F285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Supplier Reviews</w:t>
            </w:r>
          </w:p>
        </w:tc>
        <w:tc>
          <w:tcPr>
            <w:tcW w:w="570" w:type="pct"/>
          </w:tcPr>
          <w:p w14:paraId="055FA9C4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Percentage of suppliers processing data reviewed as per the schedule.</w:t>
            </w:r>
          </w:p>
        </w:tc>
        <w:tc>
          <w:tcPr>
            <w:tcW w:w="594" w:type="pct"/>
          </w:tcPr>
          <w:p w14:paraId="420088B0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556" w:type="pct"/>
          </w:tcPr>
          <w:p w14:paraId="2988A287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510" w:type="pct"/>
          </w:tcPr>
          <w:p w14:paraId="79CFDFAB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Supplier review schedule</w:t>
            </w:r>
          </w:p>
        </w:tc>
        <w:tc>
          <w:tcPr>
            <w:tcW w:w="418" w:type="pct"/>
          </w:tcPr>
          <w:p w14:paraId="7592A1A3">
            <w:pPr>
              <w:spacing w:after="0" w:line="240" w:lineRule="auto"/>
            </w:pPr>
            <w:r>
              <w:t>N/A</w:t>
            </w:r>
          </w:p>
        </w:tc>
        <w:tc>
          <w:tcPr>
            <w:tcW w:w="815" w:type="pct"/>
          </w:tcPr>
          <w:p w14:paraId="47E19E51">
            <w:pPr>
              <w:spacing w:after="0" w:line="240" w:lineRule="auto"/>
            </w:pPr>
            <w:r>
              <w:t>Not yet measured</w:t>
            </w:r>
          </w:p>
        </w:tc>
        <w:tc>
          <w:tcPr>
            <w:tcW w:w="705" w:type="pct"/>
          </w:tcPr>
          <w:p w14:paraId="6D488B7B">
            <w:pPr>
              <w:spacing w:after="0" w:line="240" w:lineRule="auto"/>
            </w:pPr>
            <w:r>
              <w:t>Key data-processing suppliers identified: cloud provider (AWS, non-critical systems), mobile app development vendor, external penetration-testing consultancy, ATM maintenance provider, cash-in-transit company, telecom/ISP (STC). No formal supplier review schedule yet exists.</w:t>
            </w:r>
          </w:p>
        </w:tc>
        <w:tc>
          <w:tcPr>
            <w:tcW w:w="289" w:type="pct"/>
          </w:tcPr>
          <w:p w14:paraId="27CCBBDD">
            <w:pPr>
              <w:spacing w:after="0" w:line="240" w:lineRule="auto"/>
            </w:pPr>
            <w:r>
              <w:t>21 Sep 2026</w:t>
            </w:r>
          </w:p>
        </w:tc>
      </w:tr>
      <w:tr w14:paraId="6E5BDC84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</w:trPr>
        <w:tc>
          <w:tcPr>
            <w:tcW w:w="540" w:type="pct"/>
          </w:tcPr>
          <w:p w14:paraId="301B566E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Supplier Risk Assessments</w:t>
            </w:r>
          </w:p>
        </w:tc>
        <w:tc>
          <w:tcPr>
            <w:tcW w:w="570" w:type="pct"/>
          </w:tcPr>
          <w:p w14:paraId="23CF7455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Percentage of critical suppliers with updated risk assessments.</w:t>
            </w:r>
          </w:p>
        </w:tc>
        <w:tc>
          <w:tcPr>
            <w:tcW w:w="594" w:type="pct"/>
          </w:tcPr>
          <w:p w14:paraId="68AEA776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556" w:type="pct"/>
          </w:tcPr>
          <w:p w14:paraId="0F5B37C1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510" w:type="pct"/>
          </w:tcPr>
          <w:p w14:paraId="3976B171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Supplier risk assessment records</w:t>
            </w:r>
          </w:p>
        </w:tc>
        <w:tc>
          <w:tcPr>
            <w:tcW w:w="418" w:type="pct"/>
          </w:tcPr>
          <w:p w14:paraId="0FC6D76E">
            <w:pPr>
              <w:spacing w:after="0" w:line="240" w:lineRule="auto"/>
            </w:pPr>
            <w:r>
              <w:t>N/A</w:t>
            </w:r>
          </w:p>
        </w:tc>
        <w:tc>
          <w:tcPr>
            <w:tcW w:w="815" w:type="pct"/>
          </w:tcPr>
          <w:p w14:paraId="1531435B">
            <w:pPr>
              <w:spacing w:after="0" w:line="240" w:lineRule="auto"/>
            </w:pPr>
            <w:r>
              <w:t>Not yet measured</w:t>
            </w:r>
          </w:p>
        </w:tc>
        <w:tc>
          <w:tcPr>
            <w:tcW w:w="705" w:type="pct"/>
          </w:tcPr>
          <w:p w14:paraId="37251C1C">
            <w:pPr>
              <w:spacing w:after="0" w:line="240" w:lineRule="auto"/>
            </w:pPr>
            <w:r>
              <w:t>See comment above — supplier risk assessment process to be formalized as part of A.5.19–A.5.22 implementation.</w:t>
            </w:r>
          </w:p>
        </w:tc>
        <w:tc>
          <w:tcPr>
            <w:tcW w:w="289" w:type="pct"/>
          </w:tcPr>
          <w:p w14:paraId="6FB15A12">
            <w:pPr>
              <w:spacing w:after="0" w:line="240" w:lineRule="auto"/>
            </w:pPr>
            <w:r>
              <w:t>21 Sep 2026</w:t>
            </w:r>
          </w:p>
        </w:tc>
      </w:tr>
      <w:tr w14:paraId="10666EEB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540" w:type="pct"/>
          </w:tcPr>
          <w:p w14:paraId="5527AD43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Training and Awareness</w:t>
            </w:r>
          </w:p>
        </w:tc>
        <w:tc>
          <w:tcPr>
            <w:tcW w:w="570" w:type="pct"/>
          </w:tcPr>
          <w:p w14:paraId="6E2EC02C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94" w:type="pct"/>
          </w:tcPr>
          <w:p w14:paraId="128F5A36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56" w:type="pct"/>
          </w:tcPr>
          <w:p w14:paraId="208497C5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10" w:type="pct"/>
          </w:tcPr>
          <w:p w14:paraId="19BF255A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418" w:type="pct"/>
          </w:tcPr>
          <w:p w14:paraId="27C00BC7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15" w:type="pct"/>
          </w:tcPr>
          <w:p w14:paraId="5508BDCB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05" w:type="pct"/>
          </w:tcPr>
          <w:p w14:paraId="4B65F541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89" w:type="pct"/>
          </w:tcPr>
          <w:p w14:paraId="217E96A8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</w:tr>
      <w:tr w14:paraId="159A24F4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</w:trPr>
        <w:tc>
          <w:tcPr>
            <w:tcW w:w="540" w:type="pct"/>
          </w:tcPr>
          <w:p w14:paraId="44B9F693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a. Intro to ISO 27001</w:t>
            </w:r>
          </w:p>
        </w:tc>
        <w:tc>
          <w:tcPr>
            <w:tcW w:w="570" w:type="pct"/>
          </w:tcPr>
          <w:p w14:paraId="2D355100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Percentage of staff who completed the "Intro to ISO 27001" course.</w:t>
            </w:r>
          </w:p>
        </w:tc>
        <w:tc>
          <w:tcPr>
            <w:tcW w:w="594" w:type="pct"/>
          </w:tcPr>
          <w:p w14:paraId="7171408B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556" w:type="pct"/>
          </w:tcPr>
          <w:p w14:paraId="20C602A5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510" w:type="pct"/>
          </w:tcPr>
          <w:p w14:paraId="67602804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Training records</w:t>
            </w:r>
          </w:p>
        </w:tc>
        <w:tc>
          <w:tcPr>
            <w:tcW w:w="418" w:type="pct"/>
          </w:tcPr>
          <w:p w14:paraId="5CB3D6FA">
            <w:pPr>
              <w:spacing w:after="0" w:line="240" w:lineRule="auto"/>
            </w:pPr>
            <w:r>
              <w:t>N/A</w:t>
            </w:r>
          </w:p>
        </w:tc>
        <w:tc>
          <w:tcPr>
            <w:tcW w:w="815" w:type="pct"/>
          </w:tcPr>
          <w:p w14:paraId="61E4AD0B">
            <w:pPr>
              <w:spacing w:after="0" w:line="240" w:lineRule="auto"/>
            </w:pPr>
            <w:r>
              <w:t>Not yet measured</w:t>
            </w:r>
          </w:p>
        </w:tc>
        <w:tc>
          <w:tcPr>
            <w:tcW w:w="705" w:type="pct"/>
          </w:tcPr>
          <w:p w14:paraId="12A0EC45">
            <w:pPr>
              <w:spacing w:after="0" w:line="240" w:lineRule="auto"/>
            </w:pPr>
            <w:r>
              <w:t>No training completion records available. Indirect evidence of an awareness gap: only 8% of staff reported a simulated phishing email, and 12% entered credentials on the fake page, in a recent phishing simulation covering 100 staff.</w:t>
            </w:r>
          </w:p>
        </w:tc>
        <w:tc>
          <w:tcPr>
            <w:tcW w:w="289" w:type="pct"/>
          </w:tcPr>
          <w:p w14:paraId="14540ACD">
            <w:pPr>
              <w:spacing w:after="0" w:line="240" w:lineRule="auto"/>
            </w:pPr>
            <w:r>
              <w:t>21 Sep 2026</w:t>
            </w:r>
          </w:p>
        </w:tc>
      </w:tr>
      <w:tr w14:paraId="5DA9381E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</w:trPr>
        <w:tc>
          <w:tcPr>
            <w:tcW w:w="540" w:type="pct"/>
          </w:tcPr>
          <w:p w14:paraId="55886813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b. GDPR Training</w:t>
            </w:r>
          </w:p>
        </w:tc>
        <w:tc>
          <w:tcPr>
            <w:tcW w:w="570" w:type="pct"/>
          </w:tcPr>
          <w:p w14:paraId="6D0D8D05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Percentage of staff assigned GDPR training (starting Q1 2025).</w:t>
            </w:r>
          </w:p>
        </w:tc>
        <w:tc>
          <w:tcPr>
            <w:tcW w:w="594" w:type="pct"/>
          </w:tcPr>
          <w:p w14:paraId="3BE7FD24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556" w:type="pct"/>
          </w:tcPr>
          <w:p w14:paraId="4DE71F86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510" w:type="pct"/>
          </w:tcPr>
          <w:p w14:paraId="36B14287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Training platform</w:t>
            </w:r>
          </w:p>
        </w:tc>
        <w:tc>
          <w:tcPr>
            <w:tcW w:w="418" w:type="pct"/>
          </w:tcPr>
          <w:p w14:paraId="6A77C037">
            <w:pPr>
              <w:spacing w:after="0" w:line="240" w:lineRule="auto"/>
            </w:pPr>
            <w:r>
              <w:t>N/A</w:t>
            </w:r>
          </w:p>
        </w:tc>
        <w:tc>
          <w:tcPr>
            <w:tcW w:w="815" w:type="pct"/>
          </w:tcPr>
          <w:p w14:paraId="57917F12">
            <w:pPr>
              <w:spacing w:after="0" w:line="240" w:lineRule="auto"/>
            </w:pPr>
            <w:r>
              <w:t>Not applicable as scoped ("GDPR") — organization operates under the Saudi Personal Data Protection Law (PDPL, issued by SDAIA), not GDPR.</w:t>
            </w:r>
          </w:p>
        </w:tc>
        <w:tc>
          <w:tcPr>
            <w:tcW w:w="705" w:type="pct"/>
          </w:tcPr>
          <w:p w14:paraId="0F163F3F">
            <w:pPr>
              <w:spacing w:after="0" w:line="240" w:lineRule="auto"/>
            </w:pPr>
            <w:r>
              <w:t>Recommend relabeling this line item "PDPL Awareness Training" for local applicability.</w:t>
            </w:r>
          </w:p>
        </w:tc>
        <w:tc>
          <w:tcPr>
            <w:tcW w:w="289" w:type="pct"/>
          </w:tcPr>
          <w:p w14:paraId="7E061738">
            <w:pPr>
              <w:spacing w:after="0" w:line="240" w:lineRule="auto"/>
            </w:pPr>
            <w:r>
              <w:t>21 Sep 2026</w:t>
            </w:r>
          </w:p>
        </w:tc>
      </w:tr>
      <w:tr w14:paraId="652CD000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</w:trPr>
        <w:tc>
          <w:tcPr>
            <w:tcW w:w="540" w:type="pct"/>
          </w:tcPr>
          <w:p w14:paraId="3FDAACC4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c. Contractor NDAs</w:t>
            </w:r>
          </w:p>
        </w:tc>
        <w:tc>
          <w:tcPr>
            <w:tcW w:w="570" w:type="pct"/>
          </w:tcPr>
          <w:p w14:paraId="4322BB30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Percentage of contractors who have signed NDAs.</w:t>
            </w:r>
          </w:p>
        </w:tc>
        <w:tc>
          <w:tcPr>
            <w:tcW w:w="594" w:type="pct"/>
          </w:tcPr>
          <w:p w14:paraId="2673EE11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556" w:type="pct"/>
          </w:tcPr>
          <w:p w14:paraId="4880BC8B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510" w:type="pct"/>
          </w:tcPr>
          <w:p w14:paraId="0DCE0D72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Legal/HR records</w:t>
            </w:r>
          </w:p>
        </w:tc>
        <w:tc>
          <w:tcPr>
            <w:tcW w:w="418" w:type="pct"/>
          </w:tcPr>
          <w:p w14:paraId="3C62E41E">
            <w:pPr>
              <w:spacing w:after="0" w:line="240" w:lineRule="auto"/>
            </w:pPr>
            <w:r>
              <w:t>N/A</w:t>
            </w:r>
          </w:p>
        </w:tc>
        <w:tc>
          <w:tcPr>
            <w:tcW w:w="815" w:type="pct"/>
          </w:tcPr>
          <w:p w14:paraId="6C36C444">
            <w:pPr>
              <w:spacing w:after="0" w:line="240" w:lineRule="auto"/>
            </w:pPr>
            <w:r>
              <w:t>Not yet measured</w:t>
            </w:r>
          </w:p>
        </w:tc>
        <w:tc>
          <w:tcPr>
            <w:tcW w:w="705" w:type="pct"/>
          </w:tcPr>
          <w:p w14:paraId="546B660E">
            <w:pPr>
              <w:spacing w:after="0" w:line="240" w:lineRule="auto"/>
            </w:pPr>
            <w:r>
              <w:t>No baseline data available in current case study; to be established once tracking mechanism is implemented.</w:t>
            </w:r>
          </w:p>
        </w:tc>
        <w:tc>
          <w:tcPr>
            <w:tcW w:w="289" w:type="pct"/>
          </w:tcPr>
          <w:p w14:paraId="1FE6A543">
            <w:pPr>
              <w:spacing w:after="0" w:line="240" w:lineRule="auto"/>
            </w:pPr>
            <w:r>
              <w:t>21 Sep 2026</w:t>
            </w:r>
          </w:p>
        </w:tc>
      </w:tr>
      <w:tr w14:paraId="40444EB5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</w:trPr>
        <w:tc>
          <w:tcPr>
            <w:tcW w:w="540" w:type="pct"/>
          </w:tcPr>
          <w:p w14:paraId="033483C5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Statement of Applicability Review</w:t>
            </w:r>
          </w:p>
        </w:tc>
        <w:tc>
          <w:tcPr>
            <w:tcW w:w="570" w:type="pct"/>
          </w:tcPr>
          <w:p w14:paraId="10AFC209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Percentage of controls reviewed in the Statement of Applicability annually.</w:t>
            </w:r>
          </w:p>
        </w:tc>
        <w:tc>
          <w:tcPr>
            <w:tcW w:w="594" w:type="pct"/>
          </w:tcPr>
          <w:p w14:paraId="41B37FDB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556" w:type="pct"/>
          </w:tcPr>
          <w:p w14:paraId="1E3CC1F6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</w:t>
            </w:r>
          </w:p>
        </w:tc>
        <w:tc>
          <w:tcPr>
            <w:tcW w:w="510" w:type="pct"/>
          </w:tcPr>
          <w:p w14:paraId="1BE9C632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Documentation review logs</w:t>
            </w:r>
          </w:p>
        </w:tc>
        <w:tc>
          <w:tcPr>
            <w:tcW w:w="418" w:type="pct"/>
          </w:tcPr>
          <w:p w14:paraId="44B87B81">
            <w:pPr>
              <w:spacing w:after="0" w:line="240" w:lineRule="auto"/>
            </w:pPr>
            <w:r>
              <w:t>N/A</w:t>
            </w:r>
          </w:p>
        </w:tc>
        <w:tc>
          <w:tcPr>
            <w:tcW w:w="815" w:type="pct"/>
          </w:tcPr>
          <w:p w14:paraId="6347FE5B">
            <w:pPr>
              <w:spacing w:after="0" w:line="240" w:lineRule="auto"/>
            </w:pPr>
            <w:r>
              <w:t>Not yet measured</w:t>
            </w:r>
          </w:p>
        </w:tc>
        <w:tc>
          <w:tcPr>
            <w:tcW w:w="705" w:type="pct"/>
          </w:tcPr>
          <w:p w14:paraId="0056B2F0">
            <w:pPr>
              <w:spacing w:after="0" w:line="240" w:lineRule="auto"/>
            </w:pPr>
            <w:r>
              <w:t>Statement of Applicability is being developed as part of the current ISMS project; no prior-year review exists.</w:t>
            </w:r>
          </w:p>
        </w:tc>
        <w:tc>
          <w:tcPr>
            <w:tcW w:w="289" w:type="pct"/>
          </w:tcPr>
          <w:p w14:paraId="18FDA3CC">
            <w:pPr>
              <w:spacing w:after="0" w:line="240" w:lineRule="auto"/>
            </w:pPr>
            <w:r>
              <w:t>21 Sep 2026</w:t>
            </w:r>
          </w:p>
        </w:tc>
      </w:tr>
      <w:tr w14:paraId="418EE9F8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</w:trPr>
        <w:tc>
          <w:tcPr>
            <w:tcW w:w="540" w:type="pct"/>
          </w:tcPr>
          <w:p w14:paraId="178C4A5A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Information Security Incidents</w:t>
            </w:r>
          </w:p>
        </w:tc>
        <w:tc>
          <w:tcPr>
            <w:tcW w:w="570" w:type="pct"/>
          </w:tcPr>
          <w:p w14:paraId="7C0D14F1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Number of information security incidents logged and their resolution status.</w:t>
            </w:r>
          </w:p>
        </w:tc>
        <w:tc>
          <w:tcPr>
            <w:tcW w:w="594" w:type="pct"/>
          </w:tcPr>
          <w:p w14:paraId="1CE94EE0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Monthly/Quarterly</w:t>
            </w:r>
          </w:p>
        </w:tc>
        <w:tc>
          <w:tcPr>
            <w:tcW w:w="556" w:type="pct"/>
          </w:tcPr>
          <w:p w14:paraId="3D839B73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Zero unresolved incidents</w:t>
            </w:r>
          </w:p>
        </w:tc>
        <w:tc>
          <w:tcPr>
            <w:tcW w:w="510" w:type="pct"/>
          </w:tcPr>
          <w:p w14:paraId="7CEF6DD4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Incident management tool</w:t>
            </w:r>
          </w:p>
        </w:tc>
        <w:tc>
          <w:tcPr>
            <w:tcW w:w="418" w:type="pct"/>
          </w:tcPr>
          <w:p w14:paraId="34A32363">
            <w:pPr>
              <w:spacing w:after="0" w:line="240" w:lineRule="auto"/>
            </w:pPr>
            <w:r>
              <w:t>RED</w:t>
            </w:r>
          </w:p>
        </w:tc>
        <w:tc>
          <w:tcPr>
            <w:tcW w:w="815" w:type="pct"/>
          </w:tcPr>
          <w:p w14:paraId="43293028">
            <w:pPr>
              <w:spacing w:after="0" w:line="240" w:lineRule="auto"/>
            </w:pPr>
            <w:r>
              <w:t>3 information security incidents recorded in the trailing 12 months: (1) loss of an unencrypted staff laptop containing local copies of customer marketing data, 9 months ago; (2) SSL/TLS certificate on the online banking portal expired unnoticed, causing a 4-hour browser-warning outage, 6 months ago; (3) discovery, during a routine access review, of IT staff holding unrevoked full access to HR network folders (personal files, payroll, performance data), 3 months ago, with unknown exposure duration. Two further incidents fall outside the current 12-month window but are noted for trend context: a 3-hour digital-channel outage caused by an erroneous firewall rule deletion (~2 years ago) and an attempted CEO-fraud / business email compromise targeting Finance staff, blocked by the fraud detection system (~18 months ago).</w:t>
            </w:r>
          </w:p>
        </w:tc>
        <w:tc>
          <w:tcPr>
            <w:tcW w:w="705" w:type="pct"/>
          </w:tcPr>
          <w:p w14:paraId="7145AD8D">
            <w:pPr>
              <w:spacing w:after="0" w:line="240" w:lineRule="auto"/>
            </w:pPr>
            <w:r>
              <w:t>Zero-unresolved target not met for the reporting period. Root causes recur across incidents: no dual-control review for critical network changes, no automated certificate-expiry monitoring, and no periodic access recertification process.</w:t>
            </w:r>
          </w:p>
        </w:tc>
        <w:tc>
          <w:tcPr>
            <w:tcW w:w="289" w:type="pct"/>
          </w:tcPr>
          <w:p w14:paraId="27D1B6D1">
            <w:pPr>
              <w:spacing w:after="0" w:line="240" w:lineRule="auto"/>
            </w:pPr>
            <w:r>
              <w:t>21 Sep 2026</w:t>
            </w:r>
          </w:p>
        </w:tc>
      </w:tr>
      <w:tr w14:paraId="6C602F1C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</w:trPr>
        <w:tc>
          <w:tcPr>
            <w:tcW w:w="540" w:type="pct"/>
          </w:tcPr>
          <w:p w14:paraId="22B298FA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Incident Response</w:t>
            </w:r>
          </w:p>
        </w:tc>
        <w:tc>
          <w:tcPr>
            <w:tcW w:w="570" w:type="pct"/>
          </w:tcPr>
          <w:p w14:paraId="38A3660B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Average resolution time for security incidents.</w:t>
            </w:r>
          </w:p>
        </w:tc>
        <w:tc>
          <w:tcPr>
            <w:tcW w:w="594" w:type="pct"/>
          </w:tcPr>
          <w:p w14:paraId="6F8E88D0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Monthly/Quarterly</w:t>
            </w:r>
          </w:p>
        </w:tc>
        <w:tc>
          <w:tcPr>
            <w:tcW w:w="556" w:type="pct"/>
          </w:tcPr>
          <w:p w14:paraId="4A238514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Within defined SLAs</w:t>
            </w:r>
          </w:p>
        </w:tc>
        <w:tc>
          <w:tcPr>
            <w:tcW w:w="510" w:type="pct"/>
          </w:tcPr>
          <w:p w14:paraId="4FB5314C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Incident management tool</w:t>
            </w:r>
          </w:p>
        </w:tc>
        <w:tc>
          <w:tcPr>
            <w:tcW w:w="418" w:type="pct"/>
          </w:tcPr>
          <w:p w14:paraId="6D07A1CB">
            <w:pPr>
              <w:spacing w:after="0" w:line="240" w:lineRule="auto"/>
            </w:pPr>
            <w:r>
              <w:t>RED</w:t>
            </w:r>
          </w:p>
        </w:tc>
        <w:tc>
          <w:tcPr>
            <w:tcW w:w="815" w:type="pct"/>
          </w:tcPr>
          <w:p w14:paraId="3C333BDD">
            <w:pPr>
              <w:spacing w:after="0" w:line="240" w:lineRule="auto"/>
            </w:pPr>
            <w:r>
              <w:t>Consistent resolution-time data is not tracked across incidents. Where timing is available: the certificate outage was resolved (certificate renewed) within 4 hours of detection; the firewall-misconfiguration outage took 45 minutes to detect and a further 2 hours to fully restore service. Detection lag was significant for other incidents (e.g. the lost laptop was reported to Information Security 48 hours after the loss occurred).</w:t>
            </w:r>
          </w:p>
        </w:tc>
        <w:tc>
          <w:tcPr>
            <w:tcW w:w="705" w:type="pct"/>
          </w:tcPr>
          <w:p w14:paraId="78D926B2">
            <w:pPr>
              <w:spacing w:after="0" w:line="240" w:lineRule="auto"/>
            </w:pPr>
            <w:r>
              <w:t>Highlights the absence of standardized incident logging/timestamping — recommend enforcing mandatory time-of-detection and time-of-resolution fields in the incident management tool.</w:t>
            </w:r>
          </w:p>
        </w:tc>
        <w:tc>
          <w:tcPr>
            <w:tcW w:w="289" w:type="pct"/>
          </w:tcPr>
          <w:p w14:paraId="6EE25D62">
            <w:pPr>
              <w:spacing w:after="0" w:line="240" w:lineRule="auto"/>
            </w:pPr>
            <w:r>
              <w:t>21 Sep 2026</w:t>
            </w:r>
          </w:p>
        </w:tc>
      </w:tr>
      <w:tr w14:paraId="7FC0EBBE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</w:trPr>
        <w:tc>
          <w:tcPr>
            <w:tcW w:w="540" w:type="pct"/>
          </w:tcPr>
          <w:p w14:paraId="40FC24C8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Access Control Audits</w:t>
            </w:r>
          </w:p>
        </w:tc>
        <w:tc>
          <w:tcPr>
            <w:tcW w:w="570" w:type="pct"/>
          </w:tcPr>
          <w:p w14:paraId="241BDDCE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Percentage of access rights reviewed (logical/physical).</w:t>
            </w:r>
          </w:p>
        </w:tc>
        <w:tc>
          <w:tcPr>
            <w:tcW w:w="594" w:type="pct"/>
          </w:tcPr>
          <w:p w14:paraId="5C18F6CF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556" w:type="pct"/>
          </w:tcPr>
          <w:p w14:paraId="44C14E46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 of identified access areas</w:t>
            </w:r>
          </w:p>
        </w:tc>
        <w:tc>
          <w:tcPr>
            <w:tcW w:w="510" w:type="pct"/>
          </w:tcPr>
          <w:p w14:paraId="46E49C8F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Access control logs/audit reports</w:t>
            </w:r>
          </w:p>
        </w:tc>
        <w:tc>
          <w:tcPr>
            <w:tcW w:w="418" w:type="pct"/>
          </w:tcPr>
          <w:p w14:paraId="098B018B">
            <w:pPr>
              <w:spacing w:after="0" w:line="240" w:lineRule="auto"/>
            </w:pPr>
            <w:r>
              <w:t>RED</w:t>
            </w:r>
          </w:p>
        </w:tc>
        <w:tc>
          <w:tcPr>
            <w:tcW w:w="815" w:type="pct"/>
          </w:tcPr>
          <w:p w14:paraId="6BEC6CE7">
            <w:pPr>
              <w:spacing w:after="0" w:line="240" w:lineRule="auto"/>
            </w:pPr>
            <w:r>
              <w:t>An ad-hoc review (not part of a scheduled program) uncovered IT department staff holding full access to HR's network folders, inherited from a systems-integration project that ended roughly two years earlier and never formally offboarded. No evidence of actual misuse was found, but the excessive access existed for an unknown period.</w:t>
            </w:r>
          </w:p>
        </w:tc>
        <w:tc>
          <w:tcPr>
            <w:tcW w:w="705" w:type="pct"/>
          </w:tcPr>
          <w:p w14:paraId="203CCC79">
            <w:pPr>
              <w:spacing w:after="0" w:line="240" w:lineRule="auto"/>
            </w:pPr>
            <w:r>
              <w:t>No periodic/scheduled access-rights review process currently exists. Recommend implementing at least a quarterly access recertification cycle (A.5.18, A.8.2).</w:t>
            </w:r>
          </w:p>
        </w:tc>
        <w:tc>
          <w:tcPr>
            <w:tcW w:w="289" w:type="pct"/>
          </w:tcPr>
          <w:p w14:paraId="6EA04499">
            <w:pPr>
              <w:spacing w:after="0" w:line="240" w:lineRule="auto"/>
            </w:pPr>
            <w:r>
              <w:t>21 Sep 2026</w:t>
            </w:r>
          </w:p>
        </w:tc>
      </w:tr>
      <w:tr w14:paraId="3080127A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</w:trPr>
        <w:tc>
          <w:tcPr>
            <w:tcW w:w="540" w:type="pct"/>
          </w:tcPr>
          <w:p w14:paraId="2720C1C0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Internal Audit Results</w:t>
            </w:r>
          </w:p>
        </w:tc>
        <w:tc>
          <w:tcPr>
            <w:tcW w:w="570" w:type="pct"/>
          </w:tcPr>
          <w:p w14:paraId="2EB5A19E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Number and severity of findings from internal ISMS audits.</w:t>
            </w:r>
          </w:p>
        </w:tc>
        <w:tc>
          <w:tcPr>
            <w:tcW w:w="594" w:type="pct"/>
          </w:tcPr>
          <w:p w14:paraId="0905ED17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556" w:type="pct"/>
          </w:tcPr>
          <w:p w14:paraId="436531CB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 major findings; reduced minor issues</w:t>
            </w:r>
          </w:p>
        </w:tc>
        <w:tc>
          <w:tcPr>
            <w:tcW w:w="510" w:type="pct"/>
          </w:tcPr>
          <w:p w14:paraId="1C34198E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Internal audit records</w:t>
            </w:r>
          </w:p>
        </w:tc>
        <w:tc>
          <w:tcPr>
            <w:tcW w:w="418" w:type="pct"/>
          </w:tcPr>
          <w:p w14:paraId="5CC8C41B">
            <w:pPr>
              <w:spacing w:after="0" w:line="240" w:lineRule="auto"/>
            </w:pPr>
            <w:r>
              <w:t>N/A</w:t>
            </w:r>
          </w:p>
        </w:tc>
        <w:tc>
          <w:tcPr>
            <w:tcW w:w="815" w:type="pct"/>
          </w:tcPr>
          <w:p w14:paraId="23F6311E">
            <w:pPr>
              <w:spacing w:after="0" w:line="240" w:lineRule="auto"/>
            </w:pPr>
            <w:r>
              <w:t>Not yet measured</w:t>
            </w:r>
          </w:p>
        </w:tc>
        <w:tc>
          <w:tcPr>
            <w:tcW w:w="705" w:type="pct"/>
          </w:tcPr>
          <w:p w14:paraId="1E991088">
            <w:pPr>
              <w:spacing w:after="0" w:line="240" w:lineRule="auto"/>
            </w:pPr>
            <w:r>
              <w:t>No internal ISMS audit has yet been conducted; the case study specifies that internal audit and the cross-team external-audit simulation occur near project completion (see project deliverables #11 and the peer-audit exercise).</w:t>
            </w:r>
          </w:p>
        </w:tc>
        <w:tc>
          <w:tcPr>
            <w:tcW w:w="289" w:type="pct"/>
          </w:tcPr>
          <w:p w14:paraId="01781505">
            <w:pPr>
              <w:spacing w:after="0" w:line="240" w:lineRule="auto"/>
            </w:pPr>
            <w:r>
              <w:t>21 Sep 2026</w:t>
            </w:r>
          </w:p>
        </w:tc>
      </w:tr>
      <w:tr w14:paraId="5DDC028E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0" w:hRule="atLeast"/>
        </w:trPr>
        <w:tc>
          <w:tcPr>
            <w:tcW w:w="540" w:type="pct"/>
          </w:tcPr>
          <w:p w14:paraId="3C51A02C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Management Review Effectiveness</w:t>
            </w:r>
          </w:p>
        </w:tc>
        <w:tc>
          <w:tcPr>
            <w:tcW w:w="570" w:type="pct"/>
          </w:tcPr>
          <w:p w14:paraId="227A8743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Evidence of completed management reviews and follow-up actions.</w:t>
            </w:r>
          </w:p>
        </w:tc>
        <w:tc>
          <w:tcPr>
            <w:tcW w:w="594" w:type="pct"/>
          </w:tcPr>
          <w:p w14:paraId="51A3CF8F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556" w:type="pct"/>
          </w:tcPr>
          <w:p w14:paraId="145E7FF6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 annually</w:t>
            </w:r>
          </w:p>
        </w:tc>
        <w:tc>
          <w:tcPr>
            <w:tcW w:w="510" w:type="pct"/>
          </w:tcPr>
          <w:p w14:paraId="085FC023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Management review minutes</w:t>
            </w:r>
          </w:p>
        </w:tc>
        <w:tc>
          <w:tcPr>
            <w:tcW w:w="418" w:type="pct"/>
          </w:tcPr>
          <w:p w14:paraId="0CD3A00E">
            <w:pPr>
              <w:spacing w:after="0" w:line="240" w:lineRule="auto"/>
            </w:pPr>
            <w:r>
              <w:t>N/A</w:t>
            </w:r>
          </w:p>
        </w:tc>
        <w:tc>
          <w:tcPr>
            <w:tcW w:w="815" w:type="pct"/>
          </w:tcPr>
          <w:p w14:paraId="0937A48A">
            <w:pPr>
              <w:spacing w:after="0" w:line="240" w:lineRule="auto"/>
            </w:pPr>
            <w:r>
              <w:t>Not yet measured</w:t>
            </w:r>
          </w:p>
        </w:tc>
        <w:tc>
          <w:tcPr>
            <w:tcW w:w="705" w:type="pct"/>
          </w:tcPr>
          <w:p w14:paraId="5B259D81">
            <w:pPr>
              <w:spacing w:after="0" w:line="240" w:lineRule="auto"/>
            </w:pPr>
            <w:r>
              <w:t>This is the first ISMS Performance Report; it is intended as an input to the first formal Management Review, which has not yet taken place.</w:t>
            </w:r>
          </w:p>
        </w:tc>
        <w:tc>
          <w:tcPr>
            <w:tcW w:w="289" w:type="pct"/>
          </w:tcPr>
          <w:p w14:paraId="61F25B12">
            <w:pPr>
              <w:spacing w:after="0" w:line="240" w:lineRule="auto"/>
            </w:pPr>
            <w:r>
              <w:t>21 Sep 2026</w:t>
            </w:r>
          </w:p>
        </w:tc>
      </w:tr>
      <w:tr w14:paraId="16E9C4D7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540" w:type="pct"/>
          </w:tcPr>
          <w:p w14:paraId="5C5AF0A1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Risk Management</w:t>
            </w:r>
          </w:p>
        </w:tc>
        <w:tc>
          <w:tcPr>
            <w:tcW w:w="570" w:type="pct"/>
          </w:tcPr>
          <w:p w14:paraId="27CE31AC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94" w:type="pct"/>
          </w:tcPr>
          <w:p w14:paraId="2C545D84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56" w:type="pct"/>
          </w:tcPr>
          <w:p w14:paraId="3B94561D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10" w:type="pct"/>
          </w:tcPr>
          <w:p w14:paraId="44B8631D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418" w:type="pct"/>
          </w:tcPr>
          <w:p w14:paraId="0BFF1497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15" w:type="pct"/>
          </w:tcPr>
          <w:p w14:paraId="70BF1B6F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05" w:type="pct"/>
          </w:tcPr>
          <w:p w14:paraId="6E8C7199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89" w:type="pct"/>
          </w:tcPr>
          <w:p w14:paraId="1CEEF997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</w:tr>
      <w:tr w14:paraId="59B32EA7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</w:trPr>
        <w:tc>
          <w:tcPr>
            <w:tcW w:w="540" w:type="pct"/>
          </w:tcPr>
          <w:p w14:paraId="21311B50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a. Identified Risks</w:t>
            </w:r>
          </w:p>
        </w:tc>
        <w:tc>
          <w:tcPr>
            <w:tcW w:w="570" w:type="pct"/>
          </w:tcPr>
          <w:p w14:paraId="73F1902B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Number of risks identified during the reporting period.</w:t>
            </w:r>
          </w:p>
        </w:tc>
        <w:tc>
          <w:tcPr>
            <w:tcW w:w="594" w:type="pct"/>
          </w:tcPr>
          <w:p w14:paraId="1534C619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556" w:type="pct"/>
          </w:tcPr>
          <w:p w14:paraId="24A065F4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N/A – Reporting metric</w:t>
            </w:r>
          </w:p>
        </w:tc>
        <w:tc>
          <w:tcPr>
            <w:tcW w:w="510" w:type="pct"/>
          </w:tcPr>
          <w:p w14:paraId="3874164F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Risk log</w:t>
            </w:r>
          </w:p>
        </w:tc>
        <w:tc>
          <w:tcPr>
            <w:tcW w:w="418" w:type="pct"/>
          </w:tcPr>
          <w:p w14:paraId="50F2EEEE">
            <w:pPr>
              <w:spacing w:after="0" w:line="240" w:lineRule="auto"/>
            </w:pPr>
            <w:r>
              <w:t>N/A</w:t>
            </w:r>
          </w:p>
        </w:tc>
        <w:tc>
          <w:tcPr>
            <w:tcW w:w="815" w:type="pct"/>
          </w:tcPr>
          <w:p w14:paraId="60DBB69E">
            <w:pPr>
              <w:spacing w:after="0" w:line="240" w:lineRule="auto"/>
            </w:pPr>
            <w:r>
              <w:t>27 findings identified in the latest external vulnerability scan (3 High / 7 Medium — mobile &amp; online banking platforms / 5 Medium — internal network / 12 Low), plus the risk sources documented across the 5 historical incidents and the threat landscape review (ransomware, phishing, DDoS, supply-chain, insider threat, mobile/online banking exploitation).</w:t>
            </w:r>
          </w:p>
        </w:tc>
        <w:tc>
          <w:tcPr>
            <w:tcW w:w="705" w:type="pct"/>
          </w:tcPr>
          <w:p w14:paraId="467CF229">
            <w:pPr>
              <w:spacing w:after="0" w:line="240" w:lineRule="auto"/>
            </w:pPr>
            <w:r>
              <w:t>Reporting metric only — no RAG target applies.</w:t>
            </w:r>
          </w:p>
        </w:tc>
        <w:tc>
          <w:tcPr>
            <w:tcW w:w="289" w:type="pct"/>
          </w:tcPr>
          <w:p w14:paraId="6340CE0A">
            <w:pPr>
              <w:spacing w:after="0" w:line="240" w:lineRule="auto"/>
            </w:pPr>
            <w:r>
              <w:t>21 Sep 2026</w:t>
            </w:r>
          </w:p>
        </w:tc>
      </w:tr>
      <w:tr w14:paraId="7D3377CD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</w:trPr>
        <w:tc>
          <w:tcPr>
            <w:tcW w:w="540" w:type="pct"/>
          </w:tcPr>
          <w:p w14:paraId="4A11B155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b. Mitigated Risks</w:t>
            </w:r>
          </w:p>
        </w:tc>
        <w:tc>
          <w:tcPr>
            <w:tcW w:w="570" w:type="pct"/>
          </w:tcPr>
          <w:p w14:paraId="23CCDC9A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Percentage of identified risks mitigated within defined timeframes.</w:t>
            </w:r>
          </w:p>
        </w:tc>
        <w:tc>
          <w:tcPr>
            <w:tcW w:w="594" w:type="pct"/>
          </w:tcPr>
          <w:p w14:paraId="0537C7CE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556" w:type="pct"/>
          </w:tcPr>
          <w:p w14:paraId="47F8E4BB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 of critical/high risks mitigated</w:t>
            </w:r>
          </w:p>
        </w:tc>
        <w:tc>
          <w:tcPr>
            <w:tcW w:w="510" w:type="pct"/>
          </w:tcPr>
          <w:p w14:paraId="326BAAEF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Risk log</w:t>
            </w:r>
          </w:p>
        </w:tc>
        <w:tc>
          <w:tcPr>
            <w:tcW w:w="418" w:type="pct"/>
          </w:tcPr>
          <w:p w14:paraId="2B836A66">
            <w:pPr>
              <w:spacing w:after="0" w:line="240" w:lineRule="auto"/>
            </w:pPr>
            <w:r>
              <w:t>RED</w:t>
            </w:r>
          </w:p>
        </w:tc>
        <w:tc>
          <w:tcPr>
            <w:tcW w:w="815" w:type="pct"/>
          </w:tcPr>
          <w:p w14:paraId="1F267002">
            <w:pPr>
              <w:spacing w:after="0" w:line="240" w:lineRule="auto"/>
            </w:pPr>
            <w:r>
              <w:t>Of the 3 High-severity vulnerabilities identified in the latest scan (mobile app "Aafaq Plus" — insufficient input validation enabling potential SQL injection), only 2 have been remediated to date. The third High-severity finding, and most of the 12 Medium-severity findings, remain open; some findings recur from earlier scan cycles.</w:t>
            </w:r>
          </w:p>
        </w:tc>
        <w:tc>
          <w:tcPr>
            <w:tcW w:w="705" w:type="pct"/>
          </w:tcPr>
          <w:p w14:paraId="4031B4F9">
            <w:pPr>
              <w:spacing w:after="0" w:line="240" w:lineRule="auto"/>
            </w:pPr>
            <w:r>
              <w:t>Target of 100% critical/high mitigation not met.</w:t>
            </w:r>
          </w:p>
        </w:tc>
        <w:tc>
          <w:tcPr>
            <w:tcW w:w="289" w:type="pct"/>
          </w:tcPr>
          <w:p w14:paraId="10000B85">
            <w:pPr>
              <w:spacing w:after="0" w:line="240" w:lineRule="auto"/>
            </w:pPr>
            <w:r>
              <w:t>21 Sep 2026</w:t>
            </w:r>
          </w:p>
        </w:tc>
      </w:tr>
      <w:tr w14:paraId="7893D025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</w:trPr>
        <w:tc>
          <w:tcPr>
            <w:tcW w:w="540" w:type="pct"/>
          </w:tcPr>
          <w:p w14:paraId="3A87F45A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c. Accepted Risks</w:t>
            </w:r>
          </w:p>
        </w:tc>
        <w:tc>
          <w:tcPr>
            <w:tcW w:w="570" w:type="pct"/>
          </w:tcPr>
          <w:p w14:paraId="0CB5E45C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Percentage of risks formally accepted by management.</w:t>
            </w:r>
          </w:p>
        </w:tc>
        <w:tc>
          <w:tcPr>
            <w:tcW w:w="594" w:type="pct"/>
          </w:tcPr>
          <w:p w14:paraId="390651B9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556" w:type="pct"/>
          </w:tcPr>
          <w:p w14:paraId="4279F7CE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N/A – Reporting metric</w:t>
            </w:r>
          </w:p>
        </w:tc>
        <w:tc>
          <w:tcPr>
            <w:tcW w:w="510" w:type="pct"/>
          </w:tcPr>
          <w:p w14:paraId="5C246C41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Risk log</w:t>
            </w:r>
          </w:p>
        </w:tc>
        <w:tc>
          <w:tcPr>
            <w:tcW w:w="418" w:type="pct"/>
          </w:tcPr>
          <w:p w14:paraId="55FCECCE">
            <w:pPr>
              <w:spacing w:after="0" w:line="240" w:lineRule="auto"/>
            </w:pPr>
            <w:r>
              <w:t>N/A</w:t>
            </w:r>
          </w:p>
        </w:tc>
        <w:tc>
          <w:tcPr>
            <w:tcW w:w="815" w:type="pct"/>
          </w:tcPr>
          <w:p w14:paraId="1921ACE6">
            <w:pPr>
              <w:spacing w:after="0" w:line="240" w:lineRule="auto"/>
            </w:pPr>
            <w:r>
              <w:t>Not yet measured</w:t>
            </w:r>
          </w:p>
        </w:tc>
        <w:tc>
          <w:tcPr>
            <w:tcW w:w="705" w:type="pct"/>
          </w:tcPr>
          <w:p w14:paraId="66DFF07F">
            <w:pPr>
              <w:spacing w:after="0" w:line="240" w:lineRule="auto"/>
            </w:pPr>
            <w:r>
              <w:t>No formal risk-acceptance/sign-off process or risk register currently documented in the case study material.</w:t>
            </w:r>
          </w:p>
        </w:tc>
        <w:tc>
          <w:tcPr>
            <w:tcW w:w="289" w:type="pct"/>
          </w:tcPr>
          <w:p w14:paraId="64D98E73">
            <w:pPr>
              <w:spacing w:after="0" w:line="240" w:lineRule="auto"/>
            </w:pPr>
            <w:r>
              <w:t>21 Sep 2026</w:t>
            </w:r>
          </w:p>
        </w:tc>
      </w:tr>
      <w:tr w14:paraId="65E021C3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540" w:type="pct"/>
          </w:tcPr>
          <w:p w14:paraId="59A50C35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Change Management</w:t>
            </w:r>
          </w:p>
        </w:tc>
        <w:tc>
          <w:tcPr>
            <w:tcW w:w="570" w:type="pct"/>
          </w:tcPr>
          <w:p w14:paraId="2BD23555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94" w:type="pct"/>
          </w:tcPr>
          <w:p w14:paraId="3A54BCD2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56" w:type="pct"/>
          </w:tcPr>
          <w:p w14:paraId="5FDC8DF1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510" w:type="pct"/>
          </w:tcPr>
          <w:p w14:paraId="2B3E4599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418" w:type="pct"/>
          </w:tcPr>
          <w:p w14:paraId="32CA07DD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815" w:type="pct"/>
          </w:tcPr>
          <w:p w14:paraId="0F00B967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705" w:type="pct"/>
          </w:tcPr>
          <w:p w14:paraId="29D56E73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89" w:type="pct"/>
          </w:tcPr>
          <w:p w14:paraId="7BFAF6EF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</w:p>
        </w:tc>
      </w:tr>
      <w:tr w14:paraId="4B1C2EBF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0" w:hRule="atLeast"/>
        </w:trPr>
        <w:tc>
          <w:tcPr>
            <w:tcW w:w="540" w:type="pct"/>
          </w:tcPr>
          <w:p w14:paraId="627C2841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a. Change Approval Compliance</w:t>
            </w:r>
          </w:p>
        </w:tc>
        <w:tc>
          <w:tcPr>
            <w:tcW w:w="570" w:type="pct"/>
          </w:tcPr>
          <w:p w14:paraId="50212D77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Percentage of changes that followed the change management process.</w:t>
            </w:r>
          </w:p>
        </w:tc>
        <w:tc>
          <w:tcPr>
            <w:tcW w:w="594" w:type="pct"/>
          </w:tcPr>
          <w:p w14:paraId="23D9FEA1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Monthly/Quarterly</w:t>
            </w:r>
          </w:p>
        </w:tc>
        <w:tc>
          <w:tcPr>
            <w:tcW w:w="556" w:type="pct"/>
          </w:tcPr>
          <w:p w14:paraId="7D0A3C81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 compliance</w:t>
            </w:r>
          </w:p>
        </w:tc>
        <w:tc>
          <w:tcPr>
            <w:tcW w:w="510" w:type="pct"/>
          </w:tcPr>
          <w:p w14:paraId="0CC00EC9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management logs</w:t>
            </w:r>
          </w:p>
        </w:tc>
        <w:tc>
          <w:tcPr>
            <w:tcW w:w="418" w:type="pct"/>
          </w:tcPr>
          <w:p w14:paraId="3CAB14C5">
            <w:pPr>
              <w:spacing w:after="0" w:line="240" w:lineRule="auto"/>
            </w:pPr>
            <w:r>
              <w:t>RED</w:t>
            </w:r>
          </w:p>
        </w:tc>
        <w:tc>
          <w:tcPr>
            <w:tcW w:w="815" w:type="pct"/>
          </w:tcPr>
          <w:p w14:paraId="7D59231D">
            <w:pPr>
              <w:spacing w:after="0" w:line="240" w:lineRule="auto"/>
            </w:pPr>
            <w:r>
              <w:t>The firewall-misconfiguration outage (~2 years ago) occurred because a network engineer applied a change directly to the primary firewall without a peer-review / dual-control step. No evidence that a formal Change Advisory Board or dual-approval process has since been implemented.</w:t>
            </w:r>
          </w:p>
        </w:tc>
        <w:tc>
          <w:tcPr>
            <w:tcW w:w="705" w:type="pct"/>
          </w:tcPr>
          <w:p w14:paraId="7AD4E149">
            <w:pPr>
              <w:spacing w:after="0" w:line="240" w:lineRule="auto"/>
            </w:pPr>
            <w:r>
              <w:t>Recommend formalizing a change management procedure with mandatory peer review for changes to critical security infrastructure (A.8.32).</w:t>
            </w:r>
          </w:p>
        </w:tc>
        <w:tc>
          <w:tcPr>
            <w:tcW w:w="289" w:type="pct"/>
          </w:tcPr>
          <w:p w14:paraId="287872FC">
            <w:pPr>
              <w:spacing w:after="0" w:line="240" w:lineRule="auto"/>
            </w:pPr>
            <w:r>
              <w:t>21 Sep 2026</w:t>
            </w:r>
          </w:p>
        </w:tc>
      </w:tr>
      <w:tr w14:paraId="249E4925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5" w:hRule="atLeast"/>
        </w:trPr>
        <w:tc>
          <w:tcPr>
            <w:tcW w:w="540" w:type="pct"/>
          </w:tcPr>
          <w:p w14:paraId="133A1FF2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b. Unauthorized Changes</w:t>
            </w:r>
          </w:p>
        </w:tc>
        <w:tc>
          <w:tcPr>
            <w:tcW w:w="570" w:type="pct"/>
          </w:tcPr>
          <w:p w14:paraId="37E83020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Number of unauthorized changes detected.</w:t>
            </w:r>
          </w:p>
        </w:tc>
        <w:tc>
          <w:tcPr>
            <w:tcW w:w="594" w:type="pct"/>
          </w:tcPr>
          <w:p w14:paraId="618B11B7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Monthly/Quarterly</w:t>
            </w:r>
          </w:p>
        </w:tc>
        <w:tc>
          <w:tcPr>
            <w:tcW w:w="556" w:type="pct"/>
          </w:tcPr>
          <w:p w14:paraId="2F338E5F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Zero</w:t>
            </w:r>
          </w:p>
        </w:tc>
        <w:tc>
          <w:tcPr>
            <w:tcW w:w="510" w:type="pct"/>
          </w:tcPr>
          <w:p w14:paraId="67E993C6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management logs</w:t>
            </w:r>
          </w:p>
        </w:tc>
        <w:tc>
          <w:tcPr>
            <w:tcW w:w="418" w:type="pct"/>
          </w:tcPr>
          <w:p w14:paraId="1AA1C6C8">
            <w:pPr>
              <w:spacing w:after="0" w:line="240" w:lineRule="auto"/>
            </w:pPr>
            <w:r>
              <w:t>N/A</w:t>
            </w:r>
          </w:p>
        </w:tc>
        <w:tc>
          <w:tcPr>
            <w:tcW w:w="815" w:type="pct"/>
          </w:tcPr>
          <w:p w14:paraId="02CA1CC3">
            <w:pPr>
              <w:spacing w:after="0" w:line="240" w:lineRule="auto"/>
            </w:pPr>
            <w:r>
              <w:t>No consolidated log of unauthorized/out-of-process changes is available; the firewall incident above is illustrative rather than a tracked count.</w:t>
            </w:r>
          </w:p>
        </w:tc>
        <w:tc>
          <w:tcPr>
            <w:tcW w:w="705" w:type="pct"/>
          </w:tcPr>
          <w:p w14:paraId="5EF459DC">
            <w:pPr>
              <w:spacing w:after="0" w:line="240" w:lineRule="auto"/>
            </w:pPr>
            <w:r>
              <w:t>To be measured once formal change management logging is in place.</w:t>
            </w:r>
          </w:p>
        </w:tc>
        <w:tc>
          <w:tcPr>
            <w:tcW w:w="289" w:type="pct"/>
          </w:tcPr>
          <w:p w14:paraId="61B865B0">
            <w:pPr>
              <w:spacing w:after="0" w:line="240" w:lineRule="auto"/>
            </w:pPr>
            <w:r>
              <w:t>21 Sep 2026</w:t>
            </w:r>
          </w:p>
        </w:tc>
      </w:tr>
      <w:tr w14:paraId="6171830B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0" w:hRule="atLeast"/>
        </w:trPr>
        <w:tc>
          <w:tcPr>
            <w:tcW w:w="540" w:type="pct"/>
          </w:tcPr>
          <w:p w14:paraId="6768E316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BC/DR Testing</w:t>
            </w:r>
          </w:p>
        </w:tc>
        <w:tc>
          <w:tcPr>
            <w:tcW w:w="570" w:type="pct"/>
          </w:tcPr>
          <w:p w14:paraId="3DDCAA3E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Number and results of business continuity and disaster recovery tests.</w:t>
            </w:r>
          </w:p>
        </w:tc>
        <w:tc>
          <w:tcPr>
            <w:tcW w:w="594" w:type="pct"/>
          </w:tcPr>
          <w:p w14:paraId="557BF1E7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556" w:type="pct"/>
          </w:tcPr>
          <w:p w14:paraId="0EFBFB8B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 least one test completed</w:t>
            </w:r>
          </w:p>
        </w:tc>
        <w:tc>
          <w:tcPr>
            <w:tcW w:w="510" w:type="pct"/>
          </w:tcPr>
          <w:p w14:paraId="73EDC80D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BC/DR test records</w:t>
            </w:r>
          </w:p>
        </w:tc>
        <w:tc>
          <w:tcPr>
            <w:tcW w:w="418" w:type="pct"/>
          </w:tcPr>
          <w:p w14:paraId="1CC4278B">
            <w:pPr>
              <w:spacing w:after="0" w:line="240" w:lineRule="auto"/>
            </w:pPr>
            <w:r>
              <w:t>RED</w:t>
            </w:r>
          </w:p>
        </w:tc>
        <w:tc>
          <w:tcPr>
            <w:tcW w:w="815" w:type="pct"/>
          </w:tcPr>
          <w:p w14:paraId="3D5B597E">
            <w:pPr>
              <w:spacing w:after="0" w:line="240" w:lineRule="auto"/>
            </w:pPr>
            <w:r>
              <w:t>A geographically separate disaster-recovery site exists in Jeddah (~10 km from King Abdulaziz International Airport, providing geographic separation from the Riyadh primary site) hosting critical systems on a scaled-down virtual environment. No record of a completed, formal BC/DR test being conducted in the current period was found in the case study material.</w:t>
            </w:r>
          </w:p>
        </w:tc>
        <w:tc>
          <w:tcPr>
            <w:tcW w:w="705" w:type="pct"/>
          </w:tcPr>
          <w:p w14:paraId="79BFF49E">
            <w:pPr>
              <w:spacing w:after="0" w:line="240" w:lineRule="auto"/>
            </w:pPr>
            <w:r>
              <w:t>Target requires at least one completed test per year; recommend scheduling and documenting a DR failover test.</w:t>
            </w:r>
          </w:p>
        </w:tc>
        <w:tc>
          <w:tcPr>
            <w:tcW w:w="289" w:type="pct"/>
          </w:tcPr>
          <w:p w14:paraId="51A09332">
            <w:pPr>
              <w:spacing w:after="0" w:line="240" w:lineRule="auto"/>
            </w:pPr>
            <w:r>
              <w:t>21 Sep 2026</w:t>
            </w:r>
          </w:p>
        </w:tc>
      </w:tr>
      <w:tr w14:paraId="34C650FD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</w:trPr>
        <w:tc>
          <w:tcPr>
            <w:tcW w:w="540" w:type="pct"/>
          </w:tcPr>
          <w:p w14:paraId="5ABD2C57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Asset Inventory Accuracy</w:t>
            </w:r>
          </w:p>
        </w:tc>
        <w:tc>
          <w:tcPr>
            <w:tcW w:w="570" w:type="pct"/>
          </w:tcPr>
          <w:p w14:paraId="265ADC4D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Percentage of IT assets classified and assigned an owner.</w:t>
            </w:r>
          </w:p>
        </w:tc>
        <w:tc>
          <w:tcPr>
            <w:tcW w:w="594" w:type="pct"/>
          </w:tcPr>
          <w:p w14:paraId="06C22F85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Quarterly</w:t>
            </w:r>
          </w:p>
        </w:tc>
        <w:tc>
          <w:tcPr>
            <w:tcW w:w="556" w:type="pct"/>
          </w:tcPr>
          <w:p w14:paraId="62A5C7F9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 of scoped assets</w:t>
            </w:r>
          </w:p>
        </w:tc>
        <w:tc>
          <w:tcPr>
            <w:tcW w:w="510" w:type="pct"/>
          </w:tcPr>
          <w:p w14:paraId="0CF58050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Asset management system/logs</w:t>
            </w:r>
          </w:p>
        </w:tc>
        <w:tc>
          <w:tcPr>
            <w:tcW w:w="418" w:type="pct"/>
          </w:tcPr>
          <w:p w14:paraId="04C7EB07">
            <w:pPr>
              <w:spacing w:after="0" w:line="240" w:lineRule="auto"/>
            </w:pPr>
            <w:r>
              <w:t>AMBER</w:t>
            </w:r>
          </w:p>
        </w:tc>
        <w:tc>
          <w:tcPr>
            <w:tcW w:w="815" w:type="pct"/>
          </w:tcPr>
          <w:p w14:paraId="375566A0">
            <w:pPr>
              <w:spacing w:after="0" w:line="240" w:lineRule="auto"/>
            </w:pPr>
            <w:r>
              <w:t>A comprehensive information asset inventory has been compiled (see accompanying Inventory of Assets deliverable) covering information, application, physical and personnel/service assets. Formal classification and owner assignment is in progress as part of the current ISMS project and not yet 100% complete.</w:t>
            </w:r>
          </w:p>
        </w:tc>
        <w:tc>
          <w:tcPr>
            <w:tcW w:w="705" w:type="pct"/>
          </w:tcPr>
          <w:p w14:paraId="19548F68">
            <w:pPr>
              <w:spacing w:after="0" w:line="240" w:lineRule="auto"/>
            </w:pPr>
            <w:r>
              <w:t>First-cycle baseline; percentage completion to be tracked from the next reporting period.</w:t>
            </w:r>
          </w:p>
        </w:tc>
        <w:tc>
          <w:tcPr>
            <w:tcW w:w="289" w:type="pct"/>
          </w:tcPr>
          <w:p w14:paraId="5A8A9C8F">
            <w:pPr>
              <w:spacing w:after="0" w:line="240" w:lineRule="auto"/>
            </w:pPr>
            <w:r>
              <w:t>21 Sep 2026</w:t>
            </w:r>
          </w:p>
        </w:tc>
      </w:tr>
      <w:tr w14:paraId="66275085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</w:trPr>
        <w:tc>
          <w:tcPr>
            <w:tcW w:w="540" w:type="pct"/>
          </w:tcPr>
          <w:p w14:paraId="371DC7C3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Vulnerability Remediation</w:t>
            </w:r>
          </w:p>
        </w:tc>
        <w:tc>
          <w:tcPr>
            <w:tcW w:w="570" w:type="pct"/>
          </w:tcPr>
          <w:p w14:paraId="0C85531E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Percentage of identified vulnerabilities resolved within SLA.</w:t>
            </w:r>
          </w:p>
        </w:tc>
        <w:tc>
          <w:tcPr>
            <w:tcW w:w="594" w:type="pct"/>
          </w:tcPr>
          <w:p w14:paraId="71D2601D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Monthly/Quarterly</w:t>
            </w:r>
          </w:p>
        </w:tc>
        <w:tc>
          <w:tcPr>
            <w:tcW w:w="556" w:type="pct"/>
          </w:tcPr>
          <w:p w14:paraId="2EBE3DE9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 of critical vulnerabilities</w:t>
            </w:r>
          </w:p>
        </w:tc>
        <w:tc>
          <w:tcPr>
            <w:tcW w:w="510" w:type="pct"/>
          </w:tcPr>
          <w:p w14:paraId="5359D368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Vulnerability scan reports</w:t>
            </w:r>
          </w:p>
        </w:tc>
        <w:tc>
          <w:tcPr>
            <w:tcW w:w="418" w:type="pct"/>
          </w:tcPr>
          <w:p w14:paraId="050D2BA7">
            <w:pPr>
              <w:spacing w:after="0" w:line="240" w:lineRule="auto"/>
            </w:pPr>
            <w:r>
              <w:t>RED</w:t>
            </w:r>
          </w:p>
        </w:tc>
        <w:tc>
          <w:tcPr>
            <w:tcW w:w="815" w:type="pct"/>
          </w:tcPr>
          <w:p w14:paraId="57FA94A8">
            <w:pPr>
              <w:spacing w:after="0" w:line="240" w:lineRule="auto"/>
            </w:pPr>
            <w:r>
              <w:t>Latest quarterly external vulnerability scan (2 months ago): 3 High-severity findings in the "Aafaq Plus" mobile app; 7 Medium-severity findings in the online banking platform; 5 Medium-severity findings in internal network systems; 12 Low-severity findings across various systems. Only 2 of 3 High-severity items remediated to date; most Medium items remain open, some carried over from prior scan cycles.</w:t>
            </w:r>
          </w:p>
        </w:tc>
        <w:tc>
          <w:tcPr>
            <w:tcW w:w="705" w:type="pct"/>
          </w:tcPr>
          <w:p w14:paraId="20809900">
            <w:pPr>
              <w:spacing w:after="0" w:line="240" w:lineRule="auto"/>
            </w:pPr>
            <w:r>
              <w:t>Target of 100% critical vulnerabilities resolved within SLA not met.</w:t>
            </w:r>
          </w:p>
        </w:tc>
        <w:tc>
          <w:tcPr>
            <w:tcW w:w="289" w:type="pct"/>
          </w:tcPr>
          <w:p w14:paraId="0B281453">
            <w:pPr>
              <w:spacing w:after="0" w:line="240" w:lineRule="auto"/>
            </w:pPr>
            <w:r>
              <w:t>21 Sep 2026</w:t>
            </w:r>
          </w:p>
        </w:tc>
      </w:tr>
      <w:tr w14:paraId="0B823455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</w:trPr>
        <w:tc>
          <w:tcPr>
            <w:tcW w:w="540" w:type="pct"/>
          </w:tcPr>
          <w:p w14:paraId="0D48ED5D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Documentation Review Compliance</w:t>
            </w:r>
          </w:p>
        </w:tc>
        <w:tc>
          <w:tcPr>
            <w:tcW w:w="570" w:type="pct"/>
          </w:tcPr>
          <w:p w14:paraId="41C6C39B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Percentage of ISMS documents reviewed and updated per schedule.</w:t>
            </w:r>
          </w:p>
        </w:tc>
        <w:tc>
          <w:tcPr>
            <w:tcW w:w="594" w:type="pct"/>
          </w:tcPr>
          <w:p w14:paraId="014ADB58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Annually</w:t>
            </w:r>
          </w:p>
        </w:tc>
        <w:tc>
          <w:tcPr>
            <w:tcW w:w="556" w:type="pct"/>
          </w:tcPr>
          <w:p w14:paraId="2FCD5DC4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 reviewed</w:t>
            </w:r>
          </w:p>
        </w:tc>
        <w:tc>
          <w:tcPr>
            <w:tcW w:w="510" w:type="pct"/>
          </w:tcPr>
          <w:p w14:paraId="7492F4C7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Documentation review logs</w:t>
            </w:r>
          </w:p>
        </w:tc>
        <w:tc>
          <w:tcPr>
            <w:tcW w:w="418" w:type="pct"/>
          </w:tcPr>
          <w:p w14:paraId="4935B9D5">
            <w:pPr>
              <w:spacing w:after="0" w:line="240" w:lineRule="auto"/>
            </w:pPr>
            <w:r>
              <w:t>N/A</w:t>
            </w:r>
          </w:p>
        </w:tc>
        <w:tc>
          <w:tcPr>
            <w:tcW w:w="815" w:type="pct"/>
          </w:tcPr>
          <w:p w14:paraId="6114B017">
            <w:pPr>
              <w:spacing w:after="0" w:line="240" w:lineRule="auto"/>
            </w:pPr>
            <w:r>
              <w:t>Not yet measured</w:t>
            </w:r>
          </w:p>
        </w:tc>
        <w:tc>
          <w:tcPr>
            <w:tcW w:w="705" w:type="pct"/>
          </w:tcPr>
          <w:p w14:paraId="1130094C">
            <w:pPr>
              <w:spacing w:after="0" w:line="240" w:lineRule="auto"/>
            </w:pPr>
            <w:r>
              <w:t>The ISMS documentation set (policies, procedures, risk methodology, SoA, etc.) is newly being developed as part of this project; no prior review cycle exists yet.</w:t>
            </w:r>
          </w:p>
        </w:tc>
        <w:tc>
          <w:tcPr>
            <w:tcW w:w="289" w:type="pct"/>
          </w:tcPr>
          <w:p w14:paraId="2FA27494">
            <w:pPr>
              <w:spacing w:after="0" w:line="240" w:lineRule="auto"/>
            </w:pPr>
            <w:r>
              <w:t>21 Sep 2026</w:t>
            </w:r>
          </w:p>
        </w:tc>
      </w:tr>
      <w:tr w14:paraId="768E8D3E">
        <w:tblPrEx>
          <w:tblBorders>
            <w:top w:val="single" w:color="4874CB" w:themeColor="accent1" w:sz="4" w:space="0"/>
            <w:left w:val="single" w:color="4874CB" w:themeColor="accent1" w:sz="4" w:space="0"/>
            <w:bottom w:val="single" w:color="4874CB" w:themeColor="accent1" w:sz="4" w:space="0"/>
            <w:right w:val="single" w:color="4874CB" w:themeColor="accent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0" w:hRule="atLeast"/>
        </w:trPr>
        <w:tc>
          <w:tcPr>
            <w:tcW w:w="540" w:type="pct"/>
          </w:tcPr>
          <w:p w14:paraId="1D1E4632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Access Deactivation Compliance</w:t>
            </w:r>
          </w:p>
        </w:tc>
        <w:tc>
          <w:tcPr>
            <w:tcW w:w="570" w:type="pct"/>
          </w:tcPr>
          <w:p w14:paraId="2D77BCAD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Percentage of terminated personnel with access deactivated within SLA.</w:t>
            </w:r>
          </w:p>
        </w:tc>
        <w:tc>
          <w:tcPr>
            <w:tcW w:w="594" w:type="pct"/>
          </w:tcPr>
          <w:p w14:paraId="658E0622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Monthly/Quarterly</w:t>
            </w:r>
          </w:p>
        </w:tc>
        <w:tc>
          <w:tcPr>
            <w:tcW w:w="556" w:type="pct"/>
          </w:tcPr>
          <w:p w14:paraId="148E4146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100% within 24 hours</w:t>
            </w:r>
          </w:p>
        </w:tc>
        <w:tc>
          <w:tcPr>
            <w:tcW w:w="510" w:type="pct"/>
          </w:tcPr>
          <w:p w14:paraId="306AE06A">
            <w:pPr>
              <w:spacing w:after="0" w:line="24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Access control logs</w:t>
            </w:r>
          </w:p>
        </w:tc>
        <w:tc>
          <w:tcPr>
            <w:tcW w:w="418" w:type="pct"/>
          </w:tcPr>
          <w:p w14:paraId="08643D20">
            <w:pPr>
              <w:spacing w:after="0" w:line="240" w:lineRule="auto"/>
            </w:pPr>
            <w:r>
              <w:t>RED</w:t>
            </w:r>
          </w:p>
        </w:tc>
        <w:tc>
          <w:tcPr>
            <w:tcW w:w="815" w:type="pct"/>
          </w:tcPr>
          <w:p w14:paraId="6D40FB1A">
            <w:pPr>
              <w:spacing w:after="0" w:line="240" w:lineRule="auto"/>
            </w:pPr>
            <w:r>
              <w:t>No SLA-tracked deactivation data is available. However, the access-review finding above (row: Access Control Audits) documents an instance where access rights were not revoked for approximately two years after the related project ended.</w:t>
            </w:r>
          </w:p>
        </w:tc>
        <w:tc>
          <w:tcPr>
            <w:tcW w:w="705" w:type="pct"/>
          </w:tcPr>
          <w:p w14:paraId="0FFC422D">
            <w:pPr>
              <w:spacing w:after="0" w:line="240" w:lineRule="auto"/>
            </w:pPr>
            <w:r>
              <w:t>Indicates the joiner-mover-leaver/deprovisioning process needs strengthening; recommend integrating access revocation with HR offboarding workflow and the (currently absent) privileged access management process.</w:t>
            </w:r>
          </w:p>
        </w:tc>
        <w:tc>
          <w:tcPr>
            <w:tcW w:w="289" w:type="pct"/>
          </w:tcPr>
          <w:p w14:paraId="4BE997C1">
            <w:pPr>
              <w:spacing w:after="0" w:line="240" w:lineRule="auto"/>
            </w:pPr>
            <w:r>
              <w:t>21 Sep 2026</w:t>
            </w:r>
          </w:p>
        </w:tc>
      </w:tr>
    </w:tbl>
    <w:p w14:paraId="55CD82D3">
      <w:pPr>
        <w:jc w:val="both"/>
        <w:rPr>
          <w:rFonts w:ascii="Aptos" w:hAnsi="Aptos"/>
        </w:rPr>
      </w:pPr>
    </w:p>
    <w:p w14:paraId="02CB3CDF"/>
    <w:sectPr>
      <w:pgSz w:w="16838" w:h="11906" w:orient="landscape"/>
      <w:pgMar w:top="1440" w:right="1440" w:bottom="1440" w:left="1440" w:header="708" w:footer="708" w:gutter="0"/>
      <w:pgNumType w:start="1"/>
      <w:cols w:space="720" w:num="1"/>
      <w:titlePg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lan Parker" w:date="2026-03-01T17:48:00Z" w:initials="AP">
    <w:p w14:paraId="5D809E98">
      <w:pPr>
        <w:pStyle w:val="5"/>
      </w:pPr>
      <w:r>
        <w:t>All values are simply examples, not mandatory measures. Adapt as necessary.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D809E98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C93737"/>
    <w:multiLevelType w:val="multilevel"/>
    <w:tmpl w:val="52C937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lan Parker">
    <w15:presenceInfo w15:providerId="AD" w15:userId="S::alan.parker@iseoblue.com::1fc92951-31a6-4fe1-85e4-058ff6690d9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301BD3"/>
    <w:rsid w:val="2AE25969"/>
    <w:rsid w:val="6E30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Theme="minorHAnsi" w:hAnsiTheme="minorHAnsi" w:eastAsiaTheme="minorEastAsia" w:cstheme="minorBidi"/>
      <w:lang w:val="en-GB" w:eastAsia="en-GB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5">
    <w:name w:val="annotation text"/>
    <w:basedOn w:val="1"/>
    <w:unhideWhenUsed/>
    <w:qFormat/>
    <w:uiPriority w:val="99"/>
    <w:pPr>
      <w:spacing w:line="240" w:lineRule="auto"/>
    </w:pPr>
  </w:style>
  <w:style w:type="paragraph" w:styleId="6">
    <w:name w:val="Title"/>
    <w:basedOn w:val="1"/>
    <w:next w:val="1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4874CB" w:themeColor="accent1"/>
      <w:spacing w:val="-10"/>
      <w:sz w:val="56"/>
      <w:szCs w:val="56"/>
      <w14:textFill>
        <w14:solidFill>
          <w14:schemeClr w14:val="accent1"/>
        </w14:solidFill>
      </w14:textFill>
    </w:rPr>
  </w:style>
  <w:style w:type="table" w:customStyle="1" w:styleId="7">
    <w:name w:val="Grid Table 5 Dark Accent 1"/>
    <w:basedOn w:val="3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3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874CB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874CB" w:themeFill="accent1"/>
      </w:tcPr>
    </w:tblStylePr>
    <w:tblStylePr w:type="band1Vert">
      <w:tcPr>
        <w:shd w:val="clear" w:color="auto" w:fill="B5C7EA" w:themeFill="accent1" w:themeFillTint="66"/>
      </w:tcPr>
    </w:tblStylePr>
    <w:tblStylePr w:type="band1Horz">
      <w:tcPr>
        <w:shd w:val="clear" w:color="auto" w:fill="B5C7EA" w:themeFill="accent1" w:themeFillTint="66"/>
      </w:tcPr>
    </w:tblStyle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table" w:customStyle="1" w:styleId="9">
    <w:name w:val="List Table 3 Accent 1"/>
    <w:basedOn w:val="3"/>
    <w:qFormat/>
    <w:uiPriority w:val="48"/>
    <w:pPr>
      <w:spacing w:after="0" w:line="240" w:lineRule="auto"/>
    </w:pPr>
    <w:tblPr>
      <w:tblBorders>
        <w:top w:val="single" w:color="4874CB" w:themeColor="accent1" w:sz="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874CB" w:themeFill="accent1"/>
      </w:tcPr>
    </w:tblStylePr>
    <w:tblStylePr w:type="lastRow">
      <w:rPr>
        <w:b/>
        <w:bCs/>
      </w:rPr>
      <w:tcPr>
        <w:tcBorders>
          <w:top w:val="double" w:color="4874CB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874CB" w:themeColor="accent1" w:sz="4" w:space="0"/>
          <w:right w:val="single" w:color="4874CB" w:themeColor="accent1" w:sz="4" w:space="0"/>
        </w:tcBorders>
      </w:tcPr>
    </w:tblStylePr>
    <w:tblStylePr w:type="band1Horz">
      <w:tcPr>
        <w:tcBorders>
          <w:top w:val="single" w:color="4874CB" w:themeColor="accent1" w:sz="4" w:space="0"/>
          <w:bottom w:val="single" w:color="4874CB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874CB" w:themeColor="accent1" w:sz="4" w:space="0"/>
          <w:left w:val="nil"/>
        </w:tcBorders>
      </w:tcPr>
    </w:tblStylePr>
    <w:tblStylePr w:type="swCell">
      <w:tcPr>
        <w:tcBorders>
          <w:top w:val="double" w:color="4874CB" w:themeColor="accent1" w:sz="4" w:space="0"/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2026-09-23T01:23:00Z</dcterms:created>
  <dc:creator>zainb</dc:creator>
  <cp:lastModifiedBy>zainb</cp:lastModifiedBy>
  <dcterms:modified xsi:type="dcterms:W3CDTF">2026-09-23T01:29:58Z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4A1CBF10CB874E12A5CA97DEDDEEDDD0_11</vt:lpwstr>
  </property>
  <property fmtid="{D5CDD505-2E9C-101B-9397-08002B2CF9AE}" pid="4" name="KSOTemplateDocerSaveRecord">
    <vt:lpwstr>eyJoZGlkIjoiMmNhMjgzNmZkNDkyMTlkYzk5ODFkMzUzNzcxMjY2MDQiLCJ1c2VySWQiOiI0ODEwMzc2MTYwNTEyIn0=</vt:lpwstr>
  </property>
</Properties>
</file>