
<file path=[Content_Types].xml><?xml version="1.0" encoding="utf-8"?>
<Types xmlns="http://schemas.openxmlformats.org/package/2006/content-types">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952E5">
      <w:r>
        <w:drawing>
          <wp:inline distT="0" distB="0" distL="0" distR="0">
            <wp:extent cx="2780665" cy="2352675"/>
            <wp:effectExtent l="0" t="0" r="635" b="9525"/>
            <wp:docPr id="2" name="Picture 2" descr="C:/Users/MALAK-11/Desktop/AFAQ.jpegAFA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MALAK-11/Desktop/AFAQ.jpegAFAQ"/>
                    <pic:cNvPicPr>
                      <a:picLocks noChangeAspect="1"/>
                    </pic:cNvPicPr>
                  </pic:nvPicPr>
                  <pic:blipFill>
                    <a:blip r:embed="rId7"/>
                    <a:srcRect t="5538" b="9854"/>
                    <a:stretch>
                      <a:fillRect/>
                    </a:stretch>
                  </pic:blipFill>
                  <pic:spPr>
                    <a:xfrm>
                      <a:off x="0" y="0"/>
                      <a:ext cx="2780665" cy="2352675"/>
                    </a:xfrm>
                    <a:prstGeom prst="rect">
                      <a:avLst/>
                    </a:prstGeom>
                  </pic:spPr>
                </pic:pic>
              </a:graphicData>
            </a:graphic>
          </wp:inline>
        </w:drawing>
      </w:r>
    </w:p>
    <w:p w14:paraId="618DE36C"/>
    <w:p w14:paraId="1B5A83F9"/>
    <w:p w14:paraId="292B5B7E"/>
    <w:p w14:paraId="7F61BC39">
      <w:pPr>
        <w:rPr>
          <w:b/>
          <w:bCs/>
        </w:rPr>
      </w:pPr>
    </w:p>
    <w:p w14:paraId="637ED389">
      <w:pPr>
        <w:pStyle w:val="16"/>
      </w:pPr>
      <w:r>
        <w:t>Information Security Incident</w:t>
      </w:r>
      <w:r>
        <w:br w:type="textWrapping"/>
      </w:r>
      <w:r>
        <w:t>Response Procedure</w:t>
      </w:r>
    </w:p>
    <w:p w14:paraId="1386204A"/>
    <w:p w14:paraId="1B91717B"/>
    <w:p w14:paraId="0F68E535"/>
    <w:tbl>
      <w:tblPr>
        <w:tblStyle w:val="11"/>
        <w:tblpPr w:leftFromText="180" w:rightFromText="180" w:vertAnchor="text" w:horzAnchor="margin" w:tblpXSpec="right" w:tblpY="228"/>
        <w:tblW w:w="62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9BA4"/>
        <w:tblLayout w:type="autofit"/>
        <w:tblCellMar>
          <w:top w:w="28" w:type="dxa"/>
          <w:left w:w="108" w:type="dxa"/>
          <w:bottom w:w="28" w:type="dxa"/>
          <w:right w:w="108" w:type="dxa"/>
        </w:tblCellMar>
      </w:tblPr>
      <w:tblGrid>
        <w:gridCol w:w="2689"/>
        <w:gridCol w:w="3549"/>
      </w:tblGrid>
      <w:tr w14:paraId="2FE1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rPr>
          <w:trHeight w:val="50" w:hRule="atLeast"/>
        </w:trPr>
        <w:tc>
          <w:tcPr>
            <w:tcW w:w="2689" w:type="dxa"/>
            <w:shd w:val="clear" w:color="auto" w:fill="44546A" w:themeFill="text2"/>
            <w:vAlign w:val="center"/>
          </w:tcPr>
          <w:p w14:paraId="5F489086">
            <w:pPr>
              <w:pStyle w:val="17"/>
              <w:framePr w:hSpace="0" w:wrap="auto" w:vAnchor="margin" w:hAnchor="text" w:xAlign="left" w:yAlign="inline"/>
            </w:pPr>
            <w:bookmarkStart w:id="0" w:name="_Hlk11063652"/>
            <w:r>
              <w:t>DOCUMENT CLASSIFICATION</w:t>
            </w:r>
          </w:p>
        </w:tc>
        <w:tc>
          <w:tcPr>
            <w:tcW w:w="3549" w:type="dxa"/>
            <w:shd w:val="clear" w:color="auto" w:fill="FFFFFF" w:themeFill="background1"/>
            <w:vAlign w:val="center"/>
          </w:tcPr>
          <w:p w14:paraId="29A36DC5">
            <w:pPr>
              <w:rPr>
                <w:rFonts w:eastAsia="Times New Roman" w:cs="Times New Roman" w:asciiTheme="minorHAnsi" w:hAnsiTheme="minorHAnsi"/>
                <w:color w:val="444444"/>
                <w:sz w:val="24"/>
                <w:szCs w:val="24"/>
                <w:lang w:val="en-GB" w:eastAsia="en-US" w:bidi="ar-SA"/>
              </w:rPr>
            </w:pPr>
            <w:r>
              <w:rPr>
                <w:rFonts w:eastAsia="Times New Roman" w:cs="Times New Roman" w:asciiTheme="minorHAnsi" w:hAnsiTheme="minorHAnsi"/>
                <w:color w:val="444444"/>
                <w:sz w:val="24"/>
                <w:szCs w:val="24"/>
                <w:lang w:val="en-GB" w:eastAsia="en-US" w:bidi="ar-SA"/>
              </w:rPr>
              <w:t>Internal — Confidential</w:t>
            </w:r>
          </w:p>
        </w:tc>
      </w:tr>
      <w:tr w14:paraId="6F81A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9BA4"/>
          <w:tblCellMar>
            <w:top w:w="28" w:type="dxa"/>
            <w:left w:w="108" w:type="dxa"/>
            <w:bottom w:w="28" w:type="dxa"/>
            <w:right w:w="108" w:type="dxa"/>
          </w:tblCellMar>
        </w:tblPrEx>
        <w:tc>
          <w:tcPr>
            <w:tcW w:w="2689" w:type="dxa"/>
            <w:shd w:val="clear" w:color="auto" w:fill="44546A" w:themeFill="text2"/>
            <w:vAlign w:val="center"/>
          </w:tcPr>
          <w:p w14:paraId="7C3FB3C6">
            <w:pPr>
              <w:pStyle w:val="17"/>
              <w:framePr w:hSpace="0" w:wrap="auto" w:vAnchor="margin" w:hAnchor="text" w:xAlign="left" w:yAlign="inline"/>
            </w:pPr>
            <w:r>
              <w:t>DOCUMENT REF</w:t>
            </w:r>
          </w:p>
        </w:tc>
        <w:tc>
          <w:tcPr>
            <w:tcW w:w="3549" w:type="dxa"/>
            <w:shd w:val="clear" w:color="auto" w:fill="FFFFFF" w:themeFill="background1"/>
            <w:vAlign w:val="center"/>
          </w:tcPr>
          <w:p w14:paraId="32E0A75F">
            <w:pPr>
              <w:pStyle w:val="19"/>
              <w:rPr>
                <w:rFonts w:eastAsia="Times New Roman" w:cs="Times New Roman" w:asciiTheme="minorHAnsi" w:hAnsiTheme="minorHAnsi"/>
                <w:color w:val="444444"/>
                <w:sz w:val="24"/>
                <w:szCs w:val="24"/>
                <w:lang w:val="en-GB" w:eastAsia="en-US" w:bidi="ar-SA"/>
              </w:rPr>
            </w:pPr>
            <w:r>
              <w:rPr>
                <w:rFonts w:eastAsia="Times New Roman" w:cs="Times New Roman" w:asciiTheme="minorHAnsi" w:hAnsiTheme="minorHAnsi"/>
                <w:color w:val="444444"/>
                <w:sz w:val="24"/>
                <w:szCs w:val="24"/>
                <w:lang w:val="en-GB" w:eastAsia="en-US" w:bidi="ar-SA"/>
              </w:rPr>
              <w:t>ISMS-DOC-A05-26-1</w:t>
            </w:r>
          </w:p>
        </w:tc>
      </w:tr>
      <w:tr w14:paraId="2D138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9BA4"/>
          <w:tblCellMar>
            <w:top w:w="28" w:type="dxa"/>
            <w:left w:w="108" w:type="dxa"/>
            <w:bottom w:w="28" w:type="dxa"/>
            <w:right w:w="108" w:type="dxa"/>
          </w:tblCellMar>
        </w:tblPrEx>
        <w:tc>
          <w:tcPr>
            <w:tcW w:w="2689" w:type="dxa"/>
            <w:shd w:val="clear" w:color="auto" w:fill="44546A" w:themeFill="text2"/>
            <w:vAlign w:val="center"/>
          </w:tcPr>
          <w:p w14:paraId="5BB61B7A">
            <w:pPr>
              <w:pStyle w:val="17"/>
              <w:framePr w:hSpace="0" w:wrap="auto" w:vAnchor="margin" w:hAnchor="text" w:xAlign="left" w:yAlign="inline"/>
            </w:pPr>
            <w:r>
              <w:t>VERSION</w:t>
            </w:r>
          </w:p>
        </w:tc>
        <w:sdt>
          <w:sdtPr>
            <w:rPr>
              <w:rFonts w:eastAsia="Times New Roman" w:cs="Times New Roman" w:asciiTheme="minorHAnsi" w:hAnsiTheme="minorHAnsi"/>
              <w:color w:val="444444"/>
              <w:sz w:val="24"/>
              <w:szCs w:val="24"/>
              <w:lang w:val="en-GB" w:eastAsia="en-US" w:bidi="ar-SA"/>
            </w:rPr>
            <w:alias w:val="Version number"/>
            <w:tag w:val="Version number"/>
            <w:id w:val="1374806584"/>
            <w:placeholder>
              <w:docPart w:val="{c9baff33-0515-470d-9fc2-f6527d3eb6f4}"/>
            </w:placeholder>
          </w:sdtPr>
          <w:sdtEndPr>
            <w:rPr>
              <w:rFonts w:eastAsia="Times New Roman" w:cs="Times New Roman" w:asciiTheme="minorHAnsi" w:hAnsiTheme="minorHAnsi"/>
              <w:color w:val="444444"/>
              <w:sz w:val="24"/>
              <w:szCs w:val="24"/>
              <w:lang w:val="en-GB" w:eastAsia="en-US" w:bidi="ar-SA"/>
            </w:rPr>
          </w:sdtEndPr>
          <w:sdtContent>
            <w:tc>
              <w:tcPr>
                <w:tcW w:w="3549" w:type="dxa"/>
                <w:shd w:val="clear" w:color="auto" w:fill="FFFFFF" w:themeFill="background1"/>
                <w:vAlign w:val="center"/>
              </w:tcPr>
              <w:p w14:paraId="7448EF5C">
                <w:pPr>
                  <w:pStyle w:val="19"/>
                  <w:rPr>
                    <w:rFonts w:eastAsia="Times New Roman" w:cs="Times New Roman" w:asciiTheme="minorHAnsi" w:hAnsiTheme="minorHAnsi"/>
                    <w:color w:val="444444"/>
                    <w:sz w:val="24"/>
                    <w:szCs w:val="24"/>
                    <w:lang w:val="en-GB" w:eastAsia="en-US" w:bidi="ar-SA"/>
                  </w:rPr>
                </w:pPr>
                <w:r>
                  <w:rPr>
                    <w:rFonts w:eastAsia="Times New Roman" w:cs="Times New Roman" w:asciiTheme="minorHAnsi" w:hAnsiTheme="minorHAnsi"/>
                    <w:color w:val="444444"/>
                    <w:sz w:val="24"/>
                    <w:szCs w:val="24"/>
                    <w:lang w:val="en-GB" w:eastAsia="en-US" w:bidi="ar-SA"/>
                  </w:rPr>
                  <w:t>1.0</w:t>
                </w:r>
              </w:p>
            </w:tc>
          </w:sdtContent>
        </w:sdt>
      </w:tr>
      <w:tr w14:paraId="38015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009BA4"/>
          <w:tblCellMar>
            <w:top w:w="28" w:type="dxa"/>
            <w:left w:w="108" w:type="dxa"/>
            <w:bottom w:w="28" w:type="dxa"/>
            <w:right w:w="108" w:type="dxa"/>
          </w:tblCellMar>
        </w:tblPrEx>
        <w:tc>
          <w:tcPr>
            <w:tcW w:w="2689" w:type="dxa"/>
            <w:shd w:val="clear" w:color="auto" w:fill="44546A" w:themeFill="text2"/>
            <w:vAlign w:val="center"/>
          </w:tcPr>
          <w:p w14:paraId="61223DD6">
            <w:pPr>
              <w:pStyle w:val="17"/>
              <w:framePr w:hSpace="0" w:wrap="auto" w:vAnchor="margin" w:hAnchor="text" w:xAlign="left" w:yAlign="inline"/>
            </w:pPr>
            <w:r>
              <w:t>DATED</w:t>
            </w:r>
          </w:p>
        </w:tc>
        <w:sdt>
          <w:sdtPr>
            <w:rPr>
              <w:rFonts w:eastAsia="Times New Roman" w:cs="Times New Roman" w:asciiTheme="minorHAnsi" w:hAnsiTheme="minorHAnsi"/>
              <w:color w:val="444444"/>
              <w:sz w:val="24"/>
              <w:szCs w:val="24"/>
              <w:lang w:val="en-GB" w:eastAsia="en-US" w:bidi="ar-SA"/>
            </w:rPr>
            <w:id w:val="506250714"/>
            <w:placeholder>
              <w:docPart w:val="{9470161b-80e6-4243-9107-69cebf5f9e43}"/>
            </w:placeholder>
            <w:date>
              <w:dateFormat w:val="dd MMMM yyyy"/>
              <w:lid w:val="en-GB"/>
              <w:storeMappedDataAs w:val="datetime"/>
              <w:calendar w:val="gregorian"/>
            </w:date>
          </w:sdtPr>
          <w:sdtEndPr>
            <w:rPr>
              <w:rFonts w:eastAsia="Times New Roman" w:cs="Times New Roman" w:asciiTheme="minorHAnsi" w:hAnsiTheme="minorHAnsi"/>
              <w:color w:val="444444"/>
              <w:sz w:val="24"/>
              <w:szCs w:val="24"/>
              <w:lang w:val="en-GB" w:eastAsia="en-US" w:bidi="ar-SA"/>
            </w:rPr>
          </w:sdtEndPr>
          <w:sdtContent>
            <w:tc>
              <w:tcPr>
                <w:tcW w:w="3549" w:type="dxa"/>
                <w:shd w:val="clear" w:color="auto" w:fill="FFFFFF" w:themeFill="background1"/>
                <w:vAlign w:val="center"/>
              </w:tcPr>
              <w:p w14:paraId="79AB3446">
                <w:pPr>
                  <w:pStyle w:val="19"/>
                  <w:rPr>
                    <w:rFonts w:eastAsia="Times New Roman" w:cs="Times New Roman" w:asciiTheme="minorHAnsi" w:hAnsiTheme="minorHAnsi"/>
                    <w:color w:val="444444"/>
                    <w:sz w:val="24"/>
                    <w:szCs w:val="24"/>
                    <w:lang w:val="en-GB" w:eastAsia="en-US" w:bidi="ar-SA"/>
                  </w:rPr>
                </w:pPr>
                <w:r>
                  <w:rPr>
                    <w:rFonts w:eastAsia="Times New Roman" w:cs="Times New Roman" w:asciiTheme="minorHAnsi" w:hAnsiTheme="minorHAnsi"/>
                    <w:color w:val="444444"/>
                    <w:sz w:val="24"/>
                    <w:szCs w:val="24"/>
                    <w:lang w:val="en-GB" w:eastAsia="en-US" w:bidi="ar-SA"/>
                  </w:rPr>
                  <w:t>21 September 2026</w:t>
                </w:r>
              </w:p>
            </w:tc>
          </w:sdtContent>
        </w:sdt>
      </w:tr>
      <w:tr w14:paraId="01725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689" w:type="dxa"/>
            <w:shd w:val="clear" w:color="auto" w:fill="44546A" w:themeFill="text2"/>
            <w:vAlign w:val="center"/>
          </w:tcPr>
          <w:p w14:paraId="25DDAEB1">
            <w:pPr>
              <w:pStyle w:val="17"/>
              <w:framePr w:hSpace="0" w:wrap="auto" w:vAnchor="margin" w:hAnchor="text" w:xAlign="left" w:yAlign="inline"/>
            </w:pPr>
            <w:r>
              <w:t>DOCUMENT AUTHOR</w:t>
            </w:r>
          </w:p>
        </w:tc>
        <w:tc>
          <w:tcPr>
            <w:tcW w:w="3549" w:type="dxa"/>
            <w:shd w:val="clear" w:color="auto" w:fill="FFFFFF" w:themeFill="background1"/>
            <w:vAlign w:val="center"/>
          </w:tcPr>
          <w:p w14:paraId="4AA8FB64">
            <w:pPr>
              <w:rPr>
                <w:rFonts w:hint="default"/>
                <w:lang w:val="en-GB"/>
              </w:rPr>
            </w:pPr>
            <w:r>
              <w:rPr>
                <w:rFonts w:hint="default"/>
                <w:lang w:val="en-GB"/>
              </w:rPr>
              <w:t>Zainb(</w:t>
            </w:r>
            <w:r>
              <w:t xml:space="preserve">Operations &amp; </w:t>
            </w:r>
            <w:bookmarkStart w:id="43" w:name="_GoBack"/>
            <w:bookmarkEnd w:id="43"/>
            <w:r>
              <w:t>Audit Lead</w:t>
            </w:r>
            <w:r>
              <w:rPr>
                <w:rFonts w:hint="default"/>
                <w:lang w:val="en-GB"/>
              </w:rPr>
              <w:t>)</w:t>
            </w:r>
          </w:p>
        </w:tc>
      </w:tr>
      <w:tr w14:paraId="171FE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28" w:type="dxa"/>
            <w:left w:w="108" w:type="dxa"/>
            <w:bottom w:w="28" w:type="dxa"/>
            <w:right w:w="108" w:type="dxa"/>
          </w:tblCellMar>
        </w:tblPrEx>
        <w:tc>
          <w:tcPr>
            <w:tcW w:w="2689" w:type="dxa"/>
            <w:shd w:val="clear" w:color="auto" w:fill="44546A" w:themeFill="text2"/>
            <w:vAlign w:val="center"/>
          </w:tcPr>
          <w:p w14:paraId="1A664C93">
            <w:pPr>
              <w:pStyle w:val="17"/>
              <w:framePr w:hSpace="0" w:wrap="auto" w:vAnchor="margin" w:hAnchor="text" w:xAlign="left" w:yAlign="inline"/>
            </w:pPr>
            <w:r>
              <w:t>DOCUMENT OWNER</w:t>
            </w:r>
          </w:p>
        </w:tc>
        <w:tc>
          <w:tcPr>
            <w:tcW w:w="3549" w:type="dxa"/>
            <w:shd w:val="clear" w:color="auto" w:fill="FFFFFF" w:themeFill="background1"/>
            <w:vAlign w:val="center"/>
          </w:tcPr>
          <w:p w14:paraId="16F4D7A2">
            <w:r>
              <w:t>Sarah Al-Harbi — Chief Information Security Officer (CISO)</w:t>
            </w:r>
          </w:p>
        </w:tc>
      </w:tr>
      <w:bookmarkEnd w:id="0"/>
    </w:tbl>
    <w:p w14:paraId="56428837"/>
    <w:p w14:paraId="55F95E26"/>
    <w:p w14:paraId="2D98F232"/>
    <w:p w14:paraId="480D94C2"/>
    <w:p w14:paraId="604CB314"/>
    <w:p w14:paraId="37D4DDF4"/>
    <w:p w14:paraId="1F8138ED"/>
    <w:p w14:paraId="56B2824C"/>
    <w:p w14:paraId="7471776E">
      <w:pPr>
        <w:pStyle w:val="22"/>
      </w:pPr>
      <w:r>
        <w:t>Revision history</w:t>
      </w:r>
    </w:p>
    <w:tbl>
      <w:tblPr>
        <w:tblStyle w:val="11"/>
        <w:tblW w:w="0" w:type="auto"/>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988"/>
        <w:gridCol w:w="992"/>
        <w:gridCol w:w="2126"/>
        <w:gridCol w:w="4820"/>
      </w:tblGrid>
      <w:tr w14:paraId="7E78AE6B">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988" w:type="dxa"/>
            <w:shd w:val="clear" w:color="auto" w:fill="44546A" w:themeFill="text2"/>
          </w:tcPr>
          <w:p w14:paraId="3FFF9F69">
            <w:pPr>
              <w:pStyle w:val="18"/>
            </w:pPr>
            <w:r>
              <w:t>VERSION</w:t>
            </w:r>
          </w:p>
        </w:tc>
        <w:tc>
          <w:tcPr>
            <w:tcW w:w="992" w:type="dxa"/>
            <w:shd w:val="clear" w:color="auto" w:fill="44546A" w:themeFill="text2"/>
          </w:tcPr>
          <w:p w14:paraId="4C936113">
            <w:pPr>
              <w:pStyle w:val="18"/>
            </w:pPr>
            <w:r>
              <w:t>DATE</w:t>
            </w:r>
          </w:p>
        </w:tc>
        <w:tc>
          <w:tcPr>
            <w:tcW w:w="2126" w:type="dxa"/>
            <w:shd w:val="clear" w:color="auto" w:fill="44546A" w:themeFill="text2"/>
          </w:tcPr>
          <w:p w14:paraId="4CFFFF40">
            <w:pPr>
              <w:pStyle w:val="18"/>
            </w:pPr>
            <w:r>
              <w:t>REVISION AUTHOR</w:t>
            </w:r>
          </w:p>
        </w:tc>
        <w:tc>
          <w:tcPr>
            <w:tcW w:w="4820" w:type="dxa"/>
            <w:shd w:val="clear" w:color="auto" w:fill="44546A" w:themeFill="text2"/>
          </w:tcPr>
          <w:p w14:paraId="13F022EE">
            <w:pPr>
              <w:pStyle w:val="18"/>
            </w:pPr>
            <w:r>
              <w:t>SUMMARY OF CHANGES</w:t>
            </w:r>
          </w:p>
        </w:tc>
      </w:tr>
      <w:tr w14:paraId="162CE70B">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988" w:type="dxa"/>
          </w:tcPr>
          <w:p w14:paraId="3675BBD8">
            <w:r>
              <w:t>1.0</w:t>
            </w:r>
          </w:p>
        </w:tc>
        <w:tc>
          <w:tcPr>
            <w:tcW w:w="992" w:type="dxa"/>
          </w:tcPr>
          <w:p w14:paraId="4E782DDD">
            <w:r>
              <w:t>21 Sep 2026</w:t>
            </w:r>
          </w:p>
        </w:tc>
        <w:tc>
          <w:tcPr>
            <w:tcW w:w="2126" w:type="dxa"/>
          </w:tcPr>
          <w:p w14:paraId="78ED2487">
            <w:r>
              <w:t>ISMS Project Team</w:t>
            </w:r>
          </w:p>
        </w:tc>
        <w:tc>
          <w:tcPr>
            <w:tcW w:w="4820" w:type="dxa"/>
          </w:tcPr>
          <w:p w14:paraId="174975A8">
            <w:r>
              <w:t>Initial issue, developed as part of the Bank Al-Afaq Al-Raqmiya ISMS implementation project</w:t>
            </w:r>
          </w:p>
        </w:tc>
      </w:tr>
      <w:tr w14:paraId="054A973E">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988" w:type="dxa"/>
          </w:tcPr>
          <w:p w14:paraId="53A83C87">
            <w:pPr>
              <w:pStyle w:val="19"/>
            </w:pPr>
          </w:p>
        </w:tc>
        <w:tc>
          <w:tcPr>
            <w:tcW w:w="992" w:type="dxa"/>
          </w:tcPr>
          <w:p w14:paraId="7826F556">
            <w:pPr>
              <w:pStyle w:val="19"/>
            </w:pPr>
          </w:p>
        </w:tc>
        <w:tc>
          <w:tcPr>
            <w:tcW w:w="2126" w:type="dxa"/>
          </w:tcPr>
          <w:p w14:paraId="099ECC79">
            <w:pPr>
              <w:pStyle w:val="19"/>
            </w:pPr>
          </w:p>
        </w:tc>
        <w:tc>
          <w:tcPr>
            <w:tcW w:w="4820" w:type="dxa"/>
          </w:tcPr>
          <w:p w14:paraId="2C16E48C">
            <w:pPr>
              <w:pStyle w:val="19"/>
            </w:pPr>
          </w:p>
        </w:tc>
      </w:tr>
      <w:tr w14:paraId="4EF4B185">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988" w:type="dxa"/>
          </w:tcPr>
          <w:p w14:paraId="1998EAD6">
            <w:pPr>
              <w:pStyle w:val="19"/>
            </w:pPr>
          </w:p>
        </w:tc>
        <w:tc>
          <w:tcPr>
            <w:tcW w:w="992" w:type="dxa"/>
          </w:tcPr>
          <w:p w14:paraId="1A75C7E5">
            <w:pPr>
              <w:pStyle w:val="19"/>
            </w:pPr>
          </w:p>
        </w:tc>
        <w:tc>
          <w:tcPr>
            <w:tcW w:w="2126" w:type="dxa"/>
          </w:tcPr>
          <w:p w14:paraId="33825FDA">
            <w:pPr>
              <w:pStyle w:val="19"/>
            </w:pPr>
          </w:p>
        </w:tc>
        <w:tc>
          <w:tcPr>
            <w:tcW w:w="4820" w:type="dxa"/>
          </w:tcPr>
          <w:p w14:paraId="2BA408DC">
            <w:pPr>
              <w:pStyle w:val="19"/>
            </w:pPr>
          </w:p>
        </w:tc>
      </w:tr>
    </w:tbl>
    <w:p w14:paraId="1C4B0DBD"/>
    <w:p w14:paraId="065ADE03">
      <w:pPr>
        <w:pStyle w:val="22"/>
      </w:pPr>
      <w:r>
        <w:t>Distribution</w:t>
      </w:r>
    </w:p>
    <w:tbl>
      <w:tblPr>
        <w:tblStyle w:val="11"/>
        <w:tblW w:w="8926" w:type="dxa"/>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4390"/>
        <w:gridCol w:w="4536"/>
      </w:tblGrid>
      <w:tr w14:paraId="57F062D3">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4390" w:type="dxa"/>
            <w:tcBorders>
              <w:top w:val="single" w:color="444444" w:sz="4" w:space="0"/>
              <w:left w:val="single" w:color="444444" w:sz="4" w:space="0"/>
              <w:bottom w:val="single" w:color="444444" w:sz="4" w:space="0"/>
              <w:right w:val="single" w:color="444444" w:sz="4" w:space="0"/>
            </w:tcBorders>
            <w:shd w:val="clear" w:color="auto" w:fill="44546A" w:themeFill="text2"/>
          </w:tcPr>
          <w:p w14:paraId="6703BE1A">
            <w:pPr>
              <w:pStyle w:val="18"/>
            </w:pPr>
            <w:bookmarkStart w:id="1" w:name="_Hlk17369938"/>
            <w:r>
              <w:t>NAME</w:t>
            </w:r>
          </w:p>
        </w:tc>
        <w:tc>
          <w:tcPr>
            <w:tcW w:w="4536" w:type="dxa"/>
            <w:tcBorders>
              <w:top w:val="single" w:color="444444" w:sz="4" w:space="0"/>
              <w:left w:val="single" w:color="444444" w:sz="4" w:space="0"/>
              <w:bottom w:val="single" w:color="444444" w:sz="4" w:space="0"/>
              <w:right w:val="single" w:color="444444" w:sz="4" w:space="0"/>
            </w:tcBorders>
            <w:shd w:val="clear" w:color="auto" w:fill="44546A" w:themeFill="text2"/>
          </w:tcPr>
          <w:p w14:paraId="15A0E14F">
            <w:pPr>
              <w:pStyle w:val="18"/>
            </w:pPr>
            <w:r>
              <w:t>TITLE</w:t>
            </w:r>
          </w:p>
        </w:tc>
      </w:tr>
      <w:tr w14:paraId="4C90624D">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4390" w:type="dxa"/>
            <w:tcBorders>
              <w:top w:val="single" w:color="444444" w:sz="4" w:space="0"/>
              <w:left w:val="single" w:color="444444" w:sz="4" w:space="0"/>
              <w:bottom w:val="single" w:color="444444" w:sz="4" w:space="0"/>
              <w:right w:val="single" w:color="444444" w:sz="4" w:space="0"/>
            </w:tcBorders>
          </w:tcPr>
          <w:p w14:paraId="4858D345">
            <w:r>
              <w:t>Sarah Al-Harbi</w:t>
            </w:r>
          </w:p>
        </w:tc>
        <w:tc>
          <w:tcPr>
            <w:tcW w:w="4536" w:type="dxa"/>
            <w:tcBorders>
              <w:top w:val="single" w:color="444444" w:sz="4" w:space="0"/>
              <w:left w:val="single" w:color="444444" w:sz="4" w:space="0"/>
              <w:bottom w:val="single" w:color="444444" w:sz="4" w:space="0"/>
              <w:right w:val="single" w:color="444444" w:sz="4" w:space="0"/>
            </w:tcBorders>
          </w:tcPr>
          <w:p w14:paraId="0E399C6E">
            <w:r>
              <w:t>CISO / Incident Response Team Leader</w:t>
            </w:r>
          </w:p>
        </w:tc>
      </w:tr>
      <w:tr w14:paraId="3B6884A3">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4390" w:type="dxa"/>
            <w:tcBorders>
              <w:top w:val="single" w:color="444444" w:sz="4" w:space="0"/>
              <w:left w:val="single" w:color="444444" w:sz="4" w:space="0"/>
              <w:bottom w:val="single" w:color="444444" w:sz="4" w:space="0"/>
              <w:right w:val="single" w:color="444444" w:sz="4" w:space="0"/>
            </w:tcBorders>
          </w:tcPr>
          <w:p w14:paraId="2CB73EB4">
            <w:r>
              <w:t>Fahd Al-Otaibi</w:t>
            </w:r>
          </w:p>
        </w:tc>
        <w:tc>
          <w:tcPr>
            <w:tcW w:w="4536" w:type="dxa"/>
            <w:tcBorders>
              <w:top w:val="single" w:color="444444" w:sz="4" w:space="0"/>
              <w:left w:val="single" w:color="444444" w:sz="4" w:space="0"/>
              <w:bottom w:val="single" w:color="444444" w:sz="4" w:space="0"/>
              <w:right w:val="single" w:color="444444" w:sz="4" w:space="0"/>
            </w:tcBorders>
          </w:tcPr>
          <w:p w14:paraId="048EBE86">
            <w:r>
              <w:t>CIO / Information Technology representative</w:t>
            </w:r>
          </w:p>
        </w:tc>
      </w:tr>
      <w:tr w14:paraId="6E348913">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4390" w:type="dxa"/>
            <w:tcBorders>
              <w:top w:val="single" w:color="444444" w:sz="4" w:space="0"/>
              <w:left w:val="single" w:color="444444" w:sz="4" w:space="0"/>
              <w:bottom w:val="single" w:color="444444" w:sz="4" w:space="0"/>
              <w:right w:val="single" w:color="444444" w:sz="4" w:space="0"/>
            </w:tcBorders>
          </w:tcPr>
          <w:p w14:paraId="70CB1306">
            <w:r>
              <w:t>Dr. Noura Al-Qahtani</w:t>
            </w:r>
          </w:p>
        </w:tc>
        <w:tc>
          <w:tcPr>
            <w:tcW w:w="4536" w:type="dxa"/>
            <w:tcBorders>
              <w:top w:val="single" w:color="444444" w:sz="4" w:space="0"/>
              <w:left w:val="single" w:color="444444" w:sz="4" w:space="0"/>
              <w:bottom w:val="single" w:color="444444" w:sz="4" w:space="0"/>
              <w:right w:val="single" w:color="444444" w:sz="4" w:space="0"/>
            </w:tcBorders>
          </w:tcPr>
          <w:p w14:paraId="7CC54083">
            <w:r>
              <w:t>Chief Executive Officer / Executive Sponsor</w:t>
            </w:r>
          </w:p>
        </w:tc>
      </w:tr>
      <w:bookmarkEnd w:id="1"/>
    </w:tbl>
    <w:p w14:paraId="707B7E8F"/>
    <w:p w14:paraId="4CB31A13">
      <w:pPr>
        <w:pStyle w:val="22"/>
      </w:pPr>
      <w:r>
        <w:t>Approval</w:t>
      </w:r>
    </w:p>
    <w:tbl>
      <w:tblPr>
        <w:tblStyle w:val="11"/>
        <w:tblW w:w="0" w:type="auto"/>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2263"/>
        <w:gridCol w:w="2127"/>
        <w:gridCol w:w="2693"/>
        <w:gridCol w:w="1843"/>
      </w:tblGrid>
      <w:tr w14:paraId="6EAFC509">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2263" w:type="dxa"/>
            <w:tcBorders>
              <w:top w:val="single" w:color="444444" w:sz="4" w:space="0"/>
              <w:left w:val="single" w:color="444444" w:sz="4" w:space="0"/>
              <w:bottom w:val="single" w:color="444444" w:sz="4" w:space="0"/>
              <w:right w:val="single" w:color="444444" w:sz="4" w:space="0"/>
            </w:tcBorders>
            <w:shd w:val="clear" w:color="auto" w:fill="44546A" w:themeFill="text2"/>
          </w:tcPr>
          <w:p w14:paraId="0DFC3AEC">
            <w:pPr>
              <w:pStyle w:val="18"/>
            </w:pPr>
            <w:r>
              <w:t>NAME</w:t>
            </w:r>
          </w:p>
        </w:tc>
        <w:tc>
          <w:tcPr>
            <w:tcW w:w="2127" w:type="dxa"/>
            <w:tcBorders>
              <w:top w:val="single" w:color="444444" w:sz="4" w:space="0"/>
              <w:left w:val="single" w:color="444444" w:sz="4" w:space="0"/>
              <w:bottom w:val="single" w:color="444444" w:sz="4" w:space="0"/>
              <w:right w:val="single" w:color="444444" w:sz="4" w:space="0"/>
            </w:tcBorders>
            <w:shd w:val="clear" w:color="auto" w:fill="44546A" w:themeFill="text2"/>
          </w:tcPr>
          <w:p w14:paraId="206D386B">
            <w:pPr>
              <w:pStyle w:val="18"/>
            </w:pPr>
            <w:r>
              <w:t>POSITION</w:t>
            </w:r>
          </w:p>
        </w:tc>
        <w:tc>
          <w:tcPr>
            <w:tcW w:w="2693" w:type="dxa"/>
            <w:tcBorders>
              <w:top w:val="single" w:color="444444" w:sz="4" w:space="0"/>
              <w:left w:val="single" w:color="444444" w:sz="4" w:space="0"/>
              <w:bottom w:val="single" w:color="444444" w:sz="4" w:space="0"/>
              <w:right w:val="single" w:color="444444" w:sz="4" w:space="0"/>
            </w:tcBorders>
            <w:shd w:val="clear" w:color="auto" w:fill="44546A" w:themeFill="text2"/>
          </w:tcPr>
          <w:p w14:paraId="191A1BB1">
            <w:pPr>
              <w:pStyle w:val="18"/>
            </w:pPr>
            <w:r>
              <w:t>SIGNATURE</w:t>
            </w:r>
          </w:p>
        </w:tc>
        <w:tc>
          <w:tcPr>
            <w:tcW w:w="1843" w:type="dxa"/>
            <w:tcBorders>
              <w:top w:val="single" w:color="444444" w:sz="4" w:space="0"/>
              <w:left w:val="single" w:color="444444" w:sz="4" w:space="0"/>
              <w:bottom w:val="single" w:color="444444" w:sz="4" w:space="0"/>
              <w:right w:val="single" w:color="444444" w:sz="4" w:space="0"/>
            </w:tcBorders>
            <w:shd w:val="clear" w:color="auto" w:fill="44546A" w:themeFill="text2"/>
          </w:tcPr>
          <w:p w14:paraId="19A51F55">
            <w:pPr>
              <w:pStyle w:val="18"/>
            </w:pPr>
            <w:r>
              <w:t>DATE</w:t>
            </w:r>
          </w:p>
        </w:tc>
      </w:tr>
      <w:tr w14:paraId="2574229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2263" w:type="dxa"/>
            <w:tcBorders>
              <w:top w:val="single" w:color="444444" w:sz="4" w:space="0"/>
              <w:left w:val="single" w:color="444444" w:sz="4" w:space="0"/>
              <w:bottom w:val="single" w:color="444444" w:sz="4" w:space="0"/>
              <w:right w:val="single" w:color="444444" w:sz="4" w:space="0"/>
            </w:tcBorders>
          </w:tcPr>
          <w:p w14:paraId="472DB5C5">
            <w:r>
              <w:t>Dr. Noura Al-Qahtani</w:t>
            </w:r>
          </w:p>
        </w:tc>
        <w:tc>
          <w:tcPr>
            <w:tcW w:w="2127" w:type="dxa"/>
            <w:tcBorders>
              <w:top w:val="single" w:color="444444" w:sz="4" w:space="0"/>
              <w:left w:val="single" w:color="444444" w:sz="4" w:space="0"/>
              <w:bottom w:val="single" w:color="444444" w:sz="4" w:space="0"/>
              <w:right w:val="single" w:color="444444" w:sz="4" w:space="0"/>
            </w:tcBorders>
          </w:tcPr>
          <w:p w14:paraId="67BE5189">
            <w:r>
              <w:t>Chief Executive Officer</w:t>
            </w:r>
          </w:p>
        </w:tc>
        <w:tc>
          <w:tcPr>
            <w:tcW w:w="2693" w:type="dxa"/>
            <w:tcBorders>
              <w:top w:val="single" w:color="444444" w:sz="4" w:space="0"/>
              <w:left w:val="single" w:color="444444" w:sz="4" w:space="0"/>
              <w:bottom w:val="single" w:color="444444" w:sz="4" w:space="0"/>
              <w:right w:val="single" w:color="444444" w:sz="4" w:space="0"/>
            </w:tcBorders>
          </w:tcPr>
          <w:p w14:paraId="661B83F8">
            <w:pPr>
              <w:pStyle w:val="19"/>
            </w:pPr>
          </w:p>
        </w:tc>
        <w:tc>
          <w:tcPr>
            <w:tcW w:w="1843" w:type="dxa"/>
            <w:tcBorders>
              <w:top w:val="single" w:color="444444" w:sz="4" w:space="0"/>
              <w:left w:val="single" w:color="444444" w:sz="4" w:space="0"/>
              <w:bottom w:val="single" w:color="444444" w:sz="4" w:space="0"/>
              <w:right w:val="single" w:color="444444" w:sz="4" w:space="0"/>
            </w:tcBorders>
          </w:tcPr>
          <w:p w14:paraId="13BEC0D8">
            <w:r>
              <w:t>21 Sep 2026</w:t>
            </w:r>
          </w:p>
        </w:tc>
      </w:tr>
      <w:tr w14:paraId="4597E8FD">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2263" w:type="dxa"/>
            <w:tcBorders>
              <w:top w:val="single" w:color="444444" w:sz="4" w:space="0"/>
              <w:left w:val="single" w:color="444444" w:sz="4" w:space="0"/>
              <w:bottom w:val="single" w:color="444444" w:sz="4" w:space="0"/>
              <w:right w:val="single" w:color="444444" w:sz="4" w:space="0"/>
            </w:tcBorders>
          </w:tcPr>
          <w:p w14:paraId="34F3ACB8">
            <w:r>
              <w:t>Sarah Al-Harbi</w:t>
            </w:r>
          </w:p>
        </w:tc>
        <w:tc>
          <w:tcPr>
            <w:tcW w:w="2127" w:type="dxa"/>
            <w:tcBorders>
              <w:top w:val="single" w:color="444444" w:sz="4" w:space="0"/>
              <w:left w:val="single" w:color="444444" w:sz="4" w:space="0"/>
              <w:bottom w:val="single" w:color="444444" w:sz="4" w:space="0"/>
              <w:right w:val="single" w:color="444444" w:sz="4" w:space="0"/>
            </w:tcBorders>
          </w:tcPr>
          <w:p w14:paraId="08AB2B2F">
            <w:r>
              <w:t>CISO (Document Owner)</w:t>
            </w:r>
          </w:p>
        </w:tc>
        <w:tc>
          <w:tcPr>
            <w:tcW w:w="2693" w:type="dxa"/>
            <w:tcBorders>
              <w:top w:val="single" w:color="444444" w:sz="4" w:space="0"/>
              <w:left w:val="single" w:color="444444" w:sz="4" w:space="0"/>
              <w:bottom w:val="single" w:color="444444" w:sz="4" w:space="0"/>
              <w:right w:val="single" w:color="444444" w:sz="4" w:space="0"/>
            </w:tcBorders>
          </w:tcPr>
          <w:p w14:paraId="154FB167">
            <w:pPr>
              <w:pStyle w:val="19"/>
            </w:pPr>
          </w:p>
        </w:tc>
        <w:tc>
          <w:tcPr>
            <w:tcW w:w="1843" w:type="dxa"/>
            <w:tcBorders>
              <w:top w:val="single" w:color="444444" w:sz="4" w:space="0"/>
              <w:left w:val="single" w:color="444444" w:sz="4" w:space="0"/>
              <w:bottom w:val="single" w:color="444444" w:sz="4" w:space="0"/>
              <w:right w:val="single" w:color="444444" w:sz="4" w:space="0"/>
            </w:tcBorders>
          </w:tcPr>
          <w:p w14:paraId="699F02EB">
            <w:r>
              <w:t>21 Sep 2026</w:t>
            </w:r>
          </w:p>
        </w:tc>
      </w:tr>
      <w:tr w14:paraId="6574E518">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2263" w:type="dxa"/>
            <w:tcBorders>
              <w:top w:val="single" w:color="444444" w:sz="4" w:space="0"/>
              <w:left w:val="single" w:color="444444" w:sz="4" w:space="0"/>
              <w:bottom w:val="single" w:color="444444" w:sz="4" w:space="0"/>
              <w:right w:val="single" w:color="444444" w:sz="4" w:space="0"/>
            </w:tcBorders>
          </w:tcPr>
          <w:p w14:paraId="59870A80">
            <w:r>
              <w:t>Fahd Al-Otaibi</w:t>
            </w:r>
          </w:p>
        </w:tc>
        <w:tc>
          <w:tcPr>
            <w:tcW w:w="2127" w:type="dxa"/>
            <w:tcBorders>
              <w:top w:val="single" w:color="444444" w:sz="4" w:space="0"/>
              <w:left w:val="single" w:color="444444" w:sz="4" w:space="0"/>
              <w:bottom w:val="single" w:color="444444" w:sz="4" w:space="0"/>
              <w:right w:val="single" w:color="444444" w:sz="4" w:space="0"/>
            </w:tcBorders>
          </w:tcPr>
          <w:p w14:paraId="1595FB8B">
            <w:r>
              <w:t>Chief Information Officer (CIO)</w:t>
            </w:r>
          </w:p>
        </w:tc>
        <w:tc>
          <w:tcPr>
            <w:tcW w:w="2693" w:type="dxa"/>
            <w:tcBorders>
              <w:top w:val="single" w:color="444444" w:sz="4" w:space="0"/>
              <w:left w:val="single" w:color="444444" w:sz="4" w:space="0"/>
              <w:bottom w:val="single" w:color="444444" w:sz="4" w:space="0"/>
              <w:right w:val="single" w:color="444444" w:sz="4" w:space="0"/>
            </w:tcBorders>
          </w:tcPr>
          <w:p w14:paraId="663DB8C5">
            <w:pPr>
              <w:pStyle w:val="19"/>
            </w:pPr>
          </w:p>
        </w:tc>
        <w:tc>
          <w:tcPr>
            <w:tcW w:w="1843" w:type="dxa"/>
            <w:tcBorders>
              <w:top w:val="single" w:color="444444" w:sz="4" w:space="0"/>
              <w:left w:val="single" w:color="444444" w:sz="4" w:space="0"/>
              <w:bottom w:val="single" w:color="444444" w:sz="4" w:space="0"/>
              <w:right w:val="single" w:color="444444" w:sz="4" w:space="0"/>
            </w:tcBorders>
          </w:tcPr>
          <w:p w14:paraId="34F4FAFE">
            <w:r>
              <w:t>21 Sep 2026</w:t>
            </w:r>
          </w:p>
        </w:tc>
      </w:tr>
    </w:tbl>
    <w:p w14:paraId="5085BAB6">
      <w:r>
        <w:br w:type="page"/>
      </w:r>
    </w:p>
    <w:p w14:paraId="3558AEA9">
      <w:pPr>
        <w:pStyle w:val="22"/>
      </w:pPr>
      <w:r>
        <w:t>Contents</w:t>
      </w:r>
    </w:p>
    <w:p w14:paraId="14F228D3">
      <w:pPr>
        <w:pStyle w:val="13"/>
        <w:tabs>
          <w:tab w:val="left" w:pos="480"/>
          <w:tab w:val="right" w:leader="dot" w:pos="9016"/>
        </w:tabs>
        <w:rPr>
          <w:rFonts w:eastAsiaTheme="minorEastAsia" w:cstheme="minorBidi"/>
          <w:b w:val="0"/>
          <w:bCs w:val="0"/>
          <w:iCs w:val="0"/>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r>
        <w:fldChar w:fldCharType="begin"/>
      </w:r>
      <w:r>
        <w:instrText xml:space="preserve"> HYPERLINK \l "_Toc68274947" </w:instrText>
      </w:r>
      <w:r>
        <w:fldChar w:fldCharType="separate"/>
      </w:r>
      <w:r>
        <w:rPr>
          <w:rStyle w:val="10"/>
        </w:rPr>
        <w:t>1</w:t>
      </w:r>
      <w:r>
        <w:rPr>
          <w:rFonts w:eastAsiaTheme="minorEastAsia" w:cstheme="minorBidi"/>
          <w:b w:val="0"/>
          <w:bCs w:val="0"/>
          <w:iCs w:val="0"/>
          <w:color w:val="auto"/>
          <w:sz w:val="22"/>
          <w:szCs w:val="22"/>
          <w:lang w:eastAsia="en-GB"/>
        </w:rPr>
        <w:tab/>
      </w:r>
      <w:r>
        <w:rPr>
          <w:rStyle w:val="10"/>
        </w:rPr>
        <w:t>Introduction</w:t>
      </w:r>
      <w:r>
        <w:tab/>
      </w:r>
      <w:r>
        <w:fldChar w:fldCharType="begin"/>
      </w:r>
      <w:r>
        <w:instrText xml:space="preserve"> PAGEREF _Toc68274947 \h </w:instrText>
      </w:r>
      <w:r>
        <w:fldChar w:fldCharType="separate"/>
      </w:r>
      <w:r>
        <w:t>9</w:t>
      </w:r>
      <w:r>
        <w:fldChar w:fldCharType="end"/>
      </w:r>
      <w:r>
        <w:fldChar w:fldCharType="end"/>
      </w:r>
    </w:p>
    <w:p w14:paraId="2914E824">
      <w:pPr>
        <w:pStyle w:val="13"/>
        <w:tabs>
          <w:tab w:val="left" w:pos="480"/>
          <w:tab w:val="right" w:leader="dot" w:pos="9016"/>
        </w:tabs>
        <w:rPr>
          <w:rFonts w:eastAsiaTheme="minorEastAsia" w:cstheme="minorBidi"/>
          <w:b w:val="0"/>
          <w:bCs w:val="0"/>
          <w:iCs w:val="0"/>
          <w:color w:val="auto"/>
          <w:sz w:val="22"/>
          <w:szCs w:val="22"/>
          <w:lang w:eastAsia="en-GB"/>
        </w:rPr>
      </w:pPr>
      <w:r>
        <w:fldChar w:fldCharType="begin"/>
      </w:r>
      <w:r>
        <w:instrText xml:space="preserve"> HYPERLINK \l "_Toc68274948" </w:instrText>
      </w:r>
      <w:r>
        <w:fldChar w:fldCharType="separate"/>
      </w:r>
      <w:r>
        <w:rPr>
          <w:rStyle w:val="10"/>
        </w:rPr>
        <w:t>2</w:t>
      </w:r>
      <w:r>
        <w:rPr>
          <w:rFonts w:eastAsiaTheme="minorEastAsia" w:cstheme="minorBidi"/>
          <w:b w:val="0"/>
          <w:bCs w:val="0"/>
          <w:iCs w:val="0"/>
          <w:color w:val="auto"/>
          <w:sz w:val="22"/>
          <w:szCs w:val="22"/>
          <w:lang w:eastAsia="en-GB"/>
        </w:rPr>
        <w:tab/>
      </w:r>
      <w:r>
        <w:rPr>
          <w:rStyle w:val="10"/>
        </w:rPr>
        <w:t>Incident response flowchart</w:t>
      </w:r>
      <w:r>
        <w:tab/>
      </w:r>
      <w:r>
        <w:fldChar w:fldCharType="begin"/>
      </w:r>
      <w:r>
        <w:instrText xml:space="preserve"> PAGEREF _Toc68274948 \h </w:instrText>
      </w:r>
      <w:r>
        <w:fldChar w:fldCharType="separate"/>
      </w:r>
      <w:r>
        <w:t>10</w:t>
      </w:r>
      <w:r>
        <w:fldChar w:fldCharType="end"/>
      </w:r>
      <w:r>
        <w:fldChar w:fldCharType="end"/>
      </w:r>
    </w:p>
    <w:p w14:paraId="221A7D7A">
      <w:pPr>
        <w:pStyle w:val="13"/>
        <w:tabs>
          <w:tab w:val="left" w:pos="480"/>
          <w:tab w:val="right" w:leader="dot" w:pos="9016"/>
        </w:tabs>
        <w:rPr>
          <w:rFonts w:eastAsiaTheme="minorEastAsia" w:cstheme="minorBidi"/>
          <w:b w:val="0"/>
          <w:bCs w:val="0"/>
          <w:iCs w:val="0"/>
          <w:color w:val="auto"/>
          <w:sz w:val="22"/>
          <w:szCs w:val="22"/>
          <w:lang w:eastAsia="en-GB"/>
        </w:rPr>
      </w:pPr>
      <w:r>
        <w:fldChar w:fldCharType="begin"/>
      </w:r>
      <w:r>
        <w:instrText xml:space="preserve"> HYPERLINK \l "_Toc68274949" </w:instrText>
      </w:r>
      <w:r>
        <w:fldChar w:fldCharType="separate"/>
      </w:r>
      <w:r>
        <w:rPr>
          <w:rStyle w:val="10"/>
        </w:rPr>
        <w:t>3</w:t>
      </w:r>
      <w:r>
        <w:rPr>
          <w:rFonts w:eastAsiaTheme="minorEastAsia" w:cstheme="minorBidi"/>
          <w:b w:val="0"/>
          <w:bCs w:val="0"/>
          <w:iCs w:val="0"/>
          <w:color w:val="auto"/>
          <w:sz w:val="22"/>
          <w:szCs w:val="22"/>
          <w:lang w:eastAsia="en-GB"/>
        </w:rPr>
        <w:tab/>
      </w:r>
      <w:r>
        <w:rPr>
          <w:rStyle w:val="10"/>
        </w:rPr>
        <w:t>Incident detection and analysis</w:t>
      </w:r>
      <w:r>
        <w:tab/>
      </w:r>
      <w:r>
        <w:fldChar w:fldCharType="begin"/>
      </w:r>
      <w:r>
        <w:instrText xml:space="preserve"> PAGEREF _Toc68274949 \h </w:instrText>
      </w:r>
      <w:r>
        <w:fldChar w:fldCharType="separate"/>
      </w:r>
      <w:r>
        <w:t>11</w:t>
      </w:r>
      <w:r>
        <w:fldChar w:fldCharType="end"/>
      </w:r>
      <w:r>
        <w:fldChar w:fldCharType="end"/>
      </w:r>
    </w:p>
    <w:p w14:paraId="6D4C8756">
      <w:pPr>
        <w:pStyle w:val="14"/>
        <w:tabs>
          <w:tab w:val="left" w:pos="960"/>
          <w:tab w:val="right" w:leader="dot" w:pos="9016"/>
        </w:tabs>
        <w:rPr>
          <w:rFonts w:eastAsiaTheme="minorEastAsia" w:cstheme="minorBidi"/>
          <w:b w:val="0"/>
          <w:bCs w:val="0"/>
          <w:color w:val="auto"/>
          <w:lang w:eastAsia="en-GB"/>
        </w:rPr>
      </w:pPr>
      <w:r>
        <w:fldChar w:fldCharType="begin"/>
      </w:r>
      <w:r>
        <w:instrText xml:space="preserve"> HYPERLINK \l "_Toc68274950" </w:instrText>
      </w:r>
      <w:r>
        <w:fldChar w:fldCharType="separate"/>
      </w:r>
      <w:r>
        <w:rPr>
          <w:rStyle w:val="10"/>
        </w:rPr>
        <w:t>3.1</w:t>
      </w:r>
      <w:r>
        <w:rPr>
          <w:rFonts w:eastAsiaTheme="minorEastAsia" w:cstheme="minorBidi"/>
          <w:b w:val="0"/>
          <w:bCs w:val="0"/>
          <w:color w:val="auto"/>
          <w:lang w:eastAsia="en-GB"/>
        </w:rPr>
        <w:tab/>
      </w:r>
      <w:r>
        <w:rPr>
          <w:rStyle w:val="10"/>
        </w:rPr>
        <w:t>Impact assessment</w:t>
      </w:r>
      <w:r>
        <w:tab/>
      </w:r>
      <w:r>
        <w:fldChar w:fldCharType="begin"/>
      </w:r>
      <w:r>
        <w:instrText xml:space="preserve"> PAGEREF _Toc68274950 \h </w:instrText>
      </w:r>
      <w:r>
        <w:fldChar w:fldCharType="separate"/>
      </w:r>
      <w:r>
        <w:t>11</w:t>
      </w:r>
      <w:r>
        <w:fldChar w:fldCharType="end"/>
      </w:r>
      <w:r>
        <w:fldChar w:fldCharType="end"/>
      </w:r>
    </w:p>
    <w:p w14:paraId="2BF0DC2A">
      <w:pPr>
        <w:pStyle w:val="14"/>
        <w:tabs>
          <w:tab w:val="left" w:pos="960"/>
          <w:tab w:val="right" w:leader="dot" w:pos="9016"/>
        </w:tabs>
        <w:rPr>
          <w:rFonts w:eastAsiaTheme="minorEastAsia" w:cstheme="minorBidi"/>
          <w:b w:val="0"/>
          <w:bCs w:val="0"/>
          <w:color w:val="auto"/>
          <w:lang w:eastAsia="en-GB"/>
        </w:rPr>
      </w:pPr>
      <w:r>
        <w:fldChar w:fldCharType="begin"/>
      </w:r>
      <w:r>
        <w:instrText xml:space="preserve"> HYPERLINK \l "_Toc68274951" </w:instrText>
      </w:r>
      <w:r>
        <w:fldChar w:fldCharType="separate"/>
      </w:r>
      <w:r>
        <w:rPr>
          <w:rStyle w:val="10"/>
        </w:rPr>
        <w:t>3.2</w:t>
      </w:r>
      <w:r>
        <w:rPr>
          <w:rFonts w:eastAsiaTheme="minorEastAsia" w:cstheme="minorBidi"/>
          <w:b w:val="0"/>
          <w:bCs w:val="0"/>
          <w:color w:val="auto"/>
          <w:lang w:eastAsia="en-GB"/>
        </w:rPr>
        <w:tab/>
      </w:r>
      <w:r>
        <w:rPr>
          <w:rStyle w:val="10"/>
        </w:rPr>
        <w:t>Incident prioritisation</w:t>
      </w:r>
      <w:r>
        <w:tab/>
      </w:r>
      <w:r>
        <w:fldChar w:fldCharType="begin"/>
      </w:r>
      <w:r>
        <w:instrText xml:space="preserve"> PAGEREF _Toc68274951 \h </w:instrText>
      </w:r>
      <w:r>
        <w:fldChar w:fldCharType="separate"/>
      </w:r>
      <w:r>
        <w:t>11</w:t>
      </w:r>
      <w:r>
        <w:fldChar w:fldCharType="end"/>
      </w:r>
      <w:r>
        <w:fldChar w:fldCharType="end"/>
      </w:r>
    </w:p>
    <w:p w14:paraId="523AFCB7">
      <w:pPr>
        <w:pStyle w:val="13"/>
        <w:tabs>
          <w:tab w:val="left" w:pos="480"/>
          <w:tab w:val="right" w:leader="dot" w:pos="9016"/>
        </w:tabs>
        <w:rPr>
          <w:rFonts w:eastAsiaTheme="minorEastAsia" w:cstheme="minorBidi"/>
          <w:b w:val="0"/>
          <w:bCs w:val="0"/>
          <w:iCs w:val="0"/>
          <w:color w:val="auto"/>
          <w:sz w:val="22"/>
          <w:szCs w:val="22"/>
          <w:lang w:eastAsia="en-GB"/>
        </w:rPr>
      </w:pPr>
      <w:r>
        <w:fldChar w:fldCharType="begin"/>
      </w:r>
      <w:r>
        <w:instrText xml:space="preserve"> HYPERLINK \l "_Toc68274952" </w:instrText>
      </w:r>
      <w:r>
        <w:fldChar w:fldCharType="separate"/>
      </w:r>
      <w:r>
        <w:rPr>
          <w:rStyle w:val="10"/>
        </w:rPr>
        <w:t>4</w:t>
      </w:r>
      <w:r>
        <w:rPr>
          <w:rFonts w:eastAsiaTheme="minorEastAsia" w:cstheme="minorBidi"/>
          <w:b w:val="0"/>
          <w:bCs w:val="0"/>
          <w:iCs w:val="0"/>
          <w:color w:val="auto"/>
          <w:sz w:val="22"/>
          <w:szCs w:val="22"/>
          <w:lang w:eastAsia="en-GB"/>
        </w:rPr>
        <w:tab/>
      </w:r>
      <w:r>
        <w:rPr>
          <w:rStyle w:val="10"/>
        </w:rPr>
        <w:t>Activating the incident response procedure</w:t>
      </w:r>
      <w:r>
        <w:tab/>
      </w:r>
      <w:r>
        <w:fldChar w:fldCharType="begin"/>
      </w:r>
      <w:r>
        <w:instrText xml:space="preserve"> PAGEREF _Toc68274952 \h </w:instrText>
      </w:r>
      <w:r>
        <w:fldChar w:fldCharType="separate"/>
      </w:r>
      <w:r>
        <w:t>13</w:t>
      </w:r>
      <w:r>
        <w:fldChar w:fldCharType="end"/>
      </w:r>
      <w:r>
        <w:fldChar w:fldCharType="end"/>
      </w:r>
    </w:p>
    <w:p w14:paraId="3BFDE0EE">
      <w:pPr>
        <w:pStyle w:val="13"/>
        <w:tabs>
          <w:tab w:val="left" w:pos="480"/>
          <w:tab w:val="right" w:leader="dot" w:pos="9016"/>
        </w:tabs>
        <w:rPr>
          <w:rFonts w:eastAsiaTheme="minorEastAsia" w:cstheme="minorBidi"/>
          <w:b w:val="0"/>
          <w:bCs w:val="0"/>
          <w:iCs w:val="0"/>
          <w:color w:val="auto"/>
          <w:sz w:val="22"/>
          <w:szCs w:val="22"/>
          <w:lang w:eastAsia="en-GB"/>
        </w:rPr>
      </w:pPr>
      <w:r>
        <w:fldChar w:fldCharType="begin"/>
      </w:r>
      <w:r>
        <w:instrText xml:space="preserve"> HYPERLINK \l "_Toc68274953" </w:instrText>
      </w:r>
      <w:r>
        <w:fldChar w:fldCharType="separate"/>
      </w:r>
      <w:r>
        <w:rPr>
          <w:rStyle w:val="10"/>
        </w:rPr>
        <w:t>5</w:t>
      </w:r>
      <w:r>
        <w:rPr>
          <w:rFonts w:eastAsiaTheme="minorEastAsia" w:cstheme="minorBidi"/>
          <w:b w:val="0"/>
          <w:bCs w:val="0"/>
          <w:iCs w:val="0"/>
          <w:color w:val="auto"/>
          <w:sz w:val="22"/>
          <w:szCs w:val="22"/>
          <w:lang w:eastAsia="en-GB"/>
        </w:rPr>
        <w:tab/>
      </w:r>
      <w:r>
        <w:rPr>
          <w:rStyle w:val="10"/>
        </w:rPr>
        <w:t>Assemble incident response team</w:t>
      </w:r>
      <w:r>
        <w:tab/>
      </w:r>
      <w:r>
        <w:fldChar w:fldCharType="begin"/>
      </w:r>
      <w:r>
        <w:instrText xml:space="preserve"> PAGEREF _Toc68274953 \h </w:instrText>
      </w:r>
      <w:r>
        <w:fldChar w:fldCharType="separate"/>
      </w:r>
      <w:r>
        <w:t>14</w:t>
      </w:r>
      <w:r>
        <w:fldChar w:fldCharType="end"/>
      </w:r>
      <w:r>
        <w:fldChar w:fldCharType="end"/>
      </w:r>
    </w:p>
    <w:p w14:paraId="15AAEC3F">
      <w:pPr>
        <w:pStyle w:val="14"/>
        <w:tabs>
          <w:tab w:val="left" w:pos="960"/>
          <w:tab w:val="right" w:leader="dot" w:pos="9016"/>
        </w:tabs>
        <w:rPr>
          <w:rFonts w:eastAsiaTheme="minorEastAsia" w:cstheme="minorBidi"/>
          <w:b w:val="0"/>
          <w:bCs w:val="0"/>
          <w:color w:val="auto"/>
          <w:lang w:eastAsia="en-GB"/>
        </w:rPr>
      </w:pPr>
      <w:r>
        <w:fldChar w:fldCharType="begin"/>
      </w:r>
      <w:r>
        <w:instrText xml:space="preserve"> HYPERLINK \l "_Toc68274954" </w:instrText>
      </w:r>
      <w:r>
        <w:fldChar w:fldCharType="separate"/>
      </w:r>
      <w:r>
        <w:rPr>
          <w:rStyle w:val="10"/>
        </w:rPr>
        <w:t>5.1</w:t>
      </w:r>
      <w:r>
        <w:rPr>
          <w:rFonts w:eastAsiaTheme="minorEastAsia" w:cstheme="minorBidi"/>
          <w:b w:val="0"/>
          <w:bCs w:val="0"/>
          <w:color w:val="auto"/>
          <w:lang w:eastAsia="en-GB"/>
        </w:rPr>
        <w:tab/>
      </w:r>
      <w:r>
        <w:rPr>
          <w:rStyle w:val="10"/>
        </w:rPr>
        <w:t>Incident response team members</w:t>
      </w:r>
      <w:r>
        <w:tab/>
      </w:r>
      <w:r>
        <w:fldChar w:fldCharType="begin"/>
      </w:r>
      <w:r>
        <w:instrText xml:space="preserve"> PAGEREF _Toc68274954 \h </w:instrText>
      </w:r>
      <w:r>
        <w:fldChar w:fldCharType="separate"/>
      </w:r>
      <w:r>
        <w:t>14</w:t>
      </w:r>
      <w:r>
        <w:fldChar w:fldCharType="end"/>
      </w:r>
      <w:r>
        <w:fldChar w:fldCharType="end"/>
      </w:r>
    </w:p>
    <w:p w14:paraId="5935E1EF">
      <w:pPr>
        <w:pStyle w:val="14"/>
        <w:tabs>
          <w:tab w:val="left" w:pos="960"/>
          <w:tab w:val="right" w:leader="dot" w:pos="9016"/>
        </w:tabs>
        <w:rPr>
          <w:rFonts w:eastAsiaTheme="minorEastAsia" w:cstheme="minorBidi"/>
          <w:b w:val="0"/>
          <w:bCs w:val="0"/>
          <w:color w:val="auto"/>
          <w:lang w:eastAsia="en-GB"/>
        </w:rPr>
      </w:pPr>
      <w:r>
        <w:fldChar w:fldCharType="begin"/>
      </w:r>
      <w:r>
        <w:instrText xml:space="preserve"> HYPERLINK \l "_Toc68274955" </w:instrText>
      </w:r>
      <w:r>
        <w:fldChar w:fldCharType="separate"/>
      </w:r>
      <w:r>
        <w:rPr>
          <w:rStyle w:val="10"/>
        </w:rPr>
        <w:t>5.2</w:t>
      </w:r>
      <w:r>
        <w:rPr>
          <w:rFonts w:eastAsiaTheme="minorEastAsia" w:cstheme="minorBidi"/>
          <w:b w:val="0"/>
          <w:bCs w:val="0"/>
          <w:color w:val="auto"/>
          <w:lang w:eastAsia="en-GB"/>
        </w:rPr>
        <w:tab/>
      </w:r>
      <w:r>
        <w:rPr>
          <w:rStyle w:val="10"/>
        </w:rPr>
        <w:t>Roles and responsibilities</w:t>
      </w:r>
      <w:r>
        <w:tab/>
      </w:r>
      <w:r>
        <w:fldChar w:fldCharType="begin"/>
      </w:r>
      <w:r>
        <w:instrText xml:space="preserve"> PAGEREF _Toc68274955 \h </w:instrText>
      </w:r>
      <w:r>
        <w:fldChar w:fldCharType="separate"/>
      </w:r>
      <w:r>
        <w:t>15</w:t>
      </w:r>
      <w:r>
        <w:fldChar w:fldCharType="end"/>
      </w:r>
      <w:r>
        <w:fldChar w:fldCharType="end"/>
      </w:r>
    </w:p>
    <w:p w14:paraId="03297EBF">
      <w:pPr>
        <w:pStyle w:val="15"/>
        <w:tabs>
          <w:tab w:val="left" w:pos="1200"/>
          <w:tab w:val="right" w:leader="dot" w:pos="9016"/>
        </w:tabs>
        <w:rPr>
          <w:rFonts w:eastAsiaTheme="minorEastAsia" w:cstheme="minorBidi"/>
          <w:color w:val="auto"/>
          <w:sz w:val="22"/>
          <w:szCs w:val="22"/>
          <w:lang w:eastAsia="en-GB"/>
        </w:rPr>
      </w:pPr>
      <w:r>
        <w:fldChar w:fldCharType="begin"/>
      </w:r>
      <w:r>
        <w:instrText xml:space="preserve"> HYPERLINK \l "_Toc68274956" </w:instrText>
      </w:r>
      <w:r>
        <w:fldChar w:fldCharType="separate"/>
      </w:r>
      <w:r>
        <w:rPr>
          <w:rStyle w:val="10"/>
        </w:rPr>
        <w:t>5.2.1</w:t>
      </w:r>
      <w:r>
        <w:rPr>
          <w:rFonts w:eastAsiaTheme="minorEastAsia" w:cstheme="minorBidi"/>
          <w:color w:val="auto"/>
          <w:sz w:val="22"/>
          <w:szCs w:val="22"/>
          <w:lang w:eastAsia="en-GB"/>
        </w:rPr>
        <w:tab/>
      </w:r>
      <w:r>
        <w:rPr>
          <w:rStyle w:val="10"/>
        </w:rPr>
        <w:t>Team leader</w:t>
      </w:r>
      <w:r>
        <w:tab/>
      </w:r>
      <w:r>
        <w:fldChar w:fldCharType="begin"/>
      </w:r>
      <w:r>
        <w:instrText xml:space="preserve"> PAGEREF _Toc68274956 \h </w:instrText>
      </w:r>
      <w:r>
        <w:fldChar w:fldCharType="separate"/>
      </w:r>
      <w:r>
        <w:t>15</w:t>
      </w:r>
      <w:r>
        <w:fldChar w:fldCharType="end"/>
      </w:r>
      <w:r>
        <w:fldChar w:fldCharType="end"/>
      </w:r>
    </w:p>
    <w:p w14:paraId="69F00E98">
      <w:pPr>
        <w:pStyle w:val="15"/>
        <w:tabs>
          <w:tab w:val="left" w:pos="1200"/>
          <w:tab w:val="right" w:leader="dot" w:pos="9016"/>
        </w:tabs>
        <w:rPr>
          <w:rFonts w:eastAsiaTheme="minorEastAsia" w:cstheme="minorBidi"/>
          <w:color w:val="auto"/>
          <w:sz w:val="22"/>
          <w:szCs w:val="22"/>
          <w:lang w:eastAsia="en-GB"/>
        </w:rPr>
      </w:pPr>
      <w:r>
        <w:fldChar w:fldCharType="begin"/>
      </w:r>
      <w:r>
        <w:instrText xml:space="preserve"> HYPERLINK \l "_Toc68274957" </w:instrText>
      </w:r>
      <w:r>
        <w:fldChar w:fldCharType="separate"/>
      </w:r>
      <w:r>
        <w:rPr>
          <w:rStyle w:val="10"/>
        </w:rPr>
        <w:t>5.2.2</w:t>
      </w:r>
      <w:r>
        <w:rPr>
          <w:rFonts w:eastAsiaTheme="minorEastAsia" w:cstheme="minorBidi"/>
          <w:color w:val="auto"/>
          <w:sz w:val="22"/>
          <w:szCs w:val="22"/>
          <w:lang w:eastAsia="en-GB"/>
        </w:rPr>
        <w:tab/>
      </w:r>
      <w:r>
        <w:rPr>
          <w:rStyle w:val="10"/>
        </w:rPr>
        <w:t>Team facilitator</w:t>
      </w:r>
      <w:r>
        <w:tab/>
      </w:r>
      <w:r>
        <w:fldChar w:fldCharType="begin"/>
      </w:r>
      <w:r>
        <w:instrText xml:space="preserve"> PAGEREF _Toc68274957 \h </w:instrText>
      </w:r>
      <w:r>
        <w:fldChar w:fldCharType="separate"/>
      </w:r>
      <w:r>
        <w:t>15</w:t>
      </w:r>
      <w:r>
        <w:fldChar w:fldCharType="end"/>
      </w:r>
      <w:r>
        <w:fldChar w:fldCharType="end"/>
      </w:r>
    </w:p>
    <w:p w14:paraId="396CD9AD">
      <w:pPr>
        <w:pStyle w:val="15"/>
        <w:tabs>
          <w:tab w:val="left" w:pos="1200"/>
          <w:tab w:val="right" w:leader="dot" w:pos="9016"/>
        </w:tabs>
        <w:rPr>
          <w:rFonts w:eastAsiaTheme="minorEastAsia" w:cstheme="minorBidi"/>
          <w:color w:val="auto"/>
          <w:sz w:val="22"/>
          <w:szCs w:val="22"/>
          <w:lang w:eastAsia="en-GB"/>
        </w:rPr>
      </w:pPr>
      <w:r>
        <w:fldChar w:fldCharType="begin"/>
      </w:r>
      <w:r>
        <w:instrText xml:space="preserve"> HYPERLINK \l "_Toc68274958" </w:instrText>
      </w:r>
      <w:r>
        <w:fldChar w:fldCharType="separate"/>
      </w:r>
      <w:r>
        <w:rPr>
          <w:rStyle w:val="10"/>
        </w:rPr>
        <w:t>5.2.3</w:t>
      </w:r>
      <w:r>
        <w:rPr>
          <w:rFonts w:eastAsiaTheme="minorEastAsia" w:cstheme="minorBidi"/>
          <w:color w:val="auto"/>
          <w:sz w:val="22"/>
          <w:szCs w:val="22"/>
          <w:lang w:eastAsia="en-GB"/>
        </w:rPr>
        <w:tab/>
      </w:r>
      <w:r>
        <w:rPr>
          <w:rStyle w:val="10"/>
        </w:rPr>
        <w:t>Incident liaison</w:t>
      </w:r>
      <w:r>
        <w:tab/>
      </w:r>
      <w:r>
        <w:fldChar w:fldCharType="begin"/>
      </w:r>
      <w:r>
        <w:instrText xml:space="preserve"> PAGEREF _Toc68274958 \h </w:instrText>
      </w:r>
      <w:r>
        <w:fldChar w:fldCharType="separate"/>
      </w:r>
      <w:r>
        <w:t>15</w:t>
      </w:r>
      <w:r>
        <w:fldChar w:fldCharType="end"/>
      </w:r>
      <w:r>
        <w:fldChar w:fldCharType="end"/>
      </w:r>
    </w:p>
    <w:p w14:paraId="1FE7A761">
      <w:pPr>
        <w:pStyle w:val="15"/>
        <w:tabs>
          <w:tab w:val="left" w:pos="1200"/>
          <w:tab w:val="right" w:leader="dot" w:pos="9016"/>
        </w:tabs>
        <w:rPr>
          <w:rFonts w:eastAsiaTheme="minorEastAsia" w:cstheme="minorBidi"/>
          <w:color w:val="auto"/>
          <w:sz w:val="22"/>
          <w:szCs w:val="22"/>
          <w:lang w:eastAsia="en-GB"/>
        </w:rPr>
      </w:pPr>
      <w:r>
        <w:fldChar w:fldCharType="begin"/>
      </w:r>
      <w:r>
        <w:instrText xml:space="preserve"> HYPERLINK \l "_Toc68274959" </w:instrText>
      </w:r>
      <w:r>
        <w:fldChar w:fldCharType="separate"/>
      </w:r>
      <w:r>
        <w:rPr>
          <w:rStyle w:val="10"/>
        </w:rPr>
        <w:t>5.2.4</w:t>
      </w:r>
      <w:r>
        <w:rPr>
          <w:rFonts w:eastAsiaTheme="minorEastAsia" w:cstheme="minorBidi"/>
          <w:color w:val="auto"/>
          <w:sz w:val="22"/>
          <w:szCs w:val="22"/>
          <w:lang w:eastAsia="en-GB"/>
        </w:rPr>
        <w:tab/>
      </w:r>
      <w:r>
        <w:rPr>
          <w:rStyle w:val="10"/>
        </w:rPr>
        <w:t>Information technology</w:t>
      </w:r>
      <w:r>
        <w:tab/>
      </w:r>
      <w:r>
        <w:fldChar w:fldCharType="begin"/>
      </w:r>
      <w:r>
        <w:instrText xml:space="preserve"> PAGEREF _Toc68274959 \h </w:instrText>
      </w:r>
      <w:r>
        <w:fldChar w:fldCharType="separate"/>
      </w:r>
      <w:r>
        <w:t>15</w:t>
      </w:r>
      <w:r>
        <w:fldChar w:fldCharType="end"/>
      </w:r>
      <w:r>
        <w:fldChar w:fldCharType="end"/>
      </w:r>
    </w:p>
    <w:p w14:paraId="150CEC70">
      <w:pPr>
        <w:pStyle w:val="15"/>
        <w:tabs>
          <w:tab w:val="left" w:pos="1200"/>
          <w:tab w:val="right" w:leader="dot" w:pos="9016"/>
        </w:tabs>
        <w:rPr>
          <w:rFonts w:eastAsiaTheme="minorEastAsia" w:cstheme="minorBidi"/>
          <w:color w:val="auto"/>
          <w:sz w:val="22"/>
          <w:szCs w:val="22"/>
          <w:lang w:eastAsia="en-GB"/>
        </w:rPr>
      </w:pPr>
      <w:r>
        <w:fldChar w:fldCharType="begin"/>
      </w:r>
      <w:r>
        <w:instrText xml:space="preserve"> HYPERLINK \l "_Toc68274960" </w:instrText>
      </w:r>
      <w:r>
        <w:fldChar w:fldCharType="separate"/>
      </w:r>
      <w:r>
        <w:rPr>
          <w:rStyle w:val="10"/>
        </w:rPr>
        <w:t>5.2.5</w:t>
      </w:r>
      <w:r>
        <w:rPr>
          <w:rFonts w:eastAsiaTheme="minorEastAsia" w:cstheme="minorBidi"/>
          <w:color w:val="auto"/>
          <w:sz w:val="22"/>
          <w:szCs w:val="22"/>
          <w:lang w:eastAsia="en-GB"/>
        </w:rPr>
        <w:tab/>
      </w:r>
      <w:r>
        <w:rPr>
          <w:rStyle w:val="10"/>
        </w:rPr>
        <w:t>Business operations</w:t>
      </w:r>
      <w:r>
        <w:tab/>
      </w:r>
      <w:r>
        <w:fldChar w:fldCharType="begin"/>
      </w:r>
      <w:r>
        <w:instrText xml:space="preserve"> PAGEREF _Toc68274960 \h </w:instrText>
      </w:r>
      <w:r>
        <w:fldChar w:fldCharType="separate"/>
      </w:r>
      <w:r>
        <w:t>16</w:t>
      </w:r>
      <w:r>
        <w:fldChar w:fldCharType="end"/>
      </w:r>
      <w:r>
        <w:fldChar w:fldCharType="end"/>
      </w:r>
    </w:p>
    <w:p w14:paraId="2BD74102">
      <w:pPr>
        <w:pStyle w:val="15"/>
        <w:tabs>
          <w:tab w:val="left" w:pos="1200"/>
          <w:tab w:val="right" w:leader="dot" w:pos="9016"/>
        </w:tabs>
        <w:rPr>
          <w:rFonts w:eastAsiaTheme="minorEastAsia" w:cstheme="minorBidi"/>
          <w:color w:val="auto"/>
          <w:sz w:val="22"/>
          <w:szCs w:val="22"/>
          <w:lang w:eastAsia="en-GB"/>
        </w:rPr>
      </w:pPr>
      <w:r>
        <w:fldChar w:fldCharType="begin"/>
      </w:r>
      <w:r>
        <w:instrText xml:space="preserve"> HYPERLINK \l "_Toc68274961" </w:instrText>
      </w:r>
      <w:r>
        <w:fldChar w:fldCharType="separate"/>
      </w:r>
      <w:r>
        <w:rPr>
          <w:rStyle w:val="10"/>
        </w:rPr>
        <w:t>5.2.6</w:t>
      </w:r>
      <w:r>
        <w:rPr>
          <w:rFonts w:eastAsiaTheme="minorEastAsia" w:cstheme="minorBidi"/>
          <w:color w:val="auto"/>
          <w:sz w:val="22"/>
          <w:szCs w:val="22"/>
          <w:lang w:eastAsia="en-GB"/>
        </w:rPr>
        <w:tab/>
      </w:r>
      <w:r>
        <w:rPr>
          <w:rStyle w:val="10"/>
        </w:rPr>
        <w:t>Facilities management</w:t>
      </w:r>
      <w:r>
        <w:tab/>
      </w:r>
      <w:r>
        <w:fldChar w:fldCharType="begin"/>
      </w:r>
      <w:r>
        <w:instrText xml:space="preserve"> PAGEREF _Toc68274961 \h </w:instrText>
      </w:r>
      <w:r>
        <w:fldChar w:fldCharType="separate"/>
      </w:r>
      <w:r>
        <w:t>16</w:t>
      </w:r>
      <w:r>
        <w:fldChar w:fldCharType="end"/>
      </w:r>
      <w:r>
        <w:fldChar w:fldCharType="end"/>
      </w:r>
    </w:p>
    <w:p w14:paraId="7BE5A5AA">
      <w:pPr>
        <w:pStyle w:val="15"/>
        <w:tabs>
          <w:tab w:val="left" w:pos="1200"/>
          <w:tab w:val="right" w:leader="dot" w:pos="9016"/>
        </w:tabs>
        <w:rPr>
          <w:rFonts w:eastAsiaTheme="minorEastAsia" w:cstheme="minorBidi"/>
          <w:color w:val="auto"/>
          <w:sz w:val="22"/>
          <w:szCs w:val="22"/>
          <w:lang w:eastAsia="en-GB"/>
        </w:rPr>
      </w:pPr>
      <w:r>
        <w:fldChar w:fldCharType="begin"/>
      </w:r>
      <w:r>
        <w:instrText xml:space="preserve"> HYPERLINK \l "_Toc68274962" </w:instrText>
      </w:r>
      <w:r>
        <w:fldChar w:fldCharType="separate"/>
      </w:r>
      <w:r>
        <w:rPr>
          <w:rStyle w:val="10"/>
        </w:rPr>
        <w:t>5.2.7</w:t>
      </w:r>
      <w:r>
        <w:rPr>
          <w:rFonts w:eastAsiaTheme="minorEastAsia" w:cstheme="minorBidi"/>
          <w:color w:val="auto"/>
          <w:sz w:val="22"/>
          <w:szCs w:val="22"/>
          <w:lang w:eastAsia="en-GB"/>
        </w:rPr>
        <w:tab/>
      </w:r>
      <w:r>
        <w:rPr>
          <w:rStyle w:val="10"/>
        </w:rPr>
        <w:t>Health and safety</w:t>
      </w:r>
      <w:r>
        <w:tab/>
      </w:r>
      <w:r>
        <w:fldChar w:fldCharType="begin"/>
      </w:r>
      <w:r>
        <w:instrText xml:space="preserve"> PAGEREF _Toc68274962 \h </w:instrText>
      </w:r>
      <w:r>
        <w:fldChar w:fldCharType="separate"/>
      </w:r>
      <w:r>
        <w:t>16</w:t>
      </w:r>
      <w:r>
        <w:fldChar w:fldCharType="end"/>
      </w:r>
      <w:r>
        <w:fldChar w:fldCharType="end"/>
      </w:r>
    </w:p>
    <w:p w14:paraId="341176F3">
      <w:pPr>
        <w:pStyle w:val="15"/>
        <w:tabs>
          <w:tab w:val="left" w:pos="1200"/>
          <w:tab w:val="right" w:leader="dot" w:pos="9016"/>
        </w:tabs>
        <w:rPr>
          <w:rFonts w:eastAsiaTheme="minorEastAsia" w:cstheme="minorBidi"/>
          <w:color w:val="auto"/>
          <w:sz w:val="22"/>
          <w:szCs w:val="22"/>
          <w:lang w:eastAsia="en-GB"/>
        </w:rPr>
      </w:pPr>
      <w:r>
        <w:fldChar w:fldCharType="begin"/>
      </w:r>
      <w:r>
        <w:instrText xml:space="preserve"> HYPERLINK \l "_Toc68274963" </w:instrText>
      </w:r>
      <w:r>
        <w:fldChar w:fldCharType="separate"/>
      </w:r>
      <w:r>
        <w:rPr>
          <w:rStyle w:val="10"/>
        </w:rPr>
        <w:t>5.2.8</w:t>
      </w:r>
      <w:r>
        <w:rPr>
          <w:rFonts w:eastAsiaTheme="minorEastAsia" w:cstheme="minorBidi"/>
          <w:color w:val="auto"/>
          <w:sz w:val="22"/>
          <w:szCs w:val="22"/>
          <w:lang w:eastAsia="en-GB"/>
        </w:rPr>
        <w:tab/>
      </w:r>
      <w:r>
        <w:rPr>
          <w:rStyle w:val="10"/>
        </w:rPr>
        <w:t>Human resources</w:t>
      </w:r>
      <w:r>
        <w:tab/>
      </w:r>
      <w:r>
        <w:fldChar w:fldCharType="begin"/>
      </w:r>
      <w:r>
        <w:instrText xml:space="preserve"> PAGEREF _Toc68274963 \h </w:instrText>
      </w:r>
      <w:r>
        <w:fldChar w:fldCharType="separate"/>
      </w:r>
      <w:r>
        <w:t>16</w:t>
      </w:r>
      <w:r>
        <w:fldChar w:fldCharType="end"/>
      </w:r>
      <w:r>
        <w:fldChar w:fldCharType="end"/>
      </w:r>
    </w:p>
    <w:p w14:paraId="1D0D1C6D">
      <w:pPr>
        <w:pStyle w:val="15"/>
        <w:tabs>
          <w:tab w:val="left" w:pos="1200"/>
          <w:tab w:val="right" w:leader="dot" w:pos="9016"/>
        </w:tabs>
        <w:rPr>
          <w:rFonts w:eastAsiaTheme="minorEastAsia" w:cstheme="minorBidi"/>
          <w:color w:val="auto"/>
          <w:sz w:val="22"/>
          <w:szCs w:val="22"/>
          <w:lang w:eastAsia="en-GB"/>
        </w:rPr>
      </w:pPr>
      <w:r>
        <w:fldChar w:fldCharType="begin"/>
      </w:r>
      <w:r>
        <w:instrText xml:space="preserve"> HYPERLINK \l "_Toc68274964" </w:instrText>
      </w:r>
      <w:r>
        <w:fldChar w:fldCharType="separate"/>
      </w:r>
      <w:r>
        <w:rPr>
          <w:rStyle w:val="10"/>
        </w:rPr>
        <w:t>5.2.9</w:t>
      </w:r>
      <w:r>
        <w:rPr>
          <w:rFonts w:eastAsiaTheme="minorEastAsia" w:cstheme="minorBidi"/>
          <w:color w:val="auto"/>
          <w:sz w:val="22"/>
          <w:szCs w:val="22"/>
          <w:lang w:eastAsia="en-GB"/>
        </w:rPr>
        <w:tab/>
      </w:r>
      <w:r>
        <w:rPr>
          <w:rStyle w:val="10"/>
        </w:rPr>
        <w:t>Business continuity planning</w:t>
      </w:r>
      <w:r>
        <w:tab/>
      </w:r>
      <w:r>
        <w:fldChar w:fldCharType="begin"/>
      </w:r>
      <w:r>
        <w:instrText xml:space="preserve"> PAGEREF _Toc68274964 \h </w:instrText>
      </w:r>
      <w:r>
        <w:fldChar w:fldCharType="separate"/>
      </w:r>
      <w:r>
        <w:t>16</w:t>
      </w:r>
      <w:r>
        <w:fldChar w:fldCharType="end"/>
      </w:r>
      <w:r>
        <w:fldChar w:fldCharType="end"/>
      </w:r>
    </w:p>
    <w:p w14:paraId="1B083467">
      <w:pPr>
        <w:pStyle w:val="15"/>
        <w:tabs>
          <w:tab w:val="left" w:pos="1440"/>
          <w:tab w:val="right" w:leader="dot" w:pos="9016"/>
        </w:tabs>
        <w:rPr>
          <w:rFonts w:eastAsiaTheme="minorEastAsia" w:cstheme="minorBidi"/>
          <w:color w:val="auto"/>
          <w:sz w:val="22"/>
          <w:szCs w:val="22"/>
          <w:lang w:eastAsia="en-GB"/>
        </w:rPr>
      </w:pPr>
      <w:r>
        <w:fldChar w:fldCharType="begin"/>
      </w:r>
      <w:r>
        <w:instrText xml:space="preserve"> HYPERLINK \l "_Toc68274965" </w:instrText>
      </w:r>
      <w:r>
        <w:fldChar w:fldCharType="separate"/>
      </w:r>
      <w:r>
        <w:rPr>
          <w:rStyle w:val="10"/>
        </w:rPr>
        <w:t>5.2.10</w:t>
      </w:r>
      <w:r>
        <w:rPr>
          <w:rFonts w:eastAsiaTheme="minorEastAsia" w:cstheme="minorBidi"/>
          <w:color w:val="auto"/>
          <w:sz w:val="22"/>
          <w:szCs w:val="22"/>
          <w:lang w:eastAsia="en-GB"/>
        </w:rPr>
        <w:tab/>
      </w:r>
      <w:r>
        <w:rPr>
          <w:rStyle w:val="10"/>
        </w:rPr>
        <w:t>Communications (PR and media relations)</w:t>
      </w:r>
      <w:r>
        <w:tab/>
      </w:r>
      <w:r>
        <w:fldChar w:fldCharType="begin"/>
      </w:r>
      <w:r>
        <w:instrText xml:space="preserve"> PAGEREF _Toc68274965 \h </w:instrText>
      </w:r>
      <w:r>
        <w:fldChar w:fldCharType="separate"/>
      </w:r>
      <w:r>
        <w:t>16</w:t>
      </w:r>
      <w:r>
        <w:fldChar w:fldCharType="end"/>
      </w:r>
      <w:r>
        <w:fldChar w:fldCharType="end"/>
      </w:r>
    </w:p>
    <w:p w14:paraId="24CF0CBD">
      <w:pPr>
        <w:pStyle w:val="15"/>
        <w:tabs>
          <w:tab w:val="left" w:pos="1440"/>
          <w:tab w:val="right" w:leader="dot" w:pos="9016"/>
        </w:tabs>
        <w:rPr>
          <w:rFonts w:eastAsiaTheme="minorEastAsia" w:cstheme="minorBidi"/>
          <w:color w:val="auto"/>
          <w:sz w:val="22"/>
          <w:szCs w:val="22"/>
          <w:lang w:eastAsia="en-GB"/>
        </w:rPr>
      </w:pPr>
      <w:r>
        <w:fldChar w:fldCharType="begin"/>
      </w:r>
      <w:r>
        <w:instrText xml:space="preserve"> HYPERLINK \l "_Toc68274966" </w:instrText>
      </w:r>
      <w:r>
        <w:fldChar w:fldCharType="separate"/>
      </w:r>
      <w:r>
        <w:rPr>
          <w:rStyle w:val="10"/>
        </w:rPr>
        <w:t>5.2.11</w:t>
      </w:r>
      <w:r>
        <w:rPr>
          <w:rFonts w:eastAsiaTheme="minorEastAsia" w:cstheme="minorBidi"/>
          <w:color w:val="auto"/>
          <w:sz w:val="22"/>
          <w:szCs w:val="22"/>
          <w:lang w:eastAsia="en-GB"/>
        </w:rPr>
        <w:tab/>
      </w:r>
      <w:r>
        <w:rPr>
          <w:rStyle w:val="10"/>
        </w:rPr>
        <w:t>Legal and regulatory</w:t>
      </w:r>
      <w:r>
        <w:tab/>
      </w:r>
      <w:r>
        <w:fldChar w:fldCharType="begin"/>
      </w:r>
      <w:r>
        <w:instrText xml:space="preserve"> PAGEREF _Toc68274966 \h </w:instrText>
      </w:r>
      <w:r>
        <w:fldChar w:fldCharType="separate"/>
      </w:r>
      <w:r>
        <w:t>17</w:t>
      </w:r>
      <w:r>
        <w:fldChar w:fldCharType="end"/>
      </w:r>
      <w:r>
        <w:fldChar w:fldCharType="end"/>
      </w:r>
    </w:p>
    <w:p w14:paraId="362886C7">
      <w:pPr>
        <w:pStyle w:val="14"/>
        <w:tabs>
          <w:tab w:val="left" w:pos="960"/>
          <w:tab w:val="right" w:leader="dot" w:pos="9016"/>
        </w:tabs>
        <w:rPr>
          <w:rFonts w:eastAsiaTheme="minorEastAsia" w:cstheme="minorBidi"/>
          <w:b w:val="0"/>
          <w:bCs w:val="0"/>
          <w:color w:val="auto"/>
          <w:lang w:eastAsia="en-GB"/>
        </w:rPr>
      </w:pPr>
      <w:r>
        <w:fldChar w:fldCharType="begin"/>
      </w:r>
      <w:r>
        <w:instrText xml:space="preserve"> HYPERLINK \l "_Toc68274967" </w:instrText>
      </w:r>
      <w:r>
        <w:fldChar w:fldCharType="separate"/>
      </w:r>
      <w:r>
        <w:rPr>
          <w:rStyle w:val="10"/>
        </w:rPr>
        <w:t>5.3</w:t>
      </w:r>
      <w:r>
        <w:rPr>
          <w:rFonts w:eastAsiaTheme="minorEastAsia" w:cstheme="minorBidi"/>
          <w:b w:val="0"/>
          <w:bCs w:val="0"/>
          <w:color w:val="auto"/>
          <w:lang w:eastAsia="en-GB"/>
        </w:rPr>
        <w:tab/>
      </w:r>
      <w:r>
        <w:rPr>
          <w:rStyle w:val="10"/>
        </w:rPr>
        <w:t>RACI matrix</w:t>
      </w:r>
      <w:r>
        <w:tab/>
      </w:r>
      <w:r>
        <w:fldChar w:fldCharType="begin"/>
      </w:r>
      <w:r>
        <w:instrText xml:space="preserve"> PAGEREF _Toc68274967 \h </w:instrText>
      </w:r>
      <w:r>
        <w:fldChar w:fldCharType="separate"/>
      </w:r>
      <w:r>
        <w:t>17</w:t>
      </w:r>
      <w:r>
        <w:fldChar w:fldCharType="end"/>
      </w:r>
      <w:r>
        <w:fldChar w:fldCharType="end"/>
      </w:r>
    </w:p>
    <w:p w14:paraId="4BC74B25">
      <w:pPr>
        <w:pStyle w:val="14"/>
        <w:tabs>
          <w:tab w:val="left" w:pos="960"/>
          <w:tab w:val="right" w:leader="dot" w:pos="9016"/>
        </w:tabs>
        <w:rPr>
          <w:rFonts w:eastAsiaTheme="minorEastAsia" w:cstheme="minorBidi"/>
          <w:b w:val="0"/>
          <w:bCs w:val="0"/>
          <w:color w:val="auto"/>
          <w:lang w:eastAsia="en-GB"/>
        </w:rPr>
      </w:pPr>
      <w:r>
        <w:fldChar w:fldCharType="begin"/>
      </w:r>
      <w:r>
        <w:instrText xml:space="preserve"> HYPERLINK \l "_Toc68274968" </w:instrText>
      </w:r>
      <w:r>
        <w:fldChar w:fldCharType="separate"/>
      </w:r>
      <w:r>
        <w:rPr>
          <w:rStyle w:val="10"/>
        </w:rPr>
        <w:t>5.4</w:t>
      </w:r>
      <w:r>
        <w:rPr>
          <w:rFonts w:eastAsiaTheme="minorEastAsia" w:cstheme="minorBidi"/>
          <w:b w:val="0"/>
          <w:bCs w:val="0"/>
          <w:color w:val="auto"/>
          <w:lang w:eastAsia="en-GB"/>
        </w:rPr>
        <w:tab/>
      </w:r>
      <w:r>
        <w:rPr>
          <w:rStyle w:val="10"/>
        </w:rPr>
        <w:t>Incident management, monitoring and communication</w:t>
      </w:r>
      <w:r>
        <w:tab/>
      </w:r>
      <w:r>
        <w:fldChar w:fldCharType="begin"/>
      </w:r>
      <w:r>
        <w:instrText xml:space="preserve"> PAGEREF _Toc68274968 \h </w:instrText>
      </w:r>
      <w:r>
        <w:fldChar w:fldCharType="separate"/>
      </w:r>
      <w:r>
        <w:t>18</w:t>
      </w:r>
      <w:r>
        <w:fldChar w:fldCharType="end"/>
      </w:r>
      <w:r>
        <w:fldChar w:fldCharType="end"/>
      </w:r>
    </w:p>
    <w:p w14:paraId="379AB5E4">
      <w:pPr>
        <w:pStyle w:val="14"/>
        <w:tabs>
          <w:tab w:val="left" w:pos="960"/>
          <w:tab w:val="right" w:leader="dot" w:pos="9016"/>
        </w:tabs>
        <w:rPr>
          <w:rFonts w:eastAsiaTheme="minorEastAsia" w:cstheme="minorBidi"/>
          <w:b w:val="0"/>
          <w:bCs w:val="0"/>
          <w:color w:val="auto"/>
          <w:lang w:eastAsia="en-GB"/>
        </w:rPr>
      </w:pPr>
      <w:r>
        <w:fldChar w:fldCharType="begin"/>
      </w:r>
      <w:r>
        <w:instrText xml:space="preserve"> HYPERLINK \l "_Toc68274969" </w:instrText>
      </w:r>
      <w:r>
        <w:fldChar w:fldCharType="separate"/>
      </w:r>
      <w:r>
        <w:rPr>
          <w:rStyle w:val="10"/>
        </w:rPr>
        <w:t>5.5</w:t>
      </w:r>
      <w:r>
        <w:rPr>
          <w:rFonts w:eastAsiaTheme="minorEastAsia" w:cstheme="minorBidi"/>
          <w:b w:val="0"/>
          <w:bCs w:val="0"/>
          <w:color w:val="auto"/>
          <w:lang w:eastAsia="en-GB"/>
        </w:rPr>
        <w:tab/>
      </w:r>
      <w:r>
        <w:rPr>
          <w:rStyle w:val="10"/>
        </w:rPr>
        <w:t>Communication procedures</w:t>
      </w:r>
      <w:r>
        <w:tab/>
      </w:r>
      <w:r>
        <w:fldChar w:fldCharType="begin"/>
      </w:r>
      <w:r>
        <w:instrText xml:space="preserve"> PAGEREF _Toc68274969 \h </w:instrText>
      </w:r>
      <w:r>
        <w:fldChar w:fldCharType="separate"/>
      </w:r>
      <w:r>
        <w:t>18</w:t>
      </w:r>
      <w:r>
        <w:fldChar w:fldCharType="end"/>
      </w:r>
      <w:r>
        <w:fldChar w:fldCharType="end"/>
      </w:r>
    </w:p>
    <w:p w14:paraId="4540B170">
      <w:pPr>
        <w:pStyle w:val="15"/>
        <w:tabs>
          <w:tab w:val="left" w:pos="1200"/>
          <w:tab w:val="right" w:leader="dot" w:pos="9016"/>
        </w:tabs>
        <w:rPr>
          <w:rFonts w:eastAsiaTheme="minorEastAsia" w:cstheme="minorBidi"/>
          <w:color w:val="auto"/>
          <w:sz w:val="22"/>
          <w:szCs w:val="22"/>
          <w:lang w:eastAsia="en-GB"/>
        </w:rPr>
      </w:pPr>
      <w:r>
        <w:fldChar w:fldCharType="begin"/>
      </w:r>
      <w:r>
        <w:instrText xml:space="preserve"> HYPERLINK \l "_Toc68274970" </w:instrText>
      </w:r>
      <w:r>
        <w:fldChar w:fldCharType="separate"/>
      </w:r>
      <w:r>
        <w:rPr>
          <w:rStyle w:val="10"/>
        </w:rPr>
        <w:t>5.5.1</w:t>
      </w:r>
      <w:r>
        <w:rPr>
          <w:rFonts w:eastAsiaTheme="minorEastAsia" w:cstheme="minorBidi"/>
          <w:color w:val="auto"/>
          <w:sz w:val="22"/>
          <w:szCs w:val="22"/>
          <w:lang w:eastAsia="en-GB"/>
        </w:rPr>
        <w:tab/>
      </w:r>
      <w:r>
        <w:rPr>
          <w:rStyle w:val="10"/>
        </w:rPr>
        <w:t>External communication</w:t>
      </w:r>
      <w:r>
        <w:tab/>
      </w:r>
      <w:r>
        <w:fldChar w:fldCharType="begin"/>
      </w:r>
      <w:r>
        <w:instrText xml:space="preserve"> PAGEREF _Toc68274970 \h </w:instrText>
      </w:r>
      <w:r>
        <w:fldChar w:fldCharType="separate"/>
      </w:r>
      <w:r>
        <w:t>19</w:t>
      </w:r>
      <w:r>
        <w:fldChar w:fldCharType="end"/>
      </w:r>
      <w:r>
        <w:fldChar w:fldCharType="end"/>
      </w:r>
    </w:p>
    <w:p w14:paraId="5DE3E5B6">
      <w:pPr>
        <w:pStyle w:val="15"/>
        <w:tabs>
          <w:tab w:val="left" w:pos="1200"/>
          <w:tab w:val="right" w:leader="dot" w:pos="9016"/>
        </w:tabs>
        <w:rPr>
          <w:rFonts w:eastAsiaTheme="minorEastAsia" w:cstheme="minorBidi"/>
          <w:color w:val="auto"/>
          <w:sz w:val="22"/>
          <w:szCs w:val="22"/>
          <w:lang w:eastAsia="en-GB"/>
        </w:rPr>
      </w:pPr>
      <w:r>
        <w:fldChar w:fldCharType="begin"/>
      </w:r>
      <w:r>
        <w:instrText xml:space="preserve"> HYPERLINK \l "_Toc68274971" </w:instrText>
      </w:r>
      <w:r>
        <w:fldChar w:fldCharType="separate"/>
      </w:r>
      <w:r>
        <w:rPr>
          <w:rStyle w:val="10"/>
        </w:rPr>
        <w:t>5.5.2</w:t>
      </w:r>
      <w:r>
        <w:rPr>
          <w:rFonts w:eastAsiaTheme="minorEastAsia" w:cstheme="minorBidi"/>
          <w:color w:val="auto"/>
          <w:sz w:val="22"/>
          <w:szCs w:val="22"/>
          <w:lang w:eastAsia="en-GB"/>
        </w:rPr>
        <w:tab/>
      </w:r>
      <w:r>
        <w:rPr>
          <w:rStyle w:val="10"/>
        </w:rPr>
        <w:t>Communication with the media</w:t>
      </w:r>
      <w:r>
        <w:tab/>
      </w:r>
      <w:r>
        <w:fldChar w:fldCharType="begin"/>
      </w:r>
      <w:r>
        <w:instrText xml:space="preserve"> PAGEREF _Toc68274971 \h </w:instrText>
      </w:r>
      <w:r>
        <w:fldChar w:fldCharType="separate"/>
      </w:r>
      <w:r>
        <w:t>19</w:t>
      </w:r>
      <w:r>
        <w:fldChar w:fldCharType="end"/>
      </w:r>
      <w:r>
        <w:fldChar w:fldCharType="end"/>
      </w:r>
    </w:p>
    <w:p w14:paraId="0AF050A9">
      <w:pPr>
        <w:pStyle w:val="13"/>
        <w:tabs>
          <w:tab w:val="left" w:pos="480"/>
          <w:tab w:val="right" w:leader="dot" w:pos="9016"/>
        </w:tabs>
        <w:rPr>
          <w:rFonts w:eastAsiaTheme="minorEastAsia" w:cstheme="minorBidi"/>
          <w:b w:val="0"/>
          <w:bCs w:val="0"/>
          <w:iCs w:val="0"/>
          <w:color w:val="auto"/>
          <w:sz w:val="22"/>
          <w:szCs w:val="22"/>
          <w:lang w:eastAsia="en-GB"/>
        </w:rPr>
      </w:pPr>
      <w:r>
        <w:fldChar w:fldCharType="begin"/>
      </w:r>
      <w:r>
        <w:instrText xml:space="preserve"> HYPERLINK \l "_Toc68274972" </w:instrText>
      </w:r>
      <w:r>
        <w:fldChar w:fldCharType="separate"/>
      </w:r>
      <w:r>
        <w:rPr>
          <w:rStyle w:val="10"/>
        </w:rPr>
        <w:t>6</w:t>
      </w:r>
      <w:r>
        <w:rPr>
          <w:rFonts w:eastAsiaTheme="minorEastAsia" w:cstheme="minorBidi"/>
          <w:b w:val="0"/>
          <w:bCs w:val="0"/>
          <w:iCs w:val="0"/>
          <w:color w:val="auto"/>
          <w:sz w:val="22"/>
          <w:szCs w:val="22"/>
          <w:lang w:eastAsia="en-GB"/>
        </w:rPr>
        <w:tab/>
      </w:r>
      <w:r>
        <w:rPr>
          <w:rStyle w:val="10"/>
        </w:rPr>
        <w:t>Incident containment, eradication, recovery and notification</w:t>
      </w:r>
      <w:r>
        <w:tab/>
      </w:r>
      <w:r>
        <w:fldChar w:fldCharType="begin"/>
      </w:r>
      <w:r>
        <w:instrText xml:space="preserve"> PAGEREF _Toc68274972 \h </w:instrText>
      </w:r>
      <w:r>
        <w:fldChar w:fldCharType="separate"/>
      </w:r>
      <w:r>
        <w:t>21</w:t>
      </w:r>
      <w:r>
        <w:fldChar w:fldCharType="end"/>
      </w:r>
      <w:r>
        <w:fldChar w:fldCharType="end"/>
      </w:r>
    </w:p>
    <w:p w14:paraId="40531931">
      <w:pPr>
        <w:pStyle w:val="14"/>
        <w:tabs>
          <w:tab w:val="left" w:pos="960"/>
          <w:tab w:val="right" w:leader="dot" w:pos="9016"/>
        </w:tabs>
        <w:rPr>
          <w:rFonts w:eastAsiaTheme="minorEastAsia" w:cstheme="minorBidi"/>
          <w:b w:val="0"/>
          <w:bCs w:val="0"/>
          <w:color w:val="auto"/>
          <w:lang w:eastAsia="en-GB"/>
        </w:rPr>
      </w:pPr>
      <w:r>
        <w:fldChar w:fldCharType="begin"/>
      </w:r>
      <w:r>
        <w:instrText xml:space="preserve"> HYPERLINK \l "_Toc68274973" </w:instrText>
      </w:r>
      <w:r>
        <w:fldChar w:fldCharType="separate"/>
      </w:r>
      <w:r>
        <w:rPr>
          <w:rStyle w:val="10"/>
        </w:rPr>
        <w:t>6.1</w:t>
      </w:r>
      <w:r>
        <w:rPr>
          <w:rFonts w:eastAsiaTheme="minorEastAsia" w:cstheme="minorBidi"/>
          <w:b w:val="0"/>
          <w:bCs w:val="0"/>
          <w:color w:val="auto"/>
          <w:lang w:eastAsia="en-GB"/>
        </w:rPr>
        <w:tab/>
      </w:r>
      <w:r>
        <w:rPr>
          <w:rStyle w:val="10"/>
        </w:rPr>
        <w:t>Containment</w:t>
      </w:r>
      <w:r>
        <w:tab/>
      </w:r>
      <w:r>
        <w:fldChar w:fldCharType="begin"/>
      </w:r>
      <w:r>
        <w:instrText xml:space="preserve"> PAGEREF _Toc68274973 \h </w:instrText>
      </w:r>
      <w:r>
        <w:fldChar w:fldCharType="separate"/>
      </w:r>
      <w:r>
        <w:t>21</w:t>
      </w:r>
      <w:r>
        <w:fldChar w:fldCharType="end"/>
      </w:r>
      <w:r>
        <w:fldChar w:fldCharType="end"/>
      </w:r>
    </w:p>
    <w:p w14:paraId="4EFA56AD">
      <w:pPr>
        <w:pStyle w:val="14"/>
        <w:tabs>
          <w:tab w:val="left" w:pos="960"/>
          <w:tab w:val="right" w:leader="dot" w:pos="9016"/>
        </w:tabs>
        <w:rPr>
          <w:rFonts w:eastAsiaTheme="minorEastAsia" w:cstheme="minorBidi"/>
          <w:b w:val="0"/>
          <w:bCs w:val="0"/>
          <w:color w:val="auto"/>
          <w:lang w:eastAsia="en-GB"/>
        </w:rPr>
      </w:pPr>
      <w:r>
        <w:fldChar w:fldCharType="begin"/>
      </w:r>
      <w:r>
        <w:instrText xml:space="preserve"> HYPERLINK \l "_Toc68274974" </w:instrText>
      </w:r>
      <w:r>
        <w:fldChar w:fldCharType="separate"/>
      </w:r>
      <w:r>
        <w:rPr>
          <w:rStyle w:val="10"/>
        </w:rPr>
        <w:t>6.2</w:t>
      </w:r>
      <w:r>
        <w:rPr>
          <w:rFonts w:eastAsiaTheme="minorEastAsia" w:cstheme="minorBidi"/>
          <w:b w:val="0"/>
          <w:bCs w:val="0"/>
          <w:color w:val="auto"/>
          <w:lang w:eastAsia="en-GB"/>
        </w:rPr>
        <w:tab/>
      </w:r>
      <w:r>
        <w:rPr>
          <w:rStyle w:val="10"/>
        </w:rPr>
        <w:t>Eradication</w:t>
      </w:r>
      <w:r>
        <w:tab/>
      </w:r>
      <w:r>
        <w:fldChar w:fldCharType="begin"/>
      </w:r>
      <w:r>
        <w:instrText xml:space="preserve"> PAGEREF _Toc68274974 \h </w:instrText>
      </w:r>
      <w:r>
        <w:fldChar w:fldCharType="separate"/>
      </w:r>
      <w:r>
        <w:t>22</w:t>
      </w:r>
      <w:r>
        <w:fldChar w:fldCharType="end"/>
      </w:r>
      <w:r>
        <w:fldChar w:fldCharType="end"/>
      </w:r>
    </w:p>
    <w:p w14:paraId="74DBF792">
      <w:pPr>
        <w:pStyle w:val="14"/>
        <w:tabs>
          <w:tab w:val="left" w:pos="960"/>
          <w:tab w:val="right" w:leader="dot" w:pos="9016"/>
        </w:tabs>
        <w:rPr>
          <w:rFonts w:eastAsiaTheme="minorEastAsia" w:cstheme="minorBidi"/>
          <w:b w:val="0"/>
          <w:bCs w:val="0"/>
          <w:color w:val="auto"/>
          <w:lang w:eastAsia="en-GB"/>
        </w:rPr>
      </w:pPr>
      <w:r>
        <w:fldChar w:fldCharType="begin"/>
      </w:r>
      <w:r>
        <w:instrText xml:space="preserve"> HYPERLINK \l "_Toc68274975" </w:instrText>
      </w:r>
      <w:r>
        <w:fldChar w:fldCharType="separate"/>
      </w:r>
      <w:r>
        <w:rPr>
          <w:rStyle w:val="10"/>
        </w:rPr>
        <w:t>6.3</w:t>
      </w:r>
      <w:r>
        <w:rPr>
          <w:rFonts w:eastAsiaTheme="minorEastAsia" w:cstheme="minorBidi"/>
          <w:b w:val="0"/>
          <w:bCs w:val="0"/>
          <w:color w:val="auto"/>
          <w:lang w:eastAsia="en-GB"/>
        </w:rPr>
        <w:tab/>
      </w:r>
      <w:r>
        <w:rPr>
          <w:rStyle w:val="10"/>
        </w:rPr>
        <w:t>Recovery</w:t>
      </w:r>
      <w:r>
        <w:tab/>
      </w:r>
      <w:r>
        <w:fldChar w:fldCharType="begin"/>
      </w:r>
      <w:r>
        <w:instrText xml:space="preserve"> PAGEREF _Toc68274975 \h </w:instrText>
      </w:r>
      <w:r>
        <w:fldChar w:fldCharType="separate"/>
      </w:r>
      <w:r>
        <w:t>22</w:t>
      </w:r>
      <w:r>
        <w:fldChar w:fldCharType="end"/>
      </w:r>
      <w:r>
        <w:fldChar w:fldCharType="end"/>
      </w:r>
    </w:p>
    <w:p w14:paraId="35B59C3E">
      <w:pPr>
        <w:pStyle w:val="14"/>
        <w:tabs>
          <w:tab w:val="left" w:pos="960"/>
          <w:tab w:val="right" w:leader="dot" w:pos="9016"/>
        </w:tabs>
        <w:rPr>
          <w:rFonts w:eastAsiaTheme="minorEastAsia" w:cstheme="minorBidi"/>
          <w:b w:val="0"/>
          <w:bCs w:val="0"/>
          <w:color w:val="auto"/>
          <w:lang w:eastAsia="en-GB"/>
        </w:rPr>
      </w:pPr>
      <w:r>
        <w:fldChar w:fldCharType="begin"/>
      </w:r>
      <w:r>
        <w:instrText xml:space="preserve"> HYPERLINK \l "_Toc68274976" </w:instrText>
      </w:r>
      <w:r>
        <w:fldChar w:fldCharType="separate"/>
      </w:r>
      <w:r>
        <w:rPr>
          <w:rStyle w:val="10"/>
        </w:rPr>
        <w:t>6.4</w:t>
      </w:r>
      <w:r>
        <w:rPr>
          <w:rFonts w:eastAsiaTheme="minorEastAsia" w:cstheme="minorBidi"/>
          <w:b w:val="0"/>
          <w:bCs w:val="0"/>
          <w:color w:val="auto"/>
          <w:lang w:eastAsia="en-GB"/>
        </w:rPr>
        <w:tab/>
      </w:r>
      <w:r>
        <w:rPr>
          <w:rStyle w:val="10"/>
        </w:rPr>
        <w:t>Notification</w:t>
      </w:r>
      <w:r>
        <w:tab/>
      </w:r>
      <w:r>
        <w:fldChar w:fldCharType="begin"/>
      </w:r>
      <w:r>
        <w:instrText xml:space="preserve"> PAGEREF _Toc68274976 \h </w:instrText>
      </w:r>
      <w:r>
        <w:fldChar w:fldCharType="separate"/>
      </w:r>
      <w:r>
        <w:t>23</w:t>
      </w:r>
      <w:r>
        <w:fldChar w:fldCharType="end"/>
      </w:r>
      <w:r>
        <w:fldChar w:fldCharType="end"/>
      </w:r>
    </w:p>
    <w:p w14:paraId="1337C846">
      <w:pPr>
        <w:pStyle w:val="13"/>
        <w:tabs>
          <w:tab w:val="left" w:pos="480"/>
          <w:tab w:val="right" w:leader="dot" w:pos="9016"/>
        </w:tabs>
        <w:rPr>
          <w:rFonts w:eastAsiaTheme="minorEastAsia" w:cstheme="minorBidi"/>
          <w:b w:val="0"/>
          <w:bCs w:val="0"/>
          <w:iCs w:val="0"/>
          <w:color w:val="auto"/>
          <w:sz w:val="22"/>
          <w:szCs w:val="22"/>
          <w:lang w:eastAsia="en-GB"/>
        </w:rPr>
      </w:pPr>
      <w:r>
        <w:fldChar w:fldCharType="begin"/>
      </w:r>
      <w:r>
        <w:instrText xml:space="preserve"> HYPERLINK \l "_Toc68274977" </w:instrText>
      </w:r>
      <w:r>
        <w:fldChar w:fldCharType="separate"/>
      </w:r>
      <w:r>
        <w:rPr>
          <w:rStyle w:val="10"/>
        </w:rPr>
        <w:t>7</w:t>
      </w:r>
      <w:r>
        <w:rPr>
          <w:rFonts w:eastAsiaTheme="minorEastAsia" w:cstheme="minorBidi"/>
          <w:b w:val="0"/>
          <w:bCs w:val="0"/>
          <w:iCs w:val="0"/>
          <w:color w:val="auto"/>
          <w:sz w:val="22"/>
          <w:szCs w:val="22"/>
          <w:lang w:eastAsia="en-GB"/>
        </w:rPr>
        <w:tab/>
      </w:r>
      <w:r>
        <w:rPr>
          <w:rStyle w:val="10"/>
        </w:rPr>
        <w:t>Post-incident activity</w:t>
      </w:r>
      <w:r>
        <w:tab/>
      </w:r>
      <w:r>
        <w:fldChar w:fldCharType="begin"/>
      </w:r>
      <w:r>
        <w:instrText xml:space="preserve"> PAGEREF _Toc68274977 \h </w:instrText>
      </w:r>
      <w:r>
        <w:fldChar w:fldCharType="separate"/>
      </w:r>
      <w:r>
        <w:t>24</w:t>
      </w:r>
      <w:r>
        <w:fldChar w:fldCharType="end"/>
      </w:r>
      <w:r>
        <w:fldChar w:fldCharType="end"/>
      </w:r>
    </w:p>
    <w:p w14:paraId="5E0ADF6C">
      <w:pPr>
        <w:pStyle w:val="13"/>
        <w:tabs>
          <w:tab w:val="left" w:pos="480"/>
          <w:tab w:val="right" w:leader="dot" w:pos="9016"/>
        </w:tabs>
        <w:rPr>
          <w:rFonts w:eastAsiaTheme="minorEastAsia" w:cstheme="minorBidi"/>
          <w:b w:val="0"/>
          <w:bCs w:val="0"/>
          <w:iCs w:val="0"/>
          <w:color w:val="auto"/>
          <w:sz w:val="22"/>
          <w:szCs w:val="22"/>
          <w:lang w:eastAsia="en-GB"/>
        </w:rPr>
      </w:pPr>
      <w:r>
        <w:fldChar w:fldCharType="begin"/>
      </w:r>
      <w:r>
        <w:instrText xml:space="preserve"> HYPERLINK \l "_Toc68274978" </w:instrText>
      </w:r>
      <w:r>
        <w:fldChar w:fldCharType="separate"/>
      </w:r>
      <w:r>
        <w:rPr>
          <w:rStyle w:val="10"/>
        </w:rPr>
        <w:t>8</w:t>
      </w:r>
      <w:r>
        <w:rPr>
          <w:rFonts w:eastAsiaTheme="minorEastAsia" w:cstheme="minorBidi"/>
          <w:b w:val="0"/>
          <w:bCs w:val="0"/>
          <w:iCs w:val="0"/>
          <w:color w:val="auto"/>
          <w:sz w:val="22"/>
          <w:szCs w:val="22"/>
          <w:lang w:eastAsia="en-GB"/>
        </w:rPr>
        <w:tab/>
      </w:r>
      <w:r>
        <w:rPr>
          <w:rStyle w:val="10"/>
        </w:rPr>
        <w:t>Appendix A: Initial response contact sheet</w:t>
      </w:r>
      <w:r>
        <w:tab/>
      </w:r>
      <w:r>
        <w:fldChar w:fldCharType="begin"/>
      </w:r>
      <w:r>
        <w:instrText xml:space="preserve"> PAGEREF _Toc68274978 \h </w:instrText>
      </w:r>
      <w:r>
        <w:fldChar w:fldCharType="separate"/>
      </w:r>
      <w:r>
        <w:t>25</w:t>
      </w:r>
      <w:r>
        <w:fldChar w:fldCharType="end"/>
      </w:r>
      <w:r>
        <w:fldChar w:fldCharType="end"/>
      </w:r>
    </w:p>
    <w:p w14:paraId="622A22B3">
      <w:pPr>
        <w:pStyle w:val="13"/>
        <w:tabs>
          <w:tab w:val="left" w:pos="480"/>
          <w:tab w:val="right" w:leader="dot" w:pos="9016"/>
        </w:tabs>
        <w:rPr>
          <w:rFonts w:eastAsiaTheme="minorEastAsia" w:cstheme="minorBidi"/>
          <w:b w:val="0"/>
          <w:bCs w:val="0"/>
          <w:iCs w:val="0"/>
          <w:color w:val="auto"/>
          <w:sz w:val="22"/>
          <w:szCs w:val="22"/>
          <w:lang w:eastAsia="en-GB"/>
        </w:rPr>
      </w:pPr>
      <w:r>
        <w:fldChar w:fldCharType="begin"/>
      </w:r>
      <w:r>
        <w:instrText xml:space="preserve"> HYPERLINK \l "_Toc68274979" </w:instrText>
      </w:r>
      <w:r>
        <w:fldChar w:fldCharType="separate"/>
      </w:r>
      <w:r>
        <w:rPr>
          <w:rStyle w:val="10"/>
        </w:rPr>
        <w:t>9</w:t>
      </w:r>
      <w:r>
        <w:rPr>
          <w:rFonts w:eastAsiaTheme="minorEastAsia" w:cstheme="minorBidi"/>
          <w:b w:val="0"/>
          <w:bCs w:val="0"/>
          <w:iCs w:val="0"/>
          <w:color w:val="auto"/>
          <w:sz w:val="22"/>
          <w:szCs w:val="22"/>
          <w:lang w:eastAsia="en-GB"/>
        </w:rPr>
        <w:tab/>
      </w:r>
      <w:r>
        <w:rPr>
          <w:rStyle w:val="10"/>
        </w:rPr>
        <w:t>Appendix B: Useful external contacts</w:t>
      </w:r>
      <w:r>
        <w:tab/>
      </w:r>
      <w:r>
        <w:fldChar w:fldCharType="begin"/>
      </w:r>
      <w:r>
        <w:instrText xml:space="preserve"> PAGEREF _Toc68274979 \h </w:instrText>
      </w:r>
      <w:r>
        <w:fldChar w:fldCharType="separate"/>
      </w:r>
      <w:r>
        <w:t>26</w:t>
      </w:r>
      <w:r>
        <w:fldChar w:fldCharType="end"/>
      </w:r>
      <w:r>
        <w:fldChar w:fldCharType="end"/>
      </w:r>
    </w:p>
    <w:p w14:paraId="05821F86">
      <w:pPr>
        <w:pStyle w:val="13"/>
        <w:tabs>
          <w:tab w:val="left" w:pos="480"/>
          <w:tab w:val="right" w:leader="dot" w:pos="9016"/>
        </w:tabs>
        <w:rPr>
          <w:rFonts w:eastAsiaTheme="minorEastAsia" w:cstheme="minorBidi"/>
          <w:b w:val="0"/>
          <w:bCs w:val="0"/>
          <w:iCs w:val="0"/>
          <w:color w:val="auto"/>
          <w:sz w:val="22"/>
          <w:szCs w:val="22"/>
          <w:lang w:eastAsia="en-GB"/>
        </w:rPr>
      </w:pPr>
      <w:r>
        <w:fldChar w:fldCharType="begin"/>
      </w:r>
      <w:r>
        <w:instrText xml:space="preserve"> HYPERLINK \l "_Toc68274980" </w:instrText>
      </w:r>
      <w:r>
        <w:fldChar w:fldCharType="separate"/>
      </w:r>
      <w:r>
        <w:rPr>
          <w:rStyle w:val="10"/>
        </w:rPr>
        <w:t>10</w:t>
      </w:r>
      <w:r>
        <w:rPr>
          <w:rFonts w:eastAsiaTheme="minorEastAsia" w:cstheme="minorBidi"/>
          <w:b w:val="0"/>
          <w:bCs w:val="0"/>
          <w:iCs w:val="0"/>
          <w:color w:val="auto"/>
          <w:sz w:val="22"/>
          <w:szCs w:val="22"/>
          <w:lang w:eastAsia="en-GB"/>
        </w:rPr>
        <w:tab/>
      </w:r>
      <w:r>
        <w:rPr>
          <w:rStyle w:val="10"/>
        </w:rPr>
        <w:t>Appendix C: Standard incident response team meeting agenda</w:t>
      </w:r>
      <w:r>
        <w:tab/>
      </w:r>
      <w:r>
        <w:fldChar w:fldCharType="begin"/>
      </w:r>
      <w:r>
        <w:instrText xml:space="preserve"> PAGEREF _Toc68274980 \h </w:instrText>
      </w:r>
      <w:r>
        <w:fldChar w:fldCharType="separate"/>
      </w:r>
      <w:r>
        <w:t>27</w:t>
      </w:r>
      <w:r>
        <w:fldChar w:fldCharType="end"/>
      </w:r>
      <w:r>
        <w:fldChar w:fldCharType="end"/>
      </w:r>
    </w:p>
    <w:p w14:paraId="06BBBC56">
      <w:r>
        <w:fldChar w:fldCharType="end"/>
      </w:r>
    </w:p>
    <w:p w14:paraId="4BD3B5DA"/>
    <w:p w14:paraId="6B34EC88">
      <w:pPr>
        <w:pStyle w:val="23"/>
      </w:pPr>
      <w:r>
        <w:t>Figures</w:t>
      </w:r>
    </w:p>
    <w:p w14:paraId="566DD262">
      <w:pPr>
        <w:pStyle w:val="12"/>
        <w:tabs>
          <w:tab w:val="right" w:leader="dot" w:pos="9016"/>
        </w:tabs>
        <w:rPr>
          <w:rFonts w:eastAsiaTheme="minorEastAsia" w:cstheme="minorBidi"/>
          <w:b w:val="0"/>
          <w:iCs w:val="0"/>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r>
        <w:fldChar w:fldCharType="begin"/>
      </w:r>
      <w:r>
        <w:instrText xml:space="preserve"> HYPERLINK \l "_Toc68274981" </w:instrText>
      </w:r>
      <w:r>
        <w:fldChar w:fldCharType="separate"/>
      </w:r>
      <w:r>
        <w:rPr>
          <w:rStyle w:val="10"/>
        </w:rPr>
        <w:t>Figure 1: Incident response flowchart</w:t>
      </w:r>
      <w:r>
        <w:tab/>
      </w:r>
      <w:r>
        <w:fldChar w:fldCharType="begin"/>
      </w:r>
      <w:r>
        <w:instrText xml:space="preserve"> PAGEREF _Toc68274981 \h </w:instrText>
      </w:r>
      <w:r>
        <w:fldChar w:fldCharType="separate"/>
      </w:r>
      <w:r>
        <w:t>10</w:t>
      </w:r>
      <w:r>
        <w:fldChar w:fldCharType="end"/>
      </w:r>
      <w:r>
        <w:fldChar w:fldCharType="end"/>
      </w:r>
    </w:p>
    <w:p w14:paraId="3B0C9718">
      <w:r>
        <w:rPr>
          <w:rFonts w:cstheme="minorHAnsi"/>
          <w:b/>
          <w:sz w:val="20"/>
        </w:rPr>
        <w:fldChar w:fldCharType="end"/>
      </w:r>
    </w:p>
    <w:p w14:paraId="6D0D53A0">
      <w:pPr>
        <w:pStyle w:val="23"/>
      </w:pPr>
      <w:r>
        <w:t>Tables</w:t>
      </w:r>
    </w:p>
    <w:p w14:paraId="2AF6EDDF">
      <w:pPr>
        <w:pStyle w:val="12"/>
        <w:tabs>
          <w:tab w:val="right" w:leader="dot" w:pos="9016"/>
        </w:tabs>
        <w:rPr>
          <w:rFonts w:eastAsiaTheme="minorEastAsia" w:cstheme="minorBidi"/>
          <w:b w:val="0"/>
          <w:iCs w:val="0"/>
          <w:color w:val="auto"/>
          <w:szCs w:val="22"/>
          <w:lang w:eastAsia="en-GB"/>
        </w:rPr>
      </w:pPr>
      <w:r>
        <w:rPr>
          <w:sz w:val="20"/>
        </w:rPr>
        <w:fldChar w:fldCharType="begin"/>
      </w:r>
      <w:r>
        <w:instrText xml:space="preserve"> TOC \h \z \c "Table" </w:instrText>
      </w:r>
      <w:r>
        <w:rPr>
          <w:sz w:val="20"/>
        </w:rPr>
        <w:fldChar w:fldCharType="separate"/>
      </w:r>
      <w:r>
        <w:fldChar w:fldCharType="begin"/>
      </w:r>
      <w:r>
        <w:instrText xml:space="preserve"> HYPERLINK \l "_Toc68274982" </w:instrText>
      </w:r>
      <w:r>
        <w:fldChar w:fldCharType="separate"/>
      </w:r>
      <w:r>
        <w:rPr>
          <w:rStyle w:val="10"/>
        </w:rPr>
        <w:t>Table 1: Incident priorities</w:t>
      </w:r>
      <w:r>
        <w:tab/>
      </w:r>
      <w:r>
        <w:fldChar w:fldCharType="begin"/>
      </w:r>
      <w:r>
        <w:instrText xml:space="preserve"> PAGEREF _Toc68274982 \h </w:instrText>
      </w:r>
      <w:r>
        <w:fldChar w:fldCharType="separate"/>
      </w:r>
      <w:r>
        <w:t>12</w:t>
      </w:r>
      <w:r>
        <w:fldChar w:fldCharType="end"/>
      </w:r>
      <w:r>
        <w:fldChar w:fldCharType="end"/>
      </w:r>
    </w:p>
    <w:p w14:paraId="5E1054A2">
      <w:pPr>
        <w:pStyle w:val="12"/>
        <w:tabs>
          <w:tab w:val="right" w:leader="dot" w:pos="9016"/>
        </w:tabs>
        <w:rPr>
          <w:rFonts w:eastAsiaTheme="minorEastAsia" w:cstheme="minorBidi"/>
          <w:b w:val="0"/>
          <w:iCs w:val="0"/>
          <w:color w:val="auto"/>
          <w:szCs w:val="22"/>
          <w:lang w:eastAsia="en-GB"/>
        </w:rPr>
      </w:pPr>
      <w:r>
        <w:fldChar w:fldCharType="begin"/>
      </w:r>
      <w:r>
        <w:instrText xml:space="preserve"> HYPERLINK \l "_Toc68274983" </w:instrText>
      </w:r>
      <w:r>
        <w:fldChar w:fldCharType="separate"/>
      </w:r>
      <w:r>
        <w:rPr>
          <w:rStyle w:val="10"/>
        </w:rPr>
        <w:t>Table 2: Incident response team members</w:t>
      </w:r>
      <w:r>
        <w:tab/>
      </w:r>
      <w:r>
        <w:fldChar w:fldCharType="begin"/>
      </w:r>
      <w:r>
        <w:instrText xml:space="preserve"> PAGEREF _Toc68274983 \h </w:instrText>
      </w:r>
      <w:r>
        <w:fldChar w:fldCharType="separate"/>
      </w:r>
      <w:r>
        <w:t>14</w:t>
      </w:r>
      <w:r>
        <w:fldChar w:fldCharType="end"/>
      </w:r>
      <w:r>
        <w:fldChar w:fldCharType="end"/>
      </w:r>
    </w:p>
    <w:p w14:paraId="338BB5C6">
      <w:pPr>
        <w:pStyle w:val="12"/>
        <w:tabs>
          <w:tab w:val="right" w:leader="dot" w:pos="9016"/>
        </w:tabs>
        <w:rPr>
          <w:rFonts w:eastAsiaTheme="minorEastAsia" w:cstheme="minorBidi"/>
          <w:b w:val="0"/>
          <w:iCs w:val="0"/>
          <w:color w:val="auto"/>
          <w:szCs w:val="22"/>
          <w:lang w:eastAsia="en-GB"/>
        </w:rPr>
      </w:pPr>
      <w:r>
        <w:fldChar w:fldCharType="begin"/>
      </w:r>
      <w:r>
        <w:instrText xml:space="preserve"> HYPERLINK \l "_Toc68274984" </w:instrText>
      </w:r>
      <w:r>
        <w:fldChar w:fldCharType="separate"/>
      </w:r>
      <w:r>
        <w:rPr>
          <w:rStyle w:val="10"/>
        </w:rPr>
        <w:t>Table 3: RACI matrix</w:t>
      </w:r>
      <w:r>
        <w:tab/>
      </w:r>
      <w:r>
        <w:fldChar w:fldCharType="begin"/>
      </w:r>
      <w:r>
        <w:instrText xml:space="preserve"> PAGEREF _Toc68274984 \h </w:instrText>
      </w:r>
      <w:r>
        <w:fldChar w:fldCharType="separate"/>
      </w:r>
      <w:r>
        <w:t>17</w:t>
      </w:r>
      <w:r>
        <w:fldChar w:fldCharType="end"/>
      </w:r>
      <w:r>
        <w:fldChar w:fldCharType="end"/>
      </w:r>
    </w:p>
    <w:p w14:paraId="11C94E7D">
      <w:pPr>
        <w:pStyle w:val="12"/>
        <w:tabs>
          <w:tab w:val="right" w:leader="dot" w:pos="9016"/>
        </w:tabs>
        <w:rPr>
          <w:rFonts w:eastAsiaTheme="minorEastAsia" w:cstheme="minorBidi"/>
          <w:b w:val="0"/>
          <w:iCs w:val="0"/>
          <w:color w:val="auto"/>
          <w:szCs w:val="22"/>
          <w:lang w:eastAsia="en-GB"/>
        </w:rPr>
      </w:pPr>
      <w:r>
        <w:fldChar w:fldCharType="begin"/>
      </w:r>
      <w:r>
        <w:instrText xml:space="preserve"> HYPERLINK \l "_Toc68274985" </w:instrText>
      </w:r>
      <w:r>
        <w:fldChar w:fldCharType="separate"/>
      </w:r>
      <w:r>
        <w:rPr>
          <w:rStyle w:val="10"/>
        </w:rPr>
        <w:t>Table 4: Media spokespeople</w:t>
      </w:r>
      <w:r>
        <w:tab/>
      </w:r>
      <w:r>
        <w:fldChar w:fldCharType="begin"/>
      </w:r>
      <w:r>
        <w:instrText xml:space="preserve"> PAGEREF _Toc68274985 \h </w:instrText>
      </w:r>
      <w:r>
        <w:fldChar w:fldCharType="separate"/>
      </w:r>
      <w:r>
        <w:t>20</w:t>
      </w:r>
      <w:r>
        <w:fldChar w:fldCharType="end"/>
      </w:r>
      <w:r>
        <w:fldChar w:fldCharType="end"/>
      </w:r>
    </w:p>
    <w:p w14:paraId="72D4D7EA">
      <w:pPr>
        <w:pStyle w:val="12"/>
        <w:tabs>
          <w:tab w:val="right" w:leader="dot" w:pos="9016"/>
        </w:tabs>
        <w:rPr>
          <w:rFonts w:eastAsiaTheme="minorEastAsia" w:cstheme="minorBidi"/>
          <w:b w:val="0"/>
          <w:iCs w:val="0"/>
          <w:color w:val="auto"/>
          <w:szCs w:val="22"/>
          <w:lang w:eastAsia="en-GB"/>
        </w:rPr>
      </w:pPr>
      <w:r>
        <w:fldChar w:fldCharType="begin"/>
      </w:r>
      <w:r>
        <w:instrText xml:space="preserve"> HYPERLINK \l "_Toc68274986" </w:instrText>
      </w:r>
      <w:r>
        <w:fldChar w:fldCharType="separate"/>
      </w:r>
      <w:r>
        <w:rPr>
          <w:rStyle w:val="10"/>
        </w:rPr>
        <w:t>Table 5: Initial response contact sheet</w:t>
      </w:r>
      <w:r>
        <w:tab/>
      </w:r>
      <w:r>
        <w:fldChar w:fldCharType="begin"/>
      </w:r>
      <w:r>
        <w:instrText xml:space="preserve"> PAGEREF _Toc68274986 \h </w:instrText>
      </w:r>
      <w:r>
        <w:fldChar w:fldCharType="separate"/>
      </w:r>
      <w:r>
        <w:t>25</w:t>
      </w:r>
      <w:r>
        <w:fldChar w:fldCharType="end"/>
      </w:r>
      <w:r>
        <w:fldChar w:fldCharType="end"/>
      </w:r>
    </w:p>
    <w:p w14:paraId="6A6C2949">
      <w:pPr>
        <w:pStyle w:val="12"/>
        <w:tabs>
          <w:tab w:val="right" w:leader="dot" w:pos="9016"/>
        </w:tabs>
        <w:rPr>
          <w:rFonts w:eastAsiaTheme="minorEastAsia" w:cstheme="minorBidi"/>
          <w:b w:val="0"/>
          <w:iCs w:val="0"/>
          <w:color w:val="auto"/>
          <w:szCs w:val="22"/>
          <w:lang w:eastAsia="en-GB"/>
        </w:rPr>
      </w:pPr>
      <w:r>
        <w:fldChar w:fldCharType="begin"/>
      </w:r>
      <w:r>
        <w:instrText xml:space="preserve"> HYPERLINK \l "_Toc68274987" </w:instrText>
      </w:r>
      <w:r>
        <w:fldChar w:fldCharType="separate"/>
      </w:r>
      <w:r>
        <w:rPr>
          <w:rStyle w:val="10"/>
        </w:rPr>
        <w:t>Table 6: Useful external contacts</w:t>
      </w:r>
      <w:r>
        <w:tab/>
      </w:r>
      <w:r>
        <w:fldChar w:fldCharType="begin"/>
      </w:r>
      <w:r>
        <w:instrText xml:space="preserve"> PAGEREF _Toc68274987 \h </w:instrText>
      </w:r>
      <w:r>
        <w:fldChar w:fldCharType="separate"/>
      </w:r>
      <w:r>
        <w:t>26</w:t>
      </w:r>
      <w:r>
        <w:fldChar w:fldCharType="end"/>
      </w:r>
      <w:r>
        <w:fldChar w:fldCharType="end"/>
      </w:r>
    </w:p>
    <w:p w14:paraId="5481865E">
      <w:r>
        <w:rPr>
          <w:rFonts w:cstheme="minorHAnsi"/>
        </w:rPr>
        <w:fldChar w:fldCharType="end"/>
      </w:r>
      <w:r>
        <w:br w:type="page"/>
      </w:r>
    </w:p>
    <w:p w14:paraId="34E7DE9E">
      <w:pPr>
        <w:pStyle w:val="2"/>
        <w:numPr>
          <w:ilvl w:val="0"/>
          <w:numId w:val="1"/>
        </w:numPr>
      </w:pPr>
      <w:bookmarkStart w:id="2" w:name="_Toc68274947"/>
      <w:r>
        <w:t>Introduction</w:t>
      </w:r>
      <w:bookmarkEnd w:id="2"/>
    </w:p>
    <w:p w14:paraId="3A08807E">
      <w:r>
        <w:t xml:space="preserve">This document is intended to be used when an incident of some kind has occurred that affects the information security of </w:t>
      </w:r>
      <w:r>
        <w:fldChar w:fldCharType="begin"/>
      </w:r>
      <w:r>
        <w:instrText xml:space="preserve"> DOCPROPERTY  "Organization Name"  \* MERGEFORMAT </w:instrText>
      </w:r>
      <w:r>
        <w:fldChar w:fldCharType="separate"/>
      </w:r>
      <w:r>
        <w:t>Bank Al-Afaq Al-Raqmiya (بنك الآفاق الرقمية)</w:t>
      </w:r>
      <w:r>
        <w:fldChar w:fldCharType="end"/>
      </w:r>
      <w:r>
        <w:t>. It is intended to ensure a quick, effective and orderly response to information security incidents.</w:t>
      </w:r>
    </w:p>
    <w:p w14:paraId="03F877EF">
      <w:r>
        <w:t>The procedures set out in this document should be used only as guidance when responding to an incident. The exact nature of an incident and its impact cannot be predicted with any degree of certainty and so it is important that a good degree of common sense is used when deciding the actions to take.</w:t>
      </w:r>
    </w:p>
    <w:p w14:paraId="05944668">
      <w:r>
        <w:t>However, it is intended that the structures set out here will prove useful in allowing the correct actions to be taken more quickly and based on more accurate information.</w:t>
      </w:r>
    </w:p>
    <w:p w14:paraId="3CD013AE">
      <w:r>
        <w:t>The objectives of this incident response procedure are to:</w:t>
      </w:r>
    </w:p>
    <w:p w14:paraId="158FD135">
      <w:pPr>
        <w:pStyle w:val="24"/>
        <w:numPr>
          <w:ilvl w:val="0"/>
          <w:numId w:val="2"/>
        </w:numPr>
      </w:pPr>
      <w:r>
        <w:t xml:space="preserve">Provide a concise overview of how </w:t>
      </w:r>
      <w:r>
        <w:fldChar w:fldCharType="begin"/>
      </w:r>
      <w:r>
        <w:instrText xml:space="preserve"> DOCPROPERTY  "Organization Name"  \* MERGEFORMAT </w:instrText>
      </w:r>
      <w:r>
        <w:fldChar w:fldCharType="separate"/>
      </w:r>
      <w:r>
        <w:t>Bank Al-Afaq Al-Raqmiya (بنك الآفاق الرقمية)</w:t>
      </w:r>
      <w:r>
        <w:fldChar w:fldCharType="end"/>
      </w:r>
      <w:r>
        <w:t xml:space="preserve"> will respond to an incident affecting its information security</w:t>
      </w:r>
    </w:p>
    <w:p w14:paraId="49598D4F">
      <w:pPr>
        <w:pStyle w:val="24"/>
        <w:numPr>
          <w:ilvl w:val="0"/>
          <w:numId w:val="2"/>
        </w:numPr>
      </w:pPr>
      <w:r>
        <w:t>Set out who will respond to an incident and their roles and responsibilities</w:t>
      </w:r>
    </w:p>
    <w:p w14:paraId="0B8EEC3D">
      <w:pPr>
        <w:pStyle w:val="24"/>
        <w:numPr>
          <w:ilvl w:val="0"/>
          <w:numId w:val="2"/>
        </w:numPr>
      </w:pPr>
      <w:r>
        <w:t>Describe the facilities that are in place to help with the management of the incident</w:t>
      </w:r>
    </w:p>
    <w:p w14:paraId="0509A027">
      <w:pPr>
        <w:pStyle w:val="24"/>
        <w:numPr>
          <w:ilvl w:val="0"/>
          <w:numId w:val="2"/>
        </w:numPr>
      </w:pPr>
      <w:r>
        <w:t>Define how decisions will be taken regarding our response to an incident</w:t>
      </w:r>
    </w:p>
    <w:p w14:paraId="5D51B04A">
      <w:pPr>
        <w:pStyle w:val="24"/>
        <w:numPr>
          <w:ilvl w:val="0"/>
          <w:numId w:val="2"/>
        </w:numPr>
      </w:pPr>
      <w:r>
        <w:t>Explain how communication within the organization and with external parties will be handled</w:t>
      </w:r>
    </w:p>
    <w:p w14:paraId="21E4E299">
      <w:pPr>
        <w:pStyle w:val="24"/>
        <w:numPr>
          <w:ilvl w:val="0"/>
          <w:numId w:val="2"/>
        </w:numPr>
      </w:pPr>
      <w:r>
        <w:t>Provide contact details for key people and external agencies</w:t>
      </w:r>
    </w:p>
    <w:p w14:paraId="7858EA64">
      <w:pPr>
        <w:pStyle w:val="24"/>
        <w:numPr>
          <w:ilvl w:val="0"/>
          <w:numId w:val="2"/>
        </w:numPr>
      </w:pPr>
      <w:r>
        <w:t>Define what will happen once the incident is resolved, and the responders are stood down</w:t>
      </w:r>
    </w:p>
    <w:p w14:paraId="53EF3D08">
      <w:r>
        <w:t>All members of staff named in this document will be given a copy which they must have available when required.</w:t>
      </w:r>
    </w:p>
    <w:p w14:paraId="112D7811">
      <w:r>
        <w:t xml:space="preserve">Contact details will be checked and updated at least </w:t>
      </w:r>
      <w:r>
        <w:rPr>
          <w:highlight w:val="yellow"/>
        </w:rPr>
        <w:t>three</w:t>
      </w:r>
      <w:r>
        <w:t xml:space="preserve"> times a year. Changes to contact or other relevant details that occur outside of these scheduled checks should be sent to </w:t>
      </w:r>
      <w:r>
        <w:fldChar w:fldCharType="begin"/>
      </w:r>
      <w:r>
        <w:instrText xml:space="preserve"> HYPERLINK "mailto:information.security@organization.com" </w:instrText>
      </w:r>
      <w:r>
        <w:fldChar w:fldCharType="separate"/>
      </w:r>
      <w:r>
        <w:rPr>
          <w:rStyle w:val="10"/>
          <w:highlight w:val="yellow"/>
        </w:rPr>
        <w:t>information.security@organization.com</w:t>
      </w:r>
      <w:r>
        <w:rPr>
          <w:rStyle w:val="10"/>
          <w:highlight w:val="yellow"/>
        </w:rPr>
        <w:fldChar w:fldCharType="end"/>
      </w:r>
      <w:r>
        <w:t xml:space="preserve"> as soon as possible after the change has occurred.</w:t>
      </w:r>
    </w:p>
    <w:p w14:paraId="1863E6DD">
      <w:r>
        <w:t>All personal information collected as part of the incident response procedure and contained in this document will be used purely for the purposes of information security incident management and is subject to relevant data protection legislation.</w:t>
      </w:r>
    </w:p>
    <w:p w14:paraId="4B9C7916">
      <w:pPr>
        <w:spacing w:before="0" w:after="160" w:line="259" w:lineRule="auto"/>
      </w:pPr>
      <w:r>
        <w:br w:type="page"/>
      </w:r>
    </w:p>
    <w:p w14:paraId="773DDCBF">
      <w:pPr>
        <w:pStyle w:val="2"/>
      </w:pPr>
      <w:bookmarkStart w:id="3" w:name="_Toc68274948"/>
      <w:r>
        <w:t>Incident response flowchart</w:t>
      </w:r>
      <w:bookmarkEnd w:id="3"/>
    </w:p>
    <w:p w14:paraId="4C7F883E">
      <w:r>
        <w:t>The flow of the incident response procedure is shown in the diagram below.</w:t>
      </w:r>
    </w:p>
    <w:p w14:paraId="76BE70A0">
      <w:pPr>
        <w:keepNext/>
        <w:jc w:val="center"/>
      </w:pPr>
      <w:r>
        <w:drawing>
          <wp:inline distT="0" distB="0" distL="0" distR="0">
            <wp:extent cx="4749800" cy="6848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752466" cy="6852270"/>
                    </a:xfrm>
                    <a:prstGeom prst="rect">
                      <a:avLst/>
                    </a:prstGeom>
                    <a:noFill/>
                    <a:ln>
                      <a:noFill/>
                    </a:ln>
                  </pic:spPr>
                </pic:pic>
              </a:graphicData>
            </a:graphic>
          </wp:inline>
        </w:drawing>
      </w:r>
    </w:p>
    <w:p w14:paraId="397A6D0C">
      <w:pPr>
        <w:pStyle w:val="7"/>
      </w:pPr>
      <w:bookmarkStart w:id="4" w:name="_Toc68274981"/>
      <w:r>
        <w:t xml:space="preserve">Figure </w:t>
      </w:r>
      <w:r>
        <w:fldChar w:fldCharType="begin"/>
      </w:r>
      <w:r>
        <w:instrText xml:space="preserve"> SEQ Figure \* ARABIC </w:instrText>
      </w:r>
      <w:r>
        <w:fldChar w:fldCharType="separate"/>
      </w:r>
      <w:r>
        <w:t>1</w:t>
      </w:r>
      <w:r>
        <w:fldChar w:fldCharType="end"/>
      </w:r>
      <w:r>
        <w:t>: Incident response flowchart</w:t>
      </w:r>
      <w:bookmarkEnd w:id="4"/>
    </w:p>
    <w:p w14:paraId="3954303F">
      <w:r>
        <w:t>These steps are explained in more detail in the rest of this procedure.</w:t>
      </w:r>
    </w:p>
    <w:p w14:paraId="43890015">
      <w:pPr>
        <w:pStyle w:val="2"/>
      </w:pPr>
      <w:r>
        <w:br w:type="page"/>
      </w:r>
      <w:bookmarkStart w:id="5" w:name="_Toc68274949"/>
      <w:r>
        <w:t>Incident detection and analysis</w:t>
      </w:r>
      <w:bookmarkEnd w:id="5"/>
    </w:p>
    <w:p w14:paraId="79FF0FE2">
      <w:r>
        <w:t xml:space="preserve">The incident may be initially detected in a wide variety of ways and through several different sources, depending on the nature and location of the incident. Some incidents may be self-detected via software tools used within </w:t>
      </w:r>
      <w:r>
        <w:fldChar w:fldCharType="begin"/>
      </w:r>
      <w:r>
        <w:instrText xml:space="preserve"> DOCPROPERTY  "Organization Name"  \* MERGEFORMAT </w:instrText>
      </w:r>
      <w:r>
        <w:fldChar w:fldCharType="separate"/>
      </w:r>
      <w:r>
        <w:t>Bank Al-Afaq Al-Raqmiya (بنك الآفاق الرقمية)</w:t>
      </w:r>
      <w:r>
        <w:fldChar w:fldCharType="end"/>
      </w:r>
      <w:r>
        <w:t xml:space="preserve"> or by employees noticing unusual activity (see the </w:t>
      </w:r>
      <w:r>
        <w:rPr>
          <w:i/>
          <w:iCs/>
        </w:rPr>
        <w:t>Information Security Event Assessment Procedure</w:t>
      </w:r>
      <w:r>
        <w:t xml:space="preserve"> for details of how events are assessed). Others may be notified by a third party such as a customer, supplier or law enforcement agency who has become aware of a breach perhaps because the stolen information has been used in some way for malicious purposes.</w:t>
      </w:r>
    </w:p>
    <w:p w14:paraId="49115234">
      <w:r>
        <w:t>It is not unusual for there to be a delay between the origin of the incident and its actual detection; one of the objectives of the Information Security Management System (ISMS) is to reduce this time period. The most important factor is that the incident response procedure must be started as quickly as possible after detection so that an effective response can be given.</w:t>
      </w:r>
    </w:p>
    <w:p w14:paraId="388B6D88"/>
    <w:p w14:paraId="0C2CEE73">
      <w:pPr>
        <w:pStyle w:val="3"/>
      </w:pPr>
      <w:bookmarkStart w:id="6" w:name="_Toc68274950"/>
      <w:r>
        <w:t>Impact assessment</w:t>
      </w:r>
      <w:bookmarkEnd w:id="6"/>
    </w:p>
    <w:p w14:paraId="36897C76">
      <w:r>
        <w:t xml:space="preserve">Once the incident has been detected, an initial impact assessment must be carried out </w:t>
      </w:r>
      <w:r>
        <w:rPr>
          <w:highlight w:val="yellow"/>
        </w:rPr>
        <w:t xml:space="preserve">(usually by the </w:t>
      </w:r>
      <w:r>
        <w:rPr>
          <w:highlight w:val="yellow"/>
        </w:rPr>
        <w:fldChar w:fldCharType="begin"/>
      </w:r>
      <w:r>
        <w:rPr>
          <w:highlight w:val="yellow"/>
        </w:rPr>
        <w:instrText xml:space="preserve"> DOCPROPERTY  "IT Service Desk"  \* MERGEFORMAT </w:instrText>
      </w:r>
      <w:r>
        <w:rPr>
          <w:highlight w:val="yellow"/>
        </w:rPr>
        <w:fldChar w:fldCharType="separate"/>
      </w:r>
      <w:r>
        <w:t>IT Service Desk / Technical Support Section</w:t>
      </w:r>
      <w:r>
        <w:rPr>
          <w:highlight w:val="yellow"/>
        </w:rPr>
        <w:fldChar w:fldCharType="end"/>
      </w:r>
      <w:r>
        <w:rPr>
          <w:highlight w:val="yellow"/>
        </w:rPr>
        <w:t>)</w:t>
      </w:r>
      <w:r>
        <w:t xml:space="preserve"> in order to decide the appropriate response.</w:t>
      </w:r>
    </w:p>
    <w:p w14:paraId="5543C609">
      <w:r>
        <w:t>This impact assessment should estimate:</w:t>
      </w:r>
    </w:p>
    <w:p w14:paraId="241128FA">
      <w:pPr>
        <w:pStyle w:val="25"/>
        <w:numPr>
          <w:ilvl w:val="0"/>
          <w:numId w:val="3"/>
        </w:numPr>
      </w:pPr>
      <w:r>
        <w:t>The extent of the impact on IT infrastructure including computers, networks, equipment and accommodation</w:t>
      </w:r>
    </w:p>
    <w:p w14:paraId="415DD344">
      <w:pPr>
        <w:pStyle w:val="25"/>
        <w:numPr>
          <w:ilvl w:val="0"/>
          <w:numId w:val="3"/>
        </w:numPr>
      </w:pPr>
      <w:r>
        <w:t>The information assets that may be at risk or have been compromised</w:t>
      </w:r>
    </w:p>
    <w:p w14:paraId="477EA661">
      <w:pPr>
        <w:pStyle w:val="25"/>
        <w:numPr>
          <w:ilvl w:val="0"/>
          <w:numId w:val="3"/>
        </w:numPr>
      </w:pPr>
      <w:r>
        <w:t>The likely duration of the incident i.e. when it may have begun</w:t>
      </w:r>
    </w:p>
    <w:p w14:paraId="60C1A670">
      <w:pPr>
        <w:pStyle w:val="25"/>
        <w:numPr>
          <w:ilvl w:val="0"/>
          <w:numId w:val="3"/>
        </w:numPr>
      </w:pPr>
      <w:r>
        <w:t>The business units affected and the extent of the impact to them</w:t>
      </w:r>
    </w:p>
    <w:p w14:paraId="24819D1B">
      <w:pPr>
        <w:pStyle w:val="25"/>
        <w:numPr>
          <w:ilvl w:val="0"/>
          <w:numId w:val="3"/>
        </w:numPr>
      </w:pPr>
      <w:r>
        <w:t>Initial indication of the likely cause of the incident</w:t>
      </w:r>
    </w:p>
    <w:p w14:paraId="6BFD8403">
      <w:r>
        <w:t xml:space="preserve">This information should be documented so that a clear time-based understanding of the situation as it emerges is available for current use and later review. </w:t>
      </w:r>
    </w:p>
    <w:p w14:paraId="77BE5EF9">
      <w:r>
        <w:t xml:space="preserve">A list of the information assets, business activities, products, services, teams and supporting processes that may have been affected by the incident should be created together with an assessment of the extent of the impact. </w:t>
      </w:r>
    </w:p>
    <w:p w14:paraId="5D4E6846"/>
    <w:p w14:paraId="2654F16E">
      <w:pPr>
        <w:pStyle w:val="3"/>
      </w:pPr>
      <w:bookmarkStart w:id="7" w:name="_Toc68274951"/>
      <w:r>
        <w:t>Incident prioritisation</w:t>
      </w:r>
      <w:bookmarkEnd w:id="7"/>
    </w:p>
    <w:p w14:paraId="6B6BF706">
      <w:r>
        <w:t xml:space="preserve">Based on the impact assessment, an incident will be assigned a priority of </w:t>
      </w:r>
      <w:r>
        <w:rPr>
          <w:highlight w:val="yellow"/>
        </w:rPr>
        <w:t>High, Medium, or Low [Note: numerical values may also be used to reflect priority]</w:t>
      </w:r>
      <w:r>
        <w:t>.</w:t>
      </w:r>
    </w:p>
    <w:p w14:paraId="53118F60">
      <w:r>
        <w:t>The guidance in the table below will be used in deciding priority.</w:t>
      </w:r>
    </w:p>
    <w:tbl>
      <w:tblPr>
        <w:tblStyle w:val="11"/>
        <w:tblW w:w="0" w:type="auto"/>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1129"/>
        <w:gridCol w:w="7887"/>
      </w:tblGrid>
      <w:tr w14:paraId="1DF2B64B">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1129" w:type="dxa"/>
            <w:shd w:val="clear" w:color="auto" w:fill="44546A" w:themeFill="text2"/>
          </w:tcPr>
          <w:p w14:paraId="43CF2716">
            <w:pPr>
              <w:pStyle w:val="18"/>
            </w:pPr>
            <w:r>
              <w:t>PRIORITY</w:t>
            </w:r>
          </w:p>
        </w:tc>
        <w:tc>
          <w:tcPr>
            <w:tcW w:w="7887" w:type="dxa"/>
            <w:shd w:val="clear" w:color="auto" w:fill="44546A" w:themeFill="text2"/>
          </w:tcPr>
          <w:p w14:paraId="7D1B5E04">
            <w:pPr>
              <w:pStyle w:val="18"/>
            </w:pPr>
            <w:r>
              <w:t>DESCRIPTION</w:t>
            </w:r>
          </w:p>
        </w:tc>
      </w:tr>
      <w:tr w14:paraId="2967E452">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1129" w:type="dxa"/>
          </w:tcPr>
          <w:p w14:paraId="03481206">
            <w:pPr>
              <w:pStyle w:val="19"/>
              <w:rPr>
                <w:highlight w:val="yellow"/>
              </w:rPr>
            </w:pPr>
            <w:r>
              <w:rPr>
                <w:highlight w:val="yellow"/>
              </w:rPr>
              <w:t>High</w:t>
            </w:r>
          </w:p>
        </w:tc>
        <w:tc>
          <w:tcPr>
            <w:tcW w:w="7887" w:type="dxa"/>
          </w:tcPr>
          <w:p w14:paraId="66F26E7A">
            <w:pPr>
              <w:pStyle w:val="19"/>
              <w:rPr>
                <w:highlight w:val="yellow"/>
              </w:rPr>
            </w:pPr>
            <w:r>
              <w:t>Significant actual or potential disruption to the bank's operations or customer-facing services</w:t>
            </w:r>
          </w:p>
          <w:p w14:paraId="7D8530F5">
            <w:pPr>
              <w:pStyle w:val="19"/>
              <w:rPr>
                <w:highlight w:val="yellow"/>
              </w:rPr>
            </w:pPr>
            <w:r>
              <w:t>Examples:</w:t>
            </w:r>
          </w:p>
          <w:p w14:paraId="79B423C2">
            <w:pPr>
              <w:pStyle w:val="19"/>
              <w:numPr>
                <w:ilvl w:val="0"/>
                <w:numId w:val="4"/>
              </w:numPr>
              <w:rPr>
                <w:highlight w:val="yellow"/>
              </w:rPr>
            </w:pPr>
            <w:r>
              <w:t>Ransomware detected encrypting Core Banking System or database servers</w:t>
            </w:r>
          </w:p>
          <w:p w14:paraId="0ECCB3F4">
            <w:pPr>
              <w:pStyle w:val="19"/>
              <w:numPr>
                <w:ilvl w:val="0"/>
                <w:numId w:val="4"/>
              </w:numPr>
              <w:rPr>
                <w:highlight w:val="yellow"/>
              </w:rPr>
            </w:pPr>
            <w:r>
              <w:t>Confirmed unauthorized access to the customer database (personal or financial data)</w:t>
            </w:r>
          </w:p>
          <w:p w14:paraId="7EE81B2F">
            <w:pPr>
              <w:pStyle w:val="19"/>
              <w:numPr>
                <w:ilvl w:val="0"/>
                <w:numId w:val="4"/>
              </w:numPr>
              <w:rPr>
                <w:highlight w:val="yellow"/>
              </w:rPr>
            </w:pPr>
            <w:r>
              <w:t>"Aafaq Plus" mobile app or "Aafaq Net" online banking unavailable to customers due to a suspected denial-of-service attack</w:t>
            </w:r>
          </w:p>
        </w:tc>
      </w:tr>
      <w:tr w14:paraId="7CA3EE96">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1129" w:type="dxa"/>
          </w:tcPr>
          <w:p w14:paraId="11AEED24">
            <w:pPr>
              <w:pStyle w:val="19"/>
              <w:rPr>
                <w:highlight w:val="yellow"/>
              </w:rPr>
            </w:pPr>
            <w:r>
              <w:rPr>
                <w:highlight w:val="yellow"/>
              </w:rPr>
              <w:t>Medium</w:t>
            </w:r>
          </w:p>
        </w:tc>
        <w:tc>
          <w:tcPr>
            <w:tcW w:w="7887" w:type="dxa"/>
          </w:tcPr>
          <w:p w14:paraId="52280DF8">
            <w:pPr>
              <w:pStyle w:val="19"/>
              <w:rPr>
                <w:highlight w:val="yellow"/>
              </w:rPr>
            </w:pPr>
            <w:r>
              <w:t>Localised disruption affecting multiple business areas but not core banking availability</w:t>
            </w:r>
          </w:p>
          <w:p w14:paraId="65ACB177">
            <w:pPr>
              <w:pStyle w:val="19"/>
              <w:rPr>
                <w:highlight w:val="yellow"/>
              </w:rPr>
            </w:pPr>
            <w:r>
              <w:t>Examples:</w:t>
            </w:r>
          </w:p>
          <w:p w14:paraId="2D212249">
            <w:pPr>
              <w:pStyle w:val="19"/>
              <w:numPr>
                <w:ilvl w:val="0"/>
                <w:numId w:val="5"/>
              </w:numPr>
              <w:rPr>
                <w:highlight w:val="yellow"/>
              </w:rPr>
            </w:pPr>
            <w:r>
              <w:t>SSL/TLS certificate on a public-facing system expires or is about to expire</w:t>
            </w:r>
          </w:p>
          <w:p w14:paraId="6B2D0E41">
            <w:pPr>
              <w:pStyle w:val="19"/>
              <w:numPr>
                <w:ilvl w:val="0"/>
                <w:numId w:val="5"/>
              </w:numPr>
              <w:rPr>
                <w:highlight w:val="yellow"/>
              </w:rPr>
            </w:pPr>
            <w:r>
              <w:t>Loss of an unencrypted laptop or mobile device containing customer or employee data</w:t>
            </w:r>
          </w:p>
          <w:p w14:paraId="7ECC3F43">
            <w:pPr>
              <w:pStyle w:val="19"/>
              <w:numPr>
                <w:ilvl w:val="0"/>
                <w:numId w:val="5"/>
              </w:numPr>
              <w:rPr>
                <w:highlight w:val="yellow"/>
              </w:rPr>
            </w:pPr>
            <w:r>
              <w:t>Suspicious wire-transfer request flagged by the fraud detection system pending verification</w:t>
            </w:r>
          </w:p>
        </w:tc>
      </w:tr>
      <w:tr w14:paraId="40FC23EA">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1129" w:type="dxa"/>
          </w:tcPr>
          <w:p w14:paraId="3804FD6F">
            <w:pPr>
              <w:pStyle w:val="19"/>
              <w:rPr>
                <w:highlight w:val="yellow"/>
              </w:rPr>
            </w:pPr>
            <w:r>
              <w:rPr>
                <w:highlight w:val="yellow"/>
              </w:rPr>
              <w:t>Low</w:t>
            </w:r>
          </w:p>
        </w:tc>
        <w:tc>
          <w:tcPr>
            <w:tcW w:w="7887" w:type="dxa"/>
          </w:tcPr>
          <w:p w14:paraId="207E1621">
            <w:pPr>
              <w:pStyle w:val="19"/>
              <w:rPr>
                <w:highlight w:val="yellow"/>
              </w:rPr>
            </w:pPr>
            <w:r>
              <w:t>Localised inconvenience affecting a single user or branch</w:t>
            </w:r>
          </w:p>
          <w:p w14:paraId="2023AB1C">
            <w:pPr>
              <w:pStyle w:val="19"/>
              <w:rPr>
                <w:highlight w:val="yellow"/>
              </w:rPr>
            </w:pPr>
            <w:r>
              <w:t>Examples:</w:t>
            </w:r>
          </w:p>
          <w:p w14:paraId="136810B7">
            <w:pPr>
              <w:pStyle w:val="19"/>
              <w:numPr>
                <w:ilvl w:val="0"/>
                <w:numId w:val="6"/>
              </w:numPr>
              <w:rPr>
                <w:highlight w:val="yellow"/>
              </w:rPr>
            </w:pPr>
            <w:r>
              <w:t>A single employee reports a suspicious/phishing email with no credentials entered</w:t>
            </w:r>
          </w:p>
          <w:p w14:paraId="1A55F128">
            <w:pPr>
              <w:pStyle w:val="19"/>
              <w:numPr>
                <w:ilvl w:val="0"/>
                <w:numId w:val="6"/>
              </w:numPr>
              <w:rPr>
                <w:highlight w:val="yellow"/>
              </w:rPr>
            </w:pPr>
            <w:r>
              <w:t>A single ATM offline or a branch technical room device fault</w:t>
            </w:r>
          </w:p>
          <w:p w14:paraId="327B586D">
            <w:pPr>
              <w:pStyle w:val="19"/>
              <w:keepNext/>
              <w:numPr>
                <w:ilvl w:val="0"/>
                <w:numId w:val="6"/>
              </w:numPr>
              <w:rPr>
                <w:highlight w:val="yellow"/>
              </w:rPr>
            </w:pPr>
            <w:r>
              <w:t>Sharing of a password to a system of lower sensitivity</w:t>
            </w:r>
          </w:p>
        </w:tc>
      </w:tr>
    </w:tbl>
    <w:p w14:paraId="06FA0AEC">
      <w:pPr>
        <w:pStyle w:val="7"/>
      </w:pPr>
      <w:r>
        <w:br w:type="textWrapping"/>
      </w:r>
      <w:bookmarkStart w:id="8" w:name="_Toc68274982"/>
      <w:r>
        <w:t xml:space="preserve">Table </w:t>
      </w:r>
      <w:r>
        <w:fldChar w:fldCharType="begin"/>
      </w:r>
      <w:r>
        <w:instrText xml:space="preserve"> SEQ Table \* ARABIC </w:instrText>
      </w:r>
      <w:r>
        <w:fldChar w:fldCharType="separate"/>
      </w:r>
      <w:r>
        <w:t>1</w:t>
      </w:r>
      <w:r>
        <w:fldChar w:fldCharType="end"/>
      </w:r>
      <w:r>
        <w:t>: Incident priorities</w:t>
      </w:r>
      <w:bookmarkEnd w:id="8"/>
    </w:p>
    <w:p w14:paraId="3C95A1AD"/>
    <w:p w14:paraId="71B57141">
      <w:r>
        <w:t xml:space="preserve">As a result of this initial analysis, the </w:t>
      </w:r>
      <w:r>
        <w:fldChar w:fldCharType="begin"/>
      </w:r>
      <w:r>
        <w:instrText xml:space="preserve"> DOCPROPERTY  "IT Service Desk"  \* MERGEFORMAT </w:instrText>
      </w:r>
      <w:r>
        <w:fldChar w:fldCharType="separate"/>
      </w:r>
      <w:r>
        <w:t>IT Service Desk / Technical Support Section</w:t>
      </w:r>
      <w:r>
        <w:fldChar w:fldCharType="end"/>
      </w:r>
      <w:r>
        <w:t xml:space="preserve"> or any member of the management team has the authority to contact the Incident Response Team Leader at any time to ask him/her to assess whether the Information Security Incident Response Procedure should be activated. This is likely to be the case for all High priority incidents, and for Medium priority incidents where deemed appropriate.</w:t>
      </w:r>
    </w:p>
    <w:p w14:paraId="19E08AEC">
      <w:pPr>
        <w:spacing w:before="0" w:after="160" w:line="259" w:lineRule="auto"/>
      </w:pPr>
      <w:r>
        <w:br w:type="page"/>
      </w:r>
    </w:p>
    <w:p w14:paraId="3D493B00">
      <w:pPr>
        <w:pStyle w:val="2"/>
      </w:pPr>
      <w:bookmarkStart w:id="9" w:name="_Toc68274952"/>
      <w:r>
        <w:t>Activating the incident response procedure</w:t>
      </w:r>
      <w:bookmarkEnd w:id="9"/>
    </w:p>
    <w:p w14:paraId="0D133B26">
      <w:r>
        <w:t>Once notified of an incident the Team Leader must decide whether the scale and actual or potential impact of the incident justifies the activation of the Incident Response Procedure and the convening of the Incident Response Team (IRT).</w:t>
      </w:r>
    </w:p>
    <w:p w14:paraId="28837349">
      <w:r>
        <w:t>An initial impact assessment will already have been made by the IT Service Desk, but further guidelines for the Team Leader regarding whether a formal incident response should be initiated for any particular incident are if any of the following apply:</w:t>
      </w:r>
    </w:p>
    <w:p w14:paraId="55EA80CC">
      <w:pPr>
        <w:pStyle w:val="25"/>
        <w:numPr>
          <w:ilvl w:val="0"/>
          <w:numId w:val="7"/>
        </w:numPr>
      </w:pPr>
      <w:r>
        <w:t>There is significant actual or potential loss of classified information</w:t>
      </w:r>
    </w:p>
    <w:p w14:paraId="205C04AD">
      <w:pPr>
        <w:pStyle w:val="25"/>
        <w:numPr>
          <w:ilvl w:val="0"/>
          <w:numId w:val="7"/>
        </w:numPr>
      </w:pPr>
      <w:r>
        <w:t>There is significant actual or potential disruption to business operations</w:t>
      </w:r>
    </w:p>
    <w:p w14:paraId="052C3047">
      <w:pPr>
        <w:pStyle w:val="25"/>
        <w:numPr>
          <w:ilvl w:val="0"/>
          <w:numId w:val="7"/>
        </w:numPr>
      </w:pPr>
      <w:r>
        <w:t>There is significant risk to business reputation</w:t>
      </w:r>
    </w:p>
    <w:p w14:paraId="65F71242">
      <w:pPr>
        <w:pStyle w:val="25"/>
        <w:numPr>
          <w:ilvl w:val="0"/>
          <w:numId w:val="7"/>
        </w:numPr>
      </w:pPr>
      <w:r>
        <w:t>Any other situation which may cause significant impact to the organization</w:t>
      </w:r>
    </w:p>
    <w:p w14:paraId="39B81818">
      <w:r>
        <w:t>In the event of disagreement or uncertainty about whether to activate an incident response the decision of the Team Leader will be final.</w:t>
      </w:r>
    </w:p>
    <w:p w14:paraId="05FF6DF8">
      <w:r>
        <w:t>If it is decided not to activate the procedure, then a plan should be created to allow for a lower-level response to the incident within normal management channels. This may involve the invocation of relevant procedures at a local level.</w:t>
      </w:r>
    </w:p>
    <w:p w14:paraId="332A6988">
      <w:r>
        <w:t>If the incident warrants the activation of the IR procedure the Team Leader will start to assemble the IRT.</w:t>
      </w:r>
    </w:p>
    <w:p w14:paraId="1CB03063">
      <w:pPr>
        <w:spacing w:before="0" w:after="160" w:line="259" w:lineRule="auto"/>
      </w:pPr>
      <w:r>
        <w:br w:type="page"/>
      </w:r>
    </w:p>
    <w:p w14:paraId="4CBFE257">
      <w:pPr>
        <w:pStyle w:val="2"/>
      </w:pPr>
      <w:bookmarkStart w:id="10" w:name="_Toc68274953"/>
      <w:r>
        <w:t>Assemble incident response team</w:t>
      </w:r>
      <w:bookmarkEnd w:id="10"/>
    </w:p>
    <w:p w14:paraId="53FC4421">
      <w:r>
        <w:t>Once the decision has been made to activate the incident response procedure, the Team Leader (or deputy) will ensure that all role holders (or their deputies if main role holders are un-contactable) are contacted, made aware of the nature of the incident and asked to either assemble at an appropriate location or attend a virtual meeting.</w:t>
      </w:r>
    </w:p>
    <w:p w14:paraId="03B98F46">
      <w:r>
        <w:t>The exception is the Incident Liaison who will be asked to attend the location of the incident (if different and appropriate) in order to start to gather information for the incident assessment that the IRT will conduct so that an appropriate response can be determined.</w:t>
      </w:r>
    </w:p>
    <w:p w14:paraId="2FCA070B"/>
    <w:p w14:paraId="5FECE7CE">
      <w:pPr>
        <w:pStyle w:val="3"/>
      </w:pPr>
      <w:bookmarkStart w:id="11" w:name="_Toc68274954"/>
      <w:r>
        <w:t>Incident response team members</w:t>
      </w:r>
      <w:bookmarkEnd w:id="11"/>
    </w:p>
    <w:p w14:paraId="4160A1FA">
      <w:r>
        <w:t>The Incident Response Team will generally consist of the following people in the roles specified and with the stated deputies, although the exact make-up of the team will vary according to the nature of the incident.</w:t>
      </w:r>
      <w:r>
        <w:br w:type="textWrapping"/>
      </w:r>
    </w:p>
    <w:tbl>
      <w:tblPr>
        <w:tblStyle w:val="11"/>
        <w:tblW w:w="0" w:type="auto"/>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3005"/>
        <w:gridCol w:w="3005"/>
        <w:gridCol w:w="3006"/>
      </w:tblGrid>
      <w:tr w14:paraId="4E745C35">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44546A" w:themeFill="text2"/>
          </w:tcPr>
          <w:p w14:paraId="3DE4C455">
            <w:pPr>
              <w:pStyle w:val="18"/>
            </w:pPr>
            <w:r>
              <w:t>ROLE/BUSINESS AREA</w:t>
            </w:r>
          </w:p>
        </w:tc>
        <w:tc>
          <w:tcPr>
            <w:tcW w:w="3005" w:type="dxa"/>
            <w:shd w:val="clear" w:color="auto" w:fill="44546A" w:themeFill="text2"/>
          </w:tcPr>
          <w:p w14:paraId="0C4CB6F1">
            <w:pPr>
              <w:pStyle w:val="18"/>
            </w:pPr>
            <w:r>
              <w:t>MAIN ROLE HOLDER</w:t>
            </w:r>
          </w:p>
        </w:tc>
        <w:tc>
          <w:tcPr>
            <w:tcW w:w="3006" w:type="dxa"/>
            <w:shd w:val="clear" w:color="auto" w:fill="44546A" w:themeFill="text2"/>
          </w:tcPr>
          <w:p w14:paraId="7612E8A8">
            <w:pPr>
              <w:pStyle w:val="18"/>
            </w:pPr>
            <w:r>
              <w:t>DEPUTY</w:t>
            </w:r>
          </w:p>
        </w:tc>
      </w:tr>
      <w:tr w14:paraId="4B867BA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61023BBD">
            <w:pPr>
              <w:pStyle w:val="19"/>
            </w:pPr>
            <w:r>
              <w:t>Team Leader</w:t>
            </w:r>
          </w:p>
        </w:tc>
        <w:tc>
          <w:tcPr>
            <w:tcW w:w="3005" w:type="dxa"/>
          </w:tcPr>
          <w:p w14:paraId="11D7E1C3">
            <w:r>
              <w:t>Sarah Al-Harbi — CISO</w:t>
            </w:r>
          </w:p>
        </w:tc>
        <w:tc>
          <w:tcPr>
            <w:tcW w:w="3006" w:type="dxa"/>
          </w:tcPr>
          <w:p w14:paraId="71006420">
            <w:r>
              <w:t>Incident Response Team Lead (Incident Response specialist team, 3 members)</w:t>
            </w:r>
          </w:p>
        </w:tc>
      </w:tr>
      <w:tr w14:paraId="1683A77B">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01421A53">
            <w:pPr>
              <w:pStyle w:val="19"/>
            </w:pPr>
            <w:r>
              <w:t>Team Facilitator</w:t>
            </w:r>
          </w:p>
        </w:tc>
        <w:tc>
          <w:tcPr>
            <w:tcW w:w="3005" w:type="dxa"/>
          </w:tcPr>
          <w:p w14:paraId="47CDAE8D">
            <w:r>
              <w:t>Information Security Governance Team member</w:t>
            </w:r>
          </w:p>
        </w:tc>
        <w:tc>
          <w:tcPr>
            <w:tcW w:w="3006" w:type="dxa"/>
          </w:tcPr>
          <w:p w14:paraId="7656F157">
            <w:r>
              <w:t>Another Information Security Governance specialist (team of 4)</w:t>
            </w:r>
          </w:p>
        </w:tc>
      </w:tr>
      <w:tr w14:paraId="740B54CA">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53BCCCEF">
            <w:pPr>
              <w:pStyle w:val="19"/>
            </w:pPr>
            <w:r>
              <w:t>Incident Liaison</w:t>
            </w:r>
          </w:p>
        </w:tc>
        <w:tc>
          <w:tcPr>
            <w:tcW w:w="3005" w:type="dxa"/>
          </w:tcPr>
          <w:p w14:paraId="3F9B6F3D">
            <w:r>
              <w:t>On-duty SOC Analyst (Security Operations Center)</w:t>
            </w:r>
          </w:p>
        </w:tc>
        <w:tc>
          <w:tcPr>
            <w:tcW w:w="3006" w:type="dxa"/>
          </w:tcPr>
          <w:p w14:paraId="47537C2B">
            <w:r>
              <w:t>Alternate on-duty SOC Analyst (SOC team of 8 analysts, shift-based)</w:t>
            </w:r>
          </w:p>
        </w:tc>
      </w:tr>
      <w:tr w14:paraId="13131442">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0257A23F">
            <w:pPr>
              <w:pStyle w:val="19"/>
            </w:pPr>
            <w:r>
              <w:t>Information Technology</w:t>
            </w:r>
          </w:p>
        </w:tc>
        <w:tc>
          <w:tcPr>
            <w:tcW w:w="3005" w:type="dxa"/>
          </w:tcPr>
          <w:p w14:paraId="5E419725">
            <w:r>
              <w:t>Fahd Al-Otaibi — CIO</w:t>
            </w:r>
          </w:p>
        </w:tc>
        <w:tc>
          <w:tcPr>
            <w:tcW w:w="3006" w:type="dxa"/>
          </w:tcPr>
          <w:p w14:paraId="12600B37">
            <w:r>
              <w:t>Network Infrastructure Manager (Network &amp; Infrastructure section)</w:t>
            </w:r>
          </w:p>
        </w:tc>
      </w:tr>
      <w:tr w14:paraId="541C1060">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2FDAB7E2">
            <w:pPr>
              <w:pStyle w:val="19"/>
            </w:pPr>
            <w:r>
              <w:t>Business Operations</w:t>
            </w:r>
          </w:p>
        </w:tc>
        <w:tc>
          <w:tcPr>
            <w:tcW w:w="3005" w:type="dxa"/>
          </w:tcPr>
          <w:p w14:paraId="23BC9E1B">
            <w:r>
              <w:t>Head of Banking Operations Department</w:t>
            </w:r>
          </w:p>
        </w:tc>
        <w:tc>
          <w:tcPr>
            <w:tcW w:w="3006" w:type="dxa"/>
          </w:tcPr>
          <w:p w14:paraId="397E9108">
            <w:r>
              <w:t>Deputy Head of Banking Operations</w:t>
            </w:r>
          </w:p>
        </w:tc>
      </w:tr>
      <w:tr w14:paraId="58360521">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797071E7">
            <w:pPr>
              <w:pStyle w:val="19"/>
            </w:pPr>
            <w:r>
              <w:t>Facilities Management</w:t>
            </w:r>
          </w:p>
        </w:tc>
        <w:tc>
          <w:tcPr>
            <w:tcW w:w="3005" w:type="dxa"/>
          </w:tcPr>
          <w:p w14:paraId="4BB8767C">
            <w:r>
              <w:t>Head of Facilities &amp; General Services Department</w:t>
            </w:r>
          </w:p>
        </w:tc>
        <w:tc>
          <w:tcPr>
            <w:tcW w:w="3006" w:type="dxa"/>
          </w:tcPr>
          <w:p w14:paraId="6A28D72C">
            <w:r>
              <w:t>Deputy, Facilities &amp; General Services</w:t>
            </w:r>
          </w:p>
        </w:tc>
      </w:tr>
      <w:tr w14:paraId="5B1E5AC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3FEAE81C">
            <w:pPr>
              <w:pStyle w:val="19"/>
            </w:pPr>
            <w:r>
              <w:t>Health and Safety</w:t>
            </w:r>
          </w:p>
        </w:tc>
        <w:tc>
          <w:tcPr>
            <w:tcW w:w="3005" w:type="dxa"/>
          </w:tcPr>
          <w:p w14:paraId="7DEC3038">
            <w:r>
              <w:t>Not formally designated — no dedicated Health &amp; Safety function identified in the organizational structure; role covered on an ad-hoc basis by Facilities &amp; General Services</w:t>
            </w:r>
          </w:p>
        </w:tc>
        <w:tc>
          <w:tcPr>
            <w:tcW w:w="3006" w:type="dxa"/>
          </w:tcPr>
          <w:p w14:paraId="65CB40C3">
            <w:r>
              <w:t>Facilities &amp; General Services representative</w:t>
            </w:r>
          </w:p>
        </w:tc>
      </w:tr>
      <w:tr w14:paraId="5A0BD16C">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2BA0195A">
            <w:pPr>
              <w:pStyle w:val="19"/>
            </w:pPr>
            <w:r>
              <w:t>Human Resources</w:t>
            </w:r>
          </w:p>
        </w:tc>
        <w:tc>
          <w:tcPr>
            <w:tcW w:w="3005" w:type="dxa"/>
          </w:tcPr>
          <w:p w14:paraId="33A8F42E">
            <w:r>
              <w:t>Khalid Al-Shammari — Head of Human Resources</w:t>
            </w:r>
          </w:p>
        </w:tc>
        <w:tc>
          <w:tcPr>
            <w:tcW w:w="3006" w:type="dxa"/>
          </w:tcPr>
          <w:p w14:paraId="77845B76">
            <w:r>
              <w:t>Head of Employee Affairs Section</w:t>
            </w:r>
          </w:p>
        </w:tc>
      </w:tr>
      <w:tr w14:paraId="0D774982">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2F8717D4">
            <w:pPr>
              <w:pStyle w:val="19"/>
            </w:pPr>
            <w:r>
              <w:t>Business Continuity Planning</w:t>
            </w:r>
          </w:p>
        </w:tc>
        <w:tc>
          <w:tcPr>
            <w:tcW w:w="3005" w:type="dxa"/>
          </w:tcPr>
          <w:p w14:paraId="1161BEA4">
            <w:r>
              <w:t>Head of Enterprise Risk Management Department</w:t>
            </w:r>
          </w:p>
        </w:tc>
        <w:tc>
          <w:tcPr>
            <w:tcW w:w="3006" w:type="dxa"/>
          </w:tcPr>
          <w:p w14:paraId="02121FD0">
            <w:r>
              <w:t>Business Continuity Planning specialist, Enterprise Risk Management</w:t>
            </w:r>
          </w:p>
        </w:tc>
      </w:tr>
      <w:tr w14:paraId="4F941CF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7CFA1A1F">
            <w:pPr>
              <w:pStyle w:val="19"/>
            </w:pPr>
            <w:r>
              <w:t>Communications (PR and Media Relations)</w:t>
            </w:r>
          </w:p>
        </w:tc>
        <w:tc>
          <w:tcPr>
            <w:tcW w:w="3005" w:type="dxa"/>
          </w:tcPr>
          <w:p w14:paraId="222E2D27">
            <w:r>
              <w:t>Head of Marketing &amp; Customer Experience Department</w:t>
            </w:r>
          </w:p>
        </w:tc>
        <w:tc>
          <w:tcPr>
            <w:tcW w:w="3006" w:type="dxa"/>
          </w:tcPr>
          <w:p w14:paraId="30A764FC">
            <w:r>
              <w:t>Deputy, Marketing &amp; Customer Experience</w:t>
            </w:r>
          </w:p>
        </w:tc>
      </w:tr>
      <w:tr w14:paraId="4A671228">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65EA7C20">
            <w:pPr>
              <w:pStyle w:val="19"/>
            </w:pPr>
            <w:r>
              <w:t>Legal and Regulatory</w:t>
            </w:r>
          </w:p>
        </w:tc>
        <w:tc>
          <w:tcPr>
            <w:tcW w:w="3005" w:type="dxa"/>
          </w:tcPr>
          <w:p w14:paraId="6A543DEF">
            <w:r>
              <w:t>Laila Al-Dosari — Head of Legal Affairs</w:t>
            </w:r>
          </w:p>
        </w:tc>
        <w:tc>
          <w:tcPr>
            <w:tcW w:w="3006" w:type="dxa"/>
          </w:tcPr>
          <w:p w14:paraId="645893DF">
            <w:r>
              <w:t>Compliance &amp; Governance Department representative</w:t>
            </w:r>
          </w:p>
        </w:tc>
      </w:tr>
    </w:tbl>
    <w:p w14:paraId="15DC022B">
      <w:pPr>
        <w:pStyle w:val="7"/>
      </w:pPr>
      <w:r>
        <w:br w:type="textWrapping"/>
      </w:r>
      <w:bookmarkStart w:id="12" w:name="_Toc68274983"/>
      <w:r>
        <w:t xml:space="preserve">Table </w:t>
      </w:r>
      <w:r>
        <w:fldChar w:fldCharType="begin"/>
      </w:r>
      <w:r>
        <w:instrText xml:space="preserve"> SEQ Table \* ARABIC </w:instrText>
      </w:r>
      <w:r>
        <w:fldChar w:fldCharType="separate"/>
      </w:r>
      <w:r>
        <w:t>2</w:t>
      </w:r>
      <w:r>
        <w:fldChar w:fldCharType="end"/>
      </w:r>
      <w:r>
        <w:t>: Incident response team members</w:t>
      </w:r>
      <w:bookmarkEnd w:id="12"/>
    </w:p>
    <w:p w14:paraId="48FA11C8"/>
    <w:p w14:paraId="06CF2083">
      <w:r>
        <w:t xml:space="preserve">Contact details for the above are listed at Appendix A of this document. </w:t>
      </w:r>
    </w:p>
    <w:p w14:paraId="531F00C1">
      <w:pPr>
        <w:spacing w:before="0" w:after="160" w:line="259" w:lineRule="auto"/>
      </w:pPr>
      <w:r>
        <w:br w:type="page"/>
      </w:r>
    </w:p>
    <w:p w14:paraId="70C12C90">
      <w:pPr>
        <w:pStyle w:val="3"/>
      </w:pPr>
      <w:bookmarkStart w:id="13" w:name="_Toc68274955"/>
      <w:r>
        <w:t>Roles and responsibilities</w:t>
      </w:r>
      <w:bookmarkEnd w:id="13"/>
    </w:p>
    <w:p w14:paraId="0DDC173A">
      <w:r>
        <w:t>The responsibilities of the roles within the incident response team are as follows:</w:t>
      </w:r>
    </w:p>
    <w:p w14:paraId="683111B3"/>
    <w:p w14:paraId="266E50B2">
      <w:pPr>
        <w:pStyle w:val="4"/>
      </w:pPr>
      <w:bookmarkStart w:id="14" w:name="_Toc68274956"/>
      <w:r>
        <w:t>Team leader</w:t>
      </w:r>
      <w:bookmarkEnd w:id="14"/>
    </w:p>
    <w:p w14:paraId="711A94C7">
      <w:pPr>
        <w:pStyle w:val="25"/>
        <w:numPr>
          <w:ilvl w:val="0"/>
          <w:numId w:val="8"/>
        </w:numPr>
      </w:pPr>
      <w:r>
        <w:t>Decides whether to initiate a response</w:t>
      </w:r>
    </w:p>
    <w:p w14:paraId="23CA8783">
      <w:pPr>
        <w:pStyle w:val="25"/>
        <w:numPr>
          <w:ilvl w:val="0"/>
          <w:numId w:val="8"/>
        </w:numPr>
      </w:pPr>
      <w:r>
        <w:t>Assembles the incident response team</w:t>
      </w:r>
    </w:p>
    <w:p w14:paraId="2BBD71C0">
      <w:pPr>
        <w:pStyle w:val="25"/>
        <w:numPr>
          <w:ilvl w:val="0"/>
          <w:numId w:val="8"/>
        </w:numPr>
      </w:pPr>
      <w:r>
        <w:t>Overall management of the incident response team</w:t>
      </w:r>
    </w:p>
    <w:p w14:paraId="1DC19F54">
      <w:pPr>
        <w:pStyle w:val="25"/>
        <w:numPr>
          <w:ilvl w:val="0"/>
          <w:numId w:val="8"/>
        </w:numPr>
      </w:pPr>
      <w:r>
        <w:t>Acts as interface with the board and other high-level stakeholders</w:t>
      </w:r>
    </w:p>
    <w:p w14:paraId="284A53C9">
      <w:pPr>
        <w:pStyle w:val="25"/>
        <w:numPr>
          <w:ilvl w:val="0"/>
          <w:numId w:val="8"/>
        </w:numPr>
      </w:pPr>
      <w:r>
        <w:t>Final decision maker in cases of disagreement</w:t>
      </w:r>
    </w:p>
    <w:p w14:paraId="045E1141"/>
    <w:p w14:paraId="490E0EAA">
      <w:pPr>
        <w:pStyle w:val="4"/>
      </w:pPr>
      <w:bookmarkStart w:id="15" w:name="_Toc68274957"/>
      <w:r>
        <w:t>Team facilitator</w:t>
      </w:r>
      <w:bookmarkEnd w:id="15"/>
    </w:p>
    <w:p w14:paraId="3B555E5C">
      <w:pPr>
        <w:pStyle w:val="25"/>
        <w:numPr>
          <w:ilvl w:val="0"/>
          <w:numId w:val="9"/>
        </w:numPr>
      </w:pPr>
      <w:r>
        <w:t>Supports the incident response team</w:t>
      </w:r>
    </w:p>
    <w:p w14:paraId="5511B7A7">
      <w:pPr>
        <w:pStyle w:val="25"/>
        <w:numPr>
          <w:ilvl w:val="0"/>
          <w:numId w:val="9"/>
        </w:numPr>
      </w:pPr>
      <w:r>
        <w:t>Co-ordinates resources within the command centre/war room</w:t>
      </w:r>
    </w:p>
    <w:p w14:paraId="23BF5F68">
      <w:pPr>
        <w:pStyle w:val="25"/>
        <w:numPr>
          <w:ilvl w:val="0"/>
          <w:numId w:val="9"/>
        </w:numPr>
      </w:pPr>
      <w:r>
        <w:t>Prepares for meetings and takes record of actions and decisions</w:t>
      </w:r>
    </w:p>
    <w:p w14:paraId="7FBBD52B">
      <w:pPr>
        <w:pStyle w:val="25"/>
        <w:numPr>
          <w:ilvl w:val="0"/>
          <w:numId w:val="9"/>
        </w:numPr>
      </w:pPr>
      <w:r>
        <w:t>Briefs team members on latest status on their return to the command centre/war room</w:t>
      </w:r>
    </w:p>
    <w:p w14:paraId="63EDE242">
      <w:pPr>
        <w:pStyle w:val="25"/>
        <w:numPr>
          <w:ilvl w:val="0"/>
          <w:numId w:val="9"/>
        </w:numPr>
      </w:pPr>
      <w:r>
        <w:t>Facilitates communication via email, fax, telephone or other methods</w:t>
      </w:r>
    </w:p>
    <w:p w14:paraId="380DDFC2">
      <w:pPr>
        <w:pStyle w:val="25"/>
        <w:numPr>
          <w:ilvl w:val="0"/>
          <w:numId w:val="9"/>
        </w:numPr>
      </w:pPr>
      <w:r>
        <w:t>Monitors external information feeds such as news</w:t>
      </w:r>
    </w:p>
    <w:p w14:paraId="074DF0E5"/>
    <w:p w14:paraId="49E9F02D">
      <w:pPr>
        <w:pStyle w:val="4"/>
      </w:pPr>
      <w:bookmarkStart w:id="16" w:name="_Toc68274958"/>
      <w:r>
        <w:t>Incident liaison</w:t>
      </w:r>
      <w:bookmarkEnd w:id="16"/>
    </w:p>
    <w:p w14:paraId="2EAFC471">
      <w:pPr>
        <w:pStyle w:val="25"/>
        <w:numPr>
          <w:ilvl w:val="0"/>
          <w:numId w:val="10"/>
        </w:numPr>
      </w:pPr>
      <w:r>
        <w:t>Attends the site of the incident as quickly as possible</w:t>
      </w:r>
    </w:p>
    <w:p w14:paraId="280FF194">
      <w:pPr>
        <w:pStyle w:val="25"/>
        <w:numPr>
          <w:ilvl w:val="0"/>
          <w:numId w:val="10"/>
        </w:numPr>
      </w:pPr>
      <w:r>
        <w:t>Assesses the extent and impact of the incident</w:t>
      </w:r>
    </w:p>
    <w:p w14:paraId="06B37C08">
      <w:pPr>
        <w:pStyle w:val="25"/>
        <w:numPr>
          <w:ilvl w:val="0"/>
          <w:numId w:val="10"/>
        </w:numPr>
      </w:pPr>
      <w:r>
        <w:t>Provides first-person account of the situation to the IRT</w:t>
      </w:r>
    </w:p>
    <w:p w14:paraId="2EA9FA67">
      <w:pPr>
        <w:pStyle w:val="25"/>
        <w:numPr>
          <w:ilvl w:val="0"/>
          <w:numId w:val="10"/>
        </w:numPr>
      </w:pPr>
      <w:r>
        <w:t>Liaises with the IRT on an on-going basis to provide updates and answer any questions required for decision-making by the IRT</w:t>
      </w:r>
    </w:p>
    <w:p w14:paraId="49F7FD6F"/>
    <w:p w14:paraId="44870D36">
      <w:pPr>
        <w:pStyle w:val="4"/>
      </w:pPr>
      <w:bookmarkStart w:id="17" w:name="_Toc68274959"/>
      <w:r>
        <w:t>Information technology</w:t>
      </w:r>
      <w:bookmarkEnd w:id="17"/>
    </w:p>
    <w:p w14:paraId="0C12A331">
      <w:pPr>
        <w:pStyle w:val="25"/>
        <w:numPr>
          <w:ilvl w:val="0"/>
          <w:numId w:val="11"/>
        </w:numPr>
      </w:pPr>
      <w:r>
        <w:t>Provides input on technology-related issues</w:t>
      </w:r>
    </w:p>
    <w:p w14:paraId="420B48B8">
      <w:pPr>
        <w:pStyle w:val="25"/>
        <w:numPr>
          <w:ilvl w:val="0"/>
          <w:numId w:val="11"/>
        </w:numPr>
      </w:pPr>
      <w:r>
        <w:t>Assists with impact assessment</w:t>
      </w:r>
    </w:p>
    <w:p w14:paraId="45F1A458"/>
    <w:p w14:paraId="2CEED363"/>
    <w:p w14:paraId="2A459D8A"/>
    <w:p w14:paraId="623A9437">
      <w:pPr>
        <w:pStyle w:val="4"/>
      </w:pPr>
      <w:bookmarkStart w:id="18" w:name="_Toc68274960"/>
      <w:r>
        <w:t>Business operations</w:t>
      </w:r>
      <w:bookmarkEnd w:id="18"/>
    </w:p>
    <w:p w14:paraId="61985565">
      <w:pPr>
        <w:pStyle w:val="25"/>
        <w:numPr>
          <w:ilvl w:val="0"/>
          <w:numId w:val="12"/>
        </w:numPr>
      </w:pPr>
      <w:r>
        <w:t>Contributes to decision-making based on knowledge of business operations, products and services</w:t>
      </w:r>
    </w:p>
    <w:p w14:paraId="2C10EEC4">
      <w:pPr>
        <w:pStyle w:val="25"/>
        <w:numPr>
          <w:ilvl w:val="0"/>
          <w:numId w:val="12"/>
        </w:numPr>
      </w:pPr>
      <w:r>
        <w:t>Briefs other members of the team on operational issues</w:t>
      </w:r>
    </w:p>
    <w:p w14:paraId="20A49E56">
      <w:pPr>
        <w:pStyle w:val="25"/>
        <w:numPr>
          <w:ilvl w:val="0"/>
          <w:numId w:val="12"/>
        </w:numPr>
      </w:pPr>
      <w:r>
        <w:t>Helps to assess likely impact on customers of the organization</w:t>
      </w:r>
    </w:p>
    <w:p w14:paraId="665B0781"/>
    <w:p w14:paraId="0CBC619A">
      <w:pPr>
        <w:pStyle w:val="4"/>
      </w:pPr>
      <w:bookmarkStart w:id="19" w:name="_Toc68274961"/>
      <w:r>
        <w:t>Facilities management</w:t>
      </w:r>
      <w:bookmarkEnd w:id="19"/>
    </w:p>
    <w:p w14:paraId="31F90865">
      <w:pPr>
        <w:pStyle w:val="25"/>
        <w:numPr>
          <w:ilvl w:val="0"/>
          <w:numId w:val="13"/>
        </w:numPr>
      </w:pPr>
      <w:r>
        <w:t>Deals with aspects of physical security and access</w:t>
      </w:r>
    </w:p>
    <w:p w14:paraId="27C4ADE1">
      <w:pPr>
        <w:pStyle w:val="25"/>
        <w:numPr>
          <w:ilvl w:val="0"/>
          <w:numId w:val="13"/>
        </w:numPr>
      </w:pPr>
      <w:r>
        <w:t>Provides security presence if required</w:t>
      </w:r>
    </w:p>
    <w:p w14:paraId="3F4F4C75"/>
    <w:p w14:paraId="6AB83707">
      <w:pPr>
        <w:pStyle w:val="4"/>
      </w:pPr>
      <w:bookmarkStart w:id="20" w:name="_Toc68274962"/>
      <w:r>
        <w:t>Health and safety</w:t>
      </w:r>
      <w:bookmarkEnd w:id="20"/>
    </w:p>
    <w:p w14:paraId="3823FEFB">
      <w:pPr>
        <w:pStyle w:val="25"/>
        <w:numPr>
          <w:ilvl w:val="0"/>
          <w:numId w:val="14"/>
        </w:numPr>
      </w:pPr>
      <w:r>
        <w:t>Assesses the risk to life and limb of the incident</w:t>
      </w:r>
    </w:p>
    <w:p w14:paraId="57F9AB30">
      <w:pPr>
        <w:pStyle w:val="25"/>
        <w:numPr>
          <w:ilvl w:val="0"/>
          <w:numId w:val="14"/>
        </w:numPr>
      </w:pPr>
      <w:r>
        <w:t xml:space="preserve">Ensures that legal responsibilities for health and safety are always met </w:t>
      </w:r>
    </w:p>
    <w:p w14:paraId="20293FA2">
      <w:pPr>
        <w:pStyle w:val="25"/>
        <w:numPr>
          <w:ilvl w:val="0"/>
          <w:numId w:val="14"/>
        </w:numPr>
      </w:pPr>
      <w:r>
        <w:t>Liaises with emergency services such as police, fire and medical</w:t>
      </w:r>
    </w:p>
    <w:p w14:paraId="697AF29B">
      <w:pPr>
        <w:pStyle w:val="25"/>
        <w:numPr>
          <w:ilvl w:val="0"/>
          <w:numId w:val="14"/>
        </w:numPr>
      </w:pPr>
      <w:r>
        <w:t>Considers environmental issues with respect to the incident</w:t>
      </w:r>
    </w:p>
    <w:p w14:paraId="2CBA0C76"/>
    <w:p w14:paraId="676227D3">
      <w:pPr>
        <w:pStyle w:val="4"/>
      </w:pPr>
      <w:bookmarkStart w:id="21" w:name="_Toc68274963"/>
      <w:r>
        <w:t>Human resources</w:t>
      </w:r>
      <w:bookmarkEnd w:id="21"/>
    </w:p>
    <w:p w14:paraId="3B9EB912">
      <w:pPr>
        <w:pStyle w:val="25"/>
        <w:numPr>
          <w:ilvl w:val="0"/>
          <w:numId w:val="15"/>
        </w:numPr>
      </w:pPr>
      <w:r>
        <w:t>Assesses and advises on HR policy and employment contract matters</w:t>
      </w:r>
    </w:p>
    <w:p w14:paraId="532EC533">
      <w:pPr>
        <w:pStyle w:val="25"/>
        <w:numPr>
          <w:ilvl w:val="0"/>
          <w:numId w:val="15"/>
        </w:numPr>
      </w:pPr>
      <w:r>
        <w:t>Represents the interests of organization employees</w:t>
      </w:r>
    </w:p>
    <w:p w14:paraId="44501151">
      <w:pPr>
        <w:pStyle w:val="25"/>
        <w:numPr>
          <w:ilvl w:val="0"/>
          <w:numId w:val="15"/>
        </w:numPr>
      </w:pPr>
      <w:r>
        <w:t>Advises on capability and disciplinary issues</w:t>
      </w:r>
    </w:p>
    <w:p w14:paraId="4EB51775"/>
    <w:p w14:paraId="1FF91DB6">
      <w:pPr>
        <w:pStyle w:val="4"/>
      </w:pPr>
      <w:bookmarkStart w:id="22" w:name="_Toc68274964"/>
      <w:r>
        <w:t>Business continuity planning</w:t>
      </w:r>
      <w:bookmarkEnd w:id="22"/>
    </w:p>
    <w:p w14:paraId="32F58C09">
      <w:pPr>
        <w:pStyle w:val="25"/>
        <w:numPr>
          <w:ilvl w:val="0"/>
          <w:numId w:val="16"/>
        </w:numPr>
      </w:pPr>
      <w:r>
        <w:t>Provide advice on business continuity options</w:t>
      </w:r>
    </w:p>
    <w:p w14:paraId="110A0299">
      <w:pPr>
        <w:pStyle w:val="25"/>
        <w:numPr>
          <w:ilvl w:val="0"/>
          <w:numId w:val="16"/>
        </w:numPr>
      </w:pPr>
      <w:r>
        <w:t>Invoke business continuity plans if required</w:t>
      </w:r>
    </w:p>
    <w:p w14:paraId="48126C71"/>
    <w:p w14:paraId="24791549">
      <w:pPr>
        <w:pStyle w:val="4"/>
      </w:pPr>
      <w:r>
        <w:t xml:space="preserve">   </w:t>
      </w:r>
      <w:bookmarkStart w:id="23" w:name="_Toc68274965"/>
      <w:r>
        <w:t>Communications (PR and media relations)</w:t>
      </w:r>
      <w:bookmarkEnd w:id="23"/>
    </w:p>
    <w:p w14:paraId="543269EF">
      <w:pPr>
        <w:pStyle w:val="25"/>
        <w:numPr>
          <w:ilvl w:val="0"/>
          <w:numId w:val="17"/>
        </w:numPr>
      </w:pPr>
      <w:r>
        <w:t>Responsible for ensuring internal communications are effective</w:t>
      </w:r>
    </w:p>
    <w:p w14:paraId="2D16DC8D">
      <w:pPr>
        <w:pStyle w:val="25"/>
        <w:numPr>
          <w:ilvl w:val="0"/>
          <w:numId w:val="17"/>
        </w:numPr>
      </w:pPr>
      <w:r>
        <w:t>Decides the level, frequency and content of communications with external parties such as the media</w:t>
      </w:r>
    </w:p>
    <w:p w14:paraId="6D33408B">
      <w:pPr>
        <w:pStyle w:val="25"/>
        <w:numPr>
          <w:ilvl w:val="0"/>
          <w:numId w:val="17"/>
        </w:numPr>
      </w:pPr>
      <w:r>
        <w:t>Defines approach to keeping affected parties informed e.g. customers, shareholders</w:t>
      </w:r>
    </w:p>
    <w:p w14:paraId="097F75F8"/>
    <w:p w14:paraId="4BD1F1F4">
      <w:pPr>
        <w:pStyle w:val="4"/>
      </w:pPr>
      <w:r>
        <w:t xml:space="preserve">   </w:t>
      </w:r>
      <w:bookmarkStart w:id="24" w:name="_Toc68274966"/>
      <w:r>
        <w:t>Legal and regulatory</w:t>
      </w:r>
      <w:bookmarkEnd w:id="24"/>
    </w:p>
    <w:p w14:paraId="503C014B">
      <w:pPr>
        <w:pStyle w:val="25"/>
        <w:numPr>
          <w:ilvl w:val="0"/>
          <w:numId w:val="18"/>
        </w:numPr>
      </w:pPr>
      <w:r>
        <w:t>Advises on what must be done to ensure compliance with relevant laws and regulatory frameworks</w:t>
      </w:r>
    </w:p>
    <w:p w14:paraId="146CDB21">
      <w:pPr>
        <w:pStyle w:val="25"/>
        <w:numPr>
          <w:ilvl w:val="0"/>
          <w:numId w:val="18"/>
        </w:numPr>
      </w:pPr>
      <w:r>
        <w:t>Assesses the actual and potential legal implications of the incident and subsequent actions</w:t>
      </w:r>
    </w:p>
    <w:p w14:paraId="70E1D48E">
      <w:pPr>
        <w:pStyle w:val="25"/>
        <w:numPr>
          <w:ilvl w:val="0"/>
          <w:numId w:val="18"/>
        </w:numPr>
      </w:pPr>
      <w:r>
        <w:t>Liaises with insurers to assess claim and obtain additional resources</w:t>
      </w:r>
    </w:p>
    <w:p w14:paraId="2F1F3391"/>
    <w:p w14:paraId="2B8CA29F">
      <w:pPr>
        <w:pStyle w:val="3"/>
      </w:pPr>
      <w:bookmarkStart w:id="25" w:name="_Toc68274967"/>
      <w:r>
        <w:t>RACI matrix</w:t>
      </w:r>
      <w:bookmarkEnd w:id="25"/>
    </w:p>
    <w:p w14:paraId="3BE63188">
      <w:r>
        <w:t>The table below shows who is either Responsible (R), Accountable (A), Consulted (C) or Informed (I) at different stages of the procedure.</w:t>
      </w:r>
      <w:r>
        <w:br w:type="textWrapping"/>
      </w:r>
    </w:p>
    <w:tbl>
      <w:tblPr>
        <w:tblStyle w:val="11"/>
        <w:tblW w:w="0" w:type="auto"/>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3964"/>
        <w:gridCol w:w="400"/>
        <w:gridCol w:w="407"/>
        <w:gridCol w:w="370"/>
        <w:gridCol w:w="370"/>
        <w:gridCol w:w="475"/>
        <w:gridCol w:w="483"/>
        <w:gridCol w:w="437"/>
        <w:gridCol w:w="455"/>
        <w:gridCol w:w="430"/>
        <w:gridCol w:w="458"/>
        <w:gridCol w:w="414"/>
        <w:gridCol w:w="489"/>
      </w:tblGrid>
      <w:tr w14:paraId="6C37ED51">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PrEx>
        <w:tc>
          <w:tcPr>
            <w:tcW w:w="3964" w:type="dxa"/>
            <w:shd w:val="clear" w:color="auto" w:fill="44546A" w:themeFill="text2"/>
          </w:tcPr>
          <w:p w14:paraId="0E564C7C">
            <w:pPr>
              <w:pStyle w:val="18"/>
            </w:pPr>
            <w:r>
              <w:t>TASK</w:t>
            </w:r>
          </w:p>
        </w:tc>
        <w:tc>
          <w:tcPr>
            <w:tcW w:w="264" w:type="dxa"/>
            <w:shd w:val="clear" w:color="auto" w:fill="44546A" w:themeFill="text2"/>
          </w:tcPr>
          <w:p w14:paraId="49AE5B07">
            <w:pPr>
              <w:pStyle w:val="18"/>
            </w:pPr>
            <w:r>
              <w:t>TL</w:t>
            </w:r>
          </w:p>
        </w:tc>
        <w:tc>
          <w:tcPr>
            <w:tcW w:w="407" w:type="dxa"/>
            <w:shd w:val="clear" w:color="auto" w:fill="44546A" w:themeFill="text2"/>
          </w:tcPr>
          <w:p w14:paraId="11DEE5E2">
            <w:pPr>
              <w:pStyle w:val="18"/>
            </w:pPr>
            <w:r>
              <w:t>TF</w:t>
            </w:r>
          </w:p>
        </w:tc>
        <w:tc>
          <w:tcPr>
            <w:tcW w:w="370" w:type="dxa"/>
            <w:shd w:val="clear" w:color="auto" w:fill="44546A" w:themeFill="text2"/>
          </w:tcPr>
          <w:p w14:paraId="44F01DA2">
            <w:pPr>
              <w:pStyle w:val="18"/>
            </w:pPr>
            <w:r>
              <w:t>IL</w:t>
            </w:r>
          </w:p>
        </w:tc>
        <w:tc>
          <w:tcPr>
            <w:tcW w:w="370" w:type="dxa"/>
            <w:shd w:val="clear" w:color="auto" w:fill="44546A" w:themeFill="text2"/>
          </w:tcPr>
          <w:p w14:paraId="1FC0F935">
            <w:pPr>
              <w:pStyle w:val="18"/>
            </w:pPr>
            <w:r>
              <w:t>IT</w:t>
            </w:r>
          </w:p>
        </w:tc>
        <w:tc>
          <w:tcPr>
            <w:tcW w:w="475" w:type="dxa"/>
            <w:shd w:val="clear" w:color="auto" w:fill="44546A" w:themeFill="text2"/>
          </w:tcPr>
          <w:p w14:paraId="492516A8">
            <w:pPr>
              <w:pStyle w:val="18"/>
            </w:pPr>
            <w:r>
              <w:t>BO</w:t>
            </w:r>
          </w:p>
        </w:tc>
        <w:tc>
          <w:tcPr>
            <w:tcW w:w="483" w:type="dxa"/>
            <w:shd w:val="clear" w:color="auto" w:fill="44546A" w:themeFill="text2"/>
          </w:tcPr>
          <w:p w14:paraId="2EE311E9">
            <w:pPr>
              <w:pStyle w:val="18"/>
            </w:pPr>
            <w:r>
              <w:t>FM</w:t>
            </w:r>
          </w:p>
        </w:tc>
        <w:tc>
          <w:tcPr>
            <w:tcW w:w="437" w:type="dxa"/>
            <w:shd w:val="clear" w:color="auto" w:fill="44546A" w:themeFill="text2"/>
          </w:tcPr>
          <w:p w14:paraId="5832DA2E">
            <w:pPr>
              <w:pStyle w:val="18"/>
            </w:pPr>
            <w:r>
              <w:t>HS</w:t>
            </w:r>
          </w:p>
        </w:tc>
        <w:tc>
          <w:tcPr>
            <w:tcW w:w="455" w:type="dxa"/>
            <w:shd w:val="clear" w:color="auto" w:fill="44546A" w:themeFill="text2"/>
          </w:tcPr>
          <w:p w14:paraId="31E8FBF1">
            <w:pPr>
              <w:pStyle w:val="18"/>
            </w:pPr>
            <w:r>
              <w:t>HR</w:t>
            </w:r>
          </w:p>
        </w:tc>
        <w:tc>
          <w:tcPr>
            <w:tcW w:w="430" w:type="dxa"/>
            <w:shd w:val="clear" w:color="auto" w:fill="44546A" w:themeFill="text2"/>
          </w:tcPr>
          <w:p w14:paraId="52160F3C">
            <w:pPr>
              <w:pStyle w:val="18"/>
            </w:pPr>
            <w:r>
              <w:t>CP</w:t>
            </w:r>
          </w:p>
        </w:tc>
        <w:tc>
          <w:tcPr>
            <w:tcW w:w="458" w:type="dxa"/>
            <w:shd w:val="clear" w:color="auto" w:fill="44546A" w:themeFill="text2"/>
          </w:tcPr>
          <w:p w14:paraId="335363F6">
            <w:pPr>
              <w:pStyle w:val="18"/>
            </w:pPr>
            <w:r>
              <w:t>CO</w:t>
            </w:r>
          </w:p>
        </w:tc>
        <w:tc>
          <w:tcPr>
            <w:tcW w:w="414" w:type="dxa"/>
            <w:shd w:val="clear" w:color="auto" w:fill="44546A" w:themeFill="text2"/>
          </w:tcPr>
          <w:p w14:paraId="212EB52D">
            <w:pPr>
              <w:pStyle w:val="18"/>
            </w:pPr>
            <w:r>
              <w:t>LR</w:t>
            </w:r>
          </w:p>
        </w:tc>
        <w:tc>
          <w:tcPr>
            <w:tcW w:w="489" w:type="dxa"/>
            <w:shd w:val="clear" w:color="auto" w:fill="44546A" w:themeFill="text2"/>
          </w:tcPr>
          <w:p w14:paraId="17E94CE7">
            <w:pPr>
              <w:pStyle w:val="18"/>
            </w:pPr>
            <w:r>
              <w:t>EM</w:t>
            </w:r>
          </w:p>
        </w:tc>
      </w:tr>
      <w:tr w14:paraId="60908D1B">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964" w:type="dxa"/>
            <w:tcBorders>
              <w:top w:val="nil"/>
              <w:left w:val="single" w:color="auto" w:sz="6" w:space="0"/>
              <w:bottom w:val="single" w:color="auto" w:sz="6" w:space="0"/>
              <w:right w:val="single" w:color="auto" w:sz="6" w:space="0"/>
            </w:tcBorders>
            <w:shd w:val="clear" w:color="auto" w:fill="auto"/>
          </w:tcPr>
          <w:p w14:paraId="38982D7E">
            <w:pPr>
              <w:pStyle w:val="19"/>
            </w:pPr>
            <w:r>
              <w:t>Incident detection </w:t>
            </w:r>
          </w:p>
        </w:tc>
        <w:tc>
          <w:tcPr>
            <w:tcW w:w="264" w:type="dxa"/>
            <w:tcBorders>
              <w:top w:val="nil"/>
              <w:left w:val="nil"/>
              <w:bottom w:val="single" w:color="auto" w:sz="6" w:space="0"/>
              <w:right w:val="single" w:color="auto" w:sz="6" w:space="0"/>
            </w:tcBorders>
            <w:shd w:val="clear" w:color="auto" w:fill="auto"/>
          </w:tcPr>
          <w:p w14:paraId="2D90CC02">
            <w:pPr>
              <w:pStyle w:val="19"/>
            </w:pPr>
            <w:r>
              <w:rPr>
                <w:highlight w:val="yellow"/>
              </w:rPr>
              <w:t>A </w:t>
            </w:r>
          </w:p>
        </w:tc>
        <w:tc>
          <w:tcPr>
            <w:tcW w:w="407" w:type="dxa"/>
            <w:tcBorders>
              <w:top w:val="nil"/>
              <w:left w:val="nil"/>
              <w:bottom w:val="single" w:color="auto" w:sz="6" w:space="0"/>
              <w:right w:val="single" w:color="auto" w:sz="6" w:space="0"/>
            </w:tcBorders>
            <w:shd w:val="clear" w:color="auto" w:fill="auto"/>
          </w:tcPr>
          <w:p w14:paraId="02814EA2">
            <w:pPr>
              <w:pStyle w:val="19"/>
            </w:pPr>
            <w:r>
              <w:rPr>
                <w:highlight w:val="yellow"/>
              </w:rPr>
              <w:t>R </w:t>
            </w:r>
          </w:p>
        </w:tc>
        <w:tc>
          <w:tcPr>
            <w:tcW w:w="370" w:type="dxa"/>
            <w:tcBorders>
              <w:top w:val="nil"/>
              <w:left w:val="nil"/>
              <w:bottom w:val="single" w:color="auto" w:sz="6" w:space="0"/>
              <w:right w:val="single" w:color="auto" w:sz="6" w:space="0"/>
            </w:tcBorders>
            <w:shd w:val="clear" w:color="auto" w:fill="auto"/>
          </w:tcPr>
          <w:p w14:paraId="55F70FF7">
            <w:pPr>
              <w:pStyle w:val="19"/>
            </w:pPr>
            <w:r>
              <w:rPr>
                <w:highlight w:val="yellow"/>
              </w:rPr>
              <w:t>R </w:t>
            </w:r>
          </w:p>
        </w:tc>
        <w:tc>
          <w:tcPr>
            <w:tcW w:w="370" w:type="dxa"/>
            <w:tcBorders>
              <w:top w:val="nil"/>
              <w:left w:val="nil"/>
              <w:bottom w:val="single" w:color="auto" w:sz="6" w:space="0"/>
              <w:right w:val="single" w:color="auto" w:sz="6" w:space="0"/>
            </w:tcBorders>
            <w:shd w:val="clear" w:color="auto" w:fill="auto"/>
          </w:tcPr>
          <w:p w14:paraId="4116185C">
            <w:pPr>
              <w:pStyle w:val="19"/>
            </w:pPr>
            <w:r>
              <w:rPr>
                <w:highlight w:val="yellow"/>
              </w:rPr>
              <w:t>I </w:t>
            </w:r>
          </w:p>
        </w:tc>
        <w:tc>
          <w:tcPr>
            <w:tcW w:w="475" w:type="dxa"/>
            <w:tcBorders>
              <w:top w:val="nil"/>
              <w:left w:val="nil"/>
              <w:bottom w:val="single" w:color="auto" w:sz="6" w:space="0"/>
              <w:right w:val="single" w:color="auto" w:sz="6" w:space="0"/>
            </w:tcBorders>
            <w:shd w:val="clear" w:color="auto" w:fill="auto"/>
          </w:tcPr>
          <w:p w14:paraId="07B1563F">
            <w:pPr>
              <w:pStyle w:val="19"/>
            </w:pPr>
            <w:r>
              <w:rPr>
                <w:highlight w:val="yellow"/>
              </w:rPr>
              <w:t>C </w:t>
            </w:r>
          </w:p>
        </w:tc>
        <w:tc>
          <w:tcPr>
            <w:tcW w:w="483" w:type="dxa"/>
            <w:tcBorders>
              <w:top w:val="nil"/>
              <w:left w:val="nil"/>
              <w:bottom w:val="single" w:color="auto" w:sz="6" w:space="0"/>
              <w:right w:val="single" w:color="auto" w:sz="6" w:space="0"/>
            </w:tcBorders>
            <w:shd w:val="clear" w:color="auto" w:fill="auto"/>
          </w:tcPr>
          <w:p w14:paraId="394653AD">
            <w:pPr>
              <w:pStyle w:val="19"/>
            </w:pPr>
            <w:r>
              <w:rPr>
                <w:highlight w:val="yellow"/>
              </w:rPr>
              <w:t>R </w:t>
            </w:r>
          </w:p>
        </w:tc>
        <w:tc>
          <w:tcPr>
            <w:tcW w:w="437" w:type="dxa"/>
            <w:tcBorders>
              <w:top w:val="nil"/>
              <w:left w:val="nil"/>
              <w:bottom w:val="single" w:color="auto" w:sz="6" w:space="0"/>
              <w:right w:val="single" w:color="auto" w:sz="6" w:space="0"/>
            </w:tcBorders>
            <w:shd w:val="clear" w:color="auto" w:fill="auto"/>
          </w:tcPr>
          <w:p w14:paraId="5A04F4CE">
            <w:pPr>
              <w:pStyle w:val="19"/>
            </w:pPr>
            <w:r>
              <w:rPr>
                <w:highlight w:val="yellow"/>
              </w:rPr>
              <w:t>R </w:t>
            </w:r>
          </w:p>
        </w:tc>
        <w:tc>
          <w:tcPr>
            <w:tcW w:w="455" w:type="dxa"/>
            <w:tcBorders>
              <w:top w:val="nil"/>
              <w:left w:val="nil"/>
              <w:bottom w:val="single" w:color="auto" w:sz="6" w:space="0"/>
              <w:right w:val="single" w:color="auto" w:sz="6" w:space="0"/>
            </w:tcBorders>
            <w:shd w:val="clear" w:color="auto" w:fill="auto"/>
          </w:tcPr>
          <w:p w14:paraId="0B305E54">
            <w:pPr>
              <w:pStyle w:val="19"/>
            </w:pPr>
            <w:r>
              <w:rPr>
                <w:highlight w:val="yellow"/>
              </w:rPr>
              <w:t>I </w:t>
            </w:r>
          </w:p>
        </w:tc>
        <w:tc>
          <w:tcPr>
            <w:tcW w:w="430" w:type="dxa"/>
            <w:tcBorders>
              <w:top w:val="nil"/>
              <w:left w:val="nil"/>
              <w:bottom w:val="single" w:color="auto" w:sz="6" w:space="0"/>
              <w:right w:val="single" w:color="auto" w:sz="6" w:space="0"/>
            </w:tcBorders>
            <w:shd w:val="clear" w:color="auto" w:fill="auto"/>
          </w:tcPr>
          <w:p w14:paraId="599F67AC">
            <w:pPr>
              <w:pStyle w:val="19"/>
            </w:pPr>
            <w:r>
              <w:rPr>
                <w:highlight w:val="yellow"/>
              </w:rPr>
              <w:t>I </w:t>
            </w:r>
          </w:p>
        </w:tc>
        <w:tc>
          <w:tcPr>
            <w:tcW w:w="458" w:type="dxa"/>
            <w:tcBorders>
              <w:top w:val="nil"/>
              <w:left w:val="nil"/>
              <w:bottom w:val="single" w:color="auto" w:sz="6" w:space="0"/>
              <w:right w:val="single" w:color="auto" w:sz="6" w:space="0"/>
            </w:tcBorders>
            <w:shd w:val="clear" w:color="auto" w:fill="auto"/>
          </w:tcPr>
          <w:p w14:paraId="5359234D">
            <w:pPr>
              <w:pStyle w:val="19"/>
            </w:pPr>
            <w:r>
              <w:rPr>
                <w:highlight w:val="yellow"/>
              </w:rPr>
              <w:t>I </w:t>
            </w:r>
          </w:p>
        </w:tc>
        <w:tc>
          <w:tcPr>
            <w:tcW w:w="414" w:type="dxa"/>
            <w:tcBorders>
              <w:top w:val="nil"/>
              <w:left w:val="nil"/>
              <w:bottom w:val="single" w:color="auto" w:sz="6" w:space="0"/>
              <w:right w:val="single" w:color="auto" w:sz="6" w:space="0"/>
            </w:tcBorders>
            <w:shd w:val="clear" w:color="auto" w:fill="auto"/>
          </w:tcPr>
          <w:p w14:paraId="1DAC1771">
            <w:pPr>
              <w:pStyle w:val="19"/>
            </w:pPr>
            <w:r>
              <w:rPr>
                <w:highlight w:val="yellow"/>
              </w:rPr>
              <w:t>I </w:t>
            </w:r>
          </w:p>
        </w:tc>
        <w:tc>
          <w:tcPr>
            <w:tcW w:w="489" w:type="dxa"/>
            <w:tcBorders>
              <w:top w:val="nil"/>
              <w:left w:val="nil"/>
              <w:bottom w:val="single" w:color="auto" w:sz="6" w:space="0"/>
              <w:right w:val="single" w:color="auto" w:sz="6" w:space="0"/>
            </w:tcBorders>
            <w:shd w:val="clear" w:color="auto" w:fill="auto"/>
          </w:tcPr>
          <w:p w14:paraId="6E0C150D">
            <w:pPr>
              <w:pStyle w:val="19"/>
            </w:pPr>
            <w:r>
              <w:rPr>
                <w:highlight w:val="yellow"/>
              </w:rPr>
              <w:t>R </w:t>
            </w:r>
          </w:p>
        </w:tc>
      </w:tr>
      <w:tr w14:paraId="3B2A6E02">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964" w:type="dxa"/>
            <w:tcBorders>
              <w:top w:val="nil"/>
              <w:left w:val="single" w:color="auto" w:sz="6" w:space="0"/>
              <w:bottom w:val="single" w:color="auto" w:sz="6" w:space="0"/>
              <w:right w:val="single" w:color="auto" w:sz="6" w:space="0"/>
            </w:tcBorders>
            <w:shd w:val="clear" w:color="auto" w:fill="auto"/>
          </w:tcPr>
          <w:p w14:paraId="2482288A">
            <w:pPr>
              <w:pStyle w:val="19"/>
            </w:pPr>
            <w:r>
              <w:t>Incident analysis </w:t>
            </w:r>
          </w:p>
        </w:tc>
        <w:tc>
          <w:tcPr>
            <w:tcW w:w="264" w:type="dxa"/>
            <w:tcBorders>
              <w:top w:val="nil"/>
              <w:left w:val="nil"/>
              <w:bottom w:val="single" w:color="auto" w:sz="6" w:space="0"/>
              <w:right w:val="single" w:color="auto" w:sz="6" w:space="0"/>
            </w:tcBorders>
            <w:shd w:val="clear" w:color="auto" w:fill="auto"/>
          </w:tcPr>
          <w:p w14:paraId="496089F6">
            <w:pPr>
              <w:pStyle w:val="19"/>
            </w:pPr>
            <w:r>
              <w:rPr>
                <w:highlight w:val="yellow"/>
              </w:rPr>
              <w:t>A </w:t>
            </w:r>
          </w:p>
        </w:tc>
        <w:tc>
          <w:tcPr>
            <w:tcW w:w="407" w:type="dxa"/>
            <w:tcBorders>
              <w:top w:val="nil"/>
              <w:left w:val="nil"/>
              <w:bottom w:val="single" w:color="auto" w:sz="6" w:space="0"/>
              <w:right w:val="single" w:color="auto" w:sz="6" w:space="0"/>
            </w:tcBorders>
            <w:shd w:val="clear" w:color="auto" w:fill="auto"/>
          </w:tcPr>
          <w:p w14:paraId="29E0A250">
            <w:pPr>
              <w:pStyle w:val="19"/>
            </w:pPr>
            <w:r>
              <w:rPr>
                <w:highlight w:val="yellow"/>
              </w:rPr>
              <w:t>R </w:t>
            </w:r>
          </w:p>
        </w:tc>
        <w:tc>
          <w:tcPr>
            <w:tcW w:w="370" w:type="dxa"/>
            <w:tcBorders>
              <w:top w:val="nil"/>
              <w:left w:val="nil"/>
              <w:bottom w:val="single" w:color="auto" w:sz="6" w:space="0"/>
              <w:right w:val="single" w:color="auto" w:sz="6" w:space="0"/>
            </w:tcBorders>
            <w:shd w:val="clear" w:color="auto" w:fill="auto"/>
          </w:tcPr>
          <w:p w14:paraId="038BDEB1">
            <w:pPr>
              <w:pStyle w:val="19"/>
            </w:pPr>
            <w:r>
              <w:rPr>
                <w:highlight w:val="yellow"/>
              </w:rPr>
              <w:t>R </w:t>
            </w:r>
          </w:p>
        </w:tc>
        <w:tc>
          <w:tcPr>
            <w:tcW w:w="370" w:type="dxa"/>
            <w:tcBorders>
              <w:top w:val="nil"/>
              <w:left w:val="nil"/>
              <w:bottom w:val="single" w:color="auto" w:sz="6" w:space="0"/>
              <w:right w:val="single" w:color="auto" w:sz="6" w:space="0"/>
            </w:tcBorders>
            <w:shd w:val="clear" w:color="auto" w:fill="auto"/>
          </w:tcPr>
          <w:p w14:paraId="305A06E8">
            <w:pPr>
              <w:pStyle w:val="19"/>
            </w:pPr>
            <w:r>
              <w:rPr>
                <w:highlight w:val="yellow"/>
              </w:rPr>
              <w:t>C </w:t>
            </w:r>
          </w:p>
        </w:tc>
        <w:tc>
          <w:tcPr>
            <w:tcW w:w="475" w:type="dxa"/>
            <w:tcBorders>
              <w:top w:val="nil"/>
              <w:left w:val="nil"/>
              <w:bottom w:val="single" w:color="auto" w:sz="6" w:space="0"/>
              <w:right w:val="single" w:color="auto" w:sz="6" w:space="0"/>
            </w:tcBorders>
            <w:shd w:val="clear" w:color="auto" w:fill="auto"/>
          </w:tcPr>
          <w:p w14:paraId="08C7C4C8">
            <w:pPr>
              <w:pStyle w:val="19"/>
            </w:pPr>
            <w:r>
              <w:rPr>
                <w:highlight w:val="yellow"/>
              </w:rPr>
              <w:t>C </w:t>
            </w:r>
          </w:p>
        </w:tc>
        <w:tc>
          <w:tcPr>
            <w:tcW w:w="483" w:type="dxa"/>
            <w:tcBorders>
              <w:top w:val="nil"/>
              <w:left w:val="nil"/>
              <w:bottom w:val="single" w:color="auto" w:sz="6" w:space="0"/>
              <w:right w:val="single" w:color="auto" w:sz="6" w:space="0"/>
            </w:tcBorders>
            <w:shd w:val="clear" w:color="auto" w:fill="auto"/>
          </w:tcPr>
          <w:p w14:paraId="72D4DF9B">
            <w:pPr>
              <w:pStyle w:val="19"/>
            </w:pPr>
            <w:r>
              <w:rPr>
                <w:highlight w:val="yellow"/>
              </w:rPr>
              <w:t>C </w:t>
            </w:r>
          </w:p>
        </w:tc>
        <w:tc>
          <w:tcPr>
            <w:tcW w:w="437" w:type="dxa"/>
            <w:tcBorders>
              <w:top w:val="nil"/>
              <w:left w:val="nil"/>
              <w:bottom w:val="single" w:color="auto" w:sz="6" w:space="0"/>
              <w:right w:val="single" w:color="auto" w:sz="6" w:space="0"/>
            </w:tcBorders>
            <w:shd w:val="clear" w:color="auto" w:fill="auto"/>
          </w:tcPr>
          <w:p w14:paraId="6B932AED">
            <w:pPr>
              <w:pStyle w:val="19"/>
            </w:pPr>
            <w:r>
              <w:rPr>
                <w:highlight w:val="yellow"/>
              </w:rPr>
              <w:t>C </w:t>
            </w:r>
          </w:p>
        </w:tc>
        <w:tc>
          <w:tcPr>
            <w:tcW w:w="455" w:type="dxa"/>
            <w:tcBorders>
              <w:top w:val="nil"/>
              <w:left w:val="nil"/>
              <w:bottom w:val="single" w:color="auto" w:sz="6" w:space="0"/>
              <w:right w:val="single" w:color="auto" w:sz="6" w:space="0"/>
            </w:tcBorders>
            <w:shd w:val="clear" w:color="auto" w:fill="auto"/>
          </w:tcPr>
          <w:p w14:paraId="07E2BC6A">
            <w:pPr>
              <w:pStyle w:val="19"/>
            </w:pPr>
            <w:r>
              <w:rPr>
                <w:highlight w:val="yellow"/>
              </w:rPr>
              <w:t>I </w:t>
            </w:r>
          </w:p>
        </w:tc>
        <w:tc>
          <w:tcPr>
            <w:tcW w:w="430" w:type="dxa"/>
            <w:tcBorders>
              <w:top w:val="nil"/>
              <w:left w:val="nil"/>
              <w:bottom w:val="single" w:color="auto" w:sz="6" w:space="0"/>
              <w:right w:val="single" w:color="auto" w:sz="6" w:space="0"/>
            </w:tcBorders>
            <w:shd w:val="clear" w:color="auto" w:fill="auto"/>
          </w:tcPr>
          <w:p w14:paraId="2062DACB">
            <w:pPr>
              <w:pStyle w:val="19"/>
            </w:pPr>
            <w:r>
              <w:rPr>
                <w:highlight w:val="yellow"/>
              </w:rPr>
              <w:t>C </w:t>
            </w:r>
          </w:p>
        </w:tc>
        <w:tc>
          <w:tcPr>
            <w:tcW w:w="458" w:type="dxa"/>
            <w:tcBorders>
              <w:top w:val="nil"/>
              <w:left w:val="nil"/>
              <w:bottom w:val="single" w:color="auto" w:sz="6" w:space="0"/>
              <w:right w:val="single" w:color="auto" w:sz="6" w:space="0"/>
            </w:tcBorders>
            <w:shd w:val="clear" w:color="auto" w:fill="auto"/>
          </w:tcPr>
          <w:p w14:paraId="0B705EA3">
            <w:pPr>
              <w:pStyle w:val="19"/>
            </w:pPr>
            <w:r>
              <w:rPr>
                <w:highlight w:val="yellow"/>
              </w:rPr>
              <w:t>I </w:t>
            </w:r>
          </w:p>
        </w:tc>
        <w:tc>
          <w:tcPr>
            <w:tcW w:w="414" w:type="dxa"/>
            <w:tcBorders>
              <w:top w:val="nil"/>
              <w:left w:val="nil"/>
              <w:bottom w:val="single" w:color="auto" w:sz="6" w:space="0"/>
              <w:right w:val="single" w:color="auto" w:sz="6" w:space="0"/>
            </w:tcBorders>
            <w:shd w:val="clear" w:color="auto" w:fill="auto"/>
          </w:tcPr>
          <w:p w14:paraId="70EB523A">
            <w:pPr>
              <w:pStyle w:val="19"/>
            </w:pPr>
            <w:r>
              <w:rPr>
                <w:highlight w:val="yellow"/>
              </w:rPr>
              <w:t>I </w:t>
            </w:r>
          </w:p>
        </w:tc>
        <w:tc>
          <w:tcPr>
            <w:tcW w:w="489" w:type="dxa"/>
            <w:tcBorders>
              <w:top w:val="nil"/>
              <w:left w:val="nil"/>
              <w:bottom w:val="single" w:color="auto" w:sz="6" w:space="0"/>
              <w:right w:val="single" w:color="auto" w:sz="6" w:space="0"/>
            </w:tcBorders>
            <w:shd w:val="clear" w:color="auto" w:fill="auto"/>
          </w:tcPr>
          <w:p w14:paraId="0EBE720F">
            <w:pPr>
              <w:pStyle w:val="19"/>
            </w:pPr>
            <w:r>
              <w:rPr>
                <w:highlight w:val="yellow"/>
              </w:rPr>
              <w:t>I </w:t>
            </w:r>
          </w:p>
        </w:tc>
      </w:tr>
      <w:tr w14:paraId="7308CF1D">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964" w:type="dxa"/>
            <w:tcBorders>
              <w:top w:val="nil"/>
              <w:left w:val="single" w:color="auto" w:sz="6" w:space="0"/>
              <w:bottom w:val="single" w:color="auto" w:sz="6" w:space="0"/>
              <w:right w:val="single" w:color="auto" w:sz="6" w:space="0"/>
            </w:tcBorders>
            <w:shd w:val="clear" w:color="auto" w:fill="auto"/>
          </w:tcPr>
          <w:p w14:paraId="594DD9FB">
            <w:pPr>
              <w:pStyle w:val="19"/>
            </w:pPr>
            <w:r>
              <w:t>Assemble incident response team </w:t>
            </w:r>
          </w:p>
        </w:tc>
        <w:tc>
          <w:tcPr>
            <w:tcW w:w="264" w:type="dxa"/>
            <w:tcBorders>
              <w:top w:val="nil"/>
              <w:left w:val="nil"/>
              <w:bottom w:val="single" w:color="auto" w:sz="6" w:space="0"/>
              <w:right w:val="single" w:color="auto" w:sz="6" w:space="0"/>
            </w:tcBorders>
            <w:shd w:val="clear" w:color="auto" w:fill="auto"/>
          </w:tcPr>
          <w:p w14:paraId="1AB06726">
            <w:pPr>
              <w:pStyle w:val="19"/>
            </w:pPr>
            <w:r>
              <w:rPr>
                <w:highlight w:val="yellow"/>
              </w:rPr>
              <w:t>A </w:t>
            </w:r>
          </w:p>
        </w:tc>
        <w:tc>
          <w:tcPr>
            <w:tcW w:w="407" w:type="dxa"/>
            <w:tcBorders>
              <w:top w:val="nil"/>
              <w:left w:val="nil"/>
              <w:bottom w:val="single" w:color="auto" w:sz="6" w:space="0"/>
              <w:right w:val="single" w:color="auto" w:sz="6" w:space="0"/>
            </w:tcBorders>
            <w:shd w:val="clear" w:color="auto" w:fill="auto"/>
          </w:tcPr>
          <w:p w14:paraId="7C71E508">
            <w:pPr>
              <w:pStyle w:val="19"/>
            </w:pPr>
            <w:r>
              <w:rPr>
                <w:highlight w:val="yellow"/>
              </w:rPr>
              <w:t>R </w:t>
            </w:r>
          </w:p>
        </w:tc>
        <w:tc>
          <w:tcPr>
            <w:tcW w:w="370" w:type="dxa"/>
            <w:tcBorders>
              <w:top w:val="nil"/>
              <w:left w:val="nil"/>
              <w:bottom w:val="single" w:color="auto" w:sz="6" w:space="0"/>
              <w:right w:val="single" w:color="auto" w:sz="6" w:space="0"/>
            </w:tcBorders>
            <w:shd w:val="clear" w:color="auto" w:fill="auto"/>
          </w:tcPr>
          <w:p w14:paraId="386C6801">
            <w:pPr>
              <w:pStyle w:val="19"/>
            </w:pPr>
            <w:r>
              <w:rPr>
                <w:highlight w:val="yellow"/>
              </w:rPr>
              <w:t>C </w:t>
            </w:r>
          </w:p>
        </w:tc>
        <w:tc>
          <w:tcPr>
            <w:tcW w:w="370" w:type="dxa"/>
            <w:tcBorders>
              <w:top w:val="nil"/>
              <w:left w:val="nil"/>
              <w:bottom w:val="single" w:color="auto" w:sz="6" w:space="0"/>
              <w:right w:val="single" w:color="auto" w:sz="6" w:space="0"/>
            </w:tcBorders>
            <w:shd w:val="clear" w:color="auto" w:fill="auto"/>
          </w:tcPr>
          <w:p w14:paraId="31DED132">
            <w:pPr>
              <w:pStyle w:val="19"/>
            </w:pPr>
            <w:r>
              <w:rPr>
                <w:highlight w:val="yellow"/>
              </w:rPr>
              <w:t>C </w:t>
            </w:r>
          </w:p>
        </w:tc>
        <w:tc>
          <w:tcPr>
            <w:tcW w:w="475" w:type="dxa"/>
            <w:tcBorders>
              <w:top w:val="nil"/>
              <w:left w:val="nil"/>
              <w:bottom w:val="single" w:color="auto" w:sz="6" w:space="0"/>
              <w:right w:val="single" w:color="auto" w:sz="6" w:space="0"/>
            </w:tcBorders>
            <w:shd w:val="clear" w:color="auto" w:fill="auto"/>
          </w:tcPr>
          <w:p w14:paraId="4C0C350B">
            <w:pPr>
              <w:pStyle w:val="19"/>
            </w:pPr>
            <w:r>
              <w:rPr>
                <w:highlight w:val="yellow"/>
              </w:rPr>
              <w:t>C </w:t>
            </w:r>
          </w:p>
        </w:tc>
        <w:tc>
          <w:tcPr>
            <w:tcW w:w="483" w:type="dxa"/>
            <w:tcBorders>
              <w:top w:val="nil"/>
              <w:left w:val="nil"/>
              <w:bottom w:val="single" w:color="auto" w:sz="6" w:space="0"/>
              <w:right w:val="single" w:color="auto" w:sz="6" w:space="0"/>
            </w:tcBorders>
            <w:shd w:val="clear" w:color="auto" w:fill="auto"/>
          </w:tcPr>
          <w:p w14:paraId="0B5BC496">
            <w:pPr>
              <w:pStyle w:val="19"/>
            </w:pPr>
            <w:r>
              <w:rPr>
                <w:highlight w:val="yellow"/>
              </w:rPr>
              <w:t>C </w:t>
            </w:r>
          </w:p>
        </w:tc>
        <w:tc>
          <w:tcPr>
            <w:tcW w:w="437" w:type="dxa"/>
            <w:tcBorders>
              <w:top w:val="nil"/>
              <w:left w:val="nil"/>
              <w:bottom w:val="single" w:color="auto" w:sz="6" w:space="0"/>
              <w:right w:val="single" w:color="auto" w:sz="6" w:space="0"/>
            </w:tcBorders>
            <w:shd w:val="clear" w:color="auto" w:fill="auto"/>
          </w:tcPr>
          <w:p w14:paraId="5A915CF2">
            <w:pPr>
              <w:pStyle w:val="19"/>
            </w:pPr>
            <w:r>
              <w:rPr>
                <w:highlight w:val="yellow"/>
              </w:rPr>
              <w:t>C </w:t>
            </w:r>
          </w:p>
        </w:tc>
        <w:tc>
          <w:tcPr>
            <w:tcW w:w="455" w:type="dxa"/>
            <w:tcBorders>
              <w:top w:val="nil"/>
              <w:left w:val="nil"/>
              <w:bottom w:val="single" w:color="auto" w:sz="6" w:space="0"/>
              <w:right w:val="single" w:color="auto" w:sz="6" w:space="0"/>
            </w:tcBorders>
            <w:shd w:val="clear" w:color="auto" w:fill="auto"/>
          </w:tcPr>
          <w:p w14:paraId="15A7A16F">
            <w:pPr>
              <w:pStyle w:val="19"/>
            </w:pPr>
            <w:r>
              <w:rPr>
                <w:highlight w:val="yellow"/>
              </w:rPr>
              <w:t>C </w:t>
            </w:r>
          </w:p>
        </w:tc>
        <w:tc>
          <w:tcPr>
            <w:tcW w:w="430" w:type="dxa"/>
            <w:tcBorders>
              <w:top w:val="nil"/>
              <w:left w:val="nil"/>
              <w:bottom w:val="single" w:color="auto" w:sz="6" w:space="0"/>
              <w:right w:val="single" w:color="auto" w:sz="6" w:space="0"/>
            </w:tcBorders>
            <w:shd w:val="clear" w:color="auto" w:fill="auto"/>
          </w:tcPr>
          <w:p w14:paraId="5AE8D9EB">
            <w:pPr>
              <w:pStyle w:val="19"/>
            </w:pPr>
            <w:r>
              <w:rPr>
                <w:highlight w:val="yellow"/>
              </w:rPr>
              <w:t>C </w:t>
            </w:r>
          </w:p>
        </w:tc>
        <w:tc>
          <w:tcPr>
            <w:tcW w:w="458" w:type="dxa"/>
            <w:tcBorders>
              <w:top w:val="nil"/>
              <w:left w:val="nil"/>
              <w:bottom w:val="single" w:color="auto" w:sz="6" w:space="0"/>
              <w:right w:val="single" w:color="auto" w:sz="6" w:space="0"/>
            </w:tcBorders>
            <w:shd w:val="clear" w:color="auto" w:fill="auto"/>
          </w:tcPr>
          <w:p w14:paraId="31FCE7DC">
            <w:pPr>
              <w:pStyle w:val="19"/>
            </w:pPr>
            <w:r>
              <w:rPr>
                <w:highlight w:val="yellow"/>
              </w:rPr>
              <w:t>C </w:t>
            </w:r>
          </w:p>
        </w:tc>
        <w:tc>
          <w:tcPr>
            <w:tcW w:w="414" w:type="dxa"/>
            <w:tcBorders>
              <w:top w:val="nil"/>
              <w:left w:val="nil"/>
              <w:bottom w:val="single" w:color="auto" w:sz="6" w:space="0"/>
              <w:right w:val="single" w:color="auto" w:sz="6" w:space="0"/>
            </w:tcBorders>
            <w:shd w:val="clear" w:color="auto" w:fill="auto"/>
          </w:tcPr>
          <w:p w14:paraId="4E57B471">
            <w:pPr>
              <w:pStyle w:val="19"/>
            </w:pPr>
            <w:r>
              <w:rPr>
                <w:highlight w:val="yellow"/>
              </w:rPr>
              <w:t>C </w:t>
            </w:r>
          </w:p>
        </w:tc>
        <w:tc>
          <w:tcPr>
            <w:tcW w:w="489" w:type="dxa"/>
            <w:tcBorders>
              <w:top w:val="nil"/>
              <w:left w:val="nil"/>
              <w:bottom w:val="single" w:color="auto" w:sz="6" w:space="0"/>
              <w:right w:val="single" w:color="auto" w:sz="6" w:space="0"/>
            </w:tcBorders>
            <w:shd w:val="clear" w:color="auto" w:fill="auto"/>
          </w:tcPr>
          <w:p w14:paraId="15B244DF">
            <w:pPr>
              <w:pStyle w:val="19"/>
            </w:pPr>
            <w:r>
              <w:rPr>
                <w:highlight w:val="yellow"/>
              </w:rPr>
              <w:t>I </w:t>
            </w:r>
          </w:p>
        </w:tc>
      </w:tr>
      <w:tr w14:paraId="4F8609D5">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964" w:type="dxa"/>
            <w:tcBorders>
              <w:top w:val="nil"/>
              <w:left w:val="single" w:color="auto" w:sz="6" w:space="0"/>
              <w:bottom w:val="single" w:color="auto" w:sz="6" w:space="0"/>
              <w:right w:val="single" w:color="auto" w:sz="6" w:space="0"/>
            </w:tcBorders>
            <w:shd w:val="clear" w:color="auto" w:fill="auto"/>
          </w:tcPr>
          <w:p w14:paraId="139D645E">
            <w:pPr>
              <w:pStyle w:val="19"/>
            </w:pPr>
            <w:r>
              <w:t>Containment </w:t>
            </w:r>
          </w:p>
        </w:tc>
        <w:tc>
          <w:tcPr>
            <w:tcW w:w="264" w:type="dxa"/>
            <w:tcBorders>
              <w:top w:val="nil"/>
              <w:left w:val="nil"/>
              <w:bottom w:val="single" w:color="auto" w:sz="6" w:space="0"/>
              <w:right w:val="single" w:color="auto" w:sz="6" w:space="0"/>
            </w:tcBorders>
            <w:shd w:val="clear" w:color="auto" w:fill="auto"/>
          </w:tcPr>
          <w:p w14:paraId="18202438">
            <w:pPr>
              <w:pStyle w:val="19"/>
            </w:pPr>
            <w:r>
              <w:rPr>
                <w:highlight w:val="yellow"/>
              </w:rPr>
              <w:t>A </w:t>
            </w:r>
          </w:p>
        </w:tc>
        <w:tc>
          <w:tcPr>
            <w:tcW w:w="407" w:type="dxa"/>
            <w:tcBorders>
              <w:top w:val="nil"/>
              <w:left w:val="nil"/>
              <w:bottom w:val="single" w:color="auto" w:sz="6" w:space="0"/>
              <w:right w:val="single" w:color="auto" w:sz="6" w:space="0"/>
            </w:tcBorders>
            <w:shd w:val="clear" w:color="auto" w:fill="auto"/>
          </w:tcPr>
          <w:p w14:paraId="241A496B">
            <w:pPr>
              <w:pStyle w:val="19"/>
            </w:pPr>
            <w:r>
              <w:rPr>
                <w:highlight w:val="yellow"/>
              </w:rPr>
              <w:t>R </w:t>
            </w:r>
          </w:p>
        </w:tc>
        <w:tc>
          <w:tcPr>
            <w:tcW w:w="370" w:type="dxa"/>
            <w:tcBorders>
              <w:top w:val="nil"/>
              <w:left w:val="nil"/>
              <w:bottom w:val="single" w:color="auto" w:sz="6" w:space="0"/>
              <w:right w:val="single" w:color="auto" w:sz="6" w:space="0"/>
            </w:tcBorders>
            <w:shd w:val="clear" w:color="auto" w:fill="auto"/>
          </w:tcPr>
          <w:p w14:paraId="1F7F55E1">
            <w:pPr>
              <w:pStyle w:val="19"/>
            </w:pPr>
            <w:r>
              <w:rPr>
                <w:highlight w:val="yellow"/>
              </w:rPr>
              <w:t>R </w:t>
            </w:r>
          </w:p>
        </w:tc>
        <w:tc>
          <w:tcPr>
            <w:tcW w:w="370" w:type="dxa"/>
            <w:tcBorders>
              <w:top w:val="nil"/>
              <w:left w:val="nil"/>
              <w:bottom w:val="single" w:color="auto" w:sz="6" w:space="0"/>
              <w:right w:val="single" w:color="auto" w:sz="6" w:space="0"/>
            </w:tcBorders>
            <w:shd w:val="clear" w:color="auto" w:fill="auto"/>
          </w:tcPr>
          <w:p w14:paraId="730E6191">
            <w:pPr>
              <w:pStyle w:val="19"/>
            </w:pPr>
            <w:r>
              <w:rPr>
                <w:highlight w:val="yellow"/>
              </w:rPr>
              <w:t>C </w:t>
            </w:r>
          </w:p>
        </w:tc>
        <w:tc>
          <w:tcPr>
            <w:tcW w:w="475" w:type="dxa"/>
            <w:tcBorders>
              <w:top w:val="nil"/>
              <w:left w:val="nil"/>
              <w:bottom w:val="single" w:color="auto" w:sz="6" w:space="0"/>
              <w:right w:val="single" w:color="auto" w:sz="6" w:space="0"/>
            </w:tcBorders>
            <w:shd w:val="clear" w:color="auto" w:fill="auto"/>
          </w:tcPr>
          <w:p w14:paraId="09C1E6CC">
            <w:pPr>
              <w:pStyle w:val="19"/>
            </w:pPr>
            <w:r>
              <w:rPr>
                <w:highlight w:val="yellow"/>
              </w:rPr>
              <w:t>R </w:t>
            </w:r>
          </w:p>
        </w:tc>
        <w:tc>
          <w:tcPr>
            <w:tcW w:w="483" w:type="dxa"/>
            <w:tcBorders>
              <w:top w:val="nil"/>
              <w:left w:val="nil"/>
              <w:bottom w:val="single" w:color="auto" w:sz="6" w:space="0"/>
              <w:right w:val="single" w:color="auto" w:sz="6" w:space="0"/>
            </w:tcBorders>
            <w:shd w:val="clear" w:color="auto" w:fill="auto"/>
          </w:tcPr>
          <w:p w14:paraId="6EBFE1F8">
            <w:pPr>
              <w:pStyle w:val="19"/>
            </w:pPr>
            <w:r>
              <w:rPr>
                <w:highlight w:val="yellow"/>
              </w:rPr>
              <w:t>R </w:t>
            </w:r>
          </w:p>
        </w:tc>
        <w:tc>
          <w:tcPr>
            <w:tcW w:w="437" w:type="dxa"/>
            <w:tcBorders>
              <w:top w:val="nil"/>
              <w:left w:val="nil"/>
              <w:bottom w:val="single" w:color="auto" w:sz="6" w:space="0"/>
              <w:right w:val="single" w:color="auto" w:sz="6" w:space="0"/>
            </w:tcBorders>
            <w:shd w:val="clear" w:color="auto" w:fill="auto"/>
          </w:tcPr>
          <w:p w14:paraId="524CDA55">
            <w:pPr>
              <w:pStyle w:val="19"/>
            </w:pPr>
            <w:r>
              <w:rPr>
                <w:highlight w:val="yellow"/>
              </w:rPr>
              <w:t>R </w:t>
            </w:r>
          </w:p>
        </w:tc>
        <w:tc>
          <w:tcPr>
            <w:tcW w:w="455" w:type="dxa"/>
            <w:tcBorders>
              <w:top w:val="nil"/>
              <w:left w:val="nil"/>
              <w:bottom w:val="single" w:color="auto" w:sz="6" w:space="0"/>
              <w:right w:val="single" w:color="auto" w:sz="6" w:space="0"/>
            </w:tcBorders>
            <w:shd w:val="clear" w:color="auto" w:fill="auto"/>
          </w:tcPr>
          <w:p w14:paraId="6960D6CD">
            <w:pPr>
              <w:pStyle w:val="19"/>
            </w:pPr>
            <w:r>
              <w:rPr>
                <w:highlight w:val="yellow"/>
              </w:rPr>
              <w:t>I </w:t>
            </w:r>
          </w:p>
        </w:tc>
        <w:tc>
          <w:tcPr>
            <w:tcW w:w="430" w:type="dxa"/>
            <w:tcBorders>
              <w:top w:val="nil"/>
              <w:left w:val="nil"/>
              <w:bottom w:val="single" w:color="auto" w:sz="6" w:space="0"/>
              <w:right w:val="single" w:color="auto" w:sz="6" w:space="0"/>
            </w:tcBorders>
            <w:shd w:val="clear" w:color="auto" w:fill="auto"/>
          </w:tcPr>
          <w:p w14:paraId="431D7434">
            <w:pPr>
              <w:pStyle w:val="19"/>
            </w:pPr>
            <w:r>
              <w:rPr>
                <w:highlight w:val="yellow"/>
              </w:rPr>
              <w:t>I </w:t>
            </w:r>
          </w:p>
        </w:tc>
        <w:tc>
          <w:tcPr>
            <w:tcW w:w="458" w:type="dxa"/>
            <w:tcBorders>
              <w:top w:val="nil"/>
              <w:left w:val="nil"/>
              <w:bottom w:val="single" w:color="auto" w:sz="6" w:space="0"/>
              <w:right w:val="single" w:color="auto" w:sz="6" w:space="0"/>
            </w:tcBorders>
            <w:shd w:val="clear" w:color="auto" w:fill="auto"/>
          </w:tcPr>
          <w:p w14:paraId="5BFFC0C9">
            <w:pPr>
              <w:pStyle w:val="19"/>
            </w:pPr>
            <w:r>
              <w:rPr>
                <w:highlight w:val="yellow"/>
              </w:rPr>
              <w:t>I </w:t>
            </w:r>
          </w:p>
        </w:tc>
        <w:tc>
          <w:tcPr>
            <w:tcW w:w="414" w:type="dxa"/>
            <w:tcBorders>
              <w:top w:val="nil"/>
              <w:left w:val="nil"/>
              <w:bottom w:val="single" w:color="auto" w:sz="6" w:space="0"/>
              <w:right w:val="single" w:color="auto" w:sz="6" w:space="0"/>
            </w:tcBorders>
            <w:shd w:val="clear" w:color="auto" w:fill="auto"/>
          </w:tcPr>
          <w:p w14:paraId="7D93CD4F">
            <w:pPr>
              <w:pStyle w:val="19"/>
            </w:pPr>
            <w:r>
              <w:rPr>
                <w:highlight w:val="yellow"/>
              </w:rPr>
              <w:t>I </w:t>
            </w:r>
          </w:p>
        </w:tc>
        <w:tc>
          <w:tcPr>
            <w:tcW w:w="489" w:type="dxa"/>
            <w:tcBorders>
              <w:top w:val="nil"/>
              <w:left w:val="nil"/>
              <w:bottom w:val="single" w:color="auto" w:sz="6" w:space="0"/>
              <w:right w:val="single" w:color="auto" w:sz="6" w:space="0"/>
            </w:tcBorders>
            <w:shd w:val="clear" w:color="auto" w:fill="auto"/>
          </w:tcPr>
          <w:p w14:paraId="2A385E4A">
            <w:pPr>
              <w:pStyle w:val="19"/>
            </w:pPr>
            <w:r>
              <w:rPr>
                <w:highlight w:val="yellow"/>
              </w:rPr>
              <w:t>I </w:t>
            </w:r>
          </w:p>
        </w:tc>
      </w:tr>
      <w:tr w14:paraId="6C7E0803">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964" w:type="dxa"/>
            <w:tcBorders>
              <w:top w:val="nil"/>
              <w:left w:val="single" w:color="auto" w:sz="6" w:space="0"/>
              <w:bottom w:val="single" w:color="auto" w:sz="6" w:space="0"/>
              <w:right w:val="single" w:color="auto" w:sz="6" w:space="0"/>
            </w:tcBorders>
            <w:shd w:val="clear" w:color="auto" w:fill="auto"/>
          </w:tcPr>
          <w:p w14:paraId="29DB7031">
            <w:pPr>
              <w:pStyle w:val="19"/>
            </w:pPr>
            <w:r>
              <w:t>Eradication </w:t>
            </w:r>
          </w:p>
        </w:tc>
        <w:tc>
          <w:tcPr>
            <w:tcW w:w="264" w:type="dxa"/>
            <w:tcBorders>
              <w:top w:val="nil"/>
              <w:left w:val="nil"/>
              <w:bottom w:val="single" w:color="auto" w:sz="6" w:space="0"/>
              <w:right w:val="single" w:color="auto" w:sz="6" w:space="0"/>
            </w:tcBorders>
            <w:shd w:val="clear" w:color="auto" w:fill="auto"/>
          </w:tcPr>
          <w:p w14:paraId="626BCEC2">
            <w:pPr>
              <w:pStyle w:val="19"/>
            </w:pPr>
            <w:r>
              <w:rPr>
                <w:highlight w:val="yellow"/>
              </w:rPr>
              <w:t>A </w:t>
            </w:r>
          </w:p>
        </w:tc>
        <w:tc>
          <w:tcPr>
            <w:tcW w:w="407" w:type="dxa"/>
            <w:tcBorders>
              <w:top w:val="nil"/>
              <w:left w:val="nil"/>
              <w:bottom w:val="single" w:color="auto" w:sz="6" w:space="0"/>
              <w:right w:val="single" w:color="auto" w:sz="6" w:space="0"/>
            </w:tcBorders>
            <w:shd w:val="clear" w:color="auto" w:fill="auto"/>
          </w:tcPr>
          <w:p w14:paraId="5CE7C2D7">
            <w:pPr>
              <w:pStyle w:val="19"/>
            </w:pPr>
            <w:r>
              <w:rPr>
                <w:highlight w:val="yellow"/>
              </w:rPr>
              <w:t>R </w:t>
            </w:r>
          </w:p>
        </w:tc>
        <w:tc>
          <w:tcPr>
            <w:tcW w:w="370" w:type="dxa"/>
            <w:tcBorders>
              <w:top w:val="nil"/>
              <w:left w:val="nil"/>
              <w:bottom w:val="single" w:color="auto" w:sz="6" w:space="0"/>
              <w:right w:val="single" w:color="auto" w:sz="6" w:space="0"/>
            </w:tcBorders>
            <w:shd w:val="clear" w:color="auto" w:fill="auto"/>
          </w:tcPr>
          <w:p w14:paraId="422A8E31">
            <w:pPr>
              <w:pStyle w:val="19"/>
            </w:pPr>
            <w:r>
              <w:rPr>
                <w:highlight w:val="yellow"/>
              </w:rPr>
              <w:t>R </w:t>
            </w:r>
          </w:p>
        </w:tc>
        <w:tc>
          <w:tcPr>
            <w:tcW w:w="370" w:type="dxa"/>
            <w:tcBorders>
              <w:top w:val="nil"/>
              <w:left w:val="nil"/>
              <w:bottom w:val="single" w:color="auto" w:sz="6" w:space="0"/>
              <w:right w:val="single" w:color="auto" w:sz="6" w:space="0"/>
            </w:tcBorders>
            <w:shd w:val="clear" w:color="auto" w:fill="auto"/>
          </w:tcPr>
          <w:p w14:paraId="759DD0B4">
            <w:pPr>
              <w:pStyle w:val="19"/>
            </w:pPr>
            <w:r>
              <w:rPr>
                <w:highlight w:val="yellow"/>
              </w:rPr>
              <w:t>C </w:t>
            </w:r>
          </w:p>
        </w:tc>
        <w:tc>
          <w:tcPr>
            <w:tcW w:w="475" w:type="dxa"/>
            <w:tcBorders>
              <w:top w:val="nil"/>
              <w:left w:val="nil"/>
              <w:bottom w:val="single" w:color="auto" w:sz="6" w:space="0"/>
              <w:right w:val="single" w:color="auto" w:sz="6" w:space="0"/>
            </w:tcBorders>
            <w:shd w:val="clear" w:color="auto" w:fill="auto"/>
          </w:tcPr>
          <w:p w14:paraId="425C809A">
            <w:pPr>
              <w:pStyle w:val="19"/>
            </w:pPr>
            <w:r>
              <w:rPr>
                <w:highlight w:val="yellow"/>
              </w:rPr>
              <w:t>R </w:t>
            </w:r>
          </w:p>
        </w:tc>
        <w:tc>
          <w:tcPr>
            <w:tcW w:w="483" w:type="dxa"/>
            <w:tcBorders>
              <w:top w:val="nil"/>
              <w:left w:val="nil"/>
              <w:bottom w:val="single" w:color="auto" w:sz="6" w:space="0"/>
              <w:right w:val="single" w:color="auto" w:sz="6" w:space="0"/>
            </w:tcBorders>
            <w:shd w:val="clear" w:color="auto" w:fill="auto"/>
          </w:tcPr>
          <w:p w14:paraId="71BE6D7B">
            <w:pPr>
              <w:pStyle w:val="19"/>
            </w:pPr>
            <w:r>
              <w:rPr>
                <w:highlight w:val="yellow"/>
              </w:rPr>
              <w:t>R </w:t>
            </w:r>
          </w:p>
        </w:tc>
        <w:tc>
          <w:tcPr>
            <w:tcW w:w="437" w:type="dxa"/>
            <w:tcBorders>
              <w:top w:val="nil"/>
              <w:left w:val="nil"/>
              <w:bottom w:val="single" w:color="auto" w:sz="6" w:space="0"/>
              <w:right w:val="single" w:color="auto" w:sz="6" w:space="0"/>
            </w:tcBorders>
            <w:shd w:val="clear" w:color="auto" w:fill="auto"/>
          </w:tcPr>
          <w:p w14:paraId="317B0A36">
            <w:pPr>
              <w:pStyle w:val="19"/>
            </w:pPr>
            <w:r>
              <w:rPr>
                <w:highlight w:val="yellow"/>
              </w:rPr>
              <w:t>R </w:t>
            </w:r>
          </w:p>
        </w:tc>
        <w:tc>
          <w:tcPr>
            <w:tcW w:w="455" w:type="dxa"/>
            <w:tcBorders>
              <w:top w:val="nil"/>
              <w:left w:val="nil"/>
              <w:bottom w:val="single" w:color="auto" w:sz="6" w:space="0"/>
              <w:right w:val="single" w:color="auto" w:sz="6" w:space="0"/>
            </w:tcBorders>
            <w:shd w:val="clear" w:color="auto" w:fill="auto"/>
          </w:tcPr>
          <w:p w14:paraId="58437D47">
            <w:pPr>
              <w:pStyle w:val="19"/>
            </w:pPr>
            <w:r>
              <w:rPr>
                <w:highlight w:val="yellow"/>
              </w:rPr>
              <w:t>I </w:t>
            </w:r>
          </w:p>
        </w:tc>
        <w:tc>
          <w:tcPr>
            <w:tcW w:w="430" w:type="dxa"/>
            <w:tcBorders>
              <w:top w:val="nil"/>
              <w:left w:val="nil"/>
              <w:bottom w:val="single" w:color="auto" w:sz="6" w:space="0"/>
              <w:right w:val="single" w:color="auto" w:sz="6" w:space="0"/>
            </w:tcBorders>
            <w:shd w:val="clear" w:color="auto" w:fill="auto"/>
          </w:tcPr>
          <w:p w14:paraId="3029E775">
            <w:pPr>
              <w:pStyle w:val="19"/>
            </w:pPr>
            <w:r>
              <w:rPr>
                <w:highlight w:val="yellow"/>
              </w:rPr>
              <w:t>C </w:t>
            </w:r>
          </w:p>
        </w:tc>
        <w:tc>
          <w:tcPr>
            <w:tcW w:w="458" w:type="dxa"/>
            <w:tcBorders>
              <w:top w:val="nil"/>
              <w:left w:val="nil"/>
              <w:bottom w:val="single" w:color="auto" w:sz="6" w:space="0"/>
              <w:right w:val="single" w:color="auto" w:sz="6" w:space="0"/>
            </w:tcBorders>
            <w:shd w:val="clear" w:color="auto" w:fill="auto"/>
          </w:tcPr>
          <w:p w14:paraId="52A1451A">
            <w:pPr>
              <w:pStyle w:val="19"/>
            </w:pPr>
            <w:r>
              <w:rPr>
                <w:highlight w:val="yellow"/>
              </w:rPr>
              <w:t>I </w:t>
            </w:r>
          </w:p>
        </w:tc>
        <w:tc>
          <w:tcPr>
            <w:tcW w:w="414" w:type="dxa"/>
            <w:tcBorders>
              <w:top w:val="nil"/>
              <w:left w:val="nil"/>
              <w:bottom w:val="single" w:color="auto" w:sz="6" w:space="0"/>
              <w:right w:val="single" w:color="auto" w:sz="6" w:space="0"/>
            </w:tcBorders>
            <w:shd w:val="clear" w:color="auto" w:fill="auto"/>
          </w:tcPr>
          <w:p w14:paraId="0FE4C8DF">
            <w:pPr>
              <w:pStyle w:val="19"/>
            </w:pPr>
            <w:r>
              <w:rPr>
                <w:highlight w:val="yellow"/>
              </w:rPr>
              <w:t>I </w:t>
            </w:r>
          </w:p>
        </w:tc>
        <w:tc>
          <w:tcPr>
            <w:tcW w:w="489" w:type="dxa"/>
            <w:tcBorders>
              <w:top w:val="nil"/>
              <w:left w:val="nil"/>
              <w:bottom w:val="single" w:color="auto" w:sz="6" w:space="0"/>
              <w:right w:val="single" w:color="auto" w:sz="6" w:space="0"/>
            </w:tcBorders>
            <w:shd w:val="clear" w:color="auto" w:fill="auto"/>
          </w:tcPr>
          <w:p w14:paraId="56FABEFE">
            <w:pPr>
              <w:pStyle w:val="19"/>
            </w:pPr>
            <w:r>
              <w:rPr>
                <w:highlight w:val="yellow"/>
              </w:rPr>
              <w:t>I </w:t>
            </w:r>
          </w:p>
        </w:tc>
      </w:tr>
      <w:tr w14:paraId="6721E1D1">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964" w:type="dxa"/>
            <w:tcBorders>
              <w:top w:val="nil"/>
              <w:left w:val="single" w:color="auto" w:sz="6" w:space="0"/>
              <w:bottom w:val="single" w:color="auto" w:sz="6" w:space="0"/>
              <w:right w:val="single" w:color="auto" w:sz="6" w:space="0"/>
            </w:tcBorders>
            <w:shd w:val="clear" w:color="auto" w:fill="auto"/>
          </w:tcPr>
          <w:p w14:paraId="72A2B08B">
            <w:pPr>
              <w:pStyle w:val="19"/>
            </w:pPr>
            <w:r>
              <w:t>Recovery </w:t>
            </w:r>
          </w:p>
        </w:tc>
        <w:tc>
          <w:tcPr>
            <w:tcW w:w="264" w:type="dxa"/>
            <w:tcBorders>
              <w:top w:val="nil"/>
              <w:left w:val="nil"/>
              <w:bottom w:val="single" w:color="auto" w:sz="6" w:space="0"/>
              <w:right w:val="single" w:color="auto" w:sz="6" w:space="0"/>
            </w:tcBorders>
            <w:shd w:val="clear" w:color="auto" w:fill="auto"/>
          </w:tcPr>
          <w:p w14:paraId="665BB8DC">
            <w:pPr>
              <w:pStyle w:val="19"/>
            </w:pPr>
            <w:r>
              <w:rPr>
                <w:highlight w:val="yellow"/>
              </w:rPr>
              <w:t>R </w:t>
            </w:r>
          </w:p>
        </w:tc>
        <w:tc>
          <w:tcPr>
            <w:tcW w:w="407" w:type="dxa"/>
            <w:tcBorders>
              <w:top w:val="nil"/>
              <w:left w:val="nil"/>
              <w:bottom w:val="single" w:color="auto" w:sz="6" w:space="0"/>
              <w:right w:val="single" w:color="auto" w:sz="6" w:space="0"/>
            </w:tcBorders>
            <w:shd w:val="clear" w:color="auto" w:fill="auto"/>
          </w:tcPr>
          <w:p w14:paraId="67CFAD35">
            <w:pPr>
              <w:pStyle w:val="19"/>
            </w:pPr>
            <w:r>
              <w:rPr>
                <w:highlight w:val="yellow"/>
              </w:rPr>
              <w:t>C </w:t>
            </w:r>
          </w:p>
        </w:tc>
        <w:tc>
          <w:tcPr>
            <w:tcW w:w="370" w:type="dxa"/>
            <w:tcBorders>
              <w:top w:val="nil"/>
              <w:left w:val="nil"/>
              <w:bottom w:val="single" w:color="auto" w:sz="6" w:space="0"/>
              <w:right w:val="single" w:color="auto" w:sz="6" w:space="0"/>
            </w:tcBorders>
            <w:shd w:val="clear" w:color="auto" w:fill="auto"/>
          </w:tcPr>
          <w:p w14:paraId="2534A991">
            <w:pPr>
              <w:pStyle w:val="19"/>
            </w:pPr>
            <w:r>
              <w:rPr>
                <w:highlight w:val="yellow"/>
              </w:rPr>
              <w:t>C </w:t>
            </w:r>
          </w:p>
        </w:tc>
        <w:tc>
          <w:tcPr>
            <w:tcW w:w="370" w:type="dxa"/>
            <w:tcBorders>
              <w:top w:val="nil"/>
              <w:left w:val="nil"/>
              <w:bottom w:val="single" w:color="auto" w:sz="6" w:space="0"/>
              <w:right w:val="single" w:color="auto" w:sz="6" w:space="0"/>
            </w:tcBorders>
            <w:shd w:val="clear" w:color="auto" w:fill="auto"/>
          </w:tcPr>
          <w:p w14:paraId="7059D4F2">
            <w:pPr>
              <w:pStyle w:val="19"/>
            </w:pPr>
            <w:r>
              <w:rPr>
                <w:highlight w:val="yellow"/>
              </w:rPr>
              <w:t>C </w:t>
            </w:r>
          </w:p>
        </w:tc>
        <w:tc>
          <w:tcPr>
            <w:tcW w:w="475" w:type="dxa"/>
            <w:tcBorders>
              <w:top w:val="nil"/>
              <w:left w:val="nil"/>
              <w:bottom w:val="single" w:color="auto" w:sz="6" w:space="0"/>
              <w:right w:val="single" w:color="auto" w:sz="6" w:space="0"/>
            </w:tcBorders>
            <w:shd w:val="clear" w:color="auto" w:fill="auto"/>
          </w:tcPr>
          <w:p w14:paraId="414B4DBC">
            <w:pPr>
              <w:pStyle w:val="19"/>
            </w:pPr>
            <w:r>
              <w:rPr>
                <w:highlight w:val="yellow"/>
              </w:rPr>
              <w:t>A </w:t>
            </w:r>
          </w:p>
        </w:tc>
        <w:tc>
          <w:tcPr>
            <w:tcW w:w="483" w:type="dxa"/>
            <w:tcBorders>
              <w:top w:val="nil"/>
              <w:left w:val="nil"/>
              <w:bottom w:val="single" w:color="auto" w:sz="6" w:space="0"/>
              <w:right w:val="single" w:color="auto" w:sz="6" w:space="0"/>
            </w:tcBorders>
            <w:shd w:val="clear" w:color="auto" w:fill="auto"/>
          </w:tcPr>
          <w:p w14:paraId="00F20F06">
            <w:pPr>
              <w:pStyle w:val="19"/>
            </w:pPr>
            <w:r>
              <w:rPr>
                <w:highlight w:val="yellow"/>
              </w:rPr>
              <w:t>R </w:t>
            </w:r>
          </w:p>
        </w:tc>
        <w:tc>
          <w:tcPr>
            <w:tcW w:w="437" w:type="dxa"/>
            <w:tcBorders>
              <w:top w:val="nil"/>
              <w:left w:val="nil"/>
              <w:bottom w:val="single" w:color="auto" w:sz="6" w:space="0"/>
              <w:right w:val="single" w:color="auto" w:sz="6" w:space="0"/>
            </w:tcBorders>
            <w:shd w:val="clear" w:color="auto" w:fill="auto"/>
          </w:tcPr>
          <w:p w14:paraId="613717F8">
            <w:pPr>
              <w:pStyle w:val="19"/>
            </w:pPr>
            <w:r>
              <w:rPr>
                <w:highlight w:val="yellow"/>
              </w:rPr>
              <w:t>R </w:t>
            </w:r>
          </w:p>
        </w:tc>
        <w:tc>
          <w:tcPr>
            <w:tcW w:w="455" w:type="dxa"/>
            <w:tcBorders>
              <w:top w:val="nil"/>
              <w:left w:val="nil"/>
              <w:bottom w:val="single" w:color="auto" w:sz="6" w:space="0"/>
              <w:right w:val="single" w:color="auto" w:sz="6" w:space="0"/>
            </w:tcBorders>
            <w:shd w:val="clear" w:color="auto" w:fill="auto"/>
          </w:tcPr>
          <w:p w14:paraId="199F672E">
            <w:pPr>
              <w:pStyle w:val="19"/>
            </w:pPr>
            <w:r>
              <w:rPr>
                <w:highlight w:val="yellow"/>
              </w:rPr>
              <w:t>C </w:t>
            </w:r>
          </w:p>
        </w:tc>
        <w:tc>
          <w:tcPr>
            <w:tcW w:w="430" w:type="dxa"/>
            <w:tcBorders>
              <w:top w:val="nil"/>
              <w:left w:val="nil"/>
              <w:bottom w:val="single" w:color="auto" w:sz="6" w:space="0"/>
              <w:right w:val="single" w:color="auto" w:sz="6" w:space="0"/>
            </w:tcBorders>
            <w:shd w:val="clear" w:color="auto" w:fill="auto"/>
          </w:tcPr>
          <w:p w14:paraId="134605BD">
            <w:pPr>
              <w:pStyle w:val="19"/>
            </w:pPr>
            <w:r>
              <w:rPr>
                <w:highlight w:val="yellow"/>
              </w:rPr>
              <w:t>C </w:t>
            </w:r>
          </w:p>
        </w:tc>
        <w:tc>
          <w:tcPr>
            <w:tcW w:w="458" w:type="dxa"/>
            <w:tcBorders>
              <w:top w:val="nil"/>
              <w:left w:val="nil"/>
              <w:bottom w:val="single" w:color="auto" w:sz="6" w:space="0"/>
              <w:right w:val="single" w:color="auto" w:sz="6" w:space="0"/>
            </w:tcBorders>
            <w:shd w:val="clear" w:color="auto" w:fill="auto"/>
          </w:tcPr>
          <w:p w14:paraId="0056D5B7">
            <w:pPr>
              <w:pStyle w:val="19"/>
            </w:pPr>
            <w:r>
              <w:rPr>
                <w:highlight w:val="yellow"/>
              </w:rPr>
              <w:t>I </w:t>
            </w:r>
          </w:p>
        </w:tc>
        <w:tc>
          <w:tcPr>
            <w:tcW w:w="414" w:type="dxa"/>
            <w:tcBorders>
              <w:top w:val="nil"/>
              <w:left w:val="nil"/>
              <w:bottom w:val="single" w:color="auto" w:sz="6" w:space="0"/>
              <w:right w:val="single" w:color="auto" w:sz="6" w:space="0"/>
            </w:tcBorders>
            <w:shd w:val="clear" w:color="auto" w:fill="auto"/>
          </w:tcPr>
          <w:p w14:paraId="1E518DD9">
            <w:pPr>
              <w:pStyle w:val="19"/>
            </w:pPr>
            <w:r>
              <w:rPr>
                <w:highlight w:val="yellow"/>
              </w:rPr>
              <w:t>C </w:t>
            </w:r>
          </w:p>
        </w:tc>
        <w:tc>
          <w:tcPr>
            <w:tcW w:w="489" w:type="dxa"/>
            <w:tcBorders>
              <w:top w:val="nil"/>
              <w:left w:val="nil"/>
              <w:bottom w:val="single" w:color="auto" w:sz="6" w:space="0"/>
              <w:right w:val="single" w:color="auto" w:sz="6" w:space="0"/>
            </w:tcBorders>
            <w:shd w:val="clear" w:color="auto" w:fill="auto"/>
          </w:tcPr>
          <w:p w14:paraId="39BB726F">
            <w:pPr>
              <w:pStyle w:val="19"/>
            </w:pPr>
            <w:r>
              <w:rPr>
                <w:highlight w:val="yellow"/>
              </w:rPr>
              <w:t>I </w:t>
            </w:r>
          </w:p>
        </w:tc>
      </w:tr>
      <w:tr w14:paraId="6EEB0F5C">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964" w:type="dxa"/>
            <w:tcBorders>
              <w:top w:val="nil"/>
              <w:left w:val="single" w:color="auto" w:sz="6" w:space="0"/>
              <w:bottom w:val="single" w:color="auto" w:sz="6" w:space="0"/>
              <w:right w:val="single" w:color="auto" w:sz="6" w:space="0"/>
            </w:tcBorders>
            <w:shd w:val="clear" w:color="auto" w:fill="auto"/>
          </w:tcPr>
          <w:p w14:paraId="4F888B0B">
            <w:pPr>
              <w:pStyle w:val="19"/>
            </w:pPr>
            <w:r>
              <w:t>Communication – internal </w:t>
            </w:r>
          </w:p>
        </w:tc>
        <w:tc>
          <w:tcPr>
            <w:tcW w:w="264" w:type="dxa"/>
            <w:tcBorders>
              <w:top w:val="nil"/>
              <w:left w:val="nil"/>
              <w:bottom w:val="single" w:color="auto" w:sz="6" w:space="0"/>
              <w:right w:val="single" w:color="auto" w:sz="6" w:space="0"/>
            </w:tcBorders>
            <w:shd w:val="clear" w:color="auto" w:fill="auto"/>
          </w:tcPr>
          <w:p w14:paraId="444B068E">
            <w:pPr>
              <w:pStyle w:val="19"/>
            </w:pPr>
            <w:r>
              <w:rPr>
                <w:highlight w:val="yellow"/>
              </w:rPr>
              <w:t>A </w:t>
            </w:r>
          </w:p>
        </w:tc>
        <w:tc>
          <w:tcPr>
            <w:tcW w:w="407" w:type="dxa"/>
            <w:tcBorders>
              <w:top w:val="nil"/>
              <w:left w:val="nil"/>
              <w:bottom w:val="single" w:color="auto" w:sz="6" w:space="0"/>
              <w:right w:val="single" w:color="auto" w:sz="6" w:space="0"/>
            </w:tcBorders>
            <w:shd w:val="clear" w:color="auto" w:fill="auto"/>
          </w:tcPr>
          <w:p w14:paraId="0D473C19">
            <w:pPr>
              <w:pStyle w:val="19"/>
            </w:pPr>
            <w:r>
              <w:rPr>
                <w:highlight w:val="yellow"/>
              </w:rPr>
              <w:t>C </w:t>
            </w:r>
          </w:p>
        </w:tc>
        <w:tc>
          <w:tcPr>
            <w:tcW w:w="370" w:type="dxa"/>
            <w:tcBorders>
              <w:top w:val="nil"/>
              <w:left w:val="nil"/>
              <w:bottom w:val="single" w:color="auto" w:sz="6" w:space="0"/>
              <w:right w:val="single" w:color="auto" w:sz="6" w:space="0"/>
            </w:tcBorders>
            <w:shd w:val="clear" w:color="auto" w:fill="auto"/>
          </w:tcPr>
          <w:p w14:paraId="00D93BA4">
            <w:pPr>
              <w:pStyle w:val="19"/>
            </w:pPr>
            <w:r>
              <w:rPr>
                <w:highlight w:val="yellow"/>
              </w:rPr>
              <w:t>C </w:t>
            </w:r>
          </w:p>
        </w:tc>
        <w:tc>
          <w:tcPr>
            <w:tcW w:w="370" w:type="dxa"/>
            <w:tcBorders>
              <w:top w:val="nil"/>
              <w:left w:val="nil"/>
              <w:bottom w:val="single" w:color="auto" w:sz="6" w:space="0"/>
              <w:right w:val="single" w:color="auto" w:sz="6" w:space="0"/>
            </w:tcBorders>
            <w:shd w:val="clear" w:color="auto" w:fill="auto"/>
          </w:tcPr>
          <w:p w14:paraId="28D1AAAB">
            <w:pPr>
              <w:pStyle w:val="19"/>
            </w:pPr>
            <w:r>
              <w:rPr>
                <w:highlight w:val="yellow"/>
              </w:rPr>
              <w:t>C </w:t>
            </w:r>
          </w:p>
        </w:tc>
        <w:tc>
          <w:tcPr>
            <w:tcW w:w="475" w:type="dxa"/>
            <w:tcBorders>
              <w:top w:val="nil"/>
              <w:left w:val="nil"/>
              <w:bottom w:val="single" w:color="auto" w:sz="6" w:space="0"/>
              <w:right w:val="single" w:color="auto" w:sz="6" w:space="0"/>
            </w:tcBorders>
            <w:shd w:val="clear" w:color="auto" w:fill="auto"/>
          </w:tcPr>
          <w:p w14:paraId="0E8D1C6B">
            <w:pPr>
              <w:pStyle w:val="19"/>
            </w:pPr>
            <w:r>
              <w:rPr>
                <w:highlight w:val="yellow"/>
              </w:rPr>
              <w:t>C </w:t>
            </w:r>
          </w:p>
        </w:tc>
        <w:tc>
          <w:tcPr>
            <w:tcW w:w="483" w:type="dxa"/>
            <w:tcBorders>
              <w:top w:val="nil"/>
              <w:left w:val="nil"/>
              <w:bottom w:val="single" w:color="auto" w:sz="6" w:space="0"/>
              <w:right w:val="single" w:color="auto" w:sz="6" w:space="0"/>
            </w:tcBorders>
            <w:shd w:val="clear" w:color="auto" w:fill="auto"/>
          </w:tcPr>
          <w:p w14:paraId="5687FFFC">
            <w:pPr>
              <w:pStyle w:val="19"/>
            </w:pPr>
            <w:r>
              <w:rPr>
                <w:highlight w:val="yellow"/>
              </w:rPr>
              <w:t>C </w:t>
            </w:r>
          </w:p>
        </w:tc>
        <w:tc>
          <w:tcPr>
            <w:tcW w:w="437" w:type="dxa"/>
            <w:tcBorders>
              <w:top w:val="nil"/>
              <w:left w:val="nil"/>
              <w:bottom w:val="single" w:color="auto" w:sz="6" w:space="0"/>
              <w:right w:val="single" w:color="auto" w:sz="6" w:space="0"/>
            </w:tcBorders>
            <w:shd w:val="clear" w:color="auto" w:fill="auto"/>
          </w:tcPr>
          <w:p w14:paraId="3A745734">
            <w:pPr>
              <w:pStyle w:val="19"/>
            </w:pPr>
            <w:r>
              <w:rPr>
                <w:highlight w:val="yellow"/>
              </w:rPr>
              <w:t>C </w:t>
            </w:r>
          </w:p>
        </w:tc>
        <w:tc>
          <w:tcPr>
            <w:tcW w:w="455" w:type="dxa"/>
            <w:tcBorders>
              <w:top w:val="nil"/>
              <w:left w:val="nil"/>
              <w:bottom w:val="single" w:color="auto" w:sz="6" w:space="0"/>
              <w:right w:val="single" w:color="auto" w:sz="6" w:space="0"/>
            </w:tcBorders>
            <w:shd w:val="clear" w:color="auto" w:fill="auto"/>
          </w:tcPr>
          <w:p w14:paraId="1C423039">
            <w:pPr>
              <w:pStyle w:val="19"/>
            </w:pPr>
            <w:r>
              <w:rPr>
                <w:highlight w:val="yellow"/>
              </w:rPr>
              <w:t>R </w:t>
            </w:r>
          </w:p>
        </w:tc>
        <w:tc>
          <w:tcPr>
            <w:tcW w:w="430" w:type="dxa"/>
            <w:tcBorders>
              <w:top w:val="nil"/>
              <w:left w:val="nil"/>
              <w:bottom w:val="single" w:color="auto" w:sz="6" w:space="0"/>
              <w:right w:val="single" w:color="auto" w:sz="6" w:space="0"/>
            </w:tcBorders>
            <w:shd w:val="clear" w:color="auto" w:fill="auto"/>
          </w:tcPr>
          <w:p w14:paraId="3240B561">
            <w:pPr>
              <w:pStyle w:val="19"/>
            </w:pPr>
            <w:r>
              <w:rPr>
                <w:highlight w:val="yellow"/>
              </w:rPr>
              <w:t>C </w:t>
            </w:r>
          </w:p>
        </w:tc>
        <w:tc>
          <w:tcPr>
            <w:tcW w:w="458" w:type="dxa"/>
            <w:tcBorders>
              <w:top w:val="nil"/>
              <w:left w:val="nil"/>
              <w:bottom w:val="single" w:color="auto" w:sz="6" w:space="0"/>
              <w:right w:val="single" w:color="auto" w:sz="6" w:space="0"/>
            </w:tcBorders>
            <w:shd w:val="clear" w:color="auto" w:fill="auto"/>
          </w:tcPr>
          <w:p w14:paraId="777B0654">
            <w:pPr>
              <w:pStyle w:val="19"/>
            </w:pPr>
            <w:r>
              <w:rPr>
                <w:highlight w:val="yellow"/>
              </w:rPr>
              <w:t>R </w:t>
            </w:r>
          </w:p>
        </w:tc>
        <w:tc>
          <w:tcPr>
            <w:tcW w:w="414" w:type="dxa"/>
            <w:tcBorders>
              <w:top w:val="nil"/>
              <w:left w:val="nil"/>
              <w:bottom w:val="single" w:color="auto" w:sz="6" w:space="0"/>
              <w:right w:val="single" w:color="auto" w:sz="6" w:space="0"/>
            </w:tcBorders>
            <w:shd w:val="clear" w:color="auto" w:fill="auto"/>
          </w:tcPr>
          <w:p w14:paraId="45AEB848">
            <w:pPr>
              <w:pStyle w:val="19"/>
            </w:pPr>
            <w:r>
              <w:rPr>
                <w:highlight w:val="yellow"/>
              </w:rPr>
              <w:t>C </w:t>
            </w:r>
          </w:p>
        </w:tc>
        <w:tc>
          <w:tcPr>
            <w:tcW w:w="489" w:type="dxa"/>
            <w:tcBorders>
              <w:top w:val="nil"/>
              <w:left w:val="nil"/>
              <w:bottom w:val="single" w:color="auto" w:sz="6" w:space="0"/>
              <w:right w:val="single" w:color="auto" w:sz="6" w:space="0"/>
            </w:tcBorders>
            <w:shd w:val="clear" w:color="auto" w:fill="auto"/>
          </w:tcPr>
          <w:p w14:paraId="5AE06E0F">
            <w:pPr>
              <w:pStyle w:val="19"/>
            </w:pPr>
            <w:r>
              <w:rPr>
                <w:highlight w:val="yellow"/>
              </w:rPr>
              <w:t>I </w:t>
            </w:r>
          </w:p>
        </w:tc>
      </w:tr>
      <w:tr w14:paraId="0DC19596">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964" w:type="dxa"/>
            <w:tcBorders>
              <w:top w:val="nil"/>
              <w:left w:val="single" w:color="auto" w:sz="6" w:space="0"/>
              <w:bottom w:val="single" w:color="auto" w:sz="6" w:space="0"/>
              <w:right w:val="single" w:color="auto" w:sz="6" w:space="0"/>
            </w:tcBorders>
            <w:shd w:val="clear" w:color="auto" w:fill="auto"/>
          </w:tcPr>
          <w:p w14:paraId="255B84CF">
            <w:pPr>
              <w:pStyle w:val="19"/>
            </w:pPr>
            <w:r>
              <w:t>Communication – external </w:t>
            </w:r>
          </w:p>
        </w:tc>
        <w:tc>
          <w:tcPr>
            <w:tcW w:w="264" w:type="dxa"/>
            <w:tcBorders>
              <w:top w:val="nil"/>
              <w:left w:val="nil"/>
              <w:bottom w:val="single" w:color="auto" w:sz="6" w:space="0"/>
              <w:right w:val="single" w:color="auto" w:sz="6" w:space="0"/>
            </w:tcBorders>
            <w:shd w:val="clear" w:color="auto" w:fill="auto"/>
          </w:tcPr>
          <w:p w14:paraId="4302BB10">
            <w:pPr>
              <w:pStyle w:val="19"/>
            </w:pPr>
            <w:r>
              <w:rPr>
                <w:highlight w:val="yellow"/>
              </w:rPr>
              <w:t>A </w:t>
            </w:r>
          </w:p>
        </w:tc>
        <w:tc>
          <w:tcPr>
            <w:tcW w:w="407" w:type="dxa"/>
            <w:tcBorders>
              <w:top w:val="nil"/>
              <w:left w:val="nil"/>
              <w:bottom w:val="single" w:color="auto" w:sz="6" w:space="0"/>
              <w:right w:val="single" w:color="auto" w:sz="6" w:space="0"/>
            </w:tcBorders>
            <w:shd w:val="clear" w:color="auto" w:fill="auto"/>
          </w:tcPr>
          <w:p w14:paraId="5ACF21B0">
            <w:pPr>
              <w:pStyle w:val="19"/>
            </w:pPr>
            <w:r>
              <w:rPr>
                <w:highlight w:val="yellow"/>
              </w:rPr>
              <w:t>C </w:t>
            </w:r>
          </w:p>
        </w:tc>
        <w:tc>
          <w:tcPr>
            <w:tcW w:w="370" w:type="dxa"/>
            <w:tcBorders>
              <w:top w:val="nil"/>
              <w:left w:val="nil"/>
              <w:bottom w:val="single" w:color="auto" w:sz="6" w:space="0"/>
              <w:right w:val="single" w:color="auto" w:sz="6" w:space="0"/>
            </w:tcBorders>
            <w:shd w:val="clear" w:color="auto" w:fill="auto"/>
          </w:tcPr>
          <w:p w14:paraId="574C44B6">
            <w:pPr>
              <w:pStyle w:val="19"/>
            </w:pPr>
            <w:r>
              <w:rPr>
                <w:highlight w:val="yellow"/>
              </w:rPr>
              <w:t>C </w:t>
            </w:r>
          </w:p>
        </w:tc>
        <w:tc>
          <w:tcPr>
            <w:tcW w:w="370" w:type="dxa"/>
            <w:tcBorders>
              <w:top w:val="nil"/>
              <w:left w:val="nil"/>
              <w:bottom w:val="single" w:color="auto" w:sz="6" w:space="0"/>
              <w:right w:val="single" w:color="auto" w:sz="6" w:space="0"/>
            </w:tcBorders>
            <w:shd w:val="clear" w:color="auto" w:fill="auto"/>
          </w:tcPr>
          <w:p w14:paraId="23F4E9EA">
            <w:pPr>
              <w:pStyle w:val="19"/>
            </w:pPr>
            <w:r>
              <w:rPr>
                <w:highlight w:val="yellow"/>
              </w:rPr>
              <w:t>C </w:t>
            </w:r>
          </w:p>
        </w:tc>
        <w:tc>
          <w:tcPr>
            <w:tcW w:w="475" w:type="dxa"/>
            <w:tcBorders>
              <w:top w:val="nil"/>
              <w:left w:val="nil"/>
              <w:bottom w:val="single" w:color="auto" w:sz="6" w:space="0"/>
              <w:right w:val="single" w:color="auto" w:sz="6" w:space="0"/>
            </w:tcBorders>
            <w:shd w:val="clear" w:color="auto" w:fill="auto"/>
          </w:tcPr>
          <w:p w14:paraId="05BE69CA">
            <w:pPr>
              <w:pStyle w:val="19"/>
            </w:pPr>
            <w:r>
              <w:rPr>
                <w:highlight w:val="yellow"/>
              </w:rPr>
              <w:t>C </w:t>
            </w:r>
          </w:p>
        </w:tc>
        <w:tc>
          <w:tcPr>
            <w:tcW w:w="483" w:type="dxa"/>
            <w:tcBorders>
              <w:top w:val="nil"/>
              <w:left w:val="nil"/>
              <w:bottom w:val="single" w:color="auto" w:sz="6" w:space="0"/>
              <w:right w:val="single" w:color="auto" w:sz="6" w:space="0"/>
            </w:tcBorders>
            <w:shd w:val="clear" w:color="auto" w:fill="auto"/>
          </w:tcPr>
          <w:p w14:paraId="74ED0B33">
            <w:pPr>
              <w:pStyle w:val="19"/>
            </w:pPr>
            <w:r>
              <w:rPr>
                <w:highlight w:val="yellow"/>
              </w:rPr>
              <w:t>C </w:t>
            </w:r>
          </w:p>
        </w:tc>
        <w:tc>
          <w:tcPr>
            <w:tcW w:w="437" w:type="dxa"/>
            <w:tcBorders>
              <w:top w:val="nil"/>
              <w:left w:val="nil"/>
              <w:bottom w:val="single" w:color="auto" w:sz="6" w:space="0"/>
              <w:right w:val="single" w:color="auto" w:sz="6" w:space="0"/>
            </w:tcBorders>
            <w:shd w:val="clear" w:color="auto" w:fill="auto"/>
          </w:tcPr>
          <w:p w14:paraId="44D392CC">
            <w:pPr>
              <w:pStyle w:val="19"/>
            </w:pPr>
            <w:r>
              <w:rPr>
                <w:highlight w:val="yellow"/>
              </w:rPr>
              <w:t>C </w:t>
            </w:r>
          </w:p>
        </w:tc>
        <w:tc>
          <w:tcPr>
            <w:tcW w:w="455" w:type="dxa"/>
            <w:tcBorders>
              <w:top w:val="nil"/>
              <w:left w:val="nil"/>
              <w:bottom w:val="single" w:color="auto" w:sz="6" w:space="0"/>
              <w:right w:val="single" w:color="auto" w:sz="6" w:space="0"/>
            </w:tcBorders>
            <w:shd w:val="clear" w:color="auto" w:fill="auto"/>
          </w:tcPr>
          <w:p w14:paraId="03B36BE9">
            <w:pPr>
              <w:pStyle w:val="19"/>
            </w:pPr>
            <w:r>
              <w:rPr>
                <w:highlight w:val="yellow"/>
              </w:rPr>
              <w:t>C </w:t>
            </w:r>
          </w:p>
        </w:tc>
        <w:tc>
          <w:tcPr>
            <w:tcW w:w="430" w:type="dxa"/>
            <w:tcBorders>
              <w:top w:val="nil"/>
              <w:left w:val="nil"/>
              <w:bottom w:val="single" w:color="auto" w:sz="6" w:space="0"/>
              <w:right w:val="single" w:color="auto" w:sz="6" w:space="0"/>
            </w:tcBorders>
            <w:shd w:val="clear" w:color="auto" w:fill="auto"/>
          </w:tcPr>
          <w:p w14:paraId="153F8E48">
            <w:pPr>
              <w:pStyle w:val="19"/>
            </w:pPr>
            <w:r>
              <w:rPr>
                <w:highlight w:val="yellow"/>
              </w:rPr>
              <w:t>C </w:t>
            </w:r>
          </w:p>
        </w:tc>
        <w:tc>
          <w:tcPr>
            <w:tcW w:w="458" w:type="dxa"/>
            <w:tcBorders>
              <w:top w:val="nil"/>
              <w:left w:val="nil"/>
              <w:bottom w:val="single" w:color="auto" w:sz="6" w:space="0"/>
              <w:right w:val="single" w:color="auto" w:sz="6" w:space="0"/>
            </w:tcBorders>
            <w:shd w:val="clear" w:color="auto" w:fill="auto"/>
          </w:tcPr>
          <w:p w14:paraId="42422251">
            <w:pPr>
              <w:pStyle w:val="19"/>
            </w:pPr>
            <w:r>
              <w:rPr>
                <w:highlight w:val="yellow"/>
              </w:rPr>
              <w:t>R </w:t>
            </w:r>
          </w:p>
        </w:tc>
        <w:tc>
          <w:tcPr>
            <w:tcW w:w="414" w:type="dxa"/>
            <w:tcBorders>
              <w:top w:val="nil"/>
              <w:left w:val="nil"/>
              <w:bottom w:val="single" w:color="auto" w:sz="6" w:space="0"/>
              <w:right w:val="single" w:color="auto" w:sz="6" w:space="0"/>
            </w:tcBorders>
            <w:shd w:val="clear" w:color="auto" w:fill="auto"/>
          </w:tcPr>
          <w:p w14:paraId="7E2B662C">
            <w:pPr>
              <w:pStyle w:val="19"/>
            </w:pPr>
            <w:r>
              <w:rPr>
                <w:highlight w:val="yellow"/>
              </w:rPr>
              <w:t>C </w:t>
            </w:r>
          </w:p>
        </w:tc>
        <w:tc>
          <w:tcPr>
            <w:tcW w:w="489" w:type="dxa"/>
            <w:tcBorders>
              <w:top w:val="nil"/>
              <w:left w:val="nil"/>
              <w:bottom w:val="single" w:color="auto" w:sz="6" w:space="0"/>
              <w:right w:val="single" w:color="auto" w:sz="6" w:space="0"/>
            </w:tcBorders>
            <w:shd w:val="clear" w:color="auto" w:fill="auto"/>
          </w:tcPr>
          <w:p w14:paraId="61FBA3A3">
            <w:pPr>
              <w:pStyle w:val="19"/>
            </w:pPr>
            <w:r>
              <w:rPr>
                <w:highlight w:val="yellow"/>
              </w:rPr>
              <w:t>I </w:t>
            </w:r>
          </w:p>
        </w:tc>
      </w:tr>
      <w:tr w14:paraId="5719231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964" w:type="dxa"/>
            <w:tcBorders>
              <w:top w:val="nil"/>
              <w:left w:val="single" w:color="auto" w:sz="6" w:space="0"/>
              <w:bottom w:val="single" w:color="auto" w:sz="6" w:space="0"/>
              <w:right w:val="single" w:color="auto" w:sz="6" w:space="0"/>
            </w:tcBorders>
            <w:shd w:val="clear" w:color="auto" w:fill="auto"/>
          </w:tcPr>
          <w:p w14:paraId="79F1ED5B">
            <w:pPr>
              <w:pStyle w:val="19"/>
            </w:pPr>
            <w:r>
              <w:t>Notification, for example, ICO </w:t>
            </w:r>
          </w:p>
        </w:tc>
        <w:tc>
          <w:tcPr>
            <w:tcW w:w="264" w:type="dxa"/>
            <w:tcBorders>
              <w:top w:val="nil"/>
              <w:left w:val="nil"/>
              <w:bottom w:val="single" w:color="auto" w:sz="6" w:space="0"/>
              <w:right w:val="single" w:color="auto" w:sz="6" w:space="0"/>
            </w:tcBorders>
            <w:shd w:val="clear" w:color="auto" w:fill="auto"/>
          </w:tcPr>
          <w:p w14:paraId="512BAE83">
            <w:pPr>
              <w:pStyle w:val="19"/>
            </w:pPr>
            <w:r>
              <w:rPr>
                <w:highlight w:val="yellow"/>
              </w:rPr>
              <w:t>A </w:t>
            </w:r>
          </w:p>
        </w:tc>
        <w:tc>
          <w:tcPr>
            <w:tcW w:w="407" w:type="dxa"/>
            <w:tcBorders>
              <w:top w:val="nil"/>
              <w:left w:val="nil"/>
              <w:bottom w:val="single" w:color="auto" w:sz="6" w:space="0"/>
              <w:right w:val="single" w:color="auto" w:sz="6" w:space="0"/>
            </w:tcBorders>
            <w:shd w:val="clear" w:color="auto" w:fill="auto"/>
          </w:tcPr>
          <w:p w14:paraId="13D2AFC9">
            <w:pPr>
              <w:pStyle w:val="19"/>
            </w:pPr>
            <w:r>
              <w:rPr>
                <w:highlight w:val="yellow"/>
              </w:rPr>
              <w:t>C </w:t>
            </w:r>
          </w:p>
        </w:tc>
        <w:tc>
          <w:tcPr>
            <w:tcW w:w="370" w:type="dxa"/>
            <w:tcBorders>
              <w:top w:val="nil"/>
              <w:left w:val="nil"/>
              <w:bottom w:val="single" w:color="auto" w:sz="6" w:space="0"/>
              <w:right w:val="single" w:color="auto" w:sz="6" w:space="0"/>
            </w:tcBorders>
            <w:shd w:val="clear" w:color="auto" w:fill="auto"/>
          </w:tcPr>
          <w:p w14:paraId="14AE5D7B">
            <w:pPr>
              <w:pStyle w:val="19"/>
            </w:pPr>
            <w:r>
              <w:rPr>
                <w:highlight w:val="yellow"/>
              </w:rPr>
              <w:t>C </w:t>
            </w:r>
          </w:p>
        </w:tc>
        <w:tc>
          <w:tcPr>
            <w:tcW w:w="370" w:type="dxa"/>
            <w:tcBorders>
              <w:top w:val="nil"/>
              <w:left w:val="nil"/>
              <w:bottom w:val="single" w:color="auto" w:sz="6" w:space="0"/>
              <w:right w:val="single" w:color="auto" w:sz="6" w:space="0"/>
            </w:tcBorders>
            <w:shd w:val="clear" w:color="auto" w:fill="auto"/>
          </w:tcPr>
          <w:p w14:paraId="0044F8A7">
            <w:pPr>
              <w:pStyle w:val="19"/>
            </w:pPr>
            <w:r>
              <w:rPr>
                <w:highlight w:val="yellow"/>
              </w:rPr>
              <w:t>R </w:t>
            </w:r>
          </w:p>
        </w:tc>
        <w:tc>
          <w:tcPr>
            <w:tcW w:w="475" w:type="dxa"/>
            <w:tcBorders>
              <w:top w:val="nil"/>
              <w:left w:val="nil"/>
              <w:bottom w:val="single" w:color="auto" w:sz="6" w:space="0"/>
              <w:right w:val="single" w:color="auto" w:sz="6" w:space="0"/>
            </w:tcBorders>
            <w:shd w:val="clear" w:color="auto" w:fill="auto"/>
          </w:tcPr>
          <w:p w14:paraId="7103BE49">
            <w:pPr>
              <w:pStyle w:val="19"/>
            </w:pPr>
            <w:r>
              <w:rPr>
                <w:highlight w:val="yellow"/>
              </w:rPr>
              <w:t>C </w:t>
            </w:r>
          </w:p>
        </w:tc>
        <w:tc>
          <w:tcPr>
            <w:tcW w:w="483" w:type="dxa"/>
            <w:tcBorders>
              <w:top w:val="nil"/>
              <w:left w:val="nil"/>
              <w:bottom w:val="single" w:color="auto" w:sz="6" w:space="0"/>
              <w:right w:val="single" w:color="auto" w:sz="6" w:space="0"/>
            </w:tcBorders>
            <w:shd w:val="clear" w:color="auto" w:fill="auto"/>
          </w:tcPr>
          <w:p w14:paraId="37A7E963">
            <w:pPr>
              <w:pStyle w:val="19"/>
            </w:pPr>
            <w:r>
              <w:rPr>
                <w:highlight w:val="yellow"/>
              </w:rPr>
              <w:t>C </w:t>
            </w:r>
          </w:p>
        </w:tc>
        <w:tc>
          <w:tcPr>
            <w:tcW w:w="437" w:type="dxa"/>
            <w:tcBorders>
              <w:top w:val="nil"/>
              <w:left w:val="nil"/>
              <w:bottom w:val="single" w:color="auto" w:sz="6" w:space="0"/>
              <w:right w:val="single" w:color="auto" w:sz="6" w:space="0"/>
            </w:tcBorders>
            <w:shd w:val="clear" w:color="auto" w:fill="auto"/>
          </w:tcPr>
          <w:p w14:paraId="3FB14E5C">
            <w:pPr>
              <w:pStyle w:val="19"/>
            </w:pPr>
            <w:r>
              <w:rPr>
                <w:highlight w:val="yellow"/>
              </w:rPr>
              <w:t>C </w:t>
            </w:r>
          </w:p>
        </w:tc>
        <w:tc>
          <w:tcPr>
            <w:tcW w:w="455" w:type="dxa"/>
            <w:tcBorders>
              <w:top w:val="nil"/>
              <w:left w:val="nil"/>
              <w:bottom w:val="single" w:color="auto" w:sz="6" w:space="0"/>
              <w:right w:val="single" w:color="auto" w:sz="6" w:space="0"/>
            </w:tcBorders>
            <w:shd w:val="clear" w:color="auto" w:fill="auto"/>
          </w:tcPr>
          <w:p w14:paraId="1017FFA2">
            <w:pPr>
              <w:pStyle w:val="19"/>
            </w:pPr>
            <w:r>
              <w:rPr>
                <w:highlight w:val="yellow"/>
              </w:rPr>
              <w:t>C </w:t>
            </w:r>
          </w:p>
        </w:tc>
        <w:tc>
          <w:tcPr>
            <w:tcW w:w="430" w:type="dxa"/>
            <w:tcBorders>
              <w:top w:val="nil"/>
              <w:left w:val="nil"/>
              <w:bottom w:val="single" w:color="auto" w:sz="6" w:space="0"/>
              <w:right w:val="single" w:color="auto" w:sz="6" w:space="0"/>
            </w:tcBorders>
            <w:shd w:val="clear" w:color="auto" w:fill="auto"/>
          </w:tcPr>
          <w:p w14:paraId="03B6A606">
            <w:pPr>
              <w:pStyle w:val="19"/>
            </w:pPr>
            <w:r>
              <w:rPr>
                <w:highlight w:val="yellow"/>
              </w:rPr>
              <w:t>I </w:t>
            </w:r>
          </w:p>
        </w:tc>
        <w:tc>
          <w:tcPr>
            <w:tcW w:w="458" w:type="dxa"/>
            <w:tcBorders>
              <w:top w:val="nil"/>
              <w:left w:val="nil"/>
              <w:bottom w:val="single" w:color="auto" w:sz="6" w:space="0"/>
              <w:right w:val="single" w:color="auto" w:sz="6" w:space="0"/>
            </w:tcBorders>
            <w:shd w:val="clear" w:color="auto" w:fill="auto"/>
          </w:tcPr>
          <w:p w14:paraId="110BE230">
            <w:pPr>
              <w:pStyle w:val="19"/>
            </w:pPr>
            <w:r>
              <w:rPr>
                <w:highlight w:val="yellow"/>
              </w:rPr>
              <w:t>C </w:t>
            </w:r>
          </w:p>
        </w:tc>
        <w:tc>
          <w:tcPr>
            <w:tcW w:w="414" w:type="dxa"/>
            <w:tcBorders>
              <w:top w:val="nil"/>
              <w:left w:val="nil"/>
              <w:bottom w:val="single" w:color="auto" w:sz="6" w:space="0"/>
              <w:right w:val="single" w:color="auto" w:sz="6" w:space="0"/>
            </w:tcBorders>
            <w:shd w:val="clear" w:color="auto" w:fill="auto"/>
          </w:tcPr>
          <w:p w14:paraId="0FF11326">
            <w:pPr>
              <w:pStyle w:val="19"/>
            </w:pPr>
            <w:r>
              <w:rPr>
                <w:highlight w:val="yellow"/>
              </w:rPr>
              <w:t>R </w:t>
            </w:r>
          </w:p>
        </w:tc>
        <w:tc>
          <w:tcPr>
            <w:tcW w:w="489" w:type="dxa"/>
            <w:tcBorders>
              <w:top w:val="nil"/>
              <w:left w:val="nil"/>
              <w:bottom w:val="single" w:color="auto" w:sz="6" w:space="0"/>
              <w:right w:val="single" w:color="auto" w:sz="6" w:space="0"/>
            </w:tcBorders>
            <w:shd w:val="clear" w:color="auto" w:fill="auto"/>
          </w:tcPr>
          <w:p w14:paraId="2E7845C3">
            <w:pPr>
              <w:pStyle w:val="19"/>
            </w:pPr>
            <w:r>
              <w:rPr>
                <w:highlight w:val="yellow"/>
              </w:rPr>
              <w:t>I </w:t>
            </w:r>
          </w:p>
        </w:tc>
      </w:tr>
      <w:tr w14:paraId="6E3D17AD">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964" w:type="dxa"/>
            <w:tcBorders>
              <w:top w:val="nil"/>
              <w:left w:val="single" w:color="auto" w:sz="6" w:space="0"/>
              <w:bottom w:val="single" w:color="auto" w:sz="6" w:space="0"/>
              <w:right w:val="single" w:color="auto" w:sz="6" w:space="0"/>
            </w:tcBorders>
            <w:shd w:val="clear" w:color="auto" w:fill="auto"/>
          </w:tcPr>
          <w:p w14:paraId="4A12C2C5">
            <w:pPr>
              <w:pStyle w:val="19"/>
            </w:pPr>
            <w:r>
              <w:t>Incident report </w:t>
            </w:r>
          </w:p>
        </w:tc>
        <w:tc>
          <w:tcPr>
            <w:tcW w:w="264" w:type="dxa"/>
            <w:tcBorders>
              <w:top w:val="nil"/>
              <w:left w:val="nil"/>
              <w:bottom w:val="single" w:color="auto" w:sz="6" w:space="0"/>
              <w:right w:val="single" w:color="auto" w:sz="6" w:space="0"/>
            </w:tcBorders>
            <w:shd w:val="clear" w:color="auto" w:fill="auto"/>
          </w:tcPr>
          <w:p w14:paraId="4CC6ED43">
            <w:pPr>
              <w:pStyle w:val="19"/>
            </w:pPr>
            <w:r>
              <w:rPr>
                <w:highlight w:val="yellow"/>
              </w:rPr>
              <w:t>A </w:t>
            </w:r>
          </w:p>
        </w:tc>
        <w:tc>
          <w:tcPr>
            <w:tcW w:w="407" w:type="dxa"/>
            <w:tcBorders>
              <w:top w:val="nil"/>
              <w:left w:val="nil"/>
              <w:bottom w:val="single" w:color="auto" w:sz="6" w:space="0"/>
              <w:right w:val="single" w:color="auto" w:sz="6" w:space="0"/>
            </w:tcBorders>
            <w:shd w:val="clear" w:color="auto" w:fill="auto"/>
          </w:tcPr>
          <w:p w14:paraId="0688FA30">
            <w:pPr>
              <w:pStyle w:val="19"/>
            </w:pPr>
            <w:r>
              <w:rPr>
                <w:highlight w:val="yellow"/>
              </w:rPr>
              <w:t>R </w:t>
            </w:r>
          </w:p>
        </w:tc>
        <w:tc>
          <w:tcPr>
            <w:tcW w:w="370" w:type="dxa"/>
            <w:tcBorders>
              <w:top w:val="nil"/>
              <w:left w:val="nil"/>
              <w:bottom w:val="single" w:color="auto" w:sz="6" w:space="0"/>
              <w:right w:val="single" w:color="auto" w:sz="6" w:space="0"/>
            </w:tcBorders>
            <w:shd w:val="clear" w:color="auto" w:fill="auto"/>
          </w:tcPr>
          <w:p w14:paraId="4FF2A48E">
            <w:pPr>
              <w:pStyle w:val="19"/>
            </w:pPr>
            <w:r>
              <w:rPr>
                <w:highlight w:val="yellow"/>
              </w:rPr>
              <w:t>C </w:t>
            </w:r>
          </w:p>
        </w:tc>
        <w:tc>
          <w:tcPr>
            <w:tcW w:w="370" w:type="dxa"/>
            <w:tcBorders>
              <w:top w:val="nil"/>
              <w:left w:val="nil"/>
              <w:bottom w:val="single" w:color="auto" w:sz="6" w:space="0"/>
              <w:right w:val="single" w:color="auto" w:sz="6" w:space="0"/>
            </w:tcBorders>
            <w:shd w:val="clear" w:color="auto" w:fill="auto"/>
          </w:tcPr>
          <w:p w14:paraId="2A9FC05E">
            <w:pPr>
              <w:pStyle w:val="19"/>
            </w:pPr>
            <w:r>
              <w:rPr>
                <w:highlight w:val="yellow"/>
              </w:rPr>
              <w:t>C </w:t>
            </w:r>
          </w:p>
        </w:tc>
        <w:tc>
          <w:tcPr>
            <w:tcW w:w="475" w:type="dxa"/>
            <w:tcBorders>
              <w:top w:val="nil"/>
              <w:left w:val="nil"/>
              <w:bottom w:val="single" w:color="auto" w:sz="6" w:space="0"/>
              <w:right w:val="single" w:color="auto" w:sz="6" w:space="0"/>
            </w:tcBorders>
            <w:shd w:val="clear" w:color="auto" w:fill="auto"/>
          </w:tcPr>
          <w:p w14:paraId="4DA39563">
            <w:pPr>
              <w:pStyle w:val="19"/>
            </w:pPr>
            <w:r>
              <w:rPr>
                <w:highlight w:val="yellow"/>
              </w:rPr>
              <w:t>C </w:t>
            </w:r>
          </w:p>
        </w:tc>
        <w:tc>
          <w:tcPr>
            <w:tcW w:w="483" w:type="dxa"/>
            <w:tcBorders>
              <w:top w:val="nil"/>
              <w:left w:val="nil"/>
              <w:bottom w:val="single" w:color="auto" w:sz="6" w:space="0"/>
              <w:right w:val="single" w:color="auto" w:sz="6" w:space="0"/>
            </w:tcBorders>
            <w:shd w:val="clear" w:color="auto" w:fill="auto"/>
          </w:tcPr>
          <w:p w14:paraId="17A6DC7F">
            <w:pPr>
              <w:pStyle w:val="19"/>
            </w:pPr>
            <w:r>
              <w:rPr>
                <w:highlight w:val="yellow"/>
              </w:rPr>
              <w:t>C </w:t>
            </w:r>
          </w:p>
        </w:tc>
        <w:tc>
          <w:tcPr>
            <w:tcW w:w="437" w:type="dxa"/>
            <w:tcBorders>
              <w:top w:val="nil"/>
              <w:left w:val="nil"/>
              <w:bottom w:val="single" w:color="auto" w:sz="6" w:space="0"/>
              <w:right w:val="single" w:color="auto" w:sz="6" w:space="0"/>
            </w:tcBorders>
            <w:shd w:val="clear" w:color="auto" w:fill="auto"/>
          </w:tcPr>
          <w:p w14:paraId="7765AC54">
            <w:pPr>
              <w:pStyle w:val="19"/>
            </w:pPr>
            <w:r>
              <w:rPr>
                <w:highlight w:val="yellow"/>
              </w:rPr>
              <w:t>C </w:t>
            </w:r>
          </w:p>
        </w:tc>
        <w:tc>
          <w:tcPr>
            <w:tcW w:w="455" w:type="dxa"/>
            <w:tcBorders>
              <w:top w:val="nil"/>
              <w:left w:val="nil"/>
              <w:bottom w:val="single" w:color="auto" w:sz="6" w:space="0"/>
              <w:right w:val="single" w:color="auto" w:sz="6" w:space="0"/>
            </w:tcBorders>
            <w:shd w:val="clear" w:color="auto" w:fill="auto"/>
          </w:tcPr>
          <w:p w14:paraId="12911B90">
            <w:pPr>
              <w:pStyle w:val="19"/>
            </w:pPr>
            <w:r>
              <w:rPr>
                <w:highlight w:val="yellow"/>
              </w:rPr>
              <w:t>C </w:t>
            </w:r>
          </w:p>
        </w:tc>
        <w:tc>
          <w:tcPr>
            <w:tcW w:w="430" w:type="dxa"/>
            <w:tcBorders>
              <w:top w:val="nil"/>
              <w:left w:val="nil"/>
              <w:bottom w:val="single" w:color="auto" w:sz="6" w:space="0"/>
              <w:right w:val="single" w:color="auto" w:sz="6" w:space="0"/>
            </w:tcBorders>
            <w:shd w:val="clear" w:color="auto" w:fill="auto"/>
          </w:tcPr>
          <w:p w14:paraId="63DB1F54">
            <w:pPr>
              <w:pStyle w:val="19"/>
            </w:pPr>
            <w:r>
              <w:rPr>
                <w:highlight w:val="yellow"/>
              </w:rPr>
              <w:t>C </w:t>
            </w:r>
          </w:p>
        </w:tc>
        <w:tc>
          <w:tcPr>
            <w:tcW w:w="458" w:type="dxa"/>
            <w:tcBorders>
              <w:top w:val="nil"/>
              <w:left w:val="nil"/>
              <w:bottom w:val="single" w:color="auto" w:sz="6" w:space="0"/>
              <w:right w:val="single" w:color="auto" w:sz="6" w:space="0"/>
            </w:tcBorders>
            <w:shd w:val="clear" w:color="auto" w:fill="auto"/>
          </w:tcPr>
          <w:p w14:paraId="684DC64F">
            <w:pPr>
              <w:pStyle w:val="19"/>
            </w:pPr>
            <w:r>
              <w:rPr>
                <w:highlight w:val="yellow"/>
              </w:rPr>
              <w:t>I </w:t>
            </w:r>
          </w:p>
        </w:tc>
        <w:tc>
          <w:tcPr>
            <w:tcW w:w="414" w:type="dxa"/>
            <w:tcBorders>
              <w:top w:val="nil"/>
              <w:left w:val="nil"/>
              <w:bottom w:val="single" w:color="auto" w:sz="6" w:space="0"/>
              <w:right w:val="single" w:color="auto" w:sz="6" w:space="0"/>
            </w:tcBorders>
            <w:shd w:val="clear" w:color="auto" w:fill="auto"/>
          </w:tcPr>
          <w:p w14:paraId="0ABDBB04">
            <w:pPr>
              <w:pStyle w:val="19"/>
            </w:pPr>
            <w:r>
              <w:rPr>
                <w:highlight w:val="yellow"/>
              </w:rPr>
              <w:t>C </w:t>
            </w:r>
          </w:p>
        </w:tc>
        <w:tc>
          <w:tcPr>
            <w:tcW w:w="489" w:type="dxa"/>
            <w:tcBorders>
              <w:top w:val="nil"/>
              <w:left w:val="nil"/>
              <w:bottom w:val="single" w:color="auto" w:sz="6" w:space="0"/>
              <w:right w:val="single" w:color="auto" w:sz="6" w:space="0"/>
            </w:tcBorders>
            <w:shd w:val="clear" w:color="auto" w:fill="auto"/>
          </w:tcPr>
          <w:p w14:paraId="2BBC34AA">
            <w:pPr>
              <w:pStyle w:val="19"/>
            </w:pPr>
            <w:r>
              <w:rPr>
                <w:highlight w:val="yellow"/>
              </w:rPr>
              <w:t>C </w:t>
            </w:r>
          </w:p>
        </w:tc>
      </w:tr>
      <w:tr w14:paraId="4BD074F1">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964" w:type="dxa"/>
            <w:tcBorders>
              <w:top w:val="nil"/>
              <w:left w:val="single" w:color="auto" w:sz="6" w:space="0"/>
              <w:bottom w:val="single" w:color="auto" w:sz="6" w:space="0"/>
              <w:right w:val="single" w:color="auto" w:sz="6" w:space="0"/>
            </w:tcBorders>
            <w:shd w:val="clear" w:color="auto" w:fill="auto"/>
          </w:tcPr>
          <w:p w14:paraId="65CB2448">
            <w:pPr>
              <w:pStyle w:val="19"/>
            </w:pPr>
            <w:r>
              <w:t>Post-incident review </w:t>
            </w:r>
          </w:p>
        </w:tc>
        <w:tc>
          <w:tcPr>
            <w:tcW w:w="264" w:type="dxa"/>
            <w:tcBorders>
              <w:top w:val="nil"/>
              <w:left w:val="nil"/>
              <w:bottom w:val="single" w:color="auto" w:sz="6" w:space="0"/>
              <w:right w:val="single" w:color="auto" w:sz="6" w:space="0"/>
            </w:tcBorders>
            <w:shd w:val="clear" w:color="auto" w:fill="auto"/>
          </w:tcPr>
          <w:p w14:paraId="2A7C21B0">
            <w:pPr>
              <w:pStyle w:val="19"/>
            </w:pPr>
            <w:r>
              <w:rPr>
                <w:highlight w:val="yellow"/>
              </w:rPr>
              <w:t>A </w:t>
            </w:r>
          </w:p>
        </w:tc>
        <w:tc>
          <w:tcPr>
            <w:tcW w:w="407" w:type="dxa"/>
            <w:tcBorders>
              <w:top w:val="nil"/>
              <w:left w:val="nil"/>
              <w:bottom w:val="single" w:color="auto" w:sz="6" w:space="0"/>
              <w:right w:val="single" w:color="auto" w:sz="6" w:space="0"/>
            </w:tcBorders>
            <w:shd w:val="clear" w:color="auto" w:fill="auto"/>
          </w:tcPr>
          <w:p w14:paraId="31D87ABB">
            <w:pPr>
              <w:pStyle w:val="19"/>
            </w:pPr>
            <w:r>
              <w:rPr>
                <w:highlight w:val="yellow"/>
              </w:rPr>
              <w:t>R </w:t>
            </w:r>
          </w:p>
        </w:tc>
        <w:tc>
          <w:tcPr>
            <w:tcW w:w="370" w:type="dxa"/>
            <w:tcBorders>
              <w:top w:val="nil"/>
              <w:left w:val="nil"/>
              <w:bottom w:val="single" w:color="auto" w:sz="6" w:space="0"/>
              <w:right w:val="single" w:color="auto" w:sz="6" w:space="0"/>
            </w:tcBorders>
            <w:shd w:val="clear" w:color="auto" w:fill="auto"/>
          </w:tcPr>
          <w:p w14:paraId="36E738AA">
            <w:pPr>
              <w:pStyle w:val="19"/>
            </w:pPr>
            <w:r>
              <w:rPr>
                <w:highlight w:val="yellow"/>
              </w:rPr>
              <w:t>C </w:t>
            </w:r>
          </w:p>
        </w:tc>
        <w:tc>
          <w:tcPr>
            <w:tcW w:w="370" w:type="dxa"/>
            <w:tcBorders>
              <w:top w:val="nil"/>
              <w:left w:val="nil"/>
              <w:bottom w:val="single" w:color="auto" w:sz="6" w:space="0"/>
              <w:right w:val="single" w:color="auto" w:sz="6" w:space="0"/>
            </w:tcBorders>
            <w:shd w:val="clear" w:color="auto" w:fill="auto"/>
          </w:tcPr>
          <w:p w14:paraId="3D3BCB07">
            <w:pPr>
              <w:pStyle w:val="19"/>
            </w:pPr>
            <w:r>
              <w:rPr>
                <w:highlight w:val="yellow"/>
              </w:rPr>
              <w:t>C </w:t>
            </w:r>
          </w:p>
        </w:tc>
        <w:tc>
          <w:tcPr>
            <w:tcW w:w="475" w:type="dxa"/>
            <w:tcBorders>
              <w:top w:val="nil"/>
              <w:left w:val="nil"/>
              <w:bottom w:val="single" w:color="auto" w:sz="6" w:space="0"/>
              <w:right w:val="single" w:color="auto" w:sz="6" w:space="0"/>
            </w:tcBorders>
            <w:shd w:val="clear" w:color="auto" w:fill="auto"/>
          </w:tcPr>
          <w:p w14:paraId="39E8A276">
            <w:pPr>
              <w:pStyle w:val="19"/>
            </w:pPr>
            <w:r>
              <w:rPr>
                <w:highlight w:val="yellow"/>
              </w:rPr>
              <w:t>C </w:t>
            </w:r>
          </w:p>
        </w:tc>
        <w:tc>
          <w:tcPr>
            <w:tcW w:w="483" w:type="dxa"/>
            <w:tcBorders>
              <w:top w:val="nil"/>
              <w:left w:val="nil"/>
              <w:bottom w:val="single" w:color="auto" w:sz="6" w:space="0"/>
              <w:right w:val="single" w:color="auto" w:sz="6" w:space="0"/>
            </w:tcBorders>
            <w:shd w:val="clear" w:color="auto" w:fill="auto"/>
          </w:tcPr>
          <w:p w14:paraId="2CAD5752">
            <w:pPr>
              <w:pStyle w:val="19"/>
            </w:pPr>
            <w:r>
              <w:rPr>
                <w:highlight w:val="yellow"/>
              </w:rPr>
              <w:t>C </w:t>
            </w:r>
          </w:p>
        </w:tc>
        <w:tc>
          <w:tcPr>
            <w:tcW w:w="437" w:type="dxa"/>
            <w:tcBorders>
              <w:top w:val="nil"/>
              <w:left w:val="nil"/>
              <w:bottom w:val="single" w:color="auto" w:sz="6" w:space="0"/>
              <w:right w:val="single" w:color="auto" w:sz="6" w:space="0"/>
            </w:tcBorders>
            <w:shd w:val="clear" w:color="auto" w:fill="auto"/>
          </w:tcPr>
          <w:p w14:paraId="10FB9F16">
            <w:pPr>
              <w:pStyle w:val="19"/>
            </w:pPr>
            <w:r>
              <w:rPr>
                <w:highlight w:val="yellow"/>
              </w:rPr>
              <w:t>C </w:t>
            </w:r>
          </w:p>
        </w:tc>
        <w:tc>
          <w:tcPr>
            <w:tcW w:w="455" w:type="dxa"/>
            <w:tcBorders>
              <w:top w:val="nil"/>
              <w:left w:val="nil"/>
              <w:bottom w:val="single" w:color="auto" w:sz="6" w:space="0"/>
              <w:right w:val="single" w:color="auto" w:sz="6" w:space="0"/>
            </w:tcBorders>
            <w:shd w:val="clear" w:color="auto" w:fill="auto"/>
          </w:tcPr>
          <w:p w14:paraId="2012CE9C">
            <w:pPr>
              <w:pStyle w:val="19"/>
            </w:pPr>
            <w:r>
              <w:rPr>
                <w:highlight w:val="yellow"/>
              </w:rPr>
              <w:t>C </w:t>
            </w:r>
          </w:p>
        </w:tc>
        <w:tc>
          <w:tcPr>
            <w:tcW w:w="430" w:type="dxa"/>
            <w:tcBorders>
              <w:top w:val="nil"/>
              <w:left w:val="nil"/>
              <w:bottom w:val="single" w:color="auto" w:sz="6" w:space="0"/>
              <w:right w:val="single" w:color="auto" w:sz="6" w:space="0"/>
            </w:tcBorders>
            <w:shd w:val="clear" w:color="auto" w:fill="auto"/>
          </w:tcPr>
          <w:p w14:paraId="0C8CF251">
            <w:pPr>
              <w:pStyle w:val="19"/>
            </w:pPr>
            <w:r>
              <w:rPr>
                <w:highlight w:val="yellow"/>
              </w:rPr>
              <w:t>C </w:t>
            </w:r>
          </w:p>
        </w:tc>
        <w:tc>
          <w:tcPr>
            <w:tcW w:w="458" w:type="dxa"/>
            <w:tcBorders>
              <w:top w:val="nil"/>
              <w:left w:val="nil"/>
              <w:bottom w:val="single" w:color="auto" w:sz="6" w:space="0"/>
              <w:right w:val="single" w:color="auto" w:sz="6" w:space="0"/>
            </w:tcBorders>
            <w:shd w:val="clear" w:color="auto" w:fill="auto"/>
          </w:tcPr>
          <w:p w14:paraId="1638D762">
            <w:pPr>
              <w:pStyle w:val="19"/>
            </w:pPr>
            <w:r>
              <w:rPr>
                <w:highlight w:val="yellow"/>
              </w:rPr>
              <w:t>C </w:t>
            </w:r>
          </w:p>
        </w:tc>
        <w:tc>
          <w:tcPr>
            <w:tcW w:w="414" w:type="dxa"/>
            <w:tcBorders>
              <w:top w:val="nil"/>
              <w:left w:val="nil"/>
              <w:bottom w:val="single" w:color="auto" w:sz="6" w:space="0"/>
              <w:right w:val="single" w:color="auto" w:sz="6" w:space="0"/>
            </w:tcBorders>
            <w:shd w:val="clear" w:color="auto" w:fill="auto"/>
          </w:tcPr>
          <w:p w14:paraId="1DAB88CB">
            <w:pPr>
              <w:pStyle w:val="19"/>
            </w:pPr>
            <w:r>
              <w:rPr>
                <w:highlight w:val="yellow"/>
              </w:rPr>
              <w:t>C </w:t>
            </w:r>
          </w:p>
        </w:tc>
        <w:tc>
          <w:tcPr>
            <w:tcW w:w="489" w:type="dxa"/>
            <w:tcBorders>
              <w:top w:val="nil"/>
              <w:left w:val="nil"/>
              <w:bottom w:val="single" w:color="auto" w:sz="6" w:space="0"/>
              <w:right w:val="single" w:color="auto" w:sz="6" w:space="0"/>
            </w:tcBorders>
            <w:shd w:val="clear" w:color="auto" w:fill="auto"/>
          </w:tcPr>
          <w:p w14:paraId="58ABA471">
            <w:pPr>
              <w:pStyle w:val="19"/>
              <w:keepNext/>
            </w:pPr>
            <w:r>
              <w:rPr>
                <w:highlight w:val="yellow"/>
              </w:rPr>
              <w:t>C </w:t>
            </w:r>
          </w:p>
        </w:tc>
      </w:tr>
    </w:tbl>
    <w:p w14:paraId="63B48402">
      <w:pPr>
        <w:pStyle w:val="7"/>
        <w:rPr>
          <w:i w:val="0"/>
          <w:iCs w:val="0"/>
        </w:rPr>
      </w:pPr>
      <w:r>
        <w:br w:type="textWrapping"/>
      </w:r>
      <w:bookmarkStart w:id="26" w:name="_Toc68274984"/>
      <w:r>
        <w:t xml:space="preserve">Table </w:t>
      </w:r>
      <w:r>
        <w:fldChar w:fldCharType="begin"/>
      </w:r>
      <w:r>
        <w:instrText xml:space="preserve"> SEQ Table \* ARABIC </w:instrText>
      </w:r>
      <w:r>
        <w:fldChar w:fldCharType="separate"/>
      </w:r>
      <w:r>
        <w:t>3</w:t>
      </w:r>
      <w:r>
        <w:fldChar w:fldCharType="end"/>
      </w:r>
      <w:r>
        <w:t>: RACI matrix</w:t>
      </w:r>
      <w:bookmarkEnd w:id="26"/>
      <w:r>
        <w:br w:type="textWrapping"/>
      </w:r>
    </w:p>
    <w:p w14:paraId="20FD0901">
      <w:pPr>
        <w:rPr>
          <w:b/>
          <w:bCs/>
        </w:rPr>
      </w:pPr>
      <w:r>
        <w:rPr>
          <w:b/>
          <w:bCs/>
        </w:rPr>
        <w:t xml:space="preserve">Key </w:t>
      </w:r>
    </w:p>
    <w:p w14:paraId="58EF371F">
      <w:pPr>
        <w:sectPr>
          <w:headerReference r:id="rId5" w:type="default"/>
          <w:pgSz w:w="11906" w:h="16838"/>
          <w:pgMar w:top="1440" w:right="1440" w:bottom="1440" w:left="1440" w:header="708" w:footer="708" w:gutter="0"/>
          <w:cols w:space="708" w:num="1"/>
          <w:titlePg/>
          <w:docGrid w:linePitch="360" w:charSpace="0"/>
        </w:sectPr>
      </w:pPr>
    </w:p>
    <w:p w14:paraId="264F2EBA">
      <w:r>
        <w:t>TL: Team Leader</w:t>
      </w:r>
    </w:p>
    <w:p w14:paraId="46C0545C">
      <w:r>
        <w:t>TF: Team Facilitator</w:t>
      </w:r>
    </w:p>
    <w:p w14:paraId="5B712F80">
      <w:r>
        <w:t>IL: Incident Liaison</w:t>
      </w:r>
    </w:p>
    <w:p w14:paraId="203838CA">
      <w:r>
        <w:t>IT: Information Technology</w:t>
      </w:r>
    </w:p>
    <w:p w14:paraId="27E75774">
      <w:r>
        <w:t>BO: Business Operations</w:t>
      </w:r>
    </w:p>
    <w:p w14:paraId="7112CE36">
      <w:r>
        <w:t>FM: Facilities Management</w:t>
      </w:r>
    </w:p>
    <w:p w14:paraId="797DDBFC">
      <w:r>
        <w:t>HS: Health and Safety</w:t>
      </w:r>
    </w:p>
    <w:p w14:paraId="6C6D41D0">
      <w:r>
        <w:t>HR: Human Resources</w:t>
      </w:r>
    </w:p>
    <w:p w14:paraId="3682BEBA">
      <w:r>
        <w:t>CP: Business Continuity Planning</w:t>
      </w:r>
    </w:p>
    <w:p w14:paraId="50DBAA47">
      <w:r>
        <w:t>CO: Communications</w:t>
      </w:r>
    </w:p>
    <w:p w14:paraId="1620554A">
      <w:r>
        <w:t>LR: Legal and Regulatory</w:t>
      </w:r>
    </w:p>
    <w:p w14:paraId="63A2B7D3">
      <w:r>
        <w:t>EM: Employees</w:t>
      </w:r>
    </w:p>
    <w:p w14:paraId="03B2B21A">
      <w:pPr>
        <w:sectPr>
          <w:type w:val="continuous"/>
          <w:pgSz w:w="11906" w:h="16838"/>
          <w:pgMar w:top="1440" w:right="1440" w:bottom="1440" w:left="1440" w:header="708" w:footer="708" w:gutter="0"/>
          <w:cols w:space="708" w:num="3"/>
          <w:titlePg/>
          <w:docGrid w:linePitch="360" w:charSpace="0"/>
        </w:sectPr>
      </w:pPr>
    </w:p>
    <w:p w14:paraId="5E39FA1F">
      <w:pPr>
        <w:spacing w:before="0" w:after="160" w:line="259" w:lineRule="auto"/>
      </w:pPr>
      <w:r>
        <w:br w:type="page"/>
      </w:r>
    </w:p>
    <w:p w14:paraId="5CC96760">
      <w:pPr>
        <w:pStyle w:val="3"/>
      </w:pPr>
      <w:bookmarkStart w:id="27" w:name="_Toc68274968"/>
      <w:r>
        <w:t>Incident management, monitoring and communication</w:t>
      </w:r>
      <w:bookmarkEnd w:id="27"/>
    </w:p>
    <w:p w14:paraId="65D989DA">
      <w:r>
        <w:t xml:space="preserve">Once an appropriate response to the incident has been identified, the IRT needs to be able to manage the overall response, monitor the status of the incident and ensure effective communication is taking place at all levels. </w:t>
      </w:r>
    </w:p>
    <w:p w14:paraId="658A7019">
      <w:r>
        <w:t>Regular IRT meetings must be held at an appropriate frequency decided by the Team Leader. A standard agenda for these meeting is at Appendix C. The purpose of these meetings is to ensure that incident management resources are managed effectively and that key decisions are made promptly, based on adequate information. Each meeting will be minuted by the Team Facilitator.</w:t>
      </w:r>
    </w:p>
    <w:p w14:paraId="0AFB4B3F">
      <w:r>
        <w:t>The Incident Liaison will provide updates to the IRT to a frequency decided by the Team Leader. These updates should be co-ordinated with the IRT meetings so that the latest information is available for each meeting.</w:t>
      </w:r>
    </w:p>
    <w:p w14:paraId="5891DCC8"/>
    <w:p w14:paraId="32CBDFCF">
      <w:pPr>
        <w:pStyle w:val="3"/>
      </w:pPr>
      <w:bookmarkStart w:id="28" w:name="_Toc68274969"/>
      <w:r>
        <w:t>Communication procedures</w:t>
      </w:r>
      <w:bookmarkEnd w:id="28"/>
    </w:p>
    <w:p w14:paraId="43C1EBD2">
      <w:r>
        <w:t>It is vital that effective communications are maintained between all parties involved in the incident response.</w:t>
      </w:r>
    </w:p>
    <w:p w14:paraId="437F34FC">
      <w:r>
        <w:t xml:space="preserve">Depending on the situation, the default means of communication during an incident may be face to face, via phone, or via collaboration tools, </w:t>
      </w:r>
      <w:r>
        <w:rPr>
          <w:highlight w:val="yellow"/>
        </w:rPr>
        <w:t>such as Microsoft Teams</w:t>
      </w:r>
      <w:r>
        <w:t>, to be specified by the Team Leader. Email should not be used unless permission to do so has been given by the IRT.</w:t>
      </w:r>
    </w:p>
    <w:p w14:paraId="3410901A">
      <w:r>
        <w:t>The following guidelines should be followed in all communications:</w:t>
      </w:r>
    </w:p>
    <w:p w14:paraId="7A7506D1">
      <w:pPr>
        <w:pStyle w:val="25"/>
        <w:numPr>
          <w:ilvl w:val="0"/>
          <w:numId w:val="19"/>
        </w:numPr>
      </w:pPr>
      <w:r>
        <w:t>Be calm and avoid lengthy conversation</w:t>
      </w:r>
    </w:p>
    <w:p w14:paraId="76937ACE">
      <w:pPr>
        <w:pStyle w:val="25"/>
        <w:numPr>
          <w:ilvl w:val="0"/>
          <w:numId w:val="19"/>
        </w:numPr>
      </w:pPr>
      <w:r>
        <w:t>Advise internal team members of the need to refer information requests to the IRT</w:t>
      </w:r>
    </w:p>
    <w:p w14:paraId="12DB2CD8">
      <w:pPr>
        <w:pStyle w:val="25"/>
        <w:numPr>
          <w:ilvl w:val="0"/>
          <w:numId w:val="19"/>
        </w:numPr>
      </w:pPr>
      <w:r>
        <w:t>If a call is answered by someone other than the contact:</w:t>
      </w:r>
    </w:p>
    <w:p w14:paraId="7D54259E">
      <w:pPr>
        <w:pStyle w:val="25"/>
        <w:numPr>
          <w:ilvl w:val="1"/>
          <w:numId w:val="19"/>
        </w:numPr>
      </w:pPr>
      <w:r>
        <w:t>Ask if the contact is available elsewhere</w:t>
      </w:r>
    </w:p>
    <w:p w14:paraId="203425B9">
      <w:pPr>
        <w:pStyle w:val="25"/>
        <w:numPr>
          <w:ilvl w:val="1"/>
          <w:numId w:val="19"/>
        </w:numPr>
      </w:pPr>
      <w:r>
        <w:t>If they cannot be contacted leave a message to contact you on a given number</w:t>
      </w:r>
    </w:p>
    <w:p w14:paraId="0B97DF7C">
      <w:pPr>
        <w:pStyle w:val="25"/>
        <w:numPr>
          <w:ilvl w:val="1"/>
          <w:numId w:val="19"/>
        </w:numPr>
      </w:pPr>
      <w:r>
        <w:t>Do not provide details of the Incident</w:t>
      </w:r>
    </w:p>
    <w:p w14:paraId="35E6BBA7">
      <w:pPr>
        <w:pStyle w:val="25"/>
        <w:numPr>
          <w:ilvl w:val="0"/>
          <w:numId w:val="19"/>
        </w:numPr>
      </w:pPr>
      <w:r>
        <w:t>Always document call time details, responses and actions</w:t>
      </w:r>
    </w:p>
    <w:p w14:paraId="6FB9CCE2">
      <w:r>
        <w:t>All communications should be clearly and accurately recorded as records may be needed as part of legal action at a later date.</w:t>
      </w:r>
    </w:p>
    <w:p w14:paraId="0FC88081">
      <w:pPr>
        <w:spacing w:before="0" w:after="160" w:line="259" w:lineRule="auto"/>
      </w:pPr>
      <w:r>
        <w:br w:type="page"/>
      </w:r>
    </w:p>
    <w:p w14:paraId="5BA5C1E9">
      <w:pPr>
        <w:pStyle w:val="4"/>
      </w:pPr>
      <w:bookmarkStart w:id="29" w:name="_Toc68274970"/>
      <w:r>
        <w:t>External communication</w:t>
      </w:r>
      <w:bookmarkEnd w:id="29"/>
    </w:p>
    <w:p w14:paraId="6A71B2D5">
      <w:r>
        <w:t xml:space="preserve">Depending on the incident there may be a variety of external parties that will be communicated with during the course of the response. It is important that the information released to third parties is managed so that it is timely and accurate. </w:t>
      </w:r>
    </w:p>
    <w:p w14:paraId="7378FB21">
      <w:r>
        <w:t>Calls that are not from agencies directly involved in the incident response (such as the media) should be passed to the member of the IRT responsible for communications.</w:t>
      </w:r>
    </w:p>
    <w:p w14:paraId="593BD8DB">
      <w:r>
        <w:t>There may be a number of external parties who, whilst not directly involved in the incident, may be affected by it and need to be alerted to this fact. These may include:</w:t>
      </w:r>
    </w:p>
    <w:p w14:paraId="67FB3681">
      <w:pPr>
        <w:pStyle w:val="25"/>
        <w:numPr>
          <w:ilvl w:val="0"/>
          <w:numId w:val="20"/>
        </w:numPr>
      </w:pPr>
      <w:r>
        <w:t>Customers</w:t>
      </w:r>
    </w:p>
    <w:p w14:paraId="2B66E7C1">
      <w:pPr>
        <w:pStyle w:val="25"/>
        <w:numPr>
          <w:ilvl w:val="0"/>
          <w:numId w:val="20"/>
        </w:numPr>
      </w:pPr>
      <w:r>
        <w:t>Suppliers</w:t>
      </w:r>
    </w:p>
    <w:p w14:paraId="25D59861">
      <w:pPr>
        <w:pStyle w:val="25"/>
        <w:numPr>
          <w:ilvl w:val="0"/>
          <w:numId w:val="20"/>
        </w:numPr>
      </w:pPr>
      <w:r>
        <w:t>Shareholders</w:t>
      </w:r>
    </w:p>
    <w:p w14:paraId="0E437CBC">
      <w:pPr>
        <w:pStyle w:val="25"/>
        <w:numPr>
          <w:ilvl w:val="0"/>
          <w:numId w:val="20"/>
        </w:numPr>
      </w:pPr>
      <w:r>
        <w:t>Regulatory bodies</w:t>
      </w:r>
    </w:p>
    <w:p w14:paraId="14ED8DDD">
      <w:pPr>
        <w:pStyle w:val="25"/>
        <w:numPr>
          <w:ilvl w:val="0"/>
          <w:numId w:val="20"/>
        </w:numPr>
      </w:pPr>
      <w:r>
        <w:t>Supervisory authorities</w:t>
      </w:r>
    </w:p>
    <w:p w14:paraId="3FEC6BF1">
      <w:pPr>
        <w:pStyle w:val="25"/>
        <w:numPr>
          <w:ilvl w:val="0"/>
          <w:numId w:val="20"/>
        </w:numPr>
      </w:pPr>
      <w:r>
        <w:t>Insurers</w:t>
      </w:r>
    </w:p>
    <w:p w14:paraId="48F63D95">
      <w:r>
        <w:t>The Communications IRT member should make a list of such interested parties and define the message that is to be given to them. A list of some external agencies is given at Appendix B.</w:t>
      </w:r>
    </w:p>
    <w:p w14:paraId="29A55D90">
      <w:r>
        <w:t xml:space="preserve">Interested parties who have not been alerted by the IRT may call to obtain information about the incident and its effects. These calls should be recorded in a message log and passed to the Communications member of IRT. </w:t>
      </w:r>
    </w:p>
    <w:p w14:paraId="48032E62"/>
    <w:p w14:paraId="42FD404A">
      <w:pPr>
        <w:pStyle w:val="4"/>
      </w:pPr>
      <w:bookmarkStart w:id="30" w:name="_Toc68274971"/>
      <w:r>
        <w:t>Communication with the media</w:t>
      </w:r>
      <w:bookmarkEnd w:id="30"/>
    </w:p>
    <w:p w14:paraId="4F02985D">
      <w:r>
        <w:t>In general, the communication strategy with respect to the media will be to issue updates via top management. No members of staff should give an interview with the media unless this is pre-authorised by the IRT.</w:t>
      </w:r>
    </w:p>
    <w:p w14:paraId="4BBA48FB">
      <w:r>
        <w:t>The preferred interface with the media will be to issue pre-written press releases. In exceptional circumstances a press conference will be held to answer questions about the incident and its effects. It is the responsibility of the Communications IRT member to arrange the venue for these and to liaise with press that may wish to attend.</w:t>
      </w:r>
    </w:p>
    <w:p w14:paraId="31B3559B">
      <w:r>
        <w:t>In drafting a statement for the media, the following guidelines should be observed:</w:t>
      </w:r>
    </w:p>
    <w:p w14:paraId="47E7F718">
      <w:pPr>
        <w:pStyle w:val="25"/>
        <w:numPr>
          <w:ilvl w:val="0"/>
          <w:numId w:val="21"/>
        </w:numPr>
        <w:rPr>
          <w:highlight w:val="yellow"/>
        </w:rPr>
      </w:pPr>
      <w:r>
        <w:rPr>
          <w:highlight w:val="yellow"/>
        </w:rPr>
        <w:t xml:space="preserve">Personal information should always be protected </w:t>
      </w:r>
    </w:p>
    <w:p w14:paraId="28FF411E">
      <w:pPr>
        <w:pStyle w:val="25"/>
        <w:numPr>
          <w:ilvl w:val="0"/>
          <w:numId w:val="21"/>
        </w:numPr>
        <w:rPr>
          <w:highlight w:val="yellow"/>
        </w:rPr>
      </w:pPr>
      <w:r>
        <w:rPr>
          <w:highlight w:val="yellow"/>
        </w:rPr>
        <w:t>Stick to the facts and do not speculate about the incident or its cause</w:t>
      </w:r>
    </w:p>
    <w:p w14:paraId="6371D6DD">
      <w:pPr>
        <w:pStyle w:val="25"/>
        <w:numPr>
          <w:ilvl w:val="0"/>
          <w:numId w:val="21"/>
        </w:numPr>
        <w:rPr>
          <w:highlight w:val="yellow"/>
        </w:rPr>
      </w:pPr>
      <w:r>
        <w:rPr>
          <w:highlight w:val="yellow"/>
        </w:rPr>
        <w:t>Ensure legal advice is obtained prior to any statements being issued</w:t>
      </w:r>
    </w:p>
    <w:p w14:paraId="214CDA9E">
      <w:pPr>
        <w:pStyle w:val="25"/>
        <w:numPr>
          <w:ilvl w:val="0"/>
          <w:numId w:val="21"/>
        </w:numPr>
        <w:rPr>
          <w:highlight w:val="yellow"/>
        </w:rPr>
      </w:pPr>
      <w:r>
        <w:rPr>
          <w:highlight w:val="yellow"/>
        </w:rPr>
        <w:t>Try to pre-empt questions that may reasonably be asked</w:t>
      </w:r>
    </w:p>
    <w:p w14:paraId="7BA36908">
      <w:pPr>
        <w:pStyle w:val="25"/>
        <w:numPr>
          <w:ilvl w:val="0"/>
          <w:numId w:val="21"/>
        </w:numPr>
        <w:rPr>
          <w:highlight w:val="yellow"/>
        </w:rPr>
      </w:pPr>
      <w:r>
        <w:rPr>
          <w:highlight w:val="yellow"/>
        </w:rPr>
        <w:t>Emphasise that a prepared response has been activated and that everything possible is being done</w:t>
      </w:r>
    </w:p>
    <w:p w14:paraId="5C1EED07">
      <w:r>
        <w:t>The following members of staff will be appointed spokespeople for the organization if further information is to be issued, for example at a press conference:</w:t>
      </w:r>
      <w:r>
        <w:br w:type="textWrapping"/>
      </w:r>
    </w:p>
    <w:tbl>
      <w:tblPr>
        <w:tblStyle w:val="11"/>
        <w:tblW w:w="0" w:type="auto"/>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3005"/>
        <w:gridCol w:w="3005"/>
        <w:gridCol w:w="3006"/>
      </w:tblGrid>
      <w:tr w14:paraId="12D097DC">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44546A" w:themeFill="text2"/>
          </w:tcPr>
          <w:p w14:paraId="26BBA4D9">
            <w:pPr>
              <w:pStyle w:val="18"/>
            </w:pPr>
            <w:r>
              <w:t>NAME</w:t>
            </w:r>
          </w:p>
        </w:tc>
        <w:tc>
          <w:tcPr>
            <w:tcW w:w="3005" w:type="dxa"/>
            <w:shd w:val="clear" w:color="auto" w:fill="44546A" w:themeFill="text2"/>
          </w:tcPr>
          <w:p w14:paraId="07AFCF15">
            <w:pPr>
              <w:pStyle w:val="18"/>
            </w:pPr>
            <w:r>
              <w:t>ROLE</w:t>
            </w:r>
          </w:p>
        </w:tc>
        <w:tc>
          <w:tcPr>
            <w:tcW w:w="3006" w:type="dxa"/>
            <w:shd w:val="clear" w:color="auto" w:fill="44546A" w:themeFill="text2"/>
          </w:tcPr>
          <w:p w14:paraId="7EA81F95">
            <w:pPr>
              <w:pStyle w:val="18"/>
            </w:pPr>
            <w:r>
              <w:t>INCIDENT SCALE</w:t>
            </w:r>
          </w:p>
        </w:tc>
      </w:tr>
      <w:tr w14:paraId="2BA19215">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6E753834">
            <w:r>
              <w:t>Marketing &amp; Customer Experience representative</w:t>
            </w:r>
          </w:p>
        </w:tc>
        <w:tc>
          <w:tcPr>
            <w:tcW w:w="3005" w:type="dxa"/>
            <w:shd w:val="clear" w:color="auto" w:fill="auto"/>
          </w:tcPr>
          <w:p w14:paraId="30B2C497">
            <w:pPr>
              <w:pStyle w:val="19"/>
            </w:pPr>
            <w:r>
              <w:rPr>
                <w:highlight w:val="yellow"/>
              </w:rPr>
              <w:t>IRT Communications</w:t>
            </w:r>
          </w:p>
        </w:tc>
        <w:tc>
          <w:tcPr>
            <w:tcW w:w="3006" w:type="dxa"/>
            <w:shd w:val="clear" w:color="auto" w:fill="auto"/>
          </w:tcPr>
          <w:p w14:paraId="552C9D76">
            <w:pPr>
              <w:pStyle w:val="19"/>
            </w:pPr>
            <w:r>
              <w:rPr>
                <w:highlight w:val="yellow"/>
              </w:rPr>
              <w:t>Low</w:t>
            </w:r>
          </w:p>
        </w:tc>
      </w:tr>
      <w:tr w14:paraId="6B260B0D">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6B192642">
            <w:r>
              <w:t>Head of Marketing &amp; Customer Experience Department</w:t>
            </w:r>
          </w:p>
        </w:tc>
        <w:tc>
          <w:tcPr>
            <w:tcW w:w="3005" w:type="dxa"/>
            <w:shd w:val="clear" w:color="auto" w:fill="auto"/>
          </w:tcPr>
          <w:p w14:paraId="46ADA671">
            <w:pPr>
              <w:pStyle w:val="19"/>
            </w:pPr>
            <w:r>
              <w:rPr>
                <w:highlight w:val="yellow"/>
              </w:rPr>
              <w:t>Head of Corporate Communications</w:t>
            </w:r>
          </w:p>
        </w:tc>
        <w:tc>
          <w:tcPr>
            <w:tcW w:w="3006" w:type="dxa"/>
            <w:shd w:val="clear" w:color="auto" w:fill="auto"/>
          </w:tcPr>
          <w:p w14:paraId="0ED70D4D">
            <w:pPr>
              <w:pStyle w:val="19"/>
            </w:pPr>
            <w:r>
              <w:rPr>
                <w:highlight w:val="yellow"/>
              </w:rPr>
              <w:t>Medium</w:t>
            </w:r>
          </w:p>
        </w:tc>
      </w:tr>
      <w:tr w14:paraId="3D688BF3">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005" w:type="dxa"/>
            <w:shd w:val="clear" w:color="auto" w:fill="auto"/>
          </w:tcPr>
          <w:p w14:paraId="52C917B7">
            <w:r>
              <w:t>Dr. Noura Al-Qahtani</w:t>
            </w:r>
          </w:p>
        </w:tc>
        <w:tc>
          <w:tcPr>
            <w:tcW w:w="3005" w:type="dxa"/>
            <w:shd w:val="clear" w:color="auto" w:fill="auto"/>
          </w:tcPr>
          <w:p w14:paraId="1206B42D">
            <w:pPr>
              <w:pStyle w:val="19"/>
            </w:pPr>
            <w:r>
              <w:rPr>
                <w:highlight w:val="yellow"/>
              </w:rPr>
              <w:t>Chief Executive Officer</w:t>
            </w:r>
          </w:p>
        </w:tc>
        <w:tc>
          <w:tcPr>
            <w:tcW w:w="3006" w:type="dxa"/>
            <w:shd w:val="clear" w:color="auto" w:fill="auto"/>
          </w:tcPr>
          <w:p w14:paraId="263AEB7B">
            <w:pPr>
              <w:pStyle w:val="19"/>
              <w:keepNext/>
            </w:pPr>
            <w:r>
              <w:rPr>
                <w:highlight w:val="yellow"/>
              </w:rPr>
              <w:t>High</w:t>
            </w:r>
          </w:p>
        </w:tc>
      </w:tr>
    </w:tbl>
    <w:p w14:paraId="38BC5952">
      <w:pPr>
        <w:pStyle w:val="7"/>
      </w:pPr>
      <w:r>
        <w:br w:type="textWrapping"/>
      </w:r>
      <w:bookmarkStart w:id="31" w:name="_Toc68274985"/>
      <w:r>
        <w:t xml:space="preserve">Table </w:t>
      </w:r>
      <w:r>
        <w:fldChar w:fldCharType="begin"/>
      </w:r>
      <w:r>
        <w:instrText xml:space="preserve"> SEQ Table \* ARABIC </w:instrText>
      </w:r>
      <w:r>
        <w:fldChar w:fldCharType="separate"/>
      </w:r>
      <w:r>
        <w:t>4</w:t>
      </w:r>
      <w:r>
        <w:fldChar w:fldCharType="end"/>
      </w:r>
      <w:r>
        <w:t>: Media spokespeople</w:t>
      </w:r>
      <w:bookmarkEnd w:id="31"/>
    </w:p>
    <w:p w14:paraId="6F8BD880">
      <w:r>
        <w:t>The most appropriate spokesperson will depend upon the scale of the incident and its effect on customers, supplier, the public and other stakeholders.</w:t>
      </w:r>
    </w:p>
    <w:p w14:paraId="62FD93F8">
      <w:pPr>
        <w:spacing w:before="0" w:after="160" w:line="259" w:lineRule="auto"/>
      </w:pPr>
      <w:r>
        <w:br w:type="page"/>
      </w:r>
    </w:p>
    <w:p w14:paraId="7B7A3450">
      <w:pPr>
        <w:pStyle w:val="2"/>
      </w:pPr>
      <w:bookmarkStart w:id="32" w:name="_Toc68274972"/>
      <w:r>
        <w:t>Incident containment, eradication, recovery and notification</w:t>
      </w:r>
      <w:bookmarkEnd w:id="32"/>
    </w:p>
    <w:p w14:paraId="2844B6D9">
      <w:r>
        <w:t>This section describes the main steps involved in managing an incident. Additional procedures and plans are available to cover the specifics of these steps for particular types of incident, for example ransomware, denial of service and data breach.</w:t>
      </w:r>
    </w:p>
    <w:p w14:paraId="2BE1A3EE"/>
    <w:p w14:paraId="1DB6FA8E">
      <w:pPr>
        <w:pStyle w:val="3"/>
      </w:pPr>
      <w:bookmarkStart w:id="33" w:name="_Toc68274973"/>
      <w:r>
        <w:t>Containment</w:t>
      </w:r>
      <w:bookmarkEnd w:id="33"/>
      <w:r>
        <w:t xml:space="preserve"> </w:t>
      </w:r>
    </w:p>
    <w:p w14:paraId="77831B54">
      <w:r>
        <w:t>The first step will be to try to stop the incident getting any worse i.e. contain it. In the case of a virus outbreak this may entail disconnecting the affected parts of the network; for a hacking attack it may involve disabling certain profiles or ports on the firewall or perhaps even disconnecting the internal network from the Internet altogether. The specific actions to be performed will depend on the circumstances of the incident.</w:t>
      </w:r>
    </w:p>
    <w:p w14:paraId="04A88041">
      <w:r>
        <w:t>Note: if it is judged to be likely that digital evidence will need to be collected that will later be used in court, precautions must be taken to ensure that such evidence remains admissible. This means that relevant data must not be changed either deliberately or by accident for example by waking up a laptop. It is recommended that specialist advice should be obtained at this point – see contacts at Appendix B.</w:t>
      </w:r>
    </w:p>
    <w:p w14:paraId="553FD73C">
      <w:r>
        <w:t>Particularly (but not exclusively) if foul play is suspected in the incident, accurate records must be kept of the actions taken and the evidence gathered in line with digital forensics guidelines. The main principles of these guidelines are as follows:</w:t>
      </w:r>
    </w:p>
    <w:p w14:paraId="2AADDF51">
      <w:r>
        <w:rPr>
          <w:b/>
          <w:bCs/>
        </w:rPr>
        <w:t>Principle 1:</w:t>
      </w:r>
      <w:r>
        <w:t xml:space="preserve"> </w:t>
      </w:r>
      <w:r>
        <w:rPr>
          <w:b/>
          <w:bCs/>
        </w:rPr>
        <w:t>Don’t change any data.</w:t>
      </w:r>
      <w:r>
        <w:t xml:space="preserve"> If anything is done that results in the data on the relevant system being altered in any way, then this will affect any subsequent court case.</w:t>
      </w:r>
    </w:p>
    <w:p w14:paraId="6A197FC9">
      <w:r>
        <w:rPr>
          <w:b/>
          <w:bCs/>
        </w:rPr>
        <w:t>Principle 2:</w:t>
      </w:r>
      <w:r>
        <w:t xml:space="preserve"> </w:t>
      </w:r>
      <w:r>
        <w:rPr>
          <w:b/>
          <w:bCs/>
        </w:rPr>
        <w:t>Only access the original data in exceptional circumstances.</w:t>
      </w:r>
      <w:r>
        <w:t xml:space="preserve"> A trained specialist will use tools to take a bit copy of any data held in memory, whether it’s on a hard disk, flash memory or a SIM card on a phone. All analysis will then take place on the copy and the original should never be touched unless in exceptional circumstances, for example time is of the essence and gaining information to prevent a further crime is more important than keeping the evidence admissible.</w:t>
      </w:r>
    </w:p>
    <w:p w14:paraId="413B60BA">
      <w:r>
        <w:rPr>
          <w:b/>
          <w:bCs/>
        </w:rPr>
        <w:t>Principle 3:</w:t>
      </w:r>
      <w:r>
        <w:t xml:space="preserve"> </w:t>
      </w:r>
      <w:r>
        <w:rPr>
          <w:b/>
          <w:bCs/>
        </w:rPr>
        <w:t>Always keep an audit trail of what has been done.</w:t>
      </w:r>
      <w:r>
        <w:t xml:space="preserve"> Forensic tools will do this automatically, but this also applies to the first people on the scene. Taking photographs and videos is encouraged as long as nothing is touched to do it.</w:t>
      </w:r>
    </w:p>
    <w:p w14:paraId="2F7ABE3C">
      <w:r>
        <w:rPr>
          <w:b/>
          <w:bCs/>
        </w:rPr>
        <w:t>Principle 4: The person in charge must ensure that the guidelines are followed.</w:t>
      </w:r>
      <w:r>
        <w:t xml:space="preserve"> </w:t>
      </w:r>
    </w:p>
    <w:p w14:paraId="5644D7AA">
      <w:r>
        <w:t>Prior to the arrival of a specialist, basic information should be collected.</w:t>
      </w:r>
    </w:p>
    <w:p w14:paraId="20B3AF0C">
      <w:r>
        <w:t>This may include:</w:t>
      </w:r>
    </w:p>
    <w:p w14:paraId="284F32C2">
      <w:pPr>
        <w:pStyle w:val="25"/>
        <w:numPr>
          <w:ilvl w:val="0"/>
          <w:numId w:val="22"/>
        </w:numPr>
      </w:pPr>
      <w:r>
        <w:t>Photographs or videos of relevant messages or information</w:t>
      </w:r>
    </w:p>
    <w:p w14:paraId="015AF653">
      <w:pPr>
        <w:pStyle w:val="25"/>
        <w:numPr>
          <w:ilvl w:val="0"/>
          <w:numId w:val="22"/>
        </w:numPr>
      </w:pPr>
      <w:r>
        <w:t>Manual written records of the chronology of the incident</w:t>
      </w:r>
    </w:p>
    <w:p w14:paraId="19A88A53">
      <w:pPr>
        <w:pStyle w:val="25"/>
        <w:numPr>
          <w:ilvl w:val="0"/>
          <w:numId w:val="22"/>
        </w:numPr>
      </w:pPr>
      <w:r>
        <w:t>Original documents, including records of who found them, where and when</w:t>
      </w:r>
    </w:p>
    <w:p w14:paraId="71CF4028">
      <w:pPr>
        <w:pStyle w:val="25"/>
        <w:numPr>
          <w:ilvl w:val="0"/>
          <w:numId w:val="22"/>
        </w:numPr>
      </w:pPr>
      <w:r>
        <w:t>Details of any witnesses</w:t>
      </w:r>
    </w:p>
    <w:p w14:paraId="1BCC4EF8">
      <w:r>
        <w:t xml:space="preserve">Once collected, the evidence will be kept in a safe place where it cannot be tampered with and a formal chain of custody established. </w:t>
      </w:r>
    </w:p>
    <w:p w14:paraId="3F0A2E55">
      <w:r>
        <w:t>The evidence may be required:</w:t>
      </w:r>
    </w:p>
    <w:p w14:paraId="04A03AE4">
      <w:pPr>
        <w:pStyle w:val="25"/>
        <w:numPr>
          <w:ilvl w:val="0"/>
          <w:numId w:val="23"/>
        </w:numPr>
      </w:pPr>
      <w:r>
        <w:t>For later analysis as to the cause of the incident</w:t>
      </w:r>
    </w:p>
    <w:p w14:paraId="11FFDF4C">
      <w:pPr>
        <w:pStyle w:val="25"/>
        <w:numPr>
          <w:ilvl w:val="0"/>
          <w:numId w:val="23"/>
        </w:numPr>
      </w:pPr>
      <w:r>
        <w:t>As forensic evidence for criminal or civil court proceedings</w:t>
      </w:r>
    </w:p>
    <w:p w14:paraId="73F3EAEF">
      <w:pPr>
        <w:pStyle w:val="25"/>
        <w:numPr>
          <w:ilvl w:val="0"/>
          <w:numId w:val="23"/>
        </w:numPr>
      </w:pPr>
      <w:r>
        <w:t>In support of any compensation negotiations with software or service suppliers</w:t>
      </w:r>
    </w:p>
    <w:p w14:paraId="6C17E7B0">
      <w:r>
        <w:t xml:space="preserve">Next, a clear picture of what has happened needs to be established. The extent of the incident and the knock-on implications should be ascertained before any kind of containment action can be taken. </w:t>
      </w:r>
    </w:p>
    <w:p w14:paraId="2C79C6A4">
      <w:r>
        <w:t>Audit logs may be examined to piece together the sequence of events; care should be taken that only secure copies of logs that have not been tampered with are used.</w:t>
      </w:r>
    </w:p>
    <w:p w14:paraId="3885AEEC"/>
    <w:p w14:paraId="4F527F36">
      <w:pPr>
        <w:pStyle w:val="3"/>
      </w:pPr>
      <w:bookmarkStart w:id="34" w:name="_Toc68274974"/>
      <w:r>
        <w:t>Eradication</w:t>
      </w:r>
      <w:bookmarkEnd w:id="34"/>
    </w:p>
    <w:p w14:paraId="003924F6">
      <w:r>
        <w:t>Actions to fix the damage caused by the incident, such as deleting malware, must be put through the change management process (most likely as an emergency change). These actions should be aimed at fixing the current cause and preventing the incident from re-occurring. Any vulnerabilities that have been exploited as part of the incident should be identified.</w:t>
      </w:r>
    </w:p>
    <w:p w14:paraId="103C216E">
      <w:r>
        <w:t>Depending on the type of incident, eradication may sometimes be unnecessary.</w:t>
      </w:r>
    </w:p>
    <w:p w14:paraId="6DDB308E"/>
    <w:p w14:paraId="6F69E0DF">
      <w:pPr>
        <w:pStyle w:val="3"/>
      </w:pPr>
      <w:bookmarkStart w:id="35" w:name="_Toc68274975"/>
      <w:r>
        <w:t>Recovery</w:t>
      </w:r>
      <w:bookmarkEnd w:id="35"/>
    </w:p>
    <w:p w14:paraId="4BE4B4CF">
      <w:r>
        <w:t>During the recovery stage, systems should be restored back to their pre-incident condition, although necessary actions should then be performed to address any vulnerabilities that were exploited as part of the incident. This may involve activities such as installing patches, changing passwords, hardening servers and amending procedures.</w:t>
      </w:r>
    </w:p>
    <w:p w14:paraId="3B4B08C0"/>
    <w:p w14:paraId="1065CC46">
      <w:pPr>
        <w:pStyle w:val="3"/>
      </w:pPr>
      <w:bookmarkStart w:id="36" w:name="_Toc68274976"/>
      <w:r>
        <w:t>Notification</w:t>
      </w:r>
      <w:bookmarkEnd w:id="36"/>
    </w:p>
    <w:p w14:paraId="209E2270">
      <w:r>
        <w:t xml:space="preserve">The notification of an information security incident and resulting loss of data is a sensitive issue that must be handled carefully and with full management approval. The IRT will decide, based on legal and other expert advice and as full an understanding of the impact of the incident as possible, what notification is required, when it should take place and the form that it will take. For breaches affecting personal data, see the document </w:t>
      </w:r>
      <w:r>
        <w:rPr>
          <w:i/>
          <w:iCs/>
        </w:rPr>
        <w:t>Personal Data Breach Notification Procedure</w:t>
      </w:r>
      <w:r>
        <w:t xml:space="preserve"> and the template </w:t>
      </w:r>
      <w:r>
        <w:rPr>
          <w:i/>
          <w:iCs/>
        </w:rPr>
        <w:t>Breach Notification Letter to Data Subjects</w:t>
      </w:r>
      <w:r>
        <w:t>.</w:t>
      </w:r>
    </w:p>
    <w:p w14:paraId="0F039477">
      <w:r>
        <w:fldChar w:fldCharType="begin"/>
      </w:r>
      <w:r>
        <w:instrText xml:space="preserve"> DOCPROPERTY  "Organization Name"  \* MERGEFORMAT </w:instrText>
      </w:r>
      <w:r>
        <w:fldChar w:fldCharType="separate"/>
      </w:r>
      <w:r>
        <w:t>Bank Al-Afaq Al-Raqmiya (بنك الآفاق الرقمية)</w:t>
      </w:r>
      <w:r>
        <w:fldChar w:fldCharType="end"/>
      </w:r>
      <w:r>
        <w:t xml:space="preserve"> will always comply in full with applicable legal and regulatory requirements regarding incident notification and will carefully assess any offerings to be made to parties that may be impacted by the incident, such as credit monitoring services. </w:t>
      </w:r>
    </w:p>
    <w:p w14:paraId="17636463">
      <w:r>
        <w:t xml:space="preserve">Records collected as part of the incident response may be required as part of any resulting investigations by relevant regulatory bodies and </w:t>
      </w:r>
      <w:r>
        <w:fldChar w:fldCharType="begin"/>
      </w:r>
      <w:r>
        <w:instrText xml:space="preserve"> DOCPROPERTY  "Organization Name"  \* MERGEFORMAT </w:instrText>
      </w:r>
      <w:r>
        <w:fldChar w:fldCharType="separate"/>
      </w:r>
      <w:r>
        <w:t>Bank Al-Afaq Al-Raqmiya (بنك الآفاق الرقمية)</w:t>
      </w:r>
      <w:r>
        <w:fldChar w:fldCharType="end"/>
      </w:r>
      <w:r>
        <w:t xml:space="preserve"> will cooperate in full with such proceedings.</w:t>
      </w:r>
    </w:p>
    <w:p w14:paraId="5B0EE48F">
      <w:pPr>
        <w:spacing w:before="0" w:after="160" w:line="259" w:lineRule="auto"/>
      </w:pPr>
      <w:r>
        <w:br w:type="page"/>
      </w:r>
    </w:p>
    <w:p w14:paraId="66DF7B01">
      <w:pPr>
        <w:pStyle w:val="2"/>
      </w:pPr>
      <w:bookmarkStart w:id="37" w:name="_Toc68274977"/>
      <w:r>
        <w:t>Post-incident activity</w:t>
      </w:r>
      <w:bookmarkEnd w:id="37"/>
    </w:p>
    <w:p w14:paraId="689AC6F4">
      <w:r>
        <w:t>The Team Leader will decide, based on the latest information from the Incident Liaison and other members of the team, the point at which response activities should be ceased and the IRT stood down. Note that the recovery and execution of plans may continue beyond this point but under less formal management control.</w:t>
      </w:r>
    </w:p>
    <w:p w14:paraId="72FDA748">
      <w:r>
        <w:t>This decision will be up to the Team Leader’s judgement but should be based upon the following criteria:</w:t>
      </w:r>
    </w:p>
    <w:p w14:paraId="08076E05">
      <w:pPr>
        <w:pStyle w:val="25"/>
        <w:numPr>
          <w:ilvl w:val="0"/>
          <w:numId w:val="24"/>
        </w:numPr>
      </w:pPr>
      <w:r>
        <w:t>The situation has been fully resolved or is reasonably stable</w:t>
      </w:r>
    </w:p>
    <w:p w14:paraId="201468D8">
      <w:pPr>
        <w:pStyle w:val="25"/>
        <w:numPr>
          <w:ilvl w:val="0"/>
          <w:numId w:val="24"/>
        </w:numPr>
      </w:pPr>
      <w:r>
        <w:t>The pace of change of the situation has slowed to a point where few decisions are required</w:t>
      </w:r>
    </w:p>
    <w:p w14:paraId="4A06F4B2">
      <w:pPr>
        <w:pStyle w:val="25"/>
        <w:numPr>
          <w:ilvl w:val="0"/>
          <w:numId w:val="24"/>
        </w:numPr>
      </w:pPr>
      <w:r>
        <w:t>The appropriate response is well underway and recovery plans are progressing to schedule</w:t>
      </w:r>
    </w:p>
    <w:p w14:paraId="07E61C6C">
      <w:pPr>
        <w:pStyle w:val="25"/>
        <w:numPr>
          <w:ilvl w:val="0"/>
          <w:numId w:val="24"/>
        </w:numPr>
      </w:pPr>
      <w:r>
        <w:t>The degree of risk to the business has lessened to an acceptable point</w:t>
      </w:r>
    </w:p>
    <w:p w14:paraId="367665B7">
      <w:pPr>
        <w:pStyle w:val="25"/>
        <w:numPr>
          <w:ilvl w:val="0"/>
          <w:numId w:val="24"/>
        </w:numPr>
      </w:pPr>
      <w:r>
        <w:t>Immediate legal and regulatory responsibilities have been fulfilled</w:t>
      </w:r>
    </w:p>
    <w:p w14:paraId="78D8BFA4">
      <w:r>
        <w:t>If recovery from the incident is on-going the Team Leader should define the next actions to be taken. These may include:</w:t>
      </w:r>
    </w:p>
    <w:p w14:paraId="2E3CE819">
      <w:pPr>
        <w:pStyle w:val="25"/>
        <w:numPr>
          <w:ilvl w:val="0"/>
          <w:numId w:val="25"/>
        </w:numPr>
      </w:pPr>
      <w:r>
        <w:t>Less frequent meetings of the IRT e.g. weekly depending on the circumstances</w:t>
      </w:r>
    </w:p>
    <w:p w14:paraId="71A0C1C0">
      <w:pPr>
        <w:pStyle w:val="25"/>
        <w:numPr>
          <w:ilvl w:val="0"/>
          <w:numId w:val="25"/>
        </w:numPr>
      </w:pPr>
      <w:r>
        <w:t>Informing all involved parties that the IRT is standing down</w:t>
      </w:r>
    </w:p>
    <w:p w14:paraId="3F35C535">
      <w:pPr>
        <w:pStyle w:val="25"/>
        <w:numPr>
          <w:ilvl w:val="0"/>
          <w:numId w:val="25"/>
        </w:numPr>
      </w:pPr>
      <w:r>
        <w:t>Ensuring that all documentation of the incident is secured</w:t>
      </w:r>
    </w:p>
    <w:p w14:paraId="54916B99">
      <w:pPr>
        <w:pStyle w:val="25"/>
        <w:numPr>
          <w:ilvl w:val="0"/>
          <w:numId w:val="25"/>
        </w:numPr>
      </w:pPr>
      <w:r>
        <w:t>Requesting that all staff not involved in further work to return to normal duties</w:t>
      </w:r>
    </w:p>
    <w:p w14:paraId="614D66D0">
      <w:r>
        <w:t>All actions taken as part of standing down should be recorded.</w:t>
      </w:r>
    </w:p>
    <w:p w14:paraId="2ADEFA92">
      <w:r>
        <w:t>After the IRT has been instructed to stand down the Team Leader will hold a debrief of all members, ideally within 24 hours. The relevant records of the incident will be examined by the IRT to ensure that they reflect actual events and represent a complete and accurate record of the incident.</w:t>
      </w:r>
    </w:p>
    <w:p w14:paraId="67551BBA">
      <w:r>
        <w:t>Any immediate comments or feedback from the team will be recorded.</w:t>
      </w:r>
    </w:p>
    <w:p w14:paraId="47158C75">
      <w:r>
        <w:t xml:space="preserve">A more formal post-incident review will be held at a time to be decided by top management according to the magnitude and nature of the incident. </w:t>
      </w:r>
    </w:p>
    <w:p w14:paraId="6448B963">
      <w:pPr>
        <w:spacing w:before="0" w:after="160" w:line="259" w:lineRule="auto"/>
      </w:pPr>
      <w:r>
        <w:br w:type="page"/>
      </w:r>
    </w:p>
    <w:p w14:paraId="5358B388">
      <w:pPr>
        <w:pStyle w:val="2"/>
      </w:pPr>
      <w:bookmarkStart w:id="38" w:name="_Toc68274978"/>
      <w:r>
        <w:t>Appendix A: Initial response contact sheet</w:t>
      </w:r>
      <w:bookmarkEnd w:id="38"/>
    </w:p>
    <w:p w14:paraId="0FE9479A">
      <w:r>
        <w:t>The table below should be used to record successful and unsuccessful initial contact with members of the IRT.</w:t>
      </w:r>
    </w:p>
    <w:p w14:paraId="5C12CF67">
      <w:r>
        <w:t>Note: For Outcome column, choose between “Contacted”, “No answer”, “Message left” and “Unreachable”</w:t>
      </w:r>
      <w:r>
        <w:br w:type="textWrapping"/>
      </w:r>
    </w:p>
    <w:tbl>
      <w:tblPr>
        <w:tblStyle w:val="11"/>
        <w:tblW w:w="0" w:type="auto"/>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1636"/>
        <w:gridCol w:w="1575"/>
        <w:gridCol w:w="970"/>
        <w:gridCol w:w="970"/>
        <w:gridCol w:w="970"/>
        <w:gridCol w:w="742"/>
        <w:gridCol w:w="1088"/>
        <w:gridCol w:w="1291"/>
      </w:tblGrid>
      <w:tr w14:paraId="526D0ED9">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778" w:type="dxa"/>
            <w:shd w:val="clear" w:color="auto" w:fill="44546A" w:themeFill="text2"/>
          </w:tcPr>
          <w:p w14:paraId="538DC8A9">
            <w:pPr>
              <w:pStyle w:val="18"/>
            </w:pPr>
            <w:r>
              <w:t>NAME</w:t>
            </w:r>
          </w:p>
        </w:tc>
        <w:tc>
          <w:tcPr>
            <w:tcW w:w="1757" w:type="dxa"/>
            <w:shd w:val="clear" w:color="auto" w:fill="44546A" w:themeFill="text2"/>
          </w:tcPr>
          <w:p w14:paraId="0157F036">
            <w:pPr>
              <w:pStyle w:val="18"/>
            </w:pPr>
            <w:r>
              <w:t>ROLE IN PLAN</w:t>
            </w:r>
          </w:p>
        </w:tc>
        <w:tc>
          <w:tcPr>
            <w:tcW w:w="1009" w:type="dxa"/>
            <w:shd w:val="clear" w:color="auto" w:fill="44546A" w:themeFill="text2"/>
          </w:tcPr>
          <w:p w14:paraId="25A701EA">
            <w:pPr>
              <w:pStyle w:val="18"/>
            </w:pPr>
            <w:r>
              <w:t>OFFICE NUMBER</w:t>
            </w:r>
          </w:p>
        </w:tc>
        <w:tc>
          <w:tcPr>
            <w:tcW w:w="1009" w:type="dxa"/>
            <w:shd w:val="clear" w:color="auto" w:fill="44546A" w:themeFill="text2"/>
          </w:tcPr>
          <w:p w14:paraId="13012DA0">
            <w:pPr>
              <w:pStyle w:val="18"/>
            </w:pPr>
            <w:r>
              <w:t>HOME NUMBER</w:t>
            </w:r>
          </w:p>
        </w:tc>
        <w:tc>
          <w:tcPr>
            <w:tcW w:w="1009" w:type="dxa"/>
            <w:shd w:val="clear" w:color="auto" w:fill="44546A" w:themeFill="text2"/>
          </w:tcPr>
          <w:p w14:paraId="2F401A45">
            <w:pPr>
              <w:pStyle w:val="18"/>
            </w:pPr>
            <w:r>
              <w:t>MOBILE NUMBER</w:t>
            </w:r>
          </w:p>
        </w:tc>
        <w:tc>
          <w:tcPr>
            <w:tcW w:w="829" w:type="dxa"/>
            <w:shd w:val="clear" w:color="auto" w:fill="44546A" w:themeFill="text2"/>
          </w:tcPr>
          <w:p w14:paraId="493CA1AB">
            <w:pPr>
              <w:pStyle w:val="18"/>
            </w:pPr>
            <w:r>
              <w:t>DATE/ TIME</w:t>
            </w:r>
          </w:p>
        </w:tc>
        <w:tc>
          <w:tcPr>
            <w:tcW w:w="1325" w:type="dxa"/>
            <w:shd w:val="clear" w:color="auto" w:fill="44546A" w:themeFill="text2"/>
          </w:tcPr>
          <w:p w14:paraId="36130217">
            <w:pPr>
              <w:pStyle w:val="18"/>
            </w:pPr>
            <w:r>
              <w:t>OUTCOME</w:t>
            </w:r>
          </w:p>
        </w:tc>
        <w:tc>
          <w:tcPr>
            <w:tcW w:w="1300" w:type="dxa"/>
            <w:shd w:val="clear" w:color="auto" w:fill="44546A" w:themeFill="text2"/>
          </w:tcPr>
          <w:p w14:paraId="1243E9CD">
            <w:pPr>
              <w:pStyle w:val="18"/>
            </w:pPr>
            <w:r>
              <w:t>ETA (IF CONTACTED)</w:t>
            </w:r>
          </w:p>
        </w:tc>
      </w:tr>
      <w:tr w14:paraId="55AF267F">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778" w:type="dxa"/>
          </w:tcPr>
          <w:p w14:paraId="035E0A54">
            <w:r>
              <w:t>Sarah Al-Harbi</w:t>
            </w:r>
          </w:p>
        </w:tc>
        <w:tc>
          <w:tcPr>
            <w:tcW w:w="1757" w:type="dxa"/>
          </w:tcPr>
          <w:p w14:paraId="14DE93CF">
            <w:pPr>
              <w:pStyle w:val="19"/>
            </w:pPr>
            <w:r>
              <w:t>Team Leader</w:t>
            </w:r>
          </w:p>
          <w:p w14:paraId="6793ADBA">
            <w:pPr>
              <w:pStyle w:val="19"/>
            </w:pPr>
          </w:p>
        </w:tc>
        <w:tc>
          <w:tcPr>
            <w:tcW w:w="1009" w:type="dxa"/>
          </w:tcPr>
          <w:p w14:paraId="277CA2AC">
            <w:pPr>
              <w:pStyle w:val="19"/>
            </w:pPr>
            <w:r>
              <w:rPr>
                <w:highlight w:val="yellow"/>
              </w:rPr>
              <w:t>Xxx xxx xxx</w:t>
            </w:r>
          </w:p>
        </w:tc>
        <w:tc>
          <w:tcPr>
            <w:tcW w:w="1009" w:type="dxa"/>
          </w:tcPr>
          <w:p w14:paraId="73795BC0">
            <w:pPr>
              <w:pStyle w:val="19"/>
            </w:pPr>
            <w:r>
              <w:rPr>
                <w:highlight w:val="yellow"/>
              </w:rPr>
              <w:t>Xxx xxx xxx</w:t>
            </w:r>
          </w:p>
        </w:tc>
        <w:tc>
          <w:tcPr>
            <w:tcW w:w="1009" w:type="dxa"/>
          </w:tcPr>
          <w:p w14:paraId="11C1C898">
            <w:pPr>
              <w:pStyle w:val="19"/>
            </w:pPr>
            <w:r>
              <w:rPr>
                <w:highlight w:val="yellow"/>
              </w:rPr>
              <w:t>Xxx xxx xxx</w:t>
            </w:r>
          </w:p>
        </w:tc>
        <w:tc>
          <w:tcPr>
            <w:tcW w:w="829" w:type="dxa"/>
          </w:tcPr>
          <w:p w14:paraId="52391BCD">
            <w:pPr>
              <w:pStyle w:val="19"/>
            </w:pPr>
          </w:p>
        </w:tc>
        <w:tc>
          <w:tcPr>
            <w:tcW w:w="1325" w:type="dxa"/>
          </w:tcPr>
          <w:p w14:paraId="73EC643B">
            <w:pPr>
              <w:pStyle w:val="19"/>
            </w:pPr>
          </w:p>
        </w:tc>
        <w:tc>
          <w:tcPr>
            <w:tcW w:w="1300" w:type="dxa"/>
          </w:tcPr>
          <w:p w14:paraId="4ECE26B1">
            <w:pPr>
              <w:pStyle w:val="19"/>
            </w:pPr>
          </w:p>
        </w:tc>
      </w:tr>
      <w:tr w14:paraId="57AB9D61">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778" w:type="dxa"/>
          </w:tcPr>
          <w:p w14:paraId="4DDE0444">
            <w:r>
              <w:t>Information Security Governance Team member</w:t>
            </w:r>
          </w:p>
        </w:tc>
        <w:tc>
          <w:tcPr>
            <w:tcW w:w="1757" w:type="dxa"/>
          </w:tcPr>
          <w:p w14:paraId="008BEA78">
            <w:pPr>
              <w:pStyle w:val="19"/>
            </w:pPr>
            <w:r>
              <w:t>Team Facilitator</w:t>
            </w:r>
          </w:p>
          <w:p w14:paraId="16FB7A7A">
            <w:pPr>
              <w:pStyle w:val="19"/>
            </w:pPr>
          </w:p>
        </w:tc>
        <w:tc>
          <w:tcPr>
            <w:tcW w:w="1009" w:type="dxa"/>
          </w:tcPr>
          <w:p w14:paraId="48964BEC">
            <w:pPr>
              <w:pStyle w:val="19"/>
            </w:pPr>
            <w:r>
              <w:rPr>
                <w:highlight w:val="yellow"/>
              </w:rPr>
              <w:t>Xxx xxx xxx</w:t>
            </w:r>
          </w:p>
        </w:tc>
        <w:tc>
          <w:tcPr>
            <w:tcW w:w="1009" w:type="dxa"/>
          </w:tcPr>
          <w:p w14:paraId="48EB8004">
            <w:pPr>
              <w:pStyle w:val="19"/>
            </w:pPr>
            <w:r>
              <w:rPr>
                <w:highlight w:val="yellow"/>
              </w:rPr>
              <w:t>Xxx xxx xxx</w:t>
            </w:r>
          </w:p>
        </w:tc>
        <w:tc>
          <w:tcPr>
            <w:tcW w:w="1009" w:type="dxa"/>
          </w:tcPr>
          <w:p w14:paraId="0D9AE6C8">
            <w:pPr>
              <w:pStyle w:val="19"/>
            </w:pPr>
            <w:r>
              <w:rPr>
                <w:highlight w:val="yellow"/>
              </w:rPr>
              <w:t>Xxx xxx xxx</w:t>
            </w:r>
          </w:p>
        </w:tc>
        <w:tc>
          <w:tcPr>
            <w:tcW w:w="829" w:type="dxa"/>
          </w:tcPr>
          <w:p w14:paraId="0A944B85">
            <w:pPr>
              <w:pStyle w:val="19"/>
            </w:pPr>
          </w:p>
        </w:tc>
        <w:tc>
          <w:tcPr>
            <w:tcW w:w="1325" w:type="dxa"/>
          </w:tcPr>
          <w:p w14:paraId="7621DE04">
            <w:pPr>
              <w:pStyle w:val="19"/>
            </w:pPr>
          </w:p>
        </w:tc>
        <w:tc>
          <w:tcPr>
            <w:tcW w:w="1300" w:type="dxa"/>
          </w:tcPr>
          <w:p w14:paraId="0C4F4235">
            <w:pPr>
              <w:pStyle w:val="19"/>
            </w:pPr>
          </w:p>
        </w:tc>
      </w:tr>
      <w:tr w14:paraId="5D73F55F">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778" w:type="dxa"/>
          </w:tcPr>
          <w:p w14:paraId="51E6553C">
            <w:r>
              <w:t>On-duty SOC Analyst</w:t>
            </w:r>
          </w:p>
        </w:tc>
        <w:tc>
          <w:tcPr>
            <w:tcW w:w="1757" w:type="dxa"/>
          </w:tcPr>
          <w:p w14:paraId="2139D1A7">
            <w:pPr>
              <w:pStyle w:val="19"/>
            </w:pPr>
            <w:r>
              <w:t>Incident Liaison</w:t>
            </w:r>
          </w:p>
          <w:p w14:paraId="676F1AD2">
            <w:pPr>
              <w:pStyle w:val="19"/>
            </w:pPr>
          </w:p>
        </w:tc>
        <w:tc>
          <w:tcPr>
            <w:tcW w:w="1009" w:type="dxa"/>
          </w:tcPr>
          <w:p w14:paraId="2C64DE48">
            <w:pPr>
              <w:pStyle w:val="19"/>
            </w:pPr>
            <w:r>
              <w:rPr>
                <w:highlight w:val="yellow"/>
              </w:rPr>
              <w:t>Xxx xxx xxx</w:t>
            </w:r>
          </w:p>
        </w:tc>
        <w:tc>
          <w:tcPr>
            <w:tcW w:w="1009" w:type="dxa"/>
          </w:tcPr>
          <w:p w14:paraId="34B02A87">
            <w:pPr>
              <w:pStyle w:val="19"/>
            </w:pPr>
            <w:r>
              <w:rPr>
                <w:highlight w:val="yellow"/>
              </w:rPr>
              <w:t>Xxx xxx xxx</w:t>
            </w:r>
          </w:p>
        </w:tc>
        <w:tc>
          <w:tcPr>
            <w:tcW w:w="1009" w:type="dxa"/>
          </w:tcPr>
          <w:p w14:paraId="655C43A0">
            <w:pPr>
              <w:pStyle w:val="19"/>
            </w:pPr>
            <w:r>
              <w:rPr>
                <w:highlight w:val="yellow"/>
              </w:rPr>
              <w:t>Xxx xxx xxx</w:t>
            </w:r>
          </w:p>
        </w:tc>
        <w:tc>
          <w:tcPr>
            <w:tcW w:w="829" w:type="dxa"/>
          </w:tcPr>
          <w:p w14:paraId="1F9B2F03">
            <w:pPr>
              <w:pStyle w:val="19"/>
            </w:pPr>
          </w:p>
        </w:tc>
        <w:tc>
          <w:tcPr>
            <w:tcW w:w="1325" w:type="dxa"/>
          </w:tcPr>
          <w:p w14:paraId="1F67506C">
            <w:pPr>
              <w:pStyle w:val="19"/>
            </w:pPr>
          </w:p>
        </w:tc>
        <w:tc>
          <w:tcPr>
            <w:tcW w:w="1300" w:type="dxa"/>
          </w:tcPr>
          <w:p w14:paraId="5984F9E7">
            <w:pPr>
              <w:pStyle w:val="19"/>
            </w:pPr>
          </w:p>
        </w:tc>
      </w:tr>
      <w:tr w14:paraId="32E241C9">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778" w:type="dxa"/>
          </w:tcPr>
          <w:p w14:paraId="2DD05ACD">
            <w:r>
              <w:t>Fahd Al-Otaibi</w:t>
            </w:r>
          </w:p>
        </w:tc>
        <w:tc>
          <w:tcPr>
            <w:tcW w:w="1757" w:type="dxa"/>
          </w:tcPr>
          <w:p w14:paraId="502C1AD2">
            <w:pPr>
              <w:pStyle w:val="19"/>
            </w:pPr>
            <w:r>
              <w:t>Information Technology</w:t>
            </w:r>
          </w:p>
        </w:tc>
        <w:tc>
          <w:tcPr>
            <w:tcW w:w="1009" w:type="dxa"/>
          </w:tcPr>
          <w:p w14:paraId="470DC540">
            <w:pPr>
              <w:pStyle w:val="19"/>
            </w:pPr>
            <w:r>
              <w:rPr>
                <w:highlight w:val="yellow"/>
              </w:rPr>
              <w:t>Xxx xxx xxx</w:t>
            </w:r>
          </w:p>
        </w:tc>
        <w:tc>
          <w:tcPr>
            <w:tcW w:w="1009" w:type="dxa"/>
          </w:tcPr>
          <w:p w14:paraId="765515B8">
            <w:pPr>
              <w:pStyle w:val="19"/>
            </w:pPr>
            <w:r>
              <w:rPr>
                <w:highlight w:val="yellow"/>
              </w:rPr>
              <w:t>Xxx xxx xxx</w:t>
            </w:r>
          </w:p>
        </w:tc>
        <w:tc>
          <w:tcPr>
            <w:tcW w:w="1009" w:type="dxa"/>
          </w:tcPr>
          <w:p w14:paraId="392F1C25">
            <w:pPr>
              <w:pStyle w:val="19"/>
            </w:pPr>
            <w:r>
              <w:rPr>
                <w:highlight w:val="yellow"/>
              </w:rPr>
              <w:t>Xxx xxx xxx</w:t>
            </w:r>
          </w:p>
        </w:tc>
        <w:tc>
          <w:tcPr>
            <w:tcW w:w="829" w:type="dxa"/>
          </w:tcPr>
          <w:p w14:paraId="5F578B49">
            <w:pPr>
              <w:pStyle w:val="19"/>
            </w:pPr>
          </w:p>
        </w:tc>
        <w:tc>
          <w:tcPr>
            <w:tcW w:w="1325" w:type="dxa"/>
          </w:tcPr>
          <w:p w14:paraId="3C87532D">
            <w:pPr>
              <w:pStyle w:val="19"/>
            </w:pPr>
          </w:p>
        </w:tc>
        <w:tc>
          <w:tcPr>
            <w:tcW w:w="1300" w:type="dxa"/>
          </w:tcPr>
          <w:p w14:paraId="2E8EAF27">
            <w:pPr>
              <w:pStyle w:val="19"/>
            </w:pPr>
          </w:p>
        </w:tc>
      </w:tr>
      <w:tr w14:paraId="0FCB41D3">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778" w:type="dxa"/>
          </w:tcPr>
          <w:p w14:paraId="1073628C">
            <w:r>
              <w:t>Head of Banking Operations Dept.</w:t>
            </w:r>
          </w:p>
        </w:tc>
        <w:tc>
          <w:tcPr>
            <w:tcW w:w="1757" w:type="dxa"/>
          </w:tcPr>
          <w:p w14:paraId="695E843E">
            <w:pPr>
              <w:pStyle w:val="19"/>
            </w:pPr>
            <w:r>
              <w:t>Business Operations</w:t>
            </w:r>
          </w:p>
        </w:tc>
        <w:tc>
          <w:tcPr>
            <w:tcW w:w="1009" w:type="dxa"/>
          </w:tcPr>
          <w:p w14:paraId="6A041C7B">
            <w:pPr>
              <w:pStyle w:val="19"/>
            </w:pPr>
            <w:r>
              <w:rPr>
                <w:highlight w:val="yellow"/>
              </w:rPr>
              <w:t>Xxx xxx xxx</w:t>
            </w:r>
          </w:p>
        </w:tc>
        <w:tc>
          <w:tcPr>
            <w:tcW w:w="1009" w:type="dxa"/>
          </w:tcPr>
          <w:p w14:paraId="3AC59258">
            <w:pPr>
              <w:pStyle w:val="19"/>
            </w:pPr>
            <w:r>
              <w:rPr>
                <w:highlight w:val="yellow"/>
              </w:rPr>
              <w:t>Xxx xxx xxx</w:t>
            </w:r>
          </w:p>
        </w:tc>
        <w:tc>
          <w:tcPr>
            <w:tcW w:w="1009" w:type="dxa"/>
          </w:tcPr>
          <w:p w14:paraId="488C16E1">
            <w:pPr>
              <w:pStyle w:val="19"/>
            </w:pPr>
            <w:r>
              <w:rPr>
                <w:highlight w:val="yellow"/>
              </w:rPr>
              <w:t>Xxx xxx xxx</w:t>
            </w:r>
          </w:p>
        </w:tc>
        <w:tc>
          <w:tcPr>
            <w:tcW w:w="829" w:type="dxa"/>
          </w:tcPr>
          <w:p w14:paraId="41569892">
            <w:pPr>
              <w:pStyle w:val="19"/>
            </w:pPr>
          </w:p>
        </w:tc>
        <w:tc>
          <w:tcPr>
            <w:tcW w:w="1325" w:type="dxa"/>
          </w:tcPr>
          <w:p w14:paraId="3227E2EB">
            <w:pPr>
              <w:pStyle w:val="19"/>
            </w:pPr>
          </w:p>
        </w:tc>
        <w:tc>
          <w:tcPr>
            <w:tcW w:w="1300" w:type="dxa"/>
          </w:tcPr>
          <w:p w14:paraId="3F392EF5">
            <w:pPr>
              <w:pStyle w:val="19"/>
            </w:pPr>
          </w:p>
        </w:tc>
      </w:tr>
      <w:tr w14:paraId="464FC992">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778" w:type="dxa"/>
          </w:tcPr>
          <w:p w14:paraId="6D25B9C5">
            <w:r>
              <w:t>Head of Facilities &amp; General Services</w:t>
            </w:r>
          </w:p>
        </w:tc>
        <w:tc>
          <w:tcPr>
            <w:tcW w:w="1757" w:type="dxa"/>
          </w:tcPr>
          <w:p w14:paraId="55D56A7C">
            <w:pPr>
              <w:pStyle w:val="19"/>
            </w:pPr>
            <w:r>
              <w:t>Facilities Management</w:t>
            </w:r>
          </w:p>
        </w:tc>
        <w:tc>
          <w:tcPr>
            <w:tcW w:w="1009" w:type="dxa"/>
          </w:tcPr>
          <w:p w14:paraId="7762FEAB">
            <w:pPr>
              <w:pStyle w:val="19"/>
            </w:pPr>
            <w:r>
              <w:rPr>
                <w:highlight w:val="yellow"/>
              </w:rPr>
              <w:t>Xxx xxx xxx</w:t>
            </w:r>
          </w:p>
        </w:tc>
        <w:tc>
          <w:tcPr>
            <w:tcW w:w="1009" w:type="dxa"/>
          </w:tcPr>
          <w:p w14:paraId="2BD0EE58">
            <w:pPr>
              <w:pStyle w:val="19"/>
            </w:pPr>
            <w:r>
              <w:rPr>
                <w:highlight w:val="yellow"/>
              </w:rPr>
              <w:t>Xxx xxx xxx</w:t>
            </w:r>
          </w:p>
        </w:tc>
        <w:tc>
          <w:tcPr>
            <w:tcW w:w="1009" w:type="dxa"/>
          </w:tcPr>
          <w:p w14:paraId="09546224">
            <w:pPr>
              <w:pStyle w:val="19"/>
            </w:pPr>
            <w:r>
              <w:rPr>
                <w:highlight w:val="yellow"/>
              </w:rPr>
              <w:t>Xxx xxx xxx</w:t>
            </w:r>
          </w:p>
        </w:tc>
        <w:tc>
          <w:tcPr>
            <w:tcW w:w="829" w:type="dxa"/>
          </w:tcPr>
          <w:p w14:paraId="0545AD17">
            <w:pPr>
              <w:pStyle w:val="19"/>
            </w:pPr>
          </w:p>
        </w:tc>
        <w:tc>
          <w:tcPr>
            <w:tcW w:w="1325" w:type="dxa"/>
          </w:tcPr>
          <w:p w14:paraId="5D0DECB2">
            <w:pPr>
              <w:pStyle w:val="19"/>
            </w:pPr>
          </w:p>
        </w:tc>
        <w:tc>
          <w:tcPr>
            <w:tcW w:w="1300" w:type="dxa"/>
          </w:tcPr>
          <w:p w14:paraId="7A3E6258">
            <w:pPr>
              <w:pStyle w:val="19"/>
            </w:pPr>
          </w:p>
        </w:tc>
      </w:tr>
      <w:tr w14:paraId="6B0ACB53">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778" w:type="dxa"/>
          </w:tcPr>
          <w:p w14:paraId="197C4AFF">
            <w:r>
              <w:t>Facilities &amp; General Services representative</w:t>
            </w:r>
          </w:p>
        </w:tc>
        <w:tc>
          <w:tcPr>
            <w:tcW w:w="1757" w:type="dxa"/>
          </w:tcPr>
          <w:p w14:paraId="35A6748A">
            <w:pPr>
              <w:pStyle w:val="19"/>
            </w:pPr>
            <w:r>
              <w:t>Health and Safety</w:t>
            </w:r>
          </w:p>
          <w:p w14:paraId="5A634A1F">
            <w:pPr>
              <w:pStyle w:val="19"/>
            </w:pPr>
          </w:p>
        </w:tc>
        <w:tc>
          <w:tcPr>
            <w:tcW w:w="1009" w:type="dxa"/>
          </w:tcPr>
          <w:p w14:paraId="2E1F7449">
            <w:pPr>
              <w:pStyle w:val="19"/>
            </w:pPr>
            <w:r>
              <w:rPr>
                <w:highlight w:val="yellow"/>
              </w:rPr>
              <w:t>Xxx xxx xxx</w:t>
            </w:r>
          </w:p>
        </w:tc>
        <w:tc>
          <w:tcPr>
            <w:tcW w:w="1009" w:type="dxa"/>
          </w:tcPr>
          <w:p w14:paraId="07BCD303">
            <w:pPr>
              <w:pStyle w:val="19"/>
            </w:pPr>
            <w:r>
              <w:rPr>
                <w:highlight w:val="yellow"/>
              </w:rPr>
              <w:t>Xxx xxx xxx</w:t>
            </w:r>
          </w:p>
        </w:tc>
        <w:tc>
          <w:tcPr>
            <w:tcW w:w="1009" w:type="dxa"/>
          </w:tcPr>
          <w:p w14:paraId="71F7E04C">
            <w:pPr>
              <w:pStyle w:val="19"/>
            </w:pPr>
            <w:r>
              <w:rPr>
                <w:highlight w:val="yellow"/>
              </w:rPr>
              <w:t>Xxx xxx xxx</w:t>
            </w:r>
          </w:p>
        </w:tc>
        <w:tc>
          <w:tcPr>
            <w:tcW w:w="829" w:type="dxa"/>
          </w:tcPr>
          <w:p w14:paraId="4D64A504">
            <w:pPr>
              <w:pStyle w:val="19"/>
            </w:pPr>
          </w:p>
        </w:tc>
        <w:tc>
          <w:tcPr>
            <w:tcW w:w="1325" w:type="dxa"/>
          </w:tcPr>
          <w:p w14:paraId="291B6964">
            <w:pPr>
              <w:pStyle w:val="19"/>
            </w:pPr>
          </w:p>
        </w:tc>
        <w:tc>
          <w:tcPr>
            <w:tcW w:w="1300" w:type="dxa"/>
          </w:tcPr>
          <w:p w14:paraId="1BA6DA20">
            <w:pPr>
              <w:pStyle w:val="19"/>
            </w:pPr>
          </w:p>
        </w:tc>
      </w:tr>
      <w:tr w14:paraId="7CD52705">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778" w:type="dxa"/>
          </w:tcPr>
          <w:p w14:paraId="5641F8D5">
            <w:r>
              <w:t>Khalid Al-Shammari</w:t>
            </w:r>
          </w:p>
        </w:tc>
        <w:tc>
          <w:tcPr>
            <w:tcW w:w="1757" w:type="dxa"/>
          </w:tcPr>
          <w:p w14:paraId="58DA6841">
            <w:pPr>
              <w:pStyle w:val="19"/>
            </w:pPr>
            <w:r>
              <w:t>Human Resources</w:t>
            </w:r>
          </w:p>
          <w:p w14:paraId="12AAD651">
            <w:pPr>
              <w:pStyle w:val="19"/>
            </w:pPr>
          </w:p>
        </w:tc>
        <w:tc>
          <w:tcPr>
            <w:tcW w:w="1009" w:type="dxa"/>
          </w:tcPr>
          <w:p w14:paraId="3EEC8B29">
            <w:pPr>
              <w:pStyle w:val="19"/>
            </w:pPr>
            <w:r>
              <w:rPr>
                <w:highlight w:val="yellow"/>
              </w:rPr>
              <w:t>Xxx xxx xxx</w:t>
            </w:r>
          </w:p>
        </w:tc>
        <w:tc>
          <w:tcPr>
            <w:tcW w:w="1009" w:type="dxa"/>
          </w:tcPr>
          <w:p w14:paraId="13A38468">
            <w:pPr>
              <w:pStyle w:val="19"/>
            </w:pPr>
            <w:r>
              <w:rPr>
                <w:highlight w:val="yellow"/>
              </w:rPr>
              <w:t>Xxx xxx xxx</w:t>
            </w:r>
          </w:p>
        </w:tc>
        <w:tc>
          <w:tcPr>
            <w:tcW w:w="1009" w:type="dxa"/>
          </w:tcPr>
          <w:p w14:paraId="031B3B76">
            <w:pPr>
              <w:pStyle w:val="19"/>
            </w:pPr>
            <w:r>
              <w:rPr>
                <w:highlight w:val="yellow"/>
              </w:rPr>
              <w:t>Xxx xxx xxx</w:t>
            </w:r>
          </w:p>
        </w:tc>
        <w:tc>
          <w:tcPr>
            <w:tcW w:w="829" w:type="dxa"/>
          </w:tcPr>
          <w:p w14:paraId="46C4E1C1">
            <w:pPr>
              <w:pStyle w:val="19"/>
            </w:pPr>
          </w:p>
        </w:tc>
        <w:tc>
          <w:tcPr>
            <w:tcW w:w="1325" w:type="dxa"/>
          </w:tcPr>
          <w:p w14:paraId="0A157253">
            <w:pPr>
              <w:pStyle w:val="19"/>
            </w:pPr>
          </w:p>
        </w:tc>
        <w:tc>
          <w:tcPr>
            <w:tcW w:w="1300" w:type="dxa"/>
          </w:tcPr>
          <w:p w14:paraId="73CF9006">
            <w:pPr>
              <w:pStyle w:val="19"/>
            </w:pPr>
          </w:p>
        </w:tc>
      </w:tr>
      <w:tr w14:paraId="3317B8E8">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778" w:type="dxa"/>
          </w:tcPr>
          <w:p w14:paraId="127F4ED5">
            <w:r>
              <w:t>Head of Enterprise Risk Management</w:t>
            </w:r>
          </w:p>
        </w:tc>
        <w:tc>
          <w:tcPr>
            <w:tcW w:w="1757" w:type="dxa"/>
          </w:tcPr>
          <w:p w14:paraId="74E38D82">
            <w:pPr>
              <w:pStyle w:val="19"/>
            </w:pPr>
            <w:r>
              <w:t>Business Continuity Planning</w:t>
            </w:r>
          </w:p>
        </w:tc>
        <w:tc>
          <w:tcPr>
            <w:tcW w:w="1009" w:type="dxa"/>
          </w:tcPr>
          <w:p w14:paraId="58B8AC30">
            <w:pPr>
              <w:pStyle w:val="19"/>
            </w:pPr>
            <w:r>
              <w:rPr>
                <w:highlight w:val="yellow"/>
              </w:rPr>
              <w:t>Xxx xxx xxx</w:t>
            </w:r>
          </w:p>
        </w:tc>
        <w:tc>
          <w:tcPr>
            <w:tcW w:w="1009" w:type="dxa"/>
          </w:tcPr>
          <w:p w14:paraId="3FB27FEF">
            <w:pPr>
              <w:pStyle w:val="19"/>
            </w:pPr>
            <w:r>
              <w:rPr>
                <w:highlight w:val="yellow"/>
              </w:rPr>
              <w:t>Xxx xxx xxx</w:t>
            </w:r>
          </w:p>
        </w:tc>
        <w:tc>
          <w:tcPr>
            <w:tcW w:w="1009" w:type="dxa"/>
          </w:tcPr>
          <w:p w14:paraId="3DE2CD24">
            <w:pPr>
              <w:pStyle w:val="19"/>
            </w:pPr>
            <w:r>
              <w:rPr>
                <w:highlight w:val="yellow"/>
              </w:rPr>
              <w:t>Xxx xxx xxx</w:t>
            </w:r>
          </w:p>
        </w:tc>
        <w:tc>
          <w:tcPr>
            <w:tcW w:w="829" w:type="dxa"/>
          </w:tcPr>
          <w:p w14:paraId="40E4A556">
            <w:pPr>
              <w:pStyle w:val="19"/>
            </w:pPr>
          </w:p>
        </w:tc>
        <w:tc>
          <w:tcPr>
            <w:tcW w:w="1325" w:type="dxa"/>
          </w:tcPr>
          <w:p w14:paraId="1EA7A41E">
            <w:pPr>
              <w:pStyle w:val="19"/>
            </w:pPr>
          </w:p>
        </w:tc>
        <w:tc>
          <w:tcPr>
            <w:tcW w:w="1300" w:type="dxa"/>
          </w:tcPr>
          <w:p w14:paraId="204FDE81">
            <w:pPr>
              <w:pStyle w:val="19"/>
            </w:pPr>
          </w:p>
        </w:tc>
      </w:tr>
      <w:tr w14:paraId="474F0D86">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778" w:type="dxa"/>
          </w:tcPr>
          <w:p w14:paraId="3796BEE6">
            <w:r>
              <w:t>Head of Marketing &amp; Customer Experience</w:t>
            </w:r>
          </w:p>
        </w:tc>
        <w:tc>
          <w:tcPr>
            <w:tcW w:w="1757" w:type="dxa"/>
          </w:tcPr>
          <w:p w14:paraId="223E2A4B">
            <w:pPr>
              <w:pStyle w:val="19"/>
            </w:pPr>
            <w:r>
              <w:t>Communications (PR and Media Relations)</w:t>
            </w:r>
          </w:p>
        </w:tc>
        <w:tc>
          <w:tcPr>
            <w:tcW w:w="1009" w:type="dxa"/>
          </w:tcPr>
          <w:p w14:paraId="45E94D9F">
            <w:pPr>
              <w:pStyle w:val="19"/>
            </w:pPr>
            <w:r>
              <w:rPr>
                <w:highlight w:val="yellow"/>
              </w:rPr>
              <w:t>Xxx xxx xxx</w:t>
            </w:r>
          </w:p>
        </w:tc>
        <w:tc>
          <w:tcPr>
            <w:tcW w:w="1009" w:type="dxa"/>
          </w:tcPr>
          <w:p w14:paraId="2253A674">
            <w:pPr>
              <w:pStyle w:val="19"/>
            </w:pPr>
            <w:r>
              <w:rPr>
                <w:highlight w:val="yellow"/>
              </w:rPr>
              <w:t>Xxx xxx xxx</w:t>
            </w:r>
          </w:p>
        </w:tc>
        <w:tc>
          <w:tcPr>
            <w:tcW w:w="1009" w:type="dxa"/>
          </w:tcPr>
          <w:p w14:paraId="7E2573DF">
            <w:pPr>
              <w:pStyle w:val="19"/>
            </w:pPr>
            <w:r>
              <w:rPr>
                <w:highlight w:val="yellow"/>
              </w:rPr>
              <w:t>Xxx xxx xxx</w:t>
            </w:r>
          </w:p>
        </w:tc>
        <w:tc>
          <w:tcPr>
            <w:tcW w:w="829" w:type="dxa"/>
          </w:tcPr>
          <w:p w14:paraId="7DDB3A01">
            <w:pPr>
              <w:pStyle w:val="19"/>
            </w:pPr>
          </w:p>
        </w:tc>
        <w:tc>
          <w:tcPr>
            <w:tcW w:w="1325" w:type="dxa"/>
          </w:tcPr>
          <w:p w14:paraId="5E4D2C47">
            <w:pPr>
              <w:pStyle w:val="19"/>
            </w:pPr>
          </w:p>
        </w:tc>
        <w:tc>
          <w:tcPr>
            <w:tcW w:w="1300" w:type="dxa"/>
          </w:tcPr>
          <w:p w14:paraId="51A879A2">
            <w:pPr>
              <w:pStyle w:val="19"/>
            </w:pPr>
          </w:p>
        </w:tc>
      </w:tr>
      <w:tr w14:paraId="4FAE447C">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778" w:type="dxa"/>
          </w:tcPr>
          <w:p w14:paraId="2FDF0B26">
            <w:r>
              <w:t>Laila Al-Dosari</w:t>
            </w:r>
          </w:p>
        </w:tc>
        <w:tc>
          <w:tcPr>
            <w:tcW w:w="1757" w:type="dxa"/>
          </w:tcPr>
          <w:p w14:paraId="66042BC3">
            <w:pPr>
              <w:pStyle w:val="19"/>
            </w:pPr>
            <w:r>
              <w:t>Legal and Regulatory</w:t>
            </w:r>
          </w:p>
        </w:tc>
        <w:tc>
          <w:tcPr>
            <w:tcW w:w="1009" w:type="dxa"/>
          </w:tcPr>
          <w:p w14:paraId="490FC9F5">
            <w:pPr>
              <w:pStyle w:val="19"/>
            </w:pPr>
            <w:r>
              <w:rPr>
                <w:highlight w:val="yellow"/>
              </w:rPr>
              <w:t>Xxx xxx xxx</w:t>
            </w:r>
          </w:p>
        </w:tc>
        <w:tc>
          <w:tcPr>
            <w:tcW w:w="1009" w:type="dxa"/>
          </w:tcPr>
          <w:p w14:paraId="7DC387FA">
            <w:pPr>
              <w:pStyle w:val="19"/>
            </w:pPr>
            <w:r>
              <w:rPr>
                <w:highlight w:val="yellow"/>
              </w:rPr>
              <w:t>Xxx xxx xxx</w:t>
            </w:r>
          </w:p>
        </w:tc>
        <w:tc>
          <w:tcPr>
            <w:tcW w:w="1009" w:type="dxa"/>
          </w:tcPr>
          <w:p w14:paraId="51448911">
            <w:pPr>
              <w:pStyle w:val="19"/>
            </w:pPr>
            <w:r>
              <w:rPr>
                <w:highlight w:val="yellow"/>
              </w:rPr>
              <w:t>Xxx xxx xxx</w:t>
            </w:r>
          </w:p>
        </w:tc>
        <w:tc>
          <w:tcPr>
            <w:tcW w:w="829" w:type="dxa"/>
          </w:tcPr>
          <w:p w14:paraId="4D4B25C5">
            <w:pPr>
              <w:pStyle w:val="19"/>
            </w:pPr>
          </w:p>
        </w:tc>
        <w:tc>
          <w:tcPr>
            <w:tcW w:w="1325" w:type="dxa"/>
          </w:tcPr>
          <w:p w14:paraId="56F4D32D">
            <w:pPr>
              <w:pStyle w:val="19"/>
            </w:pPr>
          </w:p>
        </w:tc>
        <w:tc>
          <w:tcPr>
            <w:tcW w:w="1300" w:type="dxa"/>
          </w:tcPr>
          <w:p w14:paraId="095652AC">
            <w:pPr>
              <w:pStyle w:val="19"/>
              <w:keepNext/>
            </w:pPr>
          </w:p>
        </w:tc>
      </w:tr>
    </w:tbl>
    <w:p w14:paraId="355A0420">
      <w:pPr>
        <w:pStyle w:val="7"/>
      </w:pPr>
      <w:r>
        <w:br w:type="textWrapping"/>
      </w:r>
      <w:bookmarkStart w:id="39" w:name="_Toc68274986"/>
      <w:r>
        <w:t xml:space="preserve">Table </w:t>
      </w:r>
      <w:r>
        <w:fldChar w:fldCharType="begin"/>
      </w:r>
      <w:r>
        <w:instrText xml:space="preserve"> SEQ Table \* ARABIC </w:instrText>
      </w:r>
      <w:r>
        <w:fldChar w:fldCharType="separate"/>
      </w:r>
      <w:r>
        <w:t>5</w:t>
      </w:r>
      <w:r>
        <w:fldChar w:fldCharType="end"/>
      </w:r>
      <w:r>
        <w:t>: Initial response contact sheet</w:t>
      </w:r>
      <w:bookmarkEnd w:id="39"/>
      <w:r>
        <w:br w:type="page"/>
      </w:r>
    </w:p>
    <w:p w14:paraId="1458B3BB">
      <w:pPr>
        <w:pStyle w:val="2"/>
      </w:pPr>
      <w:bookmarkStart w:id="40" w:name="_Toc68274979"/>
      <w:r>
        <w:t>Appendix B: Useful external contacts</w:t>
      </w:r>
      <w:bookmarkEnd w:id="40"/>
    </w:p>
    <w:p w14:paraId="3CCECD60">
      <w:r>
        <w:t>The following table shows the contact details of third parties who may be useful depending on the nature of the incident:</w:t>
      </w:r>
      <w:r>
        <w:br w:type="textWrapping"/>
      </w:r>
    </w:p>
    <w:tbl>
      <w:tblPr>
        <w:tblStyle w:val="11"/>
        <w:tblW w:w="0" w:type="auto"/>
        <w:tblInd w:w="0"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autofit"/>
        <w:tblCellMar>
          <w:top w:w="57" w:type="dxa"/>
          <w:left w:w="108" w:type="dxa"/>
          <w:bottom w:w="57" w:type="dxa"/>
          <w:right w:w="108" w:type="dxa"/>
        </w:tblCellMar>
      </w:tblPr>
      <w:tblGrid>
        <w:gridCol w:w="3114"/>
        <w:gridCol w:w="1843"/>
        <w:gridCol w:w="2126"/>
        <w:gridCol w:w="1933"/>
      </w:tblGrid>
      <w:tr w14:paraId="0DF33123">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114" w:type="dxa"/>
            <w:shd w:val="clear" w:color="auto" w:fill="44546A" w:themeFill="text2"/>
          </w:tcPr>
          <w:p w14:paraId="00E0FB2C">
            <w:pPr>
              <w:pStyle w:val="18"/>
            </w:pPr>
            <w:r>
              <w:t>ORGANIZATION</w:t>
            </w:r>
          </w:p>
        </w:tc>
        <w:tc>
          <w:tcPr>
            <w:tcW w:w="1843" w:type="dxa"/>
            <w:shd w:val="clear" w:color="auto" w:fill="44546A" w:themeFill="text2"/>
          </w:tcPr>
          <w:p w14:paraId="52106A93">
            <w:pPr>
              <w:pStyle w:val="18"/>
            </w:pPr>
            <w:r>
              <w:t>CONTACT</w:t>
            </w:r>
          </w:p>
        </w:tc>
        <w:tc>
          <w:tcPr>
            <w:tcW w:w="2126" w:type="dxa"/>
            <w:shd w:val="clear" w:color="auto" w:fill="44546A" w:themeFill="text2"/>
          </w:tcPr>
          <w:p w14:paraId="5AD56DF5">
            <w:pPr>
              <w:pStyle w:val="18"/>
            </w:pPr>
            <w:r>
              <w:t>TELEPHONE NUMBER</w:t>
            </w:r>
          </w:p>
        </w:tc>
        <w:tc>
          <w:tcPr>
            <w:tcW w:w="1933" w:type="dxa"/>
            <w:shd w:val="clear" w:color="auto" w:fill="44546A" w:themeFill="text2"/>
          </w:tcPr>
          <w:p w14:paraId="48E82C2A">
            <w:pPr>
              <w:pStyle w:val="18"/>
            </w:pPr>
            <w:r>
              <w:t>EMAIL ADDRESS</w:t>
            </w:r>
          </w:p>
        </w:tc>
      </w:tr>
      <w:tr w14:paraId="3139E321">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114" w:type="dxa"/>
          </w:tcPr>
          <w:p w14:paraId="49411627">
            <w:r>
              <w:t>External Cybersecurity Consultancy (existing quarterly penetration-testing / vulnerability-assessment partner)</w:t>
            </w:r>
          </w:p>
        </w:tc>
        <w:tc>
          <w:tcPr>
            <w:tcW w:w="1843" w:type="dxa"/>
          </w:tcPr>
          <w:p w14:paraId="26AC831B">
            <w:pPr>
              <w:pStyle w:val="19"/>
            </w:pPr>
          </w:p>
        </w:tc>
        <w:tc>
          <w:tcPr>
            <w:tcW w:w="2126" w:type="dxa"/>
          </w:tcPr>
          <w:p w14:paraId="432E747B">
            <w:pPr>
              <w:pStyle w:val="19"/>
            </w:pPr>
          </w:p>
        </w:tc>
        <w:tc>
          <w:tcPr>
            <w:tcW w:w="1933" w:type="dxa"/>
          </w:tcPr>
          <w:p w14:paraId="68376C12">
            <w:pPr>
              <w:pStyle w:val="19"/>
            </w:pPr>
          </w:p>
        </w:tc>
      </w:tr>
      <w:tr w14:paraId="288B0068">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114" w:type="dxa"/>
          </w:tcPr>
          <w:p w14:paraId="5DAE8F9E">
            <w:r>
              <w:t>Security Software Suppliers: Palo Alto Networks (firewall), Fortinet (WAF), Trend Micro (endpoint AV), Cisco (email security)</w:t>
            </w:r>
          </w:p>
        </w:tc>
        <w:tc>
          <w:tcPr>
            <w:tcW w:w="1843" w:type="dxa"/>
          </w:tcPr>
          <w:p w14:paraId="52B32900">
            <w:pPr>
              <w:pStyle w:val="19"/>
            </w:pPr>
          </w:p>
        </w:tc>
        <w:tc>
          <w:tcPr>
            <w:tcW w:w="2126" w:type="dxa"/>
          </w:tcPr>
          <w:p w14:paraId="3E38C5E2">
            <w:pPr>
              <w:pStyle w:val="19"/>
            </w:pPr>
          </w:p>
        </w:tc>
        <w:tc>
          <w:tcPr>
            <w:tcW w:w="1933" w:type="dxa"/>
          </w:tcPr>
          <w:p w14:paraId="230C439F">
            <w:pPr>
              <w:pStyle w:val="19"/>
            </w:pPr>
          </w:p>
        </w:tc>
      </w:tr>
      <w:tr w14:paraId="172D2B73">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114" w:type="dxa"/>
          </w:tcPr>
          <w:p w14:paraId="731FD42E">
            <w:r>
              <w:t>Ministry of Interior — Cybercrime Investigation Unit; Public Prosecution (Bureau of Investigation and Public Prosecution)</w:t>
            </w:r>
          </w:p>
        </w:tc>
        <w:tc>
          <w:tcPr>
            <w:tcW w:w="1843" w:type="dxa"/>
          </w:tcPr>
          <w:p w14:paraId="38870C04">
            <w:pPr>
              <w:pStyle w:val="19"/>
            </w:pPr>
          </w:p>
        </w:tc>
        <w:tc>
          <w:tcPr>
            <w:tcW w:w="2126" w:type="dxa"/>
          </w:tcPr>
          <w:p w14:paraId="2FE4CB66">
            <w:pPr>
              <w:pStyle w:val="19"/>
            </w:pPr>
          </w:p>
        </w:tc>
        <w:tc>
          <w:tcPr>
            <w:tcW w:w="1933" w:type="dxa"/>
          </w:tcPr>
          <w:p w14:paraId="775BC8A4">
            <w:pPr>
              <w:pStyle w:val="19"/>
            </w:pPr>
          </w:p>
        </w:tc>
      </w:tr>
      <w:tr w14:paraId="151C26BA">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114" w:type="dxa"/>
          </w:tcPr>
          <w:p w14:paraId="01DEC5D2">
            <w:r>
              <w:t>Saudi National Cybersecurity Authority (NCA)</w:t>
            </w:r>
          </w:p>
        </w:tc>
        <w:tc>
          <w:tcPr>
            <w:tcW w:w="1843" w:type="dxa"/>
          </w:tcPr>
          <w:p w14:paraId="0AFC7676">
            <w:pPr>
              <w:pStyle w:val="19"/>
            </w:pPr>
          </w:p>
        </w:tc>
        <w:tc>
          <w:tcPr>
            <w:tcW w:w="2126" w:type="dxa"/>
          </w:tcPr>
          <w:p w14:paraId="12593914">
            <w:pPr>
              <w:pStyle w:val="19"/>
            </w:pPr>
          </w:p>
        </w:tc>
        <w:tc>
          <w:tcPr>
            <w:tcW w:w="1933" w:type="dxa"/>
          </w:tcPr>
          <w:p w14:paraId="03EF79B1">
            <w:pPr>
              <w:pStyle w:val="19"/>
            </w:pPr>
          </w:p>
        </w:tc>
      </w:tr>
      <w:tr w14:paraId="5E3B4617">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114" w:type="dxa"/>
          </w:tcPr>
          <w:p w14:paraId="4C56A9B2">
            <w:r>
              <w:t>Saudi Telecom Company (STC) — primary ISP</w:t>
            </w:r>
          </w:p>
        </w:tc>
        <w:tc>
          <w:tcPr>
            <w:tcW w:w="1843" w:type="dxa"/>
          </w:tcPr>
          <w:p w14:paraId="2F4A314F">
            <w:pPr>
              <w:pStyle w:val="19"/>
            </w:pPr>
          </w:p>
        </w:tc>
        <w:tc>
          <w:tcPr>
            <w:tcW w:w="2126" w:type="dxa"/>
          </w:tcPr>
          <w:p w14:paraId="4C526E8D">
            <w:pPr>
              <w:pStyle w:val="19"/>
            </w:pPr>
          </w:p>
        </w:tc>
        <w:tc>
          <w:tcPr>
            <w:tcW w:w="1933" w:type="dxa"/>
          </w:tcPr>
          <w:p w14:paraId="116802AC">
            <w:pPr>
              <w:pStyle w:val="19"/>
            </w:pPr>
          </w:p>
        </w:tc>
      </w:tr>
      <w:tr w14:paraId="595DD910">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114" w:type="dxa"/>
          </w:tcPr>
          <w:p w14:paraId="109EE632">
            <w:r>
              <w:t>Cyber insurance provider</w:t>
            </w:r>
          </w:p>
        </w:tc>
        <w:tc>
          <w:tcPr>
            <w:tcW w:w="1843" w:type="dxa"/>
          </w:tcPr>
          <w:p w14:paraId="327BA665">
            <w:pPr>
              <w:pStyle w:val="19"/>
            </w:pPr>
          </w:p>
        </w:tc>
        <w:tc>
          <w:tcPr>
            <w:tcW w:w="2126" w:type="dxa"/>
          </w:tcPr>
          <w:p w14:paraId="4CAB4DAD">
            <w:pPr>
              <w:pStyle w:val="19"/>
            </w:pPr>
          </w:p>
        </w:tc>
        <w:tc>
          <w:tcPr>
            <w:tcW w:w="1933" w:type="dxa"/>
          </w:tcPr>
          <w:p w14:paraId="62CFCFA5">
            <w:pPr>
              <w:pStyle w:val="19"/>
            </w:pPr>
          </w:p>
        </w:tc>
      </w:tr>
      <w:tr w14:paraId="1146DB7D">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114" w:type="dxa"/>
          </w:tcPr>
          <w:p w14:paraId="30A0BCF6">
            <w:r>
              <w:t>[To be designated]</w:t>
            </w:r>
          </w:p>
        </w:tc>
        <w:tc>
          <w:tcPr>
            <w:tcW w:w="1843" w:type="dxa"/>
          </w:tcPr>
          <w:p w14:paraId="266B9FF8">
            <w:pPr>
              <w:pStyle w:val="19"/>
            </w:pPr>
          </w:p>
        </w:tc>
        <w:tc>
          <w:tcPr>
            <w:tcW w:w="2126" w:type="dxa"/>
          </w:tcPr>
          <w:p w14:paraId="09E4B268">
            <w:pPr>
              <w:pStyle w:val="19"/>
            </w:pPr>
          </w:p>
        </w:tc>
        <w:tc>
          <w:tcPr>
            <w:tcW w:w="1933" w:type="dxa"/>
          </w:tcPr>
          <w:p w14:paraId="259CF3EF">
            <w:pPr>
              <w:pStyle w:val="19"/>
            </w:pPr>
          </w:p>
        </w:tc>
      </w:tr>
      <w:tr w14:paraId="209216B5">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114" w:type="dxa"/>
          </w:tcPr>
          <w:p w14:paraId="1471B085">
            <w:r>
              <w:t>[To be designated]</w:t>
            </w:r>
          </w:p>
        </w:tc>
        <w:tc>
          <w:tcPr>
            <w:tcW w:w="1843" w:type="dxa"/>
          </w:tcPr>
          <w:p w14:paraId="726E22D5">
            <w:pPr>
              <w:pStyle w:val="19"/>
            </w:pPr>
          </w:p>
        </w:tc>
        <w:tc>
          <w:tcPr>
            <w:tcW w:w="2126" w:type="dxa"/>
          </w:tcPr>
          <w:p w14:paraId="063B4908">
            <w:pPr>
              <w:pStyle w:val="19"/>
            </w:pPr>
          </w:p>
        </w:tc>
        <w:tc>
          <w:tcPr>
            <w:tcW w:w="1933" w:type="dxa"/>
          </w:tcPr>
          <w:p w14:paraId="2B6D70EE">
            <w:pPr>
              <w:pStyle w:val="19"/>
            </w:pPr>
          </w:p>
        </w:tc>
      </w:tr>
      <w:tr w14:paraId="2E7A167D">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114" w:type="dxa"/>
          </w:tcPr>
          <w:p w14:paraId="38D26F5C">
            <w:r>
              <w:t>[To be designated — e.g. Saudi Banks industry body]</w:t>
            </w:r>
          </w:p>
        </w:tc>
        <w:tc>
          <w:tcPr>
            <w:tcW w:w="1843" w:type="dxa"/>
          </w:tcPr>
          <w:p w14:paraId="439536C1">
            <w:pPr>
              <w:pStyle w:val="19"/>
            </w:pPr>
          </w:p>
        </w:tc>
        <w:tc>
          <w:tcPr>
            <w:tcW w:w="2126" w:type="dxa"/>
          </w:tcPr>
          <w:p w14:paraId="4E626A19">
            <w:pPr>
              <w:pStyle w:val="19"/>
            </w:pPr>
          </w:p>
        </w:tc>
        <w:tc>
          <w:tcPr>
            <w:tcW w:w="1933" w:type="dxa"/>
          </w:tcPr>
          <w:p w14:paraId="308D0EB6">
            <w:pPr>
              <w:pStyle w:val="19"/>
            </w:pPr>
          </w:p>
        </w:tc>
      </w:tr>
      <w:tr w14:paraId="717FADB4">
        <w:tblPrEx>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CellMar>
            <w:top w:w="57" w:type="dxa"/>
            <w:left w:w="108" w:type="dxa"/>
            <w:bottom w:w="57" w:type="dxa"/>
            <w:right w:w="108" w:type="dxa"/>
          </w:tblCellMar>
        </w:tblPrEx>
        <w:tc>
          <w:tcPr>
            <w:tcW w:w="3114" w:type="dxa"/>
          </w:tcPr>
          <w:p w14:paraId="59B7BD5A">
            <w:r>
              <w:t>Saudi Central Bank (SAMA); Saudi Data &amp; AI Authority (SDAIA) for PDPL matters</w:t>
            </w:r>
          </w:p>
        </w:tc>
        <w:tc>
          <w:tcPr>
            <w:tcW w:w="1843" w:type="dxa"/>
          </w:tcPr>
          <w:p w14:paraId="57D71C4C">
            <w:pPr>
              <w:pStyle w:val="19"/>
            </w:pPr>
          </w:p>
        </w:tc>
        <w:tc>
          <w:tcPr>
            <w:tcW w:w="2126" w:type="dxa"/>
          </w:tcPr>
          <w:p w14:paraId="726581CC">
            <w:pPr>
              <w:pStyle w:val="19"/>
            </w:pPr>
          </w:p>
        </w:tc>
        <w:tc>
          <w:tcPr>
            <w:tcW w:w="1933" w:type="dxa"/>
          </w:tcPr>
          <w:p w14:paraId="3B31686B">
            <w:pPr>
              <w:pStyle w:val="19"/>
              <w:keepNext/>
            </w:pPr>
          </w:p>
        </w:tc>
      </w:tr>
    </w:tbl>
    <w:p w14:paraId="34220E6C">
      <w:pPr>
        <w:pStyle w:val="7"/>
      </w:pPr>
      <w:r>
        <w:br w:type="textWrapping"/>
      </w:r>
      <w:bookmarkStart w:id="41" w:name="_Toc68274987"/>
      <w:r>
        <w:t xml:space="preserve">Table </w:t>
      </w:r>
      <w:r>
        <w:fldChar w:fldCharType="begin"/>
      </w:r>
      <w:r>
        <w:instrText xml:space="preserve"> SEQ Table \* ARABIC </w:instrText>
      </w:r>
      <w:r>
        <w:fldChar w:fldCharType="separate"/>
      </w:r>
      <w:r>
        <w:t>6</w:t>
      </w:r>
      <w:r>
        <w:fldChar w:fldCharType="end"/>
      </w:r>
      <w:r>
        <w:t>: Useful external contacts</w:t>
      </w:r>
      <w:bookmarkEnd w:id="41"/>
    </w:p>
    <w:p w14:paraId="3DB5D7E2">
      <w:pPr>
        <w:pStyle w:val="2"/>
      </w:pPr>
      <w:r>
        <w:br w:type="page"/>
      </w:r>
      <w:r>
        <w:t xml:space="preserve"> </w:t>
      </w:r>
      <w:bookmarkStart w:id="42" w:name="_Toc68274980"/>
      <w:r>
        <w:t>Appendix C: Standard incident response team meeting agenda</w:t>
      </w:r>
      <w:bookmarkEnd w:id="42"/>
    </w:p>
    <w:p w14:paraId="5F331B62">
      <w:r>
        <w:t>It is recommended that the following standard agenda be used for meetings of the Incident Response Team.</w:t>
      </w:r>
    </w:p>
    <w:p w14:paraId="44C5F2D7">
      <w:pPr>
        <w:jc w:val="center"/>
      </w:pPr>
      <w:r>
        <w:rPr>
          <w:b/>
          <w:bCs/>
        </w:rPr>
        <w:t>AGENDA</w:t>
      </w:r>
      <w:r>
        <w:rPr>
          <w:b/>
          <w:bCs/>
        </w:rPr>
        <w:br w:type="textWrapping"/>
      </w:r>
    </w:p>
    <w:p w14:paraId="0CB847B9">
      <w:r>
        <w:rPr>
          <w:b/>
          <w:bCs/>
        </w:rPr>
        <w:t>Attendees:</w:t>
      </w:r>
      <w:r>
        <w:t xml:space="preserve"> </w:t>
      </w:r>
      <w:r>
        <w:tab/>
      </w:r>
      <w:r>
        <w:t>All members of Incident Response Team</w:t>
      </w:r>
    </w:p>
    <w:p w14:paraId="7A07911B">
      <w:r>
        <w:rPr>
          <w:b/>
          <w:bCs/>
        </w:rPr>
        <w:t>Location:</w:t>
      </w:r>
      <w:r>
        <w:t xml:space="preserve"> </w:t>
      </w:r>
      <w:r>
        <w:tab/>
      </w:r>
      <w:r>
        <w:rPr>
          <w:highlight w:val="yellow"/>
        </w:rPr>
        <w:t>Command Centre (Security Operations Center, 4th floor, Riyadh HQ)/Online meeting</w:t>
      </w:r>
    </w:p>
    <w:p w14:paraId="0D15B910">
      <w:r>
        <w:rPr>
          <w:b/>
          <w:bCs/>
        </w:rPr>
        <w:t>Frequency:</w:t>
      </w:r>
      <w:r>
        <w:t xml:space="preserve"> </w:t>
      </w:r>
      <w:r>
        <w:tab/>
      </w:r>
      <w:r>
        <w:rPr>
          <w:highlight w:val="yellow"/>
        </w:rPr>
        <w:t>Every four hours</w:t>
      </w:r>
    </w:p>
    <w:p w14:paraId="06F27BC5">
      <w:r>
        <w:rPr>
          <w:b/>
          <w:bCs/>
        </w:rPr>
        <w:t>Chair:</w:t>
      </w:r>
      <w:r>
        <w:rPr>
          <w:b/>
          <w:bCs/>
        </w:rPr>
        <w:tab/>
      </w:r>
      <w:r>
        <w:tab/>
      </w:r>
      <w:r>
        <w:t>Team Leader</w:t>
      </w:r>
    </w:p>
    <w:p w14:paraId="1F82EB91">
      <w:r>
        <w:rPr>
          <w:b/>
          <w:bCs/>
        </w:rPr>
        <w:t>Minutes:</w:t>
      </w:r>
      <w:r>
        <w:tab/>
      </w:r>
      <w:r>
        <w:t>Team Facilitator</w:t>
      </w:r>
    </w:p>
    <w:p w14:paraId="4F0F4D5F"/>
    <w:p w14:paraId="4BF7B705">
      <w:pPr>
        <w:pStyle w:val="25"/>
        <w:numPr>
          <w:ilvl w:val="0"/>
          <w:numId w:val="26"/>
        </w:numPr>
      </w:pPr>
      <w:r>
        <w:t>Actions from previous meeting</w:t>
      </w:r>
    </w:p>
    <w:p w14:paraId="5E30D470">
      <w:pPr>
        <w:pStyle w:val="25"/>
        <w:ind w:left="1080"/>
      </w:pPr>
    </w:p>
    <w:p w14:paraId="46BB387F">
      <w:pPr>
        <w:pStyle w:val="25"/>
        <w:numPr>
          <w:ilvl w:val="0"/>
          <w:numId w:val="26"/>
        </w:numPr>
      </w:pPr>
      <w:r>
        <w:t>Incident status update</w:t>
      </w:r>
    </w:p>
    <w:p w14:paraId="5DD40A50">
      <w:pPr>
        <w:pStyle w:val="25"/>
      </w:pPr>
    </w:p>
    <w:p w14:paraId="65A95AB1">
      <w:pPr>
        <w:pStyle w:val="25"/>
        <w:numPr>
          <w:ilvl w:val="0"/>
          <w:numId w:val="26"/>
        </w:numPr>
      </w:pPr>
      <w:r>
        <w:t>Decisions required</w:t>
      </w:r>
    </w:p>
    <w:p w14:paraId="092771B7">
      <w:pPr>
        <w:pStyle w:val="25"/>
      </w:pPr>
    </w:p>
    <w:p w14:paraId="53E3B464">
      <w:pPr>
        <w:pStyle w:val="25"/>
        <w:numPr>
          <w:ilvl w:val="0"/>
          <w:numId w:val="26"/>
        </w:numPr>
      </w:pPr>
      <w:r>
        <w:t>Task allocation</w:t>
      </w:r>
    </w:p>
    <w:p w14:paraId="2D4D309B">
      <w:pPr>
        <w:pStyle w:val="25"/>
      </w:pPr>
    </w:p>
    <w:p w14:paraId="3920D9FD">
      <w:pPr>
        <w:pStyle w:val="25"/>
        <w:numPr>
          <w:ilvl w:val="0"/>
          <w:numId w:val="26"/>
        </w:numPr>
      </w:pPr>
      <w:r>
        <w:t>Internal communications</w:t>
      </w:r>
    </w:p>
    <w:p w14:paraId="12DBBFB1">
      <w:pPr>
        <w:pStyle w:val="25"/>
      </w:pPr>
    </w:p>
    <w:p w14:paraId="63028A33">
      <w:pPr>
        <w:pStyle w:val="25"/>
        <w:numPr>
          <w:ilvl w:val="0"/>
          <w:numId w:val="26"/>
        </w:numPr>
      </w:pPr>
      <w:r>
        <w:t>External communications</w:t>
      </w:r>
    </w:p>
    <w:p w14:paraId="4FC48271">
      <w:pPr>
        <w:pStyle w:val="25"/>
      </w:pPr>
    </w:p>
    <w:p w14:paraId="1605A6FC">
      <w:pPr>
        <w:pStyle w:val="25"/>
        <w:numPr>
          <w:ilvl w:val="0"/>
          <w:numId w:val="26"/>
        </w:numPr>
      </w:pPr>
      <w:r>
        <w:t>Standing down</w:t>
      </w:r>
    </w:p>
    <w:p w14:paraId="7378A360">
      <w:pPr>
        <w:pStyle w:val="25"/>
      </w:pPr>
    </w:p>
    <w:p w14:paraId="3B22284A">
      <w:pPr>
        <w:pStyle w:val="25"/>
        <w:numPr>
          <w:ilvl w:val="0"/>
          <w:numId w:val="26"/>
        </w:numPr>
      </w:pPr>
      <w:r>
        <w:t>Any other business</w:t>
      </w:r>
    </w:p>
    <w:p w14:paraId="1FA2102B"/>
    <w:sectPr>
      <w:type w:val="continuous"/>
      <w:pgSz w:w="11906" w:h="16838"/>
      <w:pgMar w:top="1440" w:right="1440" w:bottom="1440" w:left="1440"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9A19D">
    <w:pPr>
      <w:pStyle w:val="9"/>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F30AE"/>
    <w:multiLevelType w:val="multilevel"/>
    <w:tmpl w:val="0D9F30A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E476D75"/>
    <w:multiLevelType w:val="multilevel"/>
    <w:tmpl w:val="0E476D7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2916A32"/>
    <w:multiLevelType w:val="multilevel"/>
    <w:tmpl w:val="12916A3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FFD5DC5"/>
    <w:multiLevelType w:val="multilevel"/>
    <w:tmpl w:val="1FFD5D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1A7496E"/>
    <w:multiLevelType w:val="multilevel"/>
    <w:tmpl w:val="21A749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22C6516D"/>
    <w:multiLevelType w:val="multilevel"/>
    <w:tmpl w:val="22C6516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34E1A0B"/>
    <w:multiLevelType w:val="multilevel"/>
    <w:tmpl w:val="234E1A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54D2147"/>
    <w:multiLevelType w:val="multilevel"/>
    <w:tmpl w:val="254D214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9317E78"/>
    <w:multiLevelType w:val="multilevel"/>
    <w:tmpl w:val="29317E78"/>
    <w:lvl w:ilvl="0" w:tentative="0">
      <w:start w:val="1"/>
      <w:numFmt w:val="decimal"/>
      <w:pStyle w:val="2"/>
      <w:lvlText w:val="%1"/>
      <w:lvlJc w:val="left"/>
      <w:pPr>
        <w:tabs>
          <w:tab w:val="left" w:pos="432"/>
        </w:tabs>
        <w:ind w:left="432" w:hanging="432"/>
      </w:pPr>
      <w:rPr>
        <w:rFonts w:hint="default"/>
      </w:rPr>
    </w:lvl>
    <w:lvl w:ilvl="1" w:tentative="0">
      <w:start w:val="1"/>
      <w:numFmt w:val="decimal"/>
      <w:pStyle w:val="3"/>
      <w:lvlText w:val="%1.%2"/>
      <w:lvlJc w:val="left"/>
      <w:pPr>
        <w:tabs>
          <w:tab w:val="left" w:pos="576"/>
        </w:tabs>
        <w:ind w:left="576" w:hanging="576"/>
      </w:pPr>
      <w:rPr>
        <w:rFonts w:hint="default"/>
      </w:rPr>
    </w:lvl>
    <w:lvl w:ilvl="2" w:tentative="0">
      <w:start w:val="1"/>
      <w:numFmt w:val="decimal"/>
      <w:pStyle w:val="4"/>
      <w:lvlText w:val="%1.%2.%3"/>
      <w:lvlJc w:val="left"/>
      <w:pPr>
        <w:tabs>
          <w:tab w:val="left" w:pos="720"/>
        </w:tabs>
        <w:ind w:left="720" w:hanging="720"/>
      </w:pPr>
      <w:rPr>
        <w:rFonts w:hint="default"/>
      </w:rPr>
    </w:lvl>
    <w:lvl w:ilvl="3" w:tentative="0">
      <w:start w:val="1"/>
      <w:numFmt w:val="decimal"/>
      <w:lvlText w:val="%1.%2.%3.%4"/>
      <w:lvlJc w:val="left"/>
      <w:pPr>
        <w:tabs>
          <w:tab w:val="left" w:pos="2566"/>
        </w:tabs>
        <w:ind w:left="2566" w:hanging="864"/>
      </w:pPr>
      <w:rPr>
        <w:b w:val="0"/>
        <w:bCs w:val="0"/>
        <w:i w:val="0"/>
        <w:iCs w:val="0"/>
        <w:caps w:val="0"/>
        <w:smallCaps w:val="0"/>
        <w:strike w:val="0"/>
        <w:dstrike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9">
    <w:nsid w:val="2F5B7543"/>
    <w:multiLevelType w:val="multilevel"/>
    <w:tmpl w:val="2F5B75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0915548"/>
    <w:multiLevelType w:val="multilevel"/>
    <w:tmpl w:val="3091554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9327ED8"/>
    <w:multiLevelType w:val="multilevel"/>
    <w:tmpl w:val="39327E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3EA74CB1"/>
    <w:multiLevelType w:val="multilevel"/>
    <w:tmpl w:val="3EA74CB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B815FF3"/>
    <w:multiLevelType w:val="multilevel"/>
    <w:tmpl w:val="4B815F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4E711B39"/>
    <w:multiLevelType w:val="multilevel"/>
    <w:tmpl w:val="4E711B3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19C247E"/>
    <w:multiLevelType w:val="multilevel"/>
    <w:tmpl w:val="519C24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55821C35"/>
    <w:multiLevelType w:val="multilevel"/>
    <w:tmpl w:val="55821C35"/>
    <w:lvl w:ilvl="0" w:tentative="0">
      <w:start w:val="1"/>
      <w:numFmt w:val="decimal"/>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B410392"/>
    <w:multiLevelType w:val="multilevel"/>
    <w:tmpl w:val="5B41039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5E2E4783"/>
    <w:multiLevelType w:val="multilevel"/>
    <w:tmpl w:val="5E2E47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619A2956"/>
    <w:multiLevelType w:val="multilevel"/>
    <w:tmpl w:val="619A295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664F28A0"/>
    <w:multiLevelType w:val="multilevel"/>
    <w:tmpl w:val="664F28A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07D4DB4"/>
    <w:multiLevelType w:val="multilevel"/>
    <w:tmpl w:val="707D4D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74D149EA"/>
    <w:multiLevelType w:val="multilevel"/>
    <w:tmpl w:val="74D149E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75C9684E"/>
    <w:multiLevelType w:val="multilevel"/>
    <w:tmpl w:val="75C9684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7A6F42A2"/>
    <w:multiLevelType w:val="multilevel"/>
    <w:tmpl w:val="7A6F42A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7DD11402"/>
    <w:multiLevelType w:val="multilevel"/>
    <w:tmpl w:val="7DD114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17"/>
  </w:num>
  <w:num w:numId="3">
    <w:abstractNumId w:val="18"/>
  </w:num>
  <w:num w:numId="4">
    <w:abstractNumId w:val="4"/>
  </w:num>
  <w:num w:numId="5">
    <w:abstractNumId w:val="0"/>
  </w:num>
  <w:num w:numId="6">
    <w:abstractNumId w:val="13"/>
  </w:num>
  <w:num w:numId="7">
    <w:abstractNumId w:val="22"/>
  </w:num>
  <w:num w:numId="8">
    <w:abstractNumId w:val="7"/>
  </w:num>
  <w:num w:numId="9">
    <w:abstractNumId w:val="24"/>
  </w:num>
  <w:num w:numId="10">
    <w:abstractNumId w:val="6"/>
  </w:num>
  <w:num w:numId="11">
    <w:abstractNumId w:val="25"/>
  </w:num>
  <w:num w:numId="12">
    <w:abstractNumId w:val="15"/>
  </w:num>
  <w:num w:numId="13">
    <w:abstractNumId w:val="10"/>
  </w:num>
  <w:num w:numId="14">
    <w:abstractNumId w:val="14"/>
  </w:num>
  <w:num w:numId="15">
    <w:abstractNumId w:val="23"/>
  </w:num>
  <w:num w:numId="16">
    <w:abstractNumId w:val="9"/>
  </w:num>
  <w:num w:numId="17">
    <w:abstractNumId w:val="19"/>
  </w:num>
  <w:num w:numId="18">
    <w:abstractNumId w:val="3"/>
  </w:num>
  <w:num w:numId="19">
    <w:abstractNumId w:val="21"/>
  </w:num>
  <w:num w:numId="20">
    <w:abstractNumId w:val="12"/>
  </w:num>
  <w:num w:numId="21">
    <w:abstractNumId w:val="2"/>
  </w:num>
  <w:num w:numId="22">
    <w:abstractNumId w:val="20"/>
  </w:num>
  <w:num w:numId="23">
    <w:abstractNumId w:val="11"/>
  </w:num>
  <w:num w:numId="24">
    <w:abstractNumId w:val="1"/>
  </w:num>
  <w:num w:numId="25">
    <w:abstractNumId w:val="5"/>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9B2D04"/>
    <w:rsid w:val="5A835D8B"/>
    <w:rsid w:val="769B2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4" w:semiHidden="0" w:name="Normal"/>
    <w:lsdException w:qFormat="1" w:unhideWhenUsed="0" w:uiPriority="0" w:semiHidden="0" w:name="heading 1"/>
    <w:lsdException w:qFormat="1" w:unhideWhenUsed="0" w:uiPriority="1" w:semiHidden="0" w:name="heading 2"/>
    <w:lsdException w:qFormat="1" w:unhideWhenUsed="0" w:uiPriority="2"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nhideWhenUsed="0" w:uiPriority="14"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4"/>
    <w:pPr>
      <w:spacing w:before="240" w:after="240" w:line="240" w:lineRule="auto"/>
    </w:pPr>
    <w:rPr>
      <w:rFonts w:eastAsia="Times New Roman" w:cs="Times New Roman" w:asciiTheme="minorHAnsi" w:hAnsiTheme="minorHAnsi"/>
      <w:color w:val="444444"/>
      <w:sz w:val="24"/>
      <w:szCs w:val="24"/>
      <w:lang w:val="en-GB" w:eastAsia="en-US" w:bidi="ar-SA"/>
    </w:rPr>
  </w:style>
  <w:style w:type="paragraph" w:styleId="2">
    <w:name w:val="heading 1"/>
    <w:basedOn w:val="1"/>
    <w:next w:val="3"/>
    <w:qFormat/>
    <w:uiPriority w:val="0"/>
    <w:pPr>
      <w:keepNext/>
      <w:numPr>
        <w:ilvl w:val="0"/>
        <w:numId w:val="1"/>
      </w:numPr>
      <w:outlineLvl w:val="0"/>
    </w:pPr>
    <w:rPr>
      <w:rFonts w:eastAsiaTheme="majorEastAsia" w:cstheme="majorBidi"/>
      <w:color w:val="44546A" w:themeColor="text2"/>
      <w:kern w:val="28"/>
      <w:sz w:val="36"/>
      <w14:textFill>
        <w14:solidFill>
          <w14:schemeClr w14:val="tx2"/>
        </w14:solidFill>
      </w14:textFill>
    </w:rPr>
  </w:style>
  <w:style w:type="paragraph" w:styleId="3">
    <w:name w:val="heading 2"/>
    <w:basedOn w:val="1"/>
    <w:next w:val="4"/>
    <w:qFormat/>
    <w:uiPriority w:val="1"/>
    <w:pPr>
      <w:keepNext/>
      <w:numPr>
        <w:ilvl w:val="1"/>
        <w:numId w:val="1"/>
      </w:numPr>
      <w:outlineLvl w:val="1"/>
    </w:pPr>
    <w:rPr>
      <w:rFonts w:eastAsiaTheme="majorEastAsia" w:cstheme="majorBidi"/>
      <w:color w:val="44546A" w:themeColor="text2"/>
      <w:sz w:val="32"/>
      <w14:textFill>
        <w14:solidFill>
          <w14:schemeClr w14:val="tx2"/>
        </w14:solidFill>
      </w14:textFill>
    </w:rPr>
  </w:style>
  <w:style w:type="paragraph" w:styleId="4">
    <w:name w:val="heading 3"/>
    <w:basedOn w:val="1"/>
    <w:next w:val="1"/>
    <w:qFormat/>
    <w:uiPriority w:val="2"/>
    <w:pPr>
      <w:numPr>
        <w:ilvl w:val="2"/>
        <w:numId w:val="1"/>
      </w:numPr>
      <w:tabs>
        <w:tab w:val="left" w:pos="1134"/>
      </w:tabs>
      <w:outlineLvl w:val="2"/>
    </w:pPr>
    <w:rPr>
      <w:rFonts w:eastAsiaTheme="majorEastAsia" w:cstheme="majorBidi"/>
      <w:color w:val="44546A" w:themeColor="text2"/>
      <w:sz w:val="28"/>
      <w14:textFill>
        <w14:solidFill>
          <w14:schemeClr w14:val="tx2"/>
        </w14:solidFill>
      </w14:textFill>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qFormat/>
    <w:uiPriority w:val="14"/>
    <w:pPr>
      <w:spacing w:before="0" w:after="200"/>
    </w:pPr>
    <w:rPr>
      <w:i/>
      <w:iCs/>
      <w:color w:val="44546A"/>
      <w:sz w:val="18"/>
      <w:szCs w:val="18"/>
    </w:rPr>
  </w:style>
  <w:style w:type="paragraph" w:styleId="8">
    <w:name w:val="footer"/>
    <w:basedOn w:val="1"/>
    <w:unhideWhenUsed/>
    <w:qFormat/>
    <w:uiPriority w:val="99"/>
    <w:pPr>
      <w:tabs>
        <w:tab w:val="center" w:pos="4513"/>
        <w:tab w:val="right" w:pos="9026"/>
      </w:tabs>
      <w:spacing w:before="0" w:after="0"/>
    </w:pPr>
  </w:style>
  <w:style w:type="paragraph" w:styleId="9">
    <w:name w:val="header"/>
    <w:basedOn w:val="1"/>
    <w:unhideWhenUsed/>
    <w:qFormat/>
    <w:uiPriority w:val="99"/>
    <w:pPr>
      <w:tabs>
        <w:tab w:val="center" w:pos="4513"/>
        <w:tab w:val="right" w:pos="9026"/>
      </w:tabs>
      <w:spacing w:before="0" w:after="0"/>
    </w:pPr>
  </w:style>
  <w:style w:type="character" w:styleId="10">
    <w:name w:val="Hyperlink"/>
    <w:basedOn w:val="5"/>
    <w:unhideWhenUsed/>
    <w:qFormat/>
    <w:uiPriority w:val="99"/>
    <w:rPr>
      <w:color w:val="0026E5" w:themeColor="hyperlink"/>
      <w:u w:val="single"/>
      <w14:textFill>
        <w14:solidFill>
          <w14:schemeClr w14:val="hlink"/>
        </w14:solidFill>
      </w14:textFill>
    </w:rPr>
  </w:style>
  <w:style w:type="table" w:styleId="11">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able of figures"/>
    <w:basedOn w:val="1"/>
    <w:next w:val="1"/>
    <w:unhideWhenUsed/>
    <w:qFormat/>
    <w:uiPriority w:val="99"/>
    <w:pPr>
      <w:spacing w:before="0" w:after="0"/>
    </w:pPr>
    <w:rPr>
      <w:rFonts w:cstheme="minorHAnsi"/>
      <w:b/>
      <w:iCs/>
      <w:sz w:val="22"/>
    </w:rPr>
  </w:style>
  <w:style w:type="paragraph" w:styleId="13">
    <w:name w:val="toc 1"/>
    <w:basedOn w:val="1"/>
    <w:next w:val="1"/>
    <w:qFormat/>
    <w:uiPriority w:val="39"/>
    <w:pPr>
      <w:spacing w:before="120" w:after="0"/>
    </w:pPr>
    <w:rPr>
      <w:rFonts w:cstheme="minorHAnsi"/>
      <w:b/>
      <w:bCs/>
      <w:iCs/>
    </w:rPr>
  </w:style>
  <w:style w:type="paragraph" w:styleId="14">
    <w:name w:val="toc 2"/>
    <w:basedOn w:val="1"/>
    <w:next w:val="1"/>
    <w:qFormat/>
    <w:uiPriority w:val="39"/>
    <w:pPr>
      <w:spacing w:before="120" w:after="0"/>
      <w:ind w:left="240"/>
    </w:pPr>
    <w:rPr>
      <w:rFonts w:cstheme="minorHAnsi"/>
      <w:b/>
      <w:bCs/>
      <w:sz w:val="22"/>
      <w:szCs w:val="22"/>
    </w:rPr>
  </w:style>
  <w:style w:type="paragraph" w:styleId="15">
    <w:name w:val="toc 3"/>
    <w:basedOn w:val="1"/>
    <w:next w:val="1"/>
    <w:qFormat/>
    <w:uiPriority w:val="39"/>
    <w:pPr>
      <w:spacing w:before="0" w:after="0"/>
      <w:ind w:left="480"/>
    </w:pPr>
    <w:rPr>
      <w:rFonts w:cstheme="minorHAnsi"/>
      <w:sz w:val="20"/>
    </w:rPr>
  </w:style>
  <w:style w:type="paragraph" w:customStyle="1" w:styleId="16">
    <w:name w:val="Title (Black)"/>
    <w:basedOn w:val="1"/>
    <w:qFormat/>
    <w:uiPriority w:val="12"/>
    <w:rPr>
      <w:b/>
      <w:bCs/>
      <w:sz w:val="56"/>
      <w:szCs w:val="48"/>
    </w:rPr>
  </w:style>
  <w:style w:type="paragraph" w:customStyle="1" w:styleId="17">
    <w:name w:val="Title Page Table Header"/>
    <w:basedOn w:val="18"/>
    <w:qFormat/>
    <w:uiPriority w:val="8"/>
    <w:pPr>
      <w:framePr w:hSpace="180" w:wrap="around" w:vAnchor="text" w:hAnchor="margin" w:xAlign="right" w:y="254"/>
    </w:pPr>
  </w:style>
  <w:style w:type="paragraph" w:customStyle="1" w:styleId="18">
    <w:name w:val="Table Heading"/>
    <w:basedOn w:val="19"/>
    <w:qFormat/>
    <w:uiPriority w:val="6"/>
    <w:pPr>
      <w:spacing w:before="40" w:after="40"/>
    </w:pPr>
    <w:rPr>
      <w:b/>
      <w:bCs/>
      <w:color w:val="FFFFFF" w:themeColor="background1"/>
      <w14:textFill>
        <w14:solidFill>
          <w14:schemeClr w14:val="bg1"/>
        </w14:solidFill>
      </w14:textFill>
    </w:rPr>
  </w:style>
  <w:style w:type="paragraph" w:customStyle="1" w:styleId="19">
    <w:name w:val="Table Body"/>
    <w:basedOn w:val="1"/>
    <w:qFormat/>
    <w:uiPriority w:val="7"/>
    <w:pPr>
      <w:spacing w:before="0" w:after="0"/>
    </w:pPr>
    <w:rPr>
      <w:color w:val="000000" w:themeColor="text1"/>
      <w:sz w:val="20"/>
      <w14:textFill>
        <w14:solidFill>
          <w14:schemeClr w14:val="tx1"/>
        </w14:solidFill>
      </w14:textFill>
    </w:rPr>
  </w:style>
  <w:style w:type="character" w:customStyle="1" w:styleId="20">
    <w:name w:val="Version number"/>
    <w:basedOn w:val="5"/>
    <w:qFormat/>
    <w:uiPriority w:val="19"/>
    <w:rPr>
      <w:rFonts w:asciiTheme="minorHAnsi" w:hAnsiTheme="minorHAnsi"/>
      <w:sz w:val="20"/>
    </w:rPr>
  </w:style>
  <w:style w:type="character" w:customStyle="1" w:styleId="21">
    <w:name w:val="Toolkit Date"/>
    <w:basedOn w:val="5"/>
    <w:qFormat/>
    <w:uiPriority w:val="27"/>
    <w:rPr>
      <w:rFonts w:asciiTheme="minorHAnsi" w:hAnsiTheme="minorHAnsi"/>
      <w:sz w:val="20"/>
    </w:rPr>
  </w:style>
  <w:style w:type="paragraph" w:customStyle="1" w:styleId="22">
    <w:name w:val="Heading X"/>
    <w:basedOn w:val="1"/>
    <w:qFormat/>
    <w:uiPriority w:val="9"/>
    <w:rPr>
      <w:color w:val="44546A" w:themeColor="text2"/>
      <w:sz w:val="36"/>
      <w:szCs w:val="28"/>
      <w14:textFill>
        <w14:solidFill>
          <w14:schemeClr w14:val="tx2"/>
        </w14:solidFill>
      </w14:textFill>
    </w:rPr>
  </w:style>
  <w:style w:type="paragraph" w:customStyle="1" w:styleId="23">
    <w:name w:val="Heading Y"/>
    <w:basedOn w:val="1"/>
    <w:qFormat/>
    <w:uiPriority w:val="10"/>
    <w:rPr>
      <w:color w:val="44546A" w:themeColor="text2"/>
      <w:sz w:val="32"/>
      <w14:textFill>
        <w14:solidFill>
          <w14:schemeClr w14:val="tx2"/>
        </w14:solidFill>
      </w14:textFill>
    </w:rPr>
  </w:style>
  <w:style w:type="paragraph" w:customStyle="1" w:styleId="24">
    <w:name w:val="Bulleted list"/>
    <w:basedOn w:val="25"/>
    <w:autoRedefine/>
    <w:qFormat/>
    <w:uiPriority w:val="5"/>
    <w:pPr>
      <w:ind w:left="1800"/>
    </w:pPr>
  </w:style>
  <w:style w:type="paragraph" w:styleId="2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emf"/><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glossaryDocument" Target="glossary/document.xml"/><Relationship Id="rId10" Type="http://schemas.openxmlformats.org/officeDocument/2006/relationships/fontTable" Target="fontTable.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9baff33-0515-470d-9fc2-f6527d3eb6f4}"/>
        <w:style w:val=""/>
        <w:category>
          <w:name w:val="General"/>
          <w:gallery w:val="placeholder"/>
        </w:category>
        <w:types>
          <w:type w:val="bbPlcHdr"/>
        </w:types>
        <w:behaviors>
          <w:behavior w:val="content"/>
        </w:behaviors>
        <w:description w:val=""/>
        <w:guid w:val="{c9baff33-0515-470d-9fc2-f6527d3eb6f4}"/>
      </w:docPartPr>
      <w:docPartBody>
        <w:p w14:paraId="649780AE">
          <w:pPr>
            <w:pStyle w:val="2"/>
          </w:pPr>
          <w:r>
            <w:rPr>
              <w:rStyle w:val="3"/>
            </w:rPr>
            <w:t>Click or tap here to enter text.</w:t>
          </w:r>
        </w:p>
      </w:docPartBody>
    </w:docPart>
    <w:docPart>
      <w:docPartPr>
        <w:name w:val="{9470161b-80e6-4243-9107-69cebf5f9e43}"/>
        <w:style w:val=""/>
        <w:category>
          <w:name w:val="General"/>
          <w:gallery w:val="placeholder"/>
        </w:category>
        <w:types>
          <w:type w:val="bbPlcHdr"/>
        </w:types>
        <w:behaviors>
          <w:behavior w:val="content"/>
        </w:behaviors>
        <w:description w:val=""/>
        <w:guid w:val="{9470161b-80e6-4243-9107-69cebf5f9e43}"/>
      </w:docPartPr>
      <w:docPartBody>
        <w:p w14:paraId="14740EBB">
          <w:pPr>
            <w:pStyle w:val="4"/>
          </w:pPr>
          <w:r>
            <w:rPr>
              <w:rStyle w:val="3"/>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1" w:name="Default Paragraph Font"/>
    <w:lsdException w:qFormat="1" w:unhideWhenUsed="0" w:uiPriority="99" w:name="Placeholder Text"/>
  </w:latentStyles>
  <w:style w:type="character" w:default="1" w:styleId="1">
    <w:name w:val="Default Paragraph Font"/>
    <w:semiHidden/>
    <w:unhideWhenUsed/>
    <w:qFormat/>
    <w:uiPriority w:val="1"/>
  </w:style>
  <w:style w:type="paragraph" w:customStyle="1" w:styleId="2">
    <w:name w:val="10DDD5F7F31E4C2BA8504F8DA6E60B71"/>
    <w:qFormat/>
    <w:uiPriority w:val="0"/>
    <w:pPr>
      <w:spacing w:after="160" w:line="259" w:lineRule="auto"/>
    </w:pPr>
    <w:rPr>
      <w:rFonts w:asciiTheme="minorHAnsi" w:hAnsiTheme="minorHAnsi" w:eastAsiaTheme="minorEastAsia" w:cstheme="minorBidi"/>
      <w:sz w:val="22"/>
      <w:szCs w:val="22"/>
      <w:lang w:val="en-GB" w:eastAsia="en-GB" w:bidi="ar-SA"/>
    </w:rPr>
  </w:style>
  <w:style w:type="character" w:styleId="3">
    <w:name w:val="Placeholder Text"/>
    <w:basedOn w:val="1"/>
    <w:semiHidden/>
    <w:qFormat/>
    <w:uiPriority w:val="99"/>
    <w:rPr>
      <w:color w:val="808080"/>
    </w:rPr>
  </w:style>
  <w:style w:type="paragraph" w:customStyle="1" w:styleId="4">
    <w:name w:val="10EBFE9CD3B94E599C19F4A62E872857"/>
    <w:qFormat/>
    <w:uiPriority w:val="0"/>
    <w:pPr>
      <w:spacing w:after="160" w:line="259" w:lineRule="auto"/>
    </w:pPr>
    <w:rPr>
      <w:rFonts w:asciiTheme="minorHAnsi" w:hAnsiTheme="minorHAnsi" w:eastAsiaTheme="minorEastAsia" w:cstheme="minorBidi"/>
      <w:sz w:val="22"/>
      <w:szCs w:val="22"/>
      <w:lang w:val="en-GB" w:eastAsia="en-GB" w:bidi="ar-SA"/>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2026-09-23T01:14:00Z</dcterms:created>
  <dc:creator>zainb</dc:creator>
  <cp:lastModifiedBy>zainb</cp:lastModifiedBy>
  <dcterms:modified xsi:type="dcterms:W3CDTF">2026-09-23T01:29:28Z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2F0932D5A86345C298D8D2BA2C5FBF09_11</vt:lpwstr>
  </property>
  <property fmtid="{D5CDD505-2E9C-101B-9397-08002B2CF9AE}" pid="4" name="KSOTemplateDocerSaveRecord">
    <vt:lpwstr>eyJoZGlkIjoiMmNhMjgzNmZkNDkyMTlkYzk5ODFkMzUzNzcxMjY2MDQiLCJ1c2VySWQiOiI0ODEwMzc2MTYwNTEyIn0=</vt:lpwstr>
  </property>
</Properties>
</file>