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3E236" w14:textId="77777777" w:rsidR="00B1464A" w:rsidRPr="001C522E" w:rsidRDefault="00B1464A" w:rsidP="00B1464A">
      <w:pPr>
        <w:contextualSpacing/>
        <w:rPr>
          <w:b/>
          <w:sz w:val="22"/>
          <w:szCs w:val="22"/>
        </w:rPr>
      </w:pPr>
      <w:r w:rsidRPr="001C522E">
        <w:rPr>
          <w:b/>
          <w:sz w:val="22"/>
          <w:szCs w:val="22"/>
        </w:rPr>
        <w:t>Supplementary Table 1: Data Dictionary for area-based socioeconomic measures</w:t>
      </w:r>
      <w:r w:rsidRPr="001C522E">
        <w:rPr>
          <w:b/>
          <w:sz w:val="22"/>
          <w:szCs w:val="22"/>
        </w:rPr>
        <w:br/>
      </w:r>
    </w:p>
    <w:tbl>
      <w:tblPr>
        <w:tblW w:w="11245" w:type="dxa"/>
        <w:jc w:val="center"/>
        <w:tblLayout w:type="fixed"/>
        <w:tblLook w:val="04A0" w:firstRow="1" w:lastRow="0" w:firstColumn="1" w:lastColumn="0" w:noHBand="0" w:noVBand="1"/>
      </w:tblPr>
      <w:tblGrid>
        <w:gridCol w:w="3820"/>
        <w:gridCol w:w="2390"/>
        <w:gridCol w:w="3002"/>
        <w:gridCol w:w="2033"/>
      </w:tblGrid>
      <w:tr w:rsidR="00B1464A" w:rsidRPr="00A20AF0" w14:paraId="6AB8BAEC" w14:textId="77777777" w:rsidTr="00E01AAB">
        <w:trPr>
          <w:trHeight w:val="66"/>
          <w:jc w:val="center"/>
        </w:trPr>
        <w:tc>
          <w:tcPr>
            <w:tcW w:w="3820" w:type="dxa"/>
            <w:tcBorders>
              <w:top w:val="single" w:sz="4" w:space="0" w:color="auto"/>
              <w:left w:val="single" w:sz="4" w:space="0" w:color="auto"/>
              <w:bottom w:val="single" w:sz="4" w:space="0" w:color="auto"/>
              <w:right w:val="nil"/>
            </w:tcBorders>
            <w:vAlign w:val="center"/>
          </w:tcPr>
          <w:p w14:paraId="47DA1BA2" w14:textId="77777777" w:rsidR="00B1464A" w:rsidRPr="00A20AF0" w:rsidRDefault="00B1464A" w:rsidP="00E01AAB">
            <w:pPr>
              <w:contextualSpacing/>
              <w:rPr>
                <w:b/>
                <w:bCs/>
                <w:sz w:val="22"/>
                <w:szCs w:val="22"/>
              </w:rPr>
            </w:pPr>
            <w:r w:rsidRPr="00A20AF0">
              <w:rPr>
                <w:b/>
                <w:bCs/>
                <w:sz w:val="22"/>
                <w:szCs w:val="22"/>
              </w:rPr>
              <w:t>Measure</w:t>
            </w:r>
          </w:p>
        </w:tc>
        <w:tc>
          <w:tcPr>
            <w:tcW w:w="2390" w:type="dxa"/>
            <w:tcBorders>
              <w:top w:val="single" w:sz="4" w:space="0" w:color="auto"/>
              <w:left w:val="nil"/>
              <w:bottom w:val="single" w:sz="4" w:space="0" w:color="auto"/>
              <w:right w:val="nil"/>
            </w:tcBorders>
            <w:vAlign w:val="center"/>
          </w:tcPr>
          <w:p w14:paraId="1562E13B" w14:textId="77777777" w:rsidR="00B1464A" w:rsidRPr="00A20AF0" w:rsidRDefault="00B1464A" w:rsidP="00E01AAB">
            <w:pPr>
              <w:contextualSpacing/>
              <w:rPr>
                <w:b/>
                <w:bCs/>
                <w:color w:val="000000"/>
                <w:sz w:val="22"/>
                <w:szCs w:val="22"/>
              </w:rPr>
            </w:pPr>
            <w:r w:rsidRPr="00A20AF0">
              <w:rPr>
                <w:b/>
                <w:bCs/>
                <w:color w:val="000000"/>
                <w:sz w:val="22"/>
                <w:szCs w:val="22"/>
              </w:rPr>
              <w:t>Source</w:t>
            </w:r>
          </w:p>
        </w:tc>
        <w:tc>
          <w:tcPr>
            <w:tcW w:w="3002" w:type="dxa"/>
            <w:tcBorders>
              <w:top w:val="single" w:sz="4" w:space="0" w:color="auto"/>
              <w:left w:val="nil"/>
              <w:bottom w:val="single" w:sz="4" w:space="0" w:color="auto"/>
              <w:right w:val="nil"/>
            </w:tcBorders>
            <w:vAlign w:val="center"/>
          </w:tcPr>
          <w:p w14:paraId="0D6763F0" w14:textId="77777777" w:rsidR="00B1464A" w:rsidRPr="00A20AF0" w:rsidRDefault="00B1464A" w:rsidP="00E01AAB">
            <w:pPr>
              <w:contextualSpacing/>
              <w:rPr>
                <w:b/>
                <w:bCs/>
                <w:sz w:val="22"/>
                <w:szCs w:val="22"/>
              </w:rPr>
            </w:pPr>
            <w:r w:rsidRPr="00A20AF0">
              <w:rPr>
                <w:b/>
                <w:bCs/>
                <w:color w:val="000000"/>
                <w:sz w:val="22"/>
                <w:szCs w:val="22"/>
              </w:rPr>
              <w:t xml:space="preserve">Source Details </w:t>
            </w:r>
          </w:p>
        </w:tc>
        <w:tc>
          <w:tcPr>
            <w:tcW w:w="2033" w:type="dxa"/>
            <w:tcBorders>
              <w:top w:val="single" w:sz="4" w:space="0" w:color="auto"/>
              <w:left w:val="nil"/>
              <w:bottom w:val="single" w:sz="4" w:space="0" w:color="auto"/>
              <w:right w:val="single" w:sz="4" w:space="0" w:color="auto"/>
            </w:tcBorders>
            <w:vAlign w:val="center"/>
          </w:tcPr>
          <w:p w14:paraId="527196F3" w14:textId="77777777" w:rsidR="00B1464A" w:rsidRPr="00A20AF0" w:rsidRDefault="00B1464A" w:rsidP="00E01AAB">
            <w:pPr>
              <w:contextualSpacing/>
              <w:rPr>
                <w:b/>
                <w:bCs/>
                <w:sz w:val="22"/>
                <w:szCs w:val="22"/>
              </w:rPr>
            </w:pPr>
            <w:r w:rsidRPr="00A20AF0">
              <w:rPr>
                <w:b/>
                <w:bCs/>
                <w:color w:val="000000"/>
                <w:sz w:val="22"/>
                <w:szCs w:val="22"/>
              </w:rPr>
              <w:t xml:space="preserve">Original Variable </w:t>
            </w:r>
          </w:p>
        </w:tc>
      </w:tr>
      <w:tr w:rsidR="00B1464A" w:rsidRPr="00A20AF0" w14:paraId="41009BD6" w14:textId="77777777" w:rsidTr="00E01AAB">
        <w:trPr>
          <w:trHeight w:val="108"/>
          <w:jc w:val="center"/>
        </w:trPr>
        <w:tc>
          <w:tcPr>
            <w:tcW w:w="3820" w:type="dxa"/>
            <w:tcBorders>
              <w:top w:val="single" w:sz="4" w:space="0" w:color="auto"/>
              <w:left w:val="single" w:sz="4" w:space="0" w:color="auto"/>
              <w:bottom w:val="single" w:sz="2" w:space="0" w:color="BFBFBF" w:themeColor="background1" w:themeShade="BF"/>
              <w:right w:val="single" w:sz="2" w:space="0" w:color="BFBFBF" w:themeColor="background1" w:themeShade="BF"/>
            </w:tcBorders>
          </w:tcPr>
          <w:p w14:paraId="4BE7D6FC" w14:textId="77777777" w:rsidR="00B1464A" w:rsidRPr="00A20AF0" w:rsidRDefault="00B1464A" w:rsidP="00E01AAB">
            <w:pPr>
              <w:contextualSpacing/>
              <w:rPr>
                <w:bCs/>
                <w:sz w:val="22"/>
                <w:szCs w:val="22"/>
              </w:rPr>
            </w:pPr>
            <w:r w:rsidRPr="00A20AF0">
              <w:rPr>
                <w:bCs/>
                <w:sz w:val="22"/>
                <w:szCs w:val="22"/>
              </w:rPr>
              <w:t>Percentage of Persons in Deep Poverty, 2017</w:t>
            </w:r>
          </w:p>
        </w:tc>
        <w:tc>
          <w:tcPr>
            <w:tcW w:w="2390" w:type="dxa"/>
            <w:tcBorders>
              <w:top w:val="single" w:sz="4"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182F66ED" w14:textId="77777777" w:rsidR="00B1464A" w:rsidRPr="00A20AF0" w:rsidRDefault="00B1464A" w:rsidP="00E01AAB">
            <w:pPr>
              <w:contextualSpacing/>
              <w:rPr>
                <w:color w:val="000000"/>
                <w:sz w:val="22"/>
                <w:szCs w:val="22"/>
              </w:rPr>
            </w:pPr>
            <w:r w:rsidRPr="00A20AF0">
              <w:rPr>
                <w:color w:val="000000"/>
                <w:sz w:val="22"/>
                <w:szCs w:val="22"/>
              </w:rPr>
              <w:t>Area Health Resources Files</w:t>
            </w:r>
          </w:p>
        </w:tc>
        <w:tc>
          <w:tcPr>
            <w:tcW w:w="3002" w:type="dxa"/>
            <w:tcBorders>
              <w:top w:val="single" w:sz="4"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6D8C62B8" w14:textId="77777777" w:rsidR="00B1464A" w:rsidRPr="00A20AF0" w:rsidRDefault="00B1464A" w:rsidP="00E01AAB">
            <w:pPr>
              <w:contextualSpacing/>
              <w:rPr>
                <w:bCs/>
                <w:sz w:val="22"/>
                <w:szCs w:val="22"/>
              </w:rPr>
            </w:pPr>
            <w:r w:rsidRPr="00A20AF0">
              <w:rPr>
                <w:color w:val="000000"/>
                <w:sz w:val="22"/>
                <w:szCs w:val="22"/>
              </w:rPr>
              <w:t>(.1) Table B17024 American Community Survey 2013-2017</w:t>
            </w:r>
          </w:p>
        </w:tc>
        <w:tc>
          <w:tcPr>
            <w:tcW w:w="2033" w:type="dxa"/>
            <w:tcBorders>
              <w:top w:val="single" w:sz="4" w:space="0" w:color="auto"/>
              <w:left w:val="single" w:sz="2" w:space="0" w:color="BFBFBF" w:themeColor="background1" w:themeShade="BF"/>
              <w:bottom w:val="single" w:sz="2" w:space="0" w:color="BFBFBF" w:themeColor="background1" w:themeShade="BF"/>
              <w:right w:val="single" w:sz="4" w:space="0" w:color="auto"/>
            </w:tcBorders>
            <w:vAlign w:val="bottom"/>
          </w:tcPr>
          <w:p w14:paraId="3DB417C4" w14:textId="77777777" w:rsidR="00B1464A" w:rsidRPr="00A20AF0" w:rsidRDefault="00B1464A" w:rsidP="00E01AAB">
            <w:pPr>
              <w:contextualSpacing/>
              <w:rPr>
                <w:bCs/>
                <w:sz w:val="22"/>
                <w:szCs w:val="22"/>
              </w:rPr>
            </w:pPr>
            <w:r w:rsidRPr="00A20AF0">
              <w:rPr>
                <w:color w:val="000000"/>
                <w:sz w:val="22"/>
                <w:szCs w:val="22"/>
              </w:rPr>
              <w:t>F15419-13</w:t>
            </w:r>
          </w:p>
        </w:tc>
      </w:tr>
      <w:tr w:rsidR="00B1464A" w:rsidRPr="00A20AF0" w14:paraId="4BA24588"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4F672E38" w14:textId="77777777" w:rsidR="00B1464A" w:rsidRPr="00A20AF0" w:rsidRDefault="00B1464A" w:rsidP="00E01AAB">
            <w:pPr>
              <w:contextualSpacing/>
              <w:rPr>
                <w:bCs/>
                <w:sz w:val="22"/>
                <w:szCs w:val="22"/>
              </w:rPr>
            </w:pPr>
            <w:r w:rsidRPr="00A20AF0">
              <w:rPr>
                <w:bCs/>
                <w:sz w:val="22"/>
                <w:szCs w:val="22"/>
              </w:rPr>
              <w:t>Percentage Persons 65+ in Deep Poverty, 2017</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4464ED24" w14:textId="77777777" w:rsidR="00B1464A" w:rsidRPr="00A20AF0" w:rsidRDefault="00B1464A" w:rsidP="00E01AAB">
            <w:pPr>
              <w:contextualSpacing/>
              <w:rPr>
                <w:color w:val="000000"/>
                <w:sz w:val="22"/>
                <w:szCs w:val="22"/>
              </w:rPr>
            </w:pPr>
            <w:r w:rsidRPr="00A20AF0">
              <w:rPr>
                <w:color w:val="000000"/>
                <w:sz w:val="22"/>
                <w:szCs w:val="22"/>
              </w:rPr>
              <w:t>Area Health Resources Files</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6EEA4CE6" w14:textId="77777777" w:rsidR="00B1464A" w:rsidRPr="00A20AF0" w:rsidRDefault="00B1464A" w:rsidP="00E01AAB">
            <w:pPr>
              <w:contextualSpacing/>
              <w:rPr>
                <w:bCs/>
                <w:sz w:val="22"/>
                <w:szCs w:val="22"/>
              </w:rPr>
            </w:pPr>
            <w:r w:rsidRPr="00A20AF0">
              <w:rPr>
                <w:color w:val="000000"/>
                <w:sz w:val="22"/>
                <w:szCs w:val="22"/>
              </w:rPr>
              <w:t>(.1) Table B17024 American Community Survey 2013-2017</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2D95170E" w14:textId="77777777" w:rsidR="00B1464A" w:rsidRPr="00A20AF0" w:rsidRDefault="00B1464A" w:rsidP="00E01AAB">
            <w:pPr>
              <w:contextualSpacing/>
              <w:rPr>
                <w:bCs/>
                <w:sz w:val="22"/>
                <w:szCs w:val="22"/>
              </w:rPr>
            </w:pPr>
            <w:r w:rsidRPr="00A20AF0">
              <w:rPr>
                <w:color w:val="000000"/>
                <w:sz w:val="22"/>
                <w:szCs w:val="22"/>
              </w:rPr>
              <w:t>F15425-13</w:t>
            </w:r>
          </w:p>
        </w:tc>
      </w:tr>
      <w:tr w:rsidR="00B1464A" w:rsidRPr="00A20AF0" w14:paraId="0B30DFE6"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vAlign w:val="bottom"/>
          </w:tcPr>
          <w:p w14:paraId="2B525D41" w14:textId="77777777" w:rsidR="00B1464A" w:rsidRPr="00A20AF0" w:rsidRDefault="00B1464A" w:rsidP="00E01AAB">
            <w:pPr>
              <w:contextualSpacing/>
              <w:rPr>
                <w:bCs/>
                <w:sz w:val="22"/>
                <w:szCs w:val="22"/>
              </w:rPr>
            </w:pPr>
            <w:r w:rsidRPr="00A20AF0">
              <w:rPr>
                <w:color w:val="000000"/>
                <w:sz w:val="22"/>
                <w:szCs w:val="22"/>
              </w:rPr>
              <w:t>Percentage without High School Diploma, Ages 25+, 2013-2017 (5-year)</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11D06134"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022DD286" w14:textId="77777777" w:rsidR="00B1464A" w:rsidRPr="00A20AF0" w:rsidRDefault="00B1464A" w:rsidP="00E01AAB">
            <w:pPr>
              <w:contextualSpacing/>
              <w:rPr>
                <w:bCs/>
                <w:sz w:val="22"/>
                <w:szCs w:val="22"/>
              </w:rPr>
            </w:pPr>
            <w:r w:rsidRPr="00A20AF0">
              <w:rPr>
                <w:color w:val="000000"/>
                <w:sz w:val="22"/>
                <w:szCs w:val="22"/>
              </w:rPr>
              <w:t>American Community Survey 2013-2017</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32F20EDC" w14:textId="77777777" w:rsidR="00B1464A" w:rsidRPr="00A20AF0" w:rsidRDefault="00B1464A" w:rsidP="00E01AAB">
            <w:pPr>
              <w:contextualSpacing/>
              <w:rPr>
                <w:bCs/>
                <w:sz w:val="22"/>
                <w:szCs w:val="22"/>
              </w:rPr>
            </w:pPr>
            <w:proofErr w:type="spellStart"/>
            <w:r w:rsidRPr="00A20AF0">
              <w:rPr>
                <w:bCs/>
                <w:sz w:val="22"/>
                <w:szCs w:val="22"/>
              </w:rPr>
              <w:t>prop_edu_less_highschool</w:t>
            </w:r>
            <w:proofErr w:type="spellEnd"/>
          </w:p>
        </w:tc>
      </w:tr>
      <w:tr w:rsidR="00B1464A" w:rsidRPr="00A20AF0" w14:paraId="5C96F787"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6D0A3A17" w14:textId="77777777" w:rsidR="00B1464A" w:rsidRPr="00A20AF0" w:rsidRDefault="00B1464A" w:rsidP="00E01AAB">
            <w:pPr>
              <w:contextualSpacing/>
              <w:rPr>
                <w:bCs/>
                <w:sz w:val="22"/>
                <w:szCs w:val="22"/>
              </w:rPr>
            </w:pPr>
            <w:r w:rsidRPr="00A20AF0">
              <w:rPr>
                <w:color w:val="000000"/>
                <w:sz w:val="22"/>
                <w:szCs w:val="22"/>
              </w:rPr>
              <w:t>Percentage without 4+ Years College, Ages 25+, 2013-2017 (5-year)</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3C6385C2"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510F31A0" w14:textId="77777777" w:rsidR="00B1464A" w:rsidRPr="00A20AF0" w:rsidRDefault="00B1464A" w:rsidP="00E01AAB">
            <w:pPr>
              <w:contextualSpacing/>
              <w:rPr>
                <w:bCs/>
                <w:sz w:val="22"/>
                <w:szCs w:val="22"/>
              </w:rPr>
            </w:pPr>
            <w:r w:rsidRPr="00A20AF0">
              <w:rPr>
                <w:color w:val="000000"/>
                <w:sz w:val="22"/>
                <w:szCs w:val="22"/>
              </w:rPr>
              <w:t>American Community Survey 2013-2017</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4EEFB246" w14:textId="77777777" w:rsidR="00B1464A" w:rsidRPr="00A20AF0" w:rsidRDefault="00B1464A" w:rsidP="00E01AAB">
            <w:pPr>
              <w:contextualSpacing/>
              <w:rPr>
                <w:bCs/>
                <w:sz w:val="22"/>
                <w:szCs w:val="22"/>
              </w:rPr>
            </w:pPr>
            <w:proofErr w:type="spellStart"/>
            <w:r w:rsidRPr="00A20AF0">
              <w:rPr>
                <w:color w:val="000000"/>
                <w:sz w:val="22"/>
                <w:szCs w:val="22"/>
              </w:rPr>
              <w:t>prop_edu_less_college</w:t>
            </w:r>
            <w:proofErr w:type="spellEnd"/>
          </w:p>
        </w:tc>
      </w:tr>
      <w:tr w:rsidR="00B1464A" w:rsidRPr="00A20AF0" w14:paraId="180ED40D"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26A2D68D" w14:textId="77777777" w:rsidR="00B1464A" w:rsidRPr="00A20AF0" w:rsidRDefault="00B1464A" w:rsidP="00E01AAB">
            <w:pPr>
              <w:contextualSpacing/>
              <w:rPr>
                <w:bCs/>
                <w:sz w:val="22"/>
                <w:szCs w:val="22"/>
              </w:rPr>
            </w:pPr>
            <w:r w:rsidRPr="00A20AF0">
              <w:rPr>
                <w:color w:val="000000"/>
                <w:sz w:val="22"/>
                <w:szCs w:val="22"/>
              </w:rPr>
              <w:t>Percentage Food Stamp/Supplemental Nutrition Assistance Program Recipients, 2015</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500DB743"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393C6F97" w14:textId="77777777" w:rsidR="00B1464A" w:rsidRPr="00A20AF0" w:rsidRDefault="00B1464A" w:rsidP="00E01AAB">
            <w:pPr>
              <w:contextualSpacing/>
              <w:rPr>
                <w:bCs/>
                <w:sz w:val="22"/>
                <w:szCs w:val="22"/>
              </w:rPr>
            </w:pPr>
            <w:r w:rsidRPr="00A20AF0">
              <w:rPr>
                <w:color w:val="000000"/>
                <w:sz w:val="22"/>
                <w:szCs w:val="22"/>
              </w:rPr>
              <w:t>Health Resources and Services Administration; Area Health Resources File</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5E91BD0F" w14:textId="77777777" w:rsidR="00B1464A" w:rsidRPr="00A20AF0" w:rsidRDefault="00B1464A" w:rsidP="00E01AAB">
            <w:pPr>
              <w:contextualSpacing/>
              <w:rPr>
                <w:bCs/>
                <w:sz w:val="22"/>
                <w:szCs w:val="22"/>
              </w:rPr>
            </w:pPr>
            <w:proofErr w:type="spellStart"/>
            <w:r w:rsidRPr="00A20AF0">
              <w:rPr>
                <w:color w:val="000000"/>
                <w:sz w:val="22"/>
                <w:szCs w:val="22"/>
              </w:rPr>
              <w:t>prop_food_stamp_sp_recip</w:t>
            </w:r>
            <w:proofErr w:type="spellEnd"/>
          </w:p>
        </w:tc>
      </w:tr>
      <w:tr w:rsidR="00B1464A" w:rsidRPr="00A20AF0" w14:paraId="58AC1C56"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0BE9A3E8" w14:textId="77777777" w:rsidR="00B1464A" w:rsidRPr="00A20AF0" w:rsidRDefault="00B1464A" w:rsidP="00E01AAB">
            <w:pPr>
              <w:contextualSpacing/>
              <w:rPr>
                <w:bCs/>
                <w:sz w:val="22"/>
                <w:szCs w:val="22"/>
              </w:rPr>
            </w:pPr>
            <w:r w:rsidRPr="00A20AF0">
              <w:rPr>
                <w:color w:val="000000"/>
                <w:sz w:val="22"/>
                <w:szCs w:val="22"/>
              </w:rPr>
              <w:t>Percentage Living in Poverty, All Ages, 2016</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1D41C311"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7EE51719" w14:textId="77777777" w:rsidR="00B1464A" w:rsidRPr="00A20AF0" w:rsidRDefault="00B1464A" w:rsidP="00E01AAB">
            <w:pPr>
              <w:contextualSpacing/>
              <w:rPr>
                <w:color w:val="24292E"/>
                <w:sz w:val="22"/>
                <w:szCs w:val="22"/>
                <w:shd w:val="clear" w:color="auto" w:fill="FFFFFF"/>
              </w:rPr>
            </w:pPr>
            <w:r w:rsidRPr="00A20AF0">
              <w:rPr>
                <w:color w:val="000000"/>
                <w:sz w:val="22"/>
                <w:szCs w:val="22"/>
              </w:rPr>
              <w:t>U.S. Census Bureau (SAIPE); Small Area Income and Policy Estimates</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35B41591" w14:textId="77777777" w:rsidR="00B1464A" w:rsidRPr="00A20AF0" w:rsidRDefault="00B1464A" w:rsidP="00E01AAB">
            <w:pPr>
              <w:contextualSpacing/>
              <w:rPr>
                <w:color w:val="24292E"/>
                <w:sz w:val="22"/>
                <w:szCs w:val="22"/>
                <w:shd w:val="clear" w:color="auto" w:fill="FFFFFF"/>
              </w:rPr>
            </w:pPr>
            <w:proofErr w:type="spellStart"/>
            <w:r w:rsidRPr="00A20AF0">
              <w:rPr>
                <w:color w:val="000000"/>
                <w:sz w:val="22"/>
                <w:szCs w:val="22"/>
              </w:rPr>
              <w:t>prop_poverty</w:t>
            </w:r>
            <w:proofErr w:type="spellEnd"/>
          </w:p>
        </w:tc>
      </w:tr>
      <w:tr w:rsidR="00B1464A" w:rsidRPr="00A20AF0" w14:paraId="49969FA5"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5DC80614" w14:textId="77777777" w:rsidR="00B1464A" w:rsidRPr="00A20AF0" w:rsidRDefault="00B1464A" w:rsidP="00E01AAB">
            <w:pPr>
              <w:contextualSpacing/>
              <w:rPr>
                <w:bCs/>
                <w:sz w:val="22"/>
                <w:szCs w:val="22"/>
              </w:rPr>
            </w:pPr>
            <w:r w:rsidRPr="00A20AF0">
              <w:rPr>
                <w:color w:val="000000"/>
                <w:sz w:val="22"/>
                <w:szCs w:val="22"/>
              </w:rPr>
              <w:t>Percentage without Health Insurance, Under Age 65, 2016</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5D9E0A40"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12FC230D" w14:textId="77777777" w:rsidR="00B1464A" w:rsidRPr="00A20AF0" w:rsidRDefault="00B1464A" w:rsidP="00E01AAB">
            <w:pPr>
              <w:contextualSpacing/>
              <w:rPr>
                <w:color w:val="24292E"/>
                <w:sz w:val="22"/>
                <w:szCs w:val="22"/>
                <w:shd w:val="clear" w:color="auto" w:fill="FFFFFF"/>
              </w:rPr>
            </w:pPr>
            <w:r w:rsidRPr="00A20AF0">
              <w:rPr>
                <w:color w:val="000000"/>
                <w:sz w:val="22"/>
                <w:szCs w:val="22"/>
              </w:rPr>
              <w:t>U.S. Census Bureau (SAHIE)</w:t>
            </w:r>
            <w:r w:rsidRPr="00A20AF0">
              <w:rPr>
                <w:color w:val="000000"/>
                <w:sz w:val="22"/>
                <w:szCs w:val="22"/>
              </w:rPr>
              <w:br/>
              <w:t>Small Area Health Insurance Estimates</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6DD96F7A" w14:textId="77777777" w:rsidR="00B1464A" w:rsidRPr="00A20AF0" w:rsidRDefault="00B1464A" w:rsidP="00E01AAB">
            <w:pPr>
              <w:contextualSpacing/>
              <w:rPr>
                <w:color w:val="24292E"/>
                <w:sz w:val="22"/>
                <w:szCs w:val="22"/>
                <w:shd w:val="clear" w:color="auto" w:fill="FFFFFF"/>
              </w:rPr>
            </w:pPr>
            <w:proofErr w:type="spellStart"/>
            <w:r w:rsidRPr="00A20AF0">
              <w:rPr>
                <w:color w:val="000000"/>
                <w:sz w:val="22"/>
                <w:szCs w:val="22"/>
              </w:rPr>
              <w:t>prop_uninsured</w:t>
            </w:r>
            <w:proofErr w:type="spellEnd"/>
          </w:p>
        </w:tc>
      </w:tr>
      <w:tr w:rsidR="00B1464A" w:rsidRPr="00A20AF0" w14:paraId="50C4E6A4"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vAlign w:val="bottom"/>
          </w:tcPr>
          <w:p w14:paraId="32774E64" w14:textId="77777777" w:rsidR="00B1464A" w:rsidRPr="00A20AF0" w:rsidRDefault="00B1464A" w:rsidP="00E01AAB">
            <w:pPr>
              <w:contextualSpacing/>
              <w:rPr>
                <w:bCs/>
                <w:sz w:val="22"/>
                <w:szCs w:val="22"/>
              </w:rPr>
            </w:pPr>
            <w:r w:rsidRPr="00A20AF0">
              <w:rPr>
                <w:color w:val="000000"/>
                <w:sz w:val="22"/>
                <w:szCs w:val="22"/>
              </w:rPr>
              <w:t>Percentage Eligible for Medicaid, All Ages, 2012</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260716D1"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79030426" w14:textId="77777777" w:rsidR="00B1464A" w:rsidRPr="00A20AF0" w:rsidRDefault="00B1464A" w:rsidP="00E01AAB">
            <w:pPr>
              <w:contextualSpacing/>
              <w:rPr>
                <w:color w:val="24292E"/>
                <w:sz w:val="22"/>
                <w:szCs w:val="22"/>
                <w:shd w:val="clear" w:color="auto" w:fill="FFFFFF"/>
              </w:rPr>
            </w:pPr>
            <w:r w:rsidRPr="00A20AF0">
              <w:rPr>
                <w:color w:val="000000"/>
                <w:sz w:val="22"/>
                <w:szCs w:val="22"/>
              </w:rPr>
              <w:t>Health Resources and Services Administration; Area Health Resources File</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tcPr>
          <w:p w14:paraId="03C316CD" w14:textId="77777777" w:rsidR="00B1464A" w:rsidRPr="00A20AF0" w:rsidRDefault="00B1464A" w:rsidP="00E01AAB">
            <w:pPr>
              <w:contextualSpacing/>
              <w:rPr>
                <w:color w:val="000000"/>
                <w:sz w:val="22"/>
                <w:szCs w:val="22"/>
              </w:rPr>
            </w:pPr>
            <w:proofErr w:type="spellStart"/>
            <w:r w:rsidRPr="00A20AF0">
              <w:rPr>
                <w:color w:val="000000"/>
                <w:sz w:val="22"/>
                <w:szCs w:val="22"/>
              </w:rPr>
              <w:t>prop_medicaid_eligible</w:t>
            </w:r>
            <w:proofErr w:type="spellEnd"/>
          </w:p>
          <w:p w14:paraId="6E4E66A6" w14:textId="77777777" w:rsidR="00B1464A" w:rsidRPr="00A20AF0" w:rsidRDefault="00B1464A" w:rsidP="00E01AAB">
            <w:pPr>
              <w:contextualSpacing/>
              <w:rPr>
                <w:color w:val="24292E"/>
                <w:sz w:val="22"/>
                <w:szCs w:val="22"/>
                <w:shd w:val="clear" w:color="auto" w:fill="FFFFFF"/>
              </w:rPr>
            </w:pPr>
          </w:p>
        </w:tc>
      </w:tr>
      <w:tr w:rsidR="00B1464A" w:rsidRPr="00A20AF0" w14:paraId="3C8078EB"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2CD0F0A1" w14:textId="77777777" w:rsidR="00B1464A" w:rsidRPr="00A20AF0" w:rsidRDefault="00B1464A" w:rsidP="00E01AAB">
            <w:pPr>
              <w:contextualSpacing/>
              <w:rPr>
                <w:bCs/>
                <w:sz w:val="22"/>
                <w:szCs w:val="22"/>
                <w:vertAlign w:val="superscript"/>
              </w:rPr>
            </w:pPr>
            <w:r w:rsidRPr="00A20AF0">
              <w:rPr>
                <w:bCs/>
                <w:sz w:val="22"/>
                <w:szCs w:val="22"/>
              </w:rPr>
              <w:t>Percentage in Crowded Housing, 2013-2017</w:t>
            </w:r>
            <w:r w:rsidRPr="00A20AF0">
              <w:rPr>
                <w:bCs/>
                <w:sz w:val="22"/>
                <w:szCs w:val="22"/>
                <w:vertAlign w:val="superscript"/>
              </w:rPr>
              <w:t>*</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66AC1C2A" w14:textId="77777777" w:rsidR="00B1464A" w:rsidRPr="00A20AF0" w:rsidRDefault="00B1464A" w:rsidP="00E01AAB">
            <w:pPr>
              <w:contextualSpacing/>
              <w:rPr>
                <w:color w:val="000000"/>
                <w:sz w:val="22"/>
                <w:szCs w:val="22"/>
              </w:rPr>
            </w:pPr>
            <w:r w:rsidRPr="00A20AF0">
              <w:rPr>
                <w:color w:val="000000"/>
                <w:sz w:val="22"/>
                <w:szCs w:val="22"/>
              </w:rPr>
              <w:t>Diversity Data for Kids</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73C162A1" w14:textId="77777777" w:rsidR="00B1464A" w:rsidRPr="00A20AF0" w:rsidRDefault="00B1464A" w:rsidP="00E01AAB">
            <w:pPr>
              <w:contextualSpacing/>
              <w:rPr>
                <w:bCs/>
                <w:sz w:val="22"/>
                <w:szCs w:val="22"/>
              </w:rPr>
            </w:pPr>
            <w:r w:rsidRPr="00A20AF0">
              <w:rPr>
                <w:color w:val="000000"/>
                <w:sz w:val="22"/>
                <w:szCs w:val="22"/>
              </w:rPr>
              <w:t>Diversity Data Kids (25014_1_P_050_5_crowded_housing_race)</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5CF19F7D" w14:textId="77777777" w:rsidR="00B1464A" w:rsidRPr="00A20AF0" w:rsidRDefault="00B1464A" w:rsidP="00E01AAB">
            <w:pPr>
              <w:contextualSpacing/>
              <w:rPr>
                <w:bCs/>
                <w:sz w:val="22"/>
                <w:szCs w:val="22"/>
              </w:rPr>
            </w:pPr>
            <w:proofErr w:type="spellStart"/>
            <w:r w:rsidRPr="00A20AF0">
              <w:rPr>
                <w:color w:val="000000"/>
                <w:sz w:val="22"/>
                <w:szCs w:val="22"/>
              </w:rPr>
              <w:t>total_est</w:t>
            </w:r>
            <w:proofErr w:type="spellEnd"/>
          </w:p>
        </w:tc>
      </w:tr>
      <w:tr w:rsidR="00B1464A" w:rsidRPr="00A20AF0" w14:paraId="2AA69B77"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27ABA88A" w14:textId="77777777" w:rsidR="00B1464A" w:rsidRPr="00A20AF0" w:rsidRDefault="00B1464A" w:rsidP="00E01AAB">
            <w:pPr>
              <w:contextualSpacing/>
              <w:rPr>
                <w:bCs/>
                <w:sz w:val="22"/>
                <w:szCs w:val="22"/>
              </w:rPr>
            </w:pPr>
            <w:r w:rsidRPr="00A20AF0">
              <w:rPr>
                <w:bCs/>
                <w:sz w:val="22"/>
                <w:szCs w:val="22"/>
              </w:rPr>
              <w:t xml:space="preserve">Percentage 65+ living alone, </w:t>
            </w:r>
            <w:r w:rsidRPr="00A20AF0">
              <w:rPr>
                <w:color w:val="000000"/>
                <w:sz w:val="22"/>
                <w:szCs w:val="22"/>
              </w:rPr>
              <w:t>2018</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7F6D6F73" w14:textId="77777777" w:rsidR="00B1464A" w:rsidRPr="00A20AF0" w:rsidRDefault="00B1464A" w:rsidP="00E01AAB">
            <w:pPr>
              <w:contextualSpacing/>
              <w:rPr>
                <w:color w:val="000000"/>
                <w:sz w:val="22"/>
                <w:szCs w:val="22"/>
              </w:rPr>
            </w:pPr>
            <w:r w:rsidRPr="00A20AF0">
              <w:rPr>
                <w:color w:val="000000"/>
                <w:sz w:val="22"/>
                <w:szCs w:val="22"/>
              </w:rPr>
              <w:t>US Census Bureau</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24598D42" w14:textId="77777777" w:rsidR="00B1464A" w:rsidRPr="00A20AF0" w:rsidRDefault="00B1464A" w:rsidP="00E01AAB">
            <w:pPr>
              <w:contextualSpacing/>
              <w:rPr>
                <w:bCs/>
                <w:sz w:val="22"/>
                <w:szCs w:val="22"/>
              </w:rPr>
            </w:pPr>
            <w:r w:rsidRPr="00A20AF0">
              <w:rPr>
                <w:color w:val="000000"/>
                <w:sz w:val="22"/>
                <w:szCs w:val="22"/>
              </w:rPr>
              <w:t>American Community Survey 5-year 2018 Table DP02</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1A8CE7D5" w14:textId="77777777" w:rsidR="00B1464A" w:rsidRPr="00A20AF0" w:rsidRDefault="00B1464A" w:rsidP="00E01AAB">
            <w:pPr>
              <w:contextualSpacing/>
              <w:rPr>
                <w:bCs/>
                <w:sz w:val="22"/>
                <w:szCs w:val="22"/>
              </w:rPr>
            </w:pPr>
            <w:r w:rsidRPr="00A20AF0">
              <w:rPr>
                <w:color w:val="000000"/>
                <w:sz w:val="22"/>
                <w:szCs w:val="22"/>
              </w:rPr>
              <w:t>DP02_0012PE</w:t>
            </w:r>
          </w:p>
        </w:tc>
      </w:tr>
      <w:tr w:rsidR="00B1464A" w:rsidRPr="00A20AF0" w14:paraId="6A7FD3C3"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54A6E9D7" w14:textId="77777777" w:rsidR="00B1464A" w:rsidRPr="00A20AF0" w:rsidRDefault="00B1464A" w:rsidP="00E01AAB">
            <w:pPr>
              <w:contextualSpacing/>
              <w:rPr>
                <w:bCs/>
                <w:sz w:val="22"/>
                <w:szCs w:val="22"/>
              </w:rPr>
            </w:pPr>
            <w:r w:rsidRPr="00A20AF0">
              <w:rPr>
                <w:bCs/>
                <w:sz w:val="22"/>
                <w:szCs w:val="22"/>
              </w:rPr>
              <w:t xml:space="preserve">Percentage of households where grandparent have children under 18, </w:t>
            </w:r>
            <w:r w:rsidRPr="00A20AF0">
              <w:rPr>
                <w:color w:val="000000"/>
                <w:sz w:val="22"/>
                <w:szCs w:val="22"/>
              </w:rPr>
              <w:t>2018</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2265AD22" w14:textId="77777777" w:rsidR="00B1464A" w:rsidRPr="00A20AF0" w:rsidRDefault="00B1464A" w:rsidP="00E01AAB">
            <w:pPr>
              <w:contextualSpacing/>
              <w:rPr>
                <w:color w:val="000000"/>
                <w:sz w:val="22"/>
                <w:szCs w:val="22"/>
              </w:rPr>
            </w:pPr>
            <w:r w:rsidRPr="00A20AF0">
              <w:rPr>
                <w:color w:val="000000"/>
                <w:sz w:val="22"/>
                <w:szCs w:val="22"/>
              </w:rPr>
              <w:t>US Census Bureau</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31AFA487" w14:textId="77777777" w:rsidR="00B1464A" w:rsidRPr="00A20AF0" w:rsidRDefault="00B1464A" w:rsidP="00E01AAB">
            <w:pPr>
              <w:contextualSpacing/>
              <w:rPr>
                <w:bCs/>
                <w:sz w:val="22"/>
                <w:szCs w:val="22"/>
              </w:rPr>
            </w:pPr>
            <w:r w:rsidRPr="00A20AF0">
              <w:rPr>
                <w:color w:val="000000"/>
                <w:sz w:val="22"/>
                <w:szCs w:val="22"/>
              </w:rPr>
              <w:t>American Community Survey 5-year 2018 Table DP02</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3A47AB35" w14:textId="77777777" w:rsidR="00B1464A" w:rsidRPr="00A20AF0" w:rsidRDefault="00B1464A" w:rsidP="00E01AAB">
            <w:pPr>
              <w:contextualSpacing/>
              <w:rPr>
                <w:bCs/>
                <w:sz w:val="22"/>
                <w:szCs w:val="22"/>
              </w:rPr>
            </w:pPr>
            <w:r w:rsidRPr="00A20AF0">
              <w:rPr>
                <w:color w:val="000000"/>
                <w:sz w:val="22"/>
                <w:szCs w:val="22"/>
              </w:rPr>
              <w:t>DP02_0043PE</w:t>
            </w:r>
          </w:p>
        </w:tc>
      </w:tr>
      <w:tr w:rsidR="00B1464A" w:rsidRPr="00A20AF0" w14:paraId="52F76B1A"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44EBD2EE" w14:textId="77777777" w:rsidR="00B1464A" w:rsidRPr="00A20AF0" w:rsidRDefault="00B1464A" w:rsidP="00E01AAB">
            <w:pPr>
              <w:contextualSpacing/>
              <w:rPr>
                <w:bCs/>
                <w:sz w:val="22"/>
                <w:szCs w:val="22"/>
              </w:rPr>
            </w:pPr>
            <w:r w:rsidRPr="00A20AF0">
              <w:rPr>
                <w:bCs/>
                <w:sz w:val="22"/>
                <w:szCs w:val="22"/>
              </w:rPr>
              <w:t xml:space="preserve">Percentage of Households without a computer, </w:t>
            </w:r>
            <w:r w:rsidRPr="00A20AF0">
              <w:rPr>
                <w:color w:val="000000"/>
                <w:sz w:val="22"/>
                <w:szCs w:val="22"/>
              </w:rPr>
              <w:t>2018</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2607CE4D" w14:textId="77777777" w:rsidR="00B1464A" w:rsidRPr="00A20AF0" w:rsidRDefault="00B1464A" w:rsidP="00E01AAB">
            <w:pPr>
              <w:contextualSpacing/>
              <w:rPr>
                <w:color w:val="000000"/>
                <w:sz w:val="22"/>
                <w:szCs w:val="22"/>
              </w:rPr>
            </w:pPr>
            <w:r w:rsidRPr="00A20AF0">
              <w:rPr>
                <w:color w:val="000000"/>
                <w:sz w:val="22"/>
                <w:szCs w:val="22"/>
              </w:rPr>
              <w:t>US Census Bureau</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148231A6" w14:textId="77777777" w:rsidR="00B1464A" w:rsidRPr="00A20AF0" w:rsidRDefault="00B1464A" w:rsidP="00E01AAB">
            <w:pPr>
              <w:contextualSpacing/>
              <w:rPr>
                <w:bCs/>
                <w:sz w:val="22"/>
                <w:szCs w:val="22"/>
              </w:rPr>
            </w:pPr>
            <w:r w:rsidRPr="00A20AF0">
              <w:rPr>
                <w:color w:val="000000"/>
                <w:sz w:val="22"/>
                <w:szCs w:val="22"/>
              </w:rPr>
              <w:t>American Community Survey 5-year 2018 Table DP02</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61B76054" w14:textId="77777777" w:rsidR="00B1464A" w:rsidRPr="00A20AF0" w:rsidRDefault="00B1464A" w:rsidP="00E01AAB">
            <w:pPr>
              <w:contextualSpacing/>
              <w:rPr>
                <w:bCs/>
                <w:sz w:val="22"/>
                <w:szCs w:val="22"/>
              </w:rPr>
            </w:pPr>
            <w:r w:rsidRPr="00A20AF0">
              <w:rPr>
                <w:color w:val="000000"/>
                <w:sz w:val="22"/>
                <w:szCs w:val="22"/>
              </w:rPr>
              <w:t>DP02_0151PE</w:t>
            </w:r>
          </w:p>
        </w:tc>
      </w:tr>
      <w:tr w:rsidR="00B1464A" w:rsidRPr="00A20AF0" w14:paraId="57564EA1"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78D4B68F" w14:textId="77777777" w:rsidR="00B1464A" w:rsidRPr="00A20AF0" w:rsidRDefault="00B1464A" w:rsidP="00E01AAB">
            <w:pPr>
              <w:contextualSpacing/>
              <w:rPr>
                <w:bCs/>
                <w:sz w:val="22"/>
                <w:szCs w:val="22"/>
              </w:rPr>
            </w:pPr>
            <w:r w:rsidRPr="00A20AF0">
              <w:rPr>
                <w:bCs/>
                <w:sz w:val="22"/>
                <w:szCs w:val="22"/>
              </w:rPr>
              <w:t xml:space="preserve">Percentage of households without broadband, </w:t>
            </w:r>
            <w:r w:rsidRPr="00A20AF0">
              <w:rPr>
                <w:color w:val="000000"/>
                <w:sz w:val="22"/>
                <w:szCs w:val="22"/>
              </w:rPr>
              <w:t>2018</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136C7E4B" w14:textId="77777777" w:rsidR="00B1464A" w:rsidRPr="00A20AF0" w:rsidRDefault="00B1464A" w:rsidP="00E01AAB">
            <w:pPr>
              <w:contextualSpacing/>
              <w:rPr>
                <w:color w:val="000000"/>
                <w:sz w:val="22"/>
                <w:szCs w:val="22"/>
              </w:rPr>
            </w:pPr>
            <w:r w:rsidRPr="00A20AF0">
              <w:rPr>
                <w:color w:val="000000"/>
                <w:sz w:val="22"/>
                <w:szCs w:val="22"/>
              </w:rPr>
              <w:t>US Census Bureau</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4435BDEA" w14:textId="77777777" w:rsidR="00B1464A" w:rsidRPr="00A20AF0" w:rsidRDefault="00B1464A" w:rsidP="00E01AAB">
            <w:pPr>
              <w:contextualSpacing/>
              <w:rPr>
                <w:bCs/>
                <w:sz w:val="22"/>
                <w:szCs w:val="22"/>
              </w:rPr>
            </w:pPr>
            <w:r w:rsidRPr="00A20AF0">
              <w:rPr>
                <w:color w:val="000000"/>
                <w:sz w:val="22"/>
                <w:szCs w:val="22"/>
              </w:rPr>
              <w:t>American Community Survey 5-year 2018 Table DP02</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5CC39C76" w14:textId="77777777" w:rsidR="00B1464A" w:rsidRPr="00A20AF0" w:rsidRDefault="00B1464A" w:rsidP="00E01AAB">
            <w:pPr>
              <w:contextualSpacing/>
              <w:rPr>
                <w:bCs/>
                <w:sz w:val="22"/>
                <w:szCs w:val="22"/>
              </w:rPr>
            </w:pPr>
            <w:r w:rsidRPr="00A20AF0">
              <w:rPr>
                <w:color w:val="000000"/>
                <w:sz w:val="22"/>
                <w:szCs w:val="22"/>
              </w:rPr>
              <w:t>DP02_0152PE</w:t>
            </w:r>
          </w:p>
        </w:tc>
      </w:tr>
      <w:tr w:rsidR="00B1464A" w:rsidRPr="00A20AF0" w14:paraId="2921D9F1"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251368AE" w14:textId="77777777" w:rsidR="00B1464A" w:rsidRPr="00A20AF0" w:rsidRDefault="00B1464A" w:rsidP="00E01AAB">
            <w:pPr>
              <w:contextualSpacing/>
              <w:rPr>
                <w:bCs/>
                <w:sz w:val="22"/>
                <w:szCs w:val="22"/>
              </w:rPr>
            </w:pPr>
            <w:r w:rsidRPr="00A20AF0">
              <w:rPr>
                <w:bCs/>
                <w:sz w:val="22"/>
                <w:szCs w:val="22"/>
              </w:rPr>
              <w:t xml:space="preserve">Percentage of US Non-Native Residents, </w:t>
            </w:r>
            <w:r w:rsidRPr="00A20AF0">
              <w:rPr>
                <w:color w:val="000000"/>
                <w:sz w:val="22"/>
                <w:szCs w:val="22"/>
              </w:rPr>
              <w:t>2018</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74A3AE27" w14:textId="77777777" w:rsidR="00B1464A" w:rsidRPr="00A20AF0" w:rsidRDefault="00B1464A" w:rsidP="00E01AAB">
            <w:pPr>
              <w:contextualSpacing/>
              <w:rPr>
                <w:color w:val="000000"/>
                <w:sz w:val="22"/>
                <w:szCs w:val="22"/>
              </w:rPr>
            </w:pPr>
            <w:r w:rsidRPr="00A20AF0">
              <w:rPr>
                <w:color w:val="000000"/>
                <w:sz w:val="22"/>
                <w:szCs w:val="22"/>
              </w:rPr>
              <w:t>US Census Bureau</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465D114B" w14:textId="77777777" w:rsidR="00B1464A" w:rsidRPr="00A20AF0" w:rsidRDefault="00B1464A" w:rsidP="00E01AAB">
            <w:pPr>
              <w:contextualSpacing/>
              <w:rPr>
                <w:bCs/>
                <w:sz w:val="22"/>
                <w:szCs w:val="22"/>
              </w:rPr>
            </w:pPr>
            <w:r w:rsidRPr="00A20AF0">
              <w:rPr>
                <w:color w:val="000000"/>
                <w:sz w:val="22"/>
                <w:szCs w:val="22"/>
              </w:rPr>
              <w:t>American Community Survey 5-year 2018 Table DP02</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7B6D3F49" w14:textId="77777777" w:rsidR="00B1464A" w:rsidRPr="00A20AF0" w:rsidRDefault="00B1464A" w:rsidP="00E01AAB">
            <w:pPr>
              <w:contextualSpacing/>
              <w:rPr>
                <w:bCs/>
                <w:sz w:val="22"/>
                <w:szCs w:val="22"/>
              </w:rPr>
            </w:pPr>
            <w:r w:rsidRPr="00A20AF0">
              <w:rPr>
                <w:color w:val="000000"/>
                <w:sz w:val="22"/>
                <w:szCs w:val="22"/>
              </w:rPr>
              <w:t>DP02_0087PE</w:t>
            </w:r>
          </w:p>
        </w:tc>
      </w:tr>
      <w:tr w:rsidR="00B1464A" w:rsidRPr="00A20AF0" w14:paraId="3053131E"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12B2C74C" w14:textId="77777777" w:rsidR="00B1464A" w:rsidRPr="00A20AF0" w:rsidRDefault="00B1464A" w:rsidP="00E01AAB">
            <w:pPr>
              <w:contextualSpacing/>
              <w:rPr>
                <w:bCs/>
                <w:sz w:val="22"/>
                <w:szCs w:val="22"/>
              </w:rPr>
            </w:pPr>
            <w:r w:rsidRPr="00A20AF0">
              <w:rPr>
                <w:bCs/>
                <w:sz w:val="22"/>
                <w:szCs w:val="22"/>
              </w:rPr>
              <w:t xml:space="preserve">Percentage Non-White, </w:t>
            </w:r>
            <w:r w:rsidRPr="00A20AF0">
              <w:rPr>
                <w:color w:val="000000"/>
                <w:sz w:val="22"/>
                <w:szCs w:val="22"/>
              </w:rPr>
              <w:t>2018</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6F9472CB" w14:textId="77777777" w:rsidR="00B1464A" w:rsidRPr="00A20AF0" w:rsidRDefault="00B1464A" w:rsidP="00E01AAB">
            <w:pPr>
              <w:contextualSpacing/>
              <w:rPr>
                <w:color w:val="000000"/>
                <w:sz w:val="22"/>
                <w:szCs w:val="22"/>
              </w:rPr>
            </w:pPr>
            <w:r w:rsidRPr="00A20AF0">
              <w:rPr>
                <w:color w:val="000000"/>
                <w:sz w:val="22"/>
                <w:szCs w:val="22"/>
              </w:rPr>
              <w:t>US Census Bureau</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2D04BAD3" w14:textId="77777777" w:rsidR="00B1464A" w:rsidRPr="00A20AF0" w:rsidRDefault="00B1464A" w:rsidP="00E01AAB">
            <w:pPr>
              <w:contextualSpacing/>
              <w:rPr>
                <w:bCs/>
                <w:sz w:val="22"/>
                <w:szCs w:val="22"/>
              </w:rPr>
            </w:pPr>
            <w:r w:rsidRPr="00A20AF0">
              <w:rPr>
                <w:color w:val="000000"/>
                <w:sz w:val="22"/>
                <w:szCs w:val="22"/>
              </w:rPr>
              <w:t>American Community Survey 5-year 2018 Table DP02</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29800BD7" w14:textId="77777777" w:rsidR="00B1464A" w:rsidRPr="00A20AF0" w:rsidRDefault="00B1464A" w:rsidP="00E01AAB">
            <w:pPr>
              <w:contextualSpacing/>
              <w:rPr>
                <w:bCs/>
                <w:sz w:val="22"/>
                <w:szCs w:val="22"/>
              </w:rPr>
            </w:pPr>
            <w:r w:rsidRPr="00A20AF0">
              <w:rPr>
                <w:color w:val="000000"/>
                <w:sz w:val="22"/>
                <w:szCs w:val="22"/>
              </w:rPr>
              <w:t>DP02_0087E</w:t>
            </w:r>
          </w:p>
        </w:tc>
      </w:tr>
      <w:tr w:rsidR="00B1464A" w:rsidRPr="00A20AF0" w14:paraId="2155A4FC"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7E1141D5" w14:textId="77777777" w:rsidR="00B1464A" w:rsidRPr="00A20AF0" w:rsidRDefault="00B1464A" w:rsidP="00E01AAB">
            <w:pPr>
              <w:contextualSpacing/>
              <w:rPr>
                <w:bCs/>
                <w:sz w:val="22"/>
                <w:szCs w:val="22"/>
              </w:rPr>
            </w:pPr>
            <w:r w:rsidRPr="00A20AF0">
              <w:rPr>
                <w:bCs/>
                <w:sz w:val="22"/>
                <w:szCs w:val="22"/>
              </w:rPr>
              <w:t>Median Household Income (thousands), 2016</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771783B5"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5C24B65B" w14:textId="77777777" w:rsidR="00B1464A" w:rsidRPr="00A20AF0" w:rsidRDefault="00B1464A" w:rsidP="00E01AAB">
            <w:pPr>
              <w:contextualSpacing/>
              <w:rPr>
                <w:bCs/>
                <w:sz w:val="22"/>
                <w:szCs w:val="22"/>
              </w:rPr>
            </w:pPr>
            <w:r w:rsidRPr="00A20AF0">
              <w:rPr>
                <w:color w:val="000000"/>
                <w:sz w:val="22"/>
                <w:szCs w:val="22"/>
              </w:rPr>
              <w:t>U.S. Census Bureau (SAIPE); Small Area Income and Policy Estimates</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0774A7CA" w14:textId="77777777" w:rsidR="00B1464A" w:rsidRPr="00A20AF0" w:rsidRDefault="00B1464A" w:rsidP="00E01AAB">
            <w:pPr>
              <w:contextualSpacing/>
              <w:rPr>
                <w:bCs/>
                <w:sz w:val="22"/>
                <w:szCs w:val="22"/>
              </w:rPr>
            </w:pPr>
            <w:r w:rsidRPr="00A20AF0">
              <w:rPr>
                <w:color w:val="000000"/>
                <w:sz w:val="22"/>
                <w:szCs w:val="22"/>
              </w:rPr>
              <w:t>NA</w:t>
            </w:r>
          </w:p>
        </w:tc>
      </w:tr>
      <w:tr w:rsidR="00B1464A" w:rsidRPr="00A20AF0" w14:paraId="1780236D" w14:textId="77777777" w:rsidTr="00E01AAB">
        <w:trPr>
          <w:trHeight w:val="108"/>
          <w:jc w:val="center"/>
        </w:trPr>
        <w:tc>
          <w:tcPr>
            <w:tcW w:w="3820" w:type="dxa"/>
            <w:tcBorders>
              <w:top w:val="single" w:sz="2" w:space="0" w:color="BFBFBF" w:themeColor="background1" w:themeShade="BF"/>
              <w:left w:val="single" w:sz="4" w:space="0" w:color="auto"/>
              <w:bottom w:val="single" w:sz="2" w:space="0" w:color="BFBFBF" w:themeColor="background1" w:themeShade="BF"/>
              <w:right w:val="single" w:sz="2" w:space="0" w:color="BFBFBF" w:themeColor="background1" w:themeShade="BF"/>
            </w:tcBorders>
          </w:tcPr>
          <w:p w14:paraId="6DA71EA7" w14:textId="77777777" w:rsidR="00B1464A" w:rsidRPr="00A20AF0" w:rsidRDefault="00B1464A" w:rsidP="00E01AAB">
            <w:pPr>
              <w:contextualSpacing/>
              <w:rPr>
                <w:bCs/>
                <w:sz w:val="22"/>
                <w:szCs w:val="22"/>
              </w:rPr>
            </w:pPr>
            <w:r w:rsidRPr="00A20AF0">
              <w:rPr>
                <w:bCs/>
                <w:sz w:val="22"/>
                <w:szCs w:val="22"/>
              </w:rPr>
              <w:t xml:space="preserve">Income Inequality (GINI Index), </w:t>
            </w:r>
            <w:r w:rsidRPr="00A20AF0">
              <w:rPr>
                <w:color w:val="000000"/>
                <w:sz w:val="22"/>
                <w:szCs w:val="22"/>
              </w:rPr>
              <w:t>2018</w:t>
            </w:r>
          </w:p>
        </w:tc>
        <w:tc>
          <w:tcPr>
            <w:tcW w:w="239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3F4FD4F8" w14:textId="77777777" w:rsidR="00B1464A" w:rsidRPr="00A20AF0" w:rsidRDefault="00B1464A" w:rsidP="00E01AAB">
            <w:pPr>
              <w:contextualSpacing/>
              <w:rPr>
                <w:color w:val="000000"/>
                <w:sz w:val="22"/>
                <w:szCs w:val="22"/>
              </w:rPr>
            </w:pPr>
            <w:r w:rsidRPr="00A20AF0">
              <w:rPr>
                <w:color w:val="000000"/>
                <w:sz w:val="22"/>
                <w:szCs w:val="22"/>
              </w:rPr>
              <w:t>US Census Bureau</w:t>
            </w:r>
          </w:p>
        </w:tc>
        <w:tc>
          <w:tcPr>
            <w:tcW w:w="300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bottom"/>
          </w:tcPr>
          <w:p w14:paraId="74AA01F0" w14:textId="77777777" w:rsidR="00B1464A" w:rsidRPr="00A20AF0" w:rsidRDefault="00B1464A" w:rsidP="00E01AAB">
            <w:pPr>
              <w:contextualSpacing/>
              <w:rPr>
                <w:bCs/>
                <w:sz w:val="22"/>
                <w:szCs w:val="22"/>
              </w:rPr>
            </w:pPr>
            <w:r w:rsidRPr="00A20AF0">
              <w:rPr>
                <w:color w:val="000000"/>
                <w:sz w:val="22"/>
                <w:szCs w:val="22"/>
              </w:rPr>
              <w:t>American Community Survey 5-year 2018</w:t>
            </w:r>
          </w:p>
        </w:tc>
        <w:tc>
          <w:tcPr>
            <w:tcW w:w="203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4" w:space="0" w:color="auto"/>
            </w:tcBorders>
            <w:vAlign w:val="bottom"/>
          </w:tcPr>
          <w:p w14:paraId="391937D8" w14:textId="77777777" w:rsidR="00B1464A" w:rsidRPr="00A20AF0" w:rsidRDefault="00B1464A" w:rsidP="00E01AAB">
            <w:pPr>
              <w:contextualSpacing/>
              <w:rPr>
                <w:bCs/>
                <w:sz w:val="22"/>
                <w:szCs w:val="22"/>
              </w:rPr>
            </w:pPr>
            <w:r w:rsidRPr="00A20AF0">
              <w:rPr>
                <w:color w:val="000000"/>
                <w:sz w:val="22"/>
                <w:szCs w:val="22"/>
              </w:rPr>
              <w:t>B19083_001E</w:t>
            </w:r>
          </w:p>
        </w:tc>
      </w:tr>
      <w:tr w:rsidR="00B1464A" w:rsidRPr="00A20AF0" w14:paraId="3EBC10FA" w14:textId="77777777" w:rsidTr="00E01AAB">
        <w:trPr>
          <w:trHeight w:val="75"/>
          <w:jc w:val="center"/>
        </w:trPr>
        <w:tc>
          <w:tcPr>
            <w:tcW w:w="3820" w:type="dxa"/>
            <w:tcBorders>
              <w:top w:val="single" w:sz="2" w:space="0" w:color="BFBFBF" w:themeColor="background1" w:themeShade="BF"/>
              <w:left w:val="single" w:sz="4" w:space="0" w:color="auto"/>
              <w:bottom w:val="single" w:sz="4" w:space="0" w:color="auto"/>
              <w:right w:val="single" w:sz="2" w:space="0" w:color="BFBFBF" w:themeColor="background1" w:themeShade="BF"/>
            </w:tcBorders>
          </w:tcPr>
          <w:p w14:paraId="29DBCACA" w14:textId="77777777" w:rsidR="00B1464A" w:rsidRPr="00A20AF0" w:rsidRDefault="00B1464A" w:rsidP="00E01AAB">
            <w:pPr>
              <w:contextualSpacing/>
              <w:rPr>
                <w:bCs/>
                <w:sz w:val="22"/>
                <w:szCs w:val="22"/>
              </w:rPr>
            </w:pPr>
            <w:r w:rsidRPr="00A20AF0">
              <w:rPr>
                <w:bCs/>
                <w:sz w:val="22"/>
                <w:szCs w:val="22"/>
              </w:rPr>
              <w:t>Unemployment Rate Ages 16+, 2017</w:t>
            </w:r>
          </w:p>
        </w:tc>
        <w:tc>
          <w:tcPr>
            <w:tcW w:w="2390" w:type="dxa"/>
            <w:tcBorders>
              <w:top w:val="single" w:sz="2" w:space="0" w:color="BFBFBF" w:themeColor="background1" w:themeShade="BF"/>
              <w:left w:val="single" w:sz="2" w:space="0" w:color="BFBFBF" w:themeColor="background1" w:themeShade="BF"/>
              <w:bottom w:val="single" w:sz="4" w:space="0" w:color="auto"/>
              <w:right w:val="single" w:sz="2" w:space="0" w:color="BFBFBF" w:themeColor="background1" w:themeShade="BF"/>
            </w:tcBorders>
            <w:vAlign w:val="bottom"/>
          </w:tcPr>
          <w:p w14:paraId="6FFF7814" w14:textId="77777777" w:rsidR="00B1464A" w:rsidRPr="00A20AF0" w:rsidRDefault="00B1464A" w:rsidP="00E01AAB">
            <w:pPr>
              <w:contextualSpacing/>
              <w:rPr>
                <w:color w:val="000000"/>
                <w:sz w:val="22"/>
                <w:szCs w:val="22"/>
              </w:rPr>
            </w:pPr>
            <w:r w:rsidRPr="00A20AF0">
              <w:rPr>
                <w:color w:val="000000"/>
                <w:sz w:val="22"/>
                <w:szCs w:val="22"/>
              </w:rPr>
              <w:t>Centers for Disease Control and Prevention</w:t>
            </w:r>
          </w:p>
        </w:tc>
        <w:tc>
          <w:tcPr>
            <w:tcW w:w="3002" w:type="dxa"/>
            <w:tcBorders>
              <w:top w:val="single" w:sz="2" w:space="0" w:color="BFBFBF" w:themeColor="background1" w:themeShade="BF"/>
              <w:left w:val="single" w:sz="2" w:space="0" w:color="BFBFBF" w:themeColor="background1" w:themeShade="BF"/>
              <w:bottom w:val="single" w:sz="4" w:space="0" w:color="auto"/>
              <w:right w:val="single" w:sz="2" w:space="0" w:color="BFBFBF" w:themeColor="background1" w:themeShade="BF"/>
            </w:tcBorders>
            <w:vAlign w:val="bottom"/>
          </w:tcPr>
          <w:p w14:paraId="36AE8928" w14:textId="77777777" w:rsidR="00B1464A" w:rsidRPr="00A20AF0" w:rsidRDefault="00B1464A" w:rsidP="00E01AAB">
            <w:pPr>
              <w:contextualSpacing/>
              <w:rPr>
                <w:bCs/>
                <w:sz w:val="22"/>
                <w:szCs w:val="22"/>
              </w:rPr>
            </w:pPr>
            <w:r w:rsidRPr="00A20AF0">
              <w:rPr>
                <w:color w:val="000000"/>
                <w:sz w:val="22"/>
                <w:szCs w:val="22"/>
              </w:rPr>
              <w:t>U.S. Bureau of Labor Statistics; Local Area Unemployment Statistics</w:t>
            </w:r>
          </w:p>
        </w:tc>
        <w:tc>
          <w:tcPr>
            <w:tcW w:w="2033" w:type="dxa"/>
            <w:tcBorders>
              <w:top w:val="single" w:sz="2" w:space="0" w:color="BFBFBF" w:themeColor="background1" w:themeShade="BF"/>
              <w:left w:val="single" w:sz="2" w:space="0" w:color="BFBFBF" w:themeColor="background1" w:themeShade="BF"/>
              <w:bottom w:val="single" w:sz="4" w:space="0" w:color="auto"/>
              <w:right w:val="single" w:sz="4" w:space="0" w:color="auto"/>
            </w:tcBorders>
            <w:vAlign w:val="bottom"/>
          </w:tcPr>
          <w:p w14:paraId="60D0A0F7" w14:textId="77777777" w:rsidR="00B1464A" w:rsidRPr="00A20AF0" w:rsidRDefault="00B1464A" w:rsidP="00E01AAB">
            <w:pPr>
              <w:contextualSpacing/>
              <w:rPr>
                <w:bCs/>
                <w:sz w:val="22"/>
                <w:szCs w:val="22"/>
              </w:rPr>
            </w:pPr>
            <w:proofErr w:type="spellStart"/>
            <w:r w:rsidRPr="00A20AF0">
              <w:rPr>
                <w:color w:val="000000"/>
                <w:sz w:val="22"/>
                <w:szCs w:val="22"/>
              </w:rPr>
              <w:t>unemployment_rate</w:t>
            </w:r>
            <w:proofErr w:type="spellEnd"/>
          </w:p>
        </w:tc>
      </w:tr>
    </w:tbl>
    <w:p w14:paraId="3B477996" w14:textId="2CB81396" w:rsidR="00F54B61" w:rsidRDefault="00B1464A">
      <w:r w:rsidRPr="001C522E">
        <w:rPr>
          <w:b/>
          <w:sz w:val="22"/>
          <w:szCs w:val="22"/>
          <w:vertAlign w:val="superscript"/>
        </w:rPr>
        <w:t>*</w:t>
      </w:r>
      <w:r w:rsidRPr="001C522E">
        <w:rPr>
          <w:bCs/>
          <w:sz w:val="22"/>
          <w:szCs w:val="22"/>
        </w:rPr>
        <w:t xml:space="preserve"> Crowded housing defined as the number of occupied housing units with more than one occupant per room divided by the number of occupied housing units, times 100, for the total population and by race/ethnicity.</w:t>
      </w:r>
    </w:p>
    <w:sectPr w:rsidR="00F54B61" w:rsidSect="00F0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4A"/>
    <w:rsid w:val="00B1464A"/>
    <w:rsid w:val="00F5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50B5"/>
  <w15:chartTrackingRefBased/>
  <w15:docId w15:val="{2347917B-021F-4AC7-898D-5F5522B6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4A"/>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Ferguson</dc:creator>
  <cp:keywords/>
  <dc:description/>
  <cp:lastModifiedBy>Jackie Ferguson</cp:lastModifiedBy>
  <cp:revision>1</cp:revision>
  <dcterms:created xsi:type="dcterms:W3CDTF">2021-03-16T17:15:00Z</dcterms:created>
  <dcterms:modified xsi:type="dcterms:W3CDTF">2021-03-16T17:16:00Z</dcterms:modified>
</cp:coreProperties>
</file>