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1b.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non-opioid</w:t>
      </w:r>
      <w:r>
        <w:t xml:space="preserve"> </w:t>
      </w:r>
      <w:r>
        <w:t xml:space="preserve">drug</w:t>
      </w:r>
      <w:r>
        <w:t xml:space="preserve"> </w:t>
      </w:r>
      <w:r>
        <w:t xml:space="preserve">deaths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total</w:t>
      </w:r>
      <w:r>
        <w:t xml:space="preserve"> </w:t>
      </w:r>
      <w:r>
        <w:t xml:space="preserve">population,</w:t>
      </w:r>
      <w:r>
        <w:t xml:space="preserve"> </w:t>
      </w:r>
      <w:r>
        <w:t xml:space="preserve">1979-2015</w:t>
      </w:r>
    </w:p>
    <w:p>
      <w:pPr>
        <w:pStyle w:val="Heading1"/>
      </w:pPr>
      <w:bookmarkStart w:id="21" w:name="etable-1b-non-opioid-drug-deaths-total-population-1979-2015"/>
      <w:bookmarkEnd w:id="21"/>
      <w:r>
        <w:t xml:space="preserve">eTable 1b: Non-opioid drug deaths, total population, 1979-2015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1979-2015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Non-opioid drug deaths</w:t>
            </w:r>
          </w:p>
        </w:tc>
        <w:tc>
          <w:p>
            <w:pPr>
              <w:pStyle w:val="Compact"/>
              <w:jc w:val="left"/>
            </w:pPr>
            <w:r>
              <w:t xml:space="preserve">2.47 (1.30, 3.65)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3" w:name="joinpoint-summary-jump-model"/>
      <w:bookmarkEnd w:id="23"/>
      <w:r>
        <w:t xml:space="preserve">Joinpoint Summary (Jump model)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1979-1982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Non-opioid drug deaths</w:t>
            </w:r>
          </w:p>
        </w:tc>
        <w:tc>
          <w:p>
            <w:pPr>
              <w:pStyle w:val="Compact"/>
              <w:jc w:val="left"/>
            </w:pPr>
            <w:r>
              <w:t xml:space="preserve">-2.42 (-12.77, 9.15)</w:t>
            </w:r>
          </w:p>
        </w:tc>
        <w:tc>
          <w:p>
            <w:pPr>
              <w:pStyle w:val="Compact"/>
              <w:jc w:val="left"/>
            </w:pPr>
            <w:r>
              <w:t xml:space="preserve">= 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1982-2000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Non-opioid drug deaths</w:t>
            </w:r>
          </w:p>
        </w:tc>
        <w:tc>
          <w:p>
            <w:pPr>
              <w:pStyle w:val="Compact"/>
              <w:jc w:val="left"/>
            </w:pPr>
            <w:r>
              <w:t xml:space="preserve">2.12 (1.43, 2.83)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2000-2006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Non-opioid drug deaths</w:t>
            </w:r>
          </w:p>
        </w:tc>
        <w:tc>
          <w:p>
            <w:pPr>
              <w:pStyle w:val="Compact"/>
              <w:jc w:val="left"/>
            </w:pPr>
            <w:r>
              <w:t xml:space="preserve">9.16 (5.26, 13.20)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Non-opioid drug deaths</w:t>
            </w:r>
          </w:p>
        </w:tc>
        <w:tc>
          <w:p>
            <w:pPr>
              <w:pStyle w:val="Compact"/>
              <w:jc w:val="left"/>
            </w:pPr>
            <w:r>
              <w:t xml:space="preserve">0.53 (-0.70, 1.78)</w:t>
            </w:r>
          </w:p>
        </w:tc>
        <w:tc>
          <w:p>
            <w:pPr>
              <w:pStyle w:val="Compact"/>
              <w:jc w:val="left"/>
            </w:pPr>
            <w:r>
              <w:t xml:space="preserve">= 0.39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Non-opioid drug deaths</w:t>
            </w:r>
          </w:p>
        </w:tc>
        <w:tc>
          <w:p>
            <w:pPr>
              <w:pStyle w:val="Compact"/>
              <w:jc w:val="left"/>
            </w:pPr>
            <w:r>
              <w:t xml:space="preserve">1979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49.75 (108.00)</w:t>
            </w:r>
          </w:p>
        </w:tc>
        <w:tc>
          <w:p>
            <w:pPr>
              <w:pStyle w:val="Compact"/>
              <w:jc w:val="left"/>
            </w:pPr>
            <w:r>
              <w:t xml:space="preserve">= 0.65</w:t>
            </w:r>
          </w:p>
        </w:tc>
        <w:tc>
          <w:p>
            <w:pPr>
              <w:pStyle w:val="Compact"/>
              <w:jc w:val="left"/>
            </w:pPr>
            <w:r>
              <w:t xml:space="preserve">-0.02 (0.05)</w:t>
            </w:r>
          </w:p>
        </w:tc>
        <w:tc>
          <w:p>
            <w:pPr>
              <w:pStyle w:val="Compact"/>
              <w:jc w:val="left"/>
            </w:pPr>
            <w:r>
              <w:t xml:space="preserve">= 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Non-opioid drug deaths</w:t>
            </w:r>
          </w:p>
        </w:tc>
        <w:tc>
          <w:p>
            <w:pPr>
              <w:pStyle w:val="Compact"/>
              <w:jc w:val="left"/>
            </w:pPr>
            <w:r>
              <w:t xml:space="preserve">1982 (1981, 2001)</w:t>
            </w:r>
          </w:p>
        </w:tc>
        <w:tc>
          <w:p>
            <w:pPr>
              <w:pStyle w:val="Compact"/>
              <w:jc w:val="left"/>
            </w:pPr>
            <w:r>
              <w:t xml:space="preserve">-40.55 (6.64)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0.02 (0.00)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0.05 (0.05)</w:t>
            </w:r>
          </w:p>
        </w:tc>
        <w:tc>
          <w:p>
            <w:pPr>
              <w:pStyle w:val="Compact"/>
              <w:jc w:val="left"/>
            </w:pPr>
            <w:r>
              <w:t xml:space="preserve">= 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Non-opioid drug deaths</w:t>
            </w:r>
          </w:p>
        </w:tc>
        <w:tc>
          <w:p>
            <w:pPr>
              <w:pStyle w:val="Compact"/>
              <w:jc w:val="left"/>
            </w:pPr>
            <w:r>
              <w:t xml:space="preserve">2000 (1996, 2007)</w:t>
            </w:r>
          </w:p>
        </w:tc>
        <w:tc>
          <w:p>
            <w:pPr>
              <w:pStyle w:val="Compact"/>
              <w:jc w:val="left"/>
            </w:pPr>
            <w:r>
              <w:t xml:space="preserve">-173.82 (35.42)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0.09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0.07 (0.02)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Non-opioid drug deaths</w:t>
            </w:r>
          </w:p>
        </w:tc>
        <w:tc>
          <w:p>
            <w:pPr>
              <w:pStyle w:val="Compact"/>
              <w:jc w:val="left"/>
            </w:pPr>
            <w:r>
              <w:t xml:space="preserve">2006 (2004, 2013)</w:t>
            </w:r>
          </w:p>
        </w:tc>
        <w:tc>
          <w:p>
            <w:pPr>
              <w:pStyle w:val="Compact"/>
              <w:jc w:val="left"/>
            </w:pPr>
            <w:r>
              <w:t xml:space="preserve">-8.64 (12.09)</w:t>
            </w:r>
          </w:p>
        </w:tc>
        <w:tc>
          <w:p>
            <w:pPr>
              <w:pStyle w:val="Compact"/>
              <w:jc w:val="left"/>
            </w:pPr>
            <w:r>
              <w:t xml:space="preserve">= 0.48</w:t>
            </w:r>
          </w:p>
        </w:tc>
        <w:tc>
          <w:p>
            <w:pPr>
              <w:pStyle w:val="Compact"/>
              <w:jc w:val="left"/>
            </w:pPr>
            <w:r>
              <w:t xml:space="preserve">0.01 (0.01)</w:t>
            </w:r>
          </w:p>
        </w:tc>
        <w:tc>
          <w:p>
            <w:pPr>
              <w:pStyle w:val="Compact"/>
              <w:jc w:val="left"/>
            </w:pPr>
            <w:r>
              <w:t xml:space="preserve">= 0.39</w:t>
            </w:r>
          </w:p>
        </w:tc>
        <w:tc>
          <w:p>
            <w:pPr>
              <w:pStyle w:val="Compact"/>
              <w:jc w:val="left"/>
            </w:pPr>
            <w:r>
              <w:t xml:space="preserve">-0.08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Non-opioid drug deaths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366.5493</w:t>
            </w:r>
          </w:p>
        </w:tc>
        <w:tc>
          <w:p>
            <w:pPr>
              <w:pStyle w:val="Compact"/>
              <w:jc w:val="right"/>
            </w:pPr>
            <w:r>
              <w:t xml:space="preserve">12.63963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9061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1b. Joinpoint results for non-opioid drug deaths in the total population, 1979-2015</dc:title>
  <dc:creator/>
  <dcterms:created xsi:type="dcterms:W3CDTF">2018-01-26T19:56:36Z</dcterms:created>
  <dcterms:modified xsi:type="dcterms:W3CDTF">2018-01-26T19:56:36Z</dcterms:modified>
</cp:coreProperties>
</file>