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5.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type,</w:t>
      </w:r>
      <w:r>
        <w:t xml:space="preserve"> </w:t>
      </w:r>
      <w:r>
        <w:t xml:space="preserve">white</w:t>
      </w:r>
      <w:r>
        <w:t xml:space="preserve"> </w:t>
      </w:r>
      <w:r>
        <w:t xml:space="preserve">population,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5-joinpoint-results-in-white-population-by-broad-opioid-type-1979-2015"/>
      <w:bookmarkEnd w:id="21"/>
      <w:r>
        <w:t xml:space="preserve">eTable 5: Joinpoint results in white population by broad opioid type,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12.20 (10.00, 14.45)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1.94 (0.33, 3.57)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10.14 (5.39, 15.09)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1979-1999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11.49 (10.13, 12.88)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0.76 (-6.13, 8.17)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11.52 (2.48, 21.36)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2010-2014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33.47 (22.22, 45.76)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18.42 (5.48, 32.96)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-5.39 (-7.26, -3.49)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43.07 (36.42, 50.05)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20.22 (10.54, 30.75)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-5.17 (-7.45, -2.84)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2011-2014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-9.35 (-17.17, -0.79)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-1.00 (-10.16, 9.09)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7.56 (2.18, 13.22)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22.97 (-27.06, 107.33)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1993-2009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9.31 (8.06, 10.58)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2009-2014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2.68 (-2.50, 8.13)</w:t>
            </w:r>
          </w:p>
        </w:tc>
        <w:tc>
          <w:p>
            <w:pPr>
              <w:pStyle w:val="Compact"/>
              <w:jc w:val="left"/>
            </w:pPr>
            <w:r>
              <w:t xml:space="preserve">= 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34.59 (18.37, 53.04)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-217.34 (11.90)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0.11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 (1981, 2004)</w:t>
            </w:r>
          </w:p>
        </w:tc>
        <w:tc>
          <w:p>
            <w:pPr>
              <w:pStyle w:val="Compact"/>
              <w:jc w:val="left"/>
            </w:pPr>
            <w:r>
              <w:t xml:space="preserve">-15.04 (68.81)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  <w:tc>
          <w:p>
            <w:pPr>
              <w:pStyle w:val="Compact"/>
              <w:jc w:val="left"/>
            </w:pPr>
            <w:r>
              <w:t xml:space="preserve">0.01 (0.03)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  <w:tc>
          <w:p>
            <w:pPr>
              <w:pStyle w:val="Compact"/>
              <w:jc w:val="left"/>
            </w:pPr>
            <w:r>
              <w:t xml:space="preserve">-0.10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2005 (1992, 2008)</w:t>
            </w:r>
          </w:p>
        </w:tc>
        <w:tc>
          <w:p>
            <w:pPr>
              <w:pStyle w:val="Compact"/>
              <w:jc w:val="left"/>
            </w:pPr>
            <w:r>
              <w:t xml:space="preserve">-218.40 (82.24)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0.11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0.10 (0.05)</w:t>
            </w:r>
          </w:p>
        </w:tc>
        <w:tc>
          <w:p>
            <w:pPr>
              <w:pStyle w:val="Compact"/>
              <w:jc w:val="left"/>
            </w:pPr>
            <w:r>
              <w:t xml:space="preserve">=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(2003, 2011)</w:t>
            </w:r>
          </w:p>
        </w:tc>
        <w:tc>
          <w:p>
            <w:pPr>
              <w:pStyle w:val="Compact"/>
              <w:jc w:val="left"/>
            </w:pPr>
            <w:r>
              <w:t xml:space="preserve">-579.55 (85.89)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0.29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0.18 (0.06)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2014 (2008, 2014)</w:t>
            </w:r>
          </w:p>
        </w:tc>
        <w:tc>
          <w:p>
            <w:pPr>
              <w:pStyle w:val="Compact"/>
              <w:jc w:val="left"/>
            </w:pPr>
            <w:r>
              <w:t xml:space="preserve">-338.64 (113.05)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0.17 (0.06)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-0.12 (0.07)</w:t>
            </w:r>
          </w:p>
        </w:tc>
        <w:tc>
          <w:p>
            <w:pPr>
              <w:pStyle w:val="Compact"/>
              <w:jc w:val="left"/>
            </w:pPr>
            <w:r>
              <w:t xml:space="preserve">= 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106.85 (19.01)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-0.06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1998 (1981, 2000)</w:t>
            </w:r>
          </w:p>
        </w:tc>
        <w:tc>
          <w:p>
            <w:pPr>
              <w:pStyle w:val="Compact"/>
              <w:jc w:val="left"/>
            </w:pPr>
            <w:r>
              <w:t xml:space="preserve">-719.58 (45.81)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0.36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0.41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2003 (1984, 2004)</w:t>
            </w:r>
          </w:p>
        </w:tc>
        <w:tc>
          <w:p>
            <w:pPr>
              <w:pStyle w:val="Compact"/>
              <w:jc w:val="left"/>
            </w:pPr>
            <w:r>
              <w:t xml:space="preserve">-371.06 (80.94)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0.18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-0.17 (0.05)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(1995, 2007)</w:t>
            </w:r>
          </w:p>
        </w:tc>
        <w:tc>
          <w:p>
            <w:pPr>
              <w:pStyle w:val="Compact"/>
              <w:jc w:val="left"/>
            </w:pPr>
            <w:r>
              <w:t xml:space="preserve">104.99 (23.47)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-0.05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2011 (2001, 2011)</w:t>
            </w:r>
          </w:p>
        </w:tc>
        <w:tc>
          <w:p>
            <w:pPr>
              <w:pStyle w:val="Compact"/>
              <w:jc w:val="left"/>
            </w:pPr>
            <w:r>
              <w:t xml:space="preserve">195.52 (87.27)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-0.10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  <w:tc>
          <w:p>
            <w:pPr>
              <w:pStyle w:val="Compact"/>
              <w:jc w:val="left"/>
            </w:pPr>
            <w:r>
              <w:t xml:space="preserve">-0.05 (0.04)</w:t>
            </w:r>
          </w:p>
        </w:tc>
        <w:tc>
          <w:p>
            <w:pPr>
              <w:pStyle w:val="Compact"/>
              <w:jc w:val="left"/>
            </w:pPr>
            <w:r>
              <w:t xml:space="preserve">= 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2014 (2005, 2014)</w:t>
            </w:r>
          </w:p>
        </w:tc>
        <w:tc>
          <w:p>
            <w:pPr>
              <w:pStyle w:val="Compact"/>
              <w:jc w:val="left"/>
            </w:pPr>
            <w:r>
              <w:t xml:space="preserve">18.11 (94.10)</w:t>
            </w:r>
          </w:p>
        </w:tc>
        <w:tc>
          <w:p>
            <w:pPr>
              <w:pStyle w:val="Compact"/>
              <w:jc w:val="left"/>
            </w:pPr>
            <w:r>
              <w:t xml:space="preserve">= 0.85</w:t>
            </w:r>
          </w:p>
        </w:tc>
        <w:tc>
          <w:p>
            <w:pPr>
              <w:pStyle w:val="Compact"/>
              <w:jc w:val="left"/>
            </w:pPr>
            <w:r>
              <w:t xml:space="preserve">-0.01 (0.05)</w:t>
            </w:r>
          </w:p>
        </w:tc>
        <w:tc>
          <w:p>
            <w:pPr>
              <w:pStyle w:val="Compact"/>
              <w:jc w:val="left"/>
            </w:pPr>
            <w:r>
              <w:t xml:space="preserve">= 0.83</w:t>
            </w:r>
          </w:p>
        </w:tc>
        <w:tc>
          <w:p>
            <w:pPr>
              <w:pStyle w:val="Compact"/>
              <w:jc w:val="left"/>
            </w:pPr>
            <w:r>
              <w:t xml:space="preserve">0.09 (0.06)</w:t>
            </w:r>
          </w:p>
        </w:tc>
        <w:tc>
          <w:p>
            <w:pPr>
              <w:pStyle w:val="Compact"/>
              <w:jc w:val="left"/>
            </w:pPr>
            <w:r>
              <w:t xml:space="preserve">=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-145.74 (49.36)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0.07 (0.02)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1990 (1981, 1992)</w:t>
            </w:r>
          </w:p>
        </w:tc>
        <w:tc>
          <w:p>
            <w:pPr>
              <w:pStyle w:val="Compact"/>
              <w:jc w:val="left"/>
            </w:pPr>
            <w:r>
              <w:t xml:space="preserve">-412.25 (504.03)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  <w:tc>
          <w:p>
            <w:pPr>
              <w:pStyle w:val="Compact"/>
              <w:jc w:val="left"/>
            </w:pPr>
            <w:r>
              <w:t xml:space="preserve">0.21 (0.25)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  <w:tc>
          <w:p>
            <w:pPr>
              <w:pStyle w:val="Compact"/>
              <w:jc w:val="left"/>
            </w:pPr>
            <w:r>
              <w:t xml:space="preserve">0.13 (0.25)</w:t>
            </w:r>
          </w:p>
        </w:tc>
        <w:tc>
          <w:p>
            <w:pPr>
              <w:pStyle w:val="Compact"/>
              <w:jc w:val="left"/>
            </w:pPr>
            <w:r>
              <w:t xml:space="preserve">= 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1993 (1990, 2004)</w:t>
            </w:r>
          </w:p>
        </w:tc>
        <w:tc>
          <w:p>
            <w:pPr>
              <w:pStyle w:val="Compact"/>
              <w:jc w:val="left"/>
            </w:pPr>
            <w:r>
              <w:t xml:space="preserve">-177.54 (11.18)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0.09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-0.12 (0.25)</w:t>
            </w:r>
          </w:p>
        </w:tc>
        <w:tc>
          <w:p>
            <w:pPr>
              <w:pStyle w:val="Compact"/>
              <w:jc w:val="left"/>
            </w:pPr>
            <w:r>
              <w:t xml:space="preserve">= 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2009 (2006, 2011)</w:t>
            </w:r>
          </w:p>
        </w:tc>
        <w:tc>
          <w:p>
            <w:pPr>
              <w:pStyle w:val="Compact"/>
              <w:jc w:val="left"/>
            </w:pPr>
            <w:r>
              <w:t xml:space="preserve">-51.76 (50.43)</w:t>
            </w:r>
          </w:p>
        </w:tc>
        <w:tc>
          <w:p>
            <w:pPr>
              <w:pStyle w:val="Compact"/>
              <w:jc w:val="left"/>
            </w:pPr>
            <w:r>
              <w:t xml:space="preserve">= 0.31</w:t>
            </w:r>
          </w:p>
        </w:tc>
        <w:tc>
          <w:p>
            <w:pPr>
              <w:pStyle w:val="Compact"/>
              <w:jc w:val="left"/>
            </w:pPr>
            <w:r>
              <w:t xml:space="preserve">0.03 (0.03)</w:t>
            </w:r>
          </w:p>
        </w:tc>
        <w:tc>
          <w:p>
            <w:pPr>
              <w:pStyle w:val="Compact"/>
              <w:jc w:val="left"/>
            </w:pPr>
            <w:r>
              <w:t xml:space="preserve">= 0.30</w:t>
            </w:r>
          </w:p>
        </w:tc>
        <w:tc>
          <w:p>
            <w:pPr>
              <w:pStyle w:val="Compact"/>
              <w:jc w:val="left"/>
            </w:pPr>
            <w:r>
              <w:t xml:space="preserve">-0.06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2014 (2012, 2014)</w:t>
            </w:r>
          </w:p>
        </w:tc>
        <w:tc>
          <w:p>
            <w:pPr>
              <w:pStyle w:val="Compact"/>
              <w:jc w:val="left"/>
            </w:pPr>
            <w:r>
              <w:t xml:space="preserve">-596.89 (125.43)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0.30 (0.06)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0.27 (0.07)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542.96297</w:t>
            </w:r>
          </w:p>
        </w:tc>
        <w:tc>
          <w:p>
            <w:pPr>
              <w:pStyle w:val="Compact"/>
              <w:jc w:val="right"/>
            </w:pPr>
            <w:r>
              <w:t xml:space="preserve">19.391534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91.00075</w:t>
            </w:r>
          </w:p>
        </w:tc>
        <w:tc>
          <w:p>
            <w:pPr>
              <w:pStyle w:val="Compact"/>
              <w:jc w:val="right"/>
            </w:pPr>
            <w:r>
              <w:t xml:space="preserve">3.500029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Non-heroin, non-methadone opioid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377.92289</w:t>
            </w:r>
          </w:p>
        </w:tc>
        <w:tc>
          <w:p>
            <w:pPr>
              <w:pStyle w:val="Compact"/>
              <w:jc w:val="right"/>
            </w:pPr>
            <w:r>
              <w:t xml:space="preserve">13.497246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ca0d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5. Joinpoint results by broad opioid type, white population, 1979-2015</dc:title>
  <dc:creator/>
  <dcterms:created xsi:type="dcterms:W3CDTF">2018-03-26T17:32:15Z</dcterms:created>
  <dcterms:modified xsi:type="dcterms:W3CDTF">2018-03-26T17:32:15Z</dcterms:modified>
</cp:coreProperties>
</file>