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eTable</w:t>
      </w:r>
      <w:r>
        <w:t xml:space="preserve"> </w:t>
      </w:r>
      <w:r>
        <w:t xml:space="preserve">5.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broad</w:t>
      </w:r>
      <w:r>
        <w:t xml:space="preserve"> </w:t>
      </w:r>
      <w:r>
        <w:t xml:space="preserve">opioid</w:t>
      </w:r>
      <w:r>
        <w:t xml:space="preserve"> </w:t>
      </w:r>
      <w:r>
        <w:t xml:space="preserve">type,</w:t>
      </w:r>
      <w:r>
        <w:t xml:space="preserve"> </w:t>
      </w:r>
      <w:r>
        <w:t xml:space="preserve">white</w:t>
      </w:r>
      <w:r>
        <w:t xml:space="preserve"> </w:t>
      </w:r>
      <w:r>
        <w:t xml:space="preserve">population,</w:t>
      </w:r>
      <w:r>
        <w:t xml:space="preserve"> </w:t>
      </w:r>
      <w:r>
        <w:t xml:space="preserve">1979-2015</w:t>
      </w:r>
    </w:p>
    <w:p>
      <w:pPr>
        <w:pStyle w:val="Heading1"/>
      </w:pPr>
      <w:bookmarkStart w:id="21" w:name="etable-5-joinpoint-results-in-white-population-by-broad-opioid-type-1979-2015"/>
      <w:bookmarkEnd w:id="21"/>
      <w:r>
        <w:t xml:space="preserve">eTable 5: Joinpoint results in white population by broad opioid type, 1979-2015</w:t>
      </w:r>
    </w:p>
    <w:p>
      <w:pPr>
        <w:pStyle w:val="Heading2"/>
      </w:pPr>
      <w:bookmarkStart w:id="22" w:name="average-apc"/>
      <w:bookmarkEnd w:id="22"/>
      <w:r>
        <w:t xml:space="preserve">Average APC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1979-2015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11.86 (9.96, 13.80)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1979-2015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1.68 (-0.46, 3.87)</w:t>
            </w:r>
          </w:p>
        </w:tc>
        <w:tc>
          <w:p>
            <w:pPr>
              <w:pStyle w:val="Compact"/>
              <w:jc w:val="left"/>
            </w:pPr>
            <w:r>
              <w:t xml:space="preserve">=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1979-2015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9.33 (3.91, 15.04)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</w:tbl>
    <w:p>
      <w:pPr>
        <w:pStyle w:val="Heading2"/>
      </w:pPr>
      <w:bookmarkStart w:id="23" w:name="joinpoint-summary-jump-model"/>
      <w:bookmarkEnd w:id="23"/>
      <w:r>
        <w:t xml:space="preserve">Joinpoint Summary (Jump model)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1979-1998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11.49 (9.97, 13.05)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1998-2005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0.55 (-4.64, 6.03)</w:t>
            </w:r>
          </w:p>
        </w:tc>
        <w:tc>
          <w:p>
            <w:pPr>
              <w:pStyle w:val="Compact"/>
              <w:jc w:val="left"/>
            </w:pPr>
            <w:r>
              <w:t xml:space="preserve">= 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12.38 (3.20, 22.37)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30.88 (26.32, 35.59)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1979-1988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-1.78 (-6.27, 2.93)</w:t>
            </w:r>
          </w:p>
        </w:tc>
        <w:tc>
          <w:p>
            <w:pPr>
              <w:pStyle w:val="Compact"/>
              <w:jc w:val="left"/>
            </w:pPr>
            <w:r>
              <w:t xml:space="preserve">= 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1988-1998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-9.20 (-14.53, -3.53)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1998-2003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43.04 (37.05, 49.28)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20.34 (11.60, 29.76)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2006-2011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-5.37 (-7.41, -3.28)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2011-2015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-8.19 (-10.57, -5.75)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1979-1990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7.54 (1.68, 13.75)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1990-1993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23.22 (-30.37, 118.07)</w:t>
            </w:r>
          </w:p>
        </w:tc>
        <w:tc>
          <w:p>
            <w:pPr>
              <w:pStyle w:val="Compact"/>
              <w:jc w:val="left"/>
            </w:pPr>
            <w:r>
              <w:t xml:space="preserve">= 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1993-2010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9.09 (7.88, 10.32)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2010-2013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-1.03 (-17.17, 18.25)</w:t>
            </w:r>
          </w:p>
        </w:tc>
        <w:tc>
          <w:p>
            <w:pPr>
              <w:pStyle w:val="Compact"/>
              <w:jc w:val="left"/>
            </w:pPr>
            <w:r>
              <w:t xml:space="preserve">= 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18.38 (0.94, 38.84)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</w:tbl>
    <w:p>
      <w:pPr>
        <w:pStyle w:val="Heading2"/>
      </w:pPr>
      <w:bookmarkStart w:id="24" w:name="joinpoint-model-estimates"/>
      <w:bookmarkEnd w:id="24"/>
      <w:r>
        <w:t xml:space="preserve">Joinpoint Model Estimates</w:t>
      </w:r>
    </w:p>
    <w:p>
      <w:pPr>
        <w:pStyle w:val="Heading3"/>
      </w:pPr>
      <w:bookmarkStart w:id="25" w:name="estimates"/>
      <w:bookmarkEnd w:id="25"/>
      <w:r>
        <w:t xml:space="preserve">Estimates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Change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-217.34 (13.38)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0.11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1998 (1994, 2003)</w:t>
            </w:r>
          </w:p>
        </w:tc>
        <w:tc>
          <w:p>
            <w:pPr>
              <w:pStyle w:val="Compact"/>
              <w:jc w:val="left"/>
            </w:pPr>
            <w:r>
              <w:t xml:space="preserve">-10.95 (51.60)</w:t>
            </w:r>
          </w:p>
        </w:tc>
        <w:tc>
          <w:p>
            <w:pPr>
              <w:pStyle w:val="Compact"/>
              <w:jc w:val="left"/>
            </w:pPr>
            <w:r>
              <w:t xml:space="preserve">= 0.83</w:t>
            </w:r>
          </w:p>
        </w:tc>
        <w:tc>
          <w:p>
            <w:pPr>
              <w:pStyle w:val="Compact"/>
              <w:jc w:val="left"/>
            </w:pPr>
            <w:r>
              <w:t xml:space="preserve">0.01 (0.03)</w:t>
            </w:r>
          </w:p>
        </w:tc>
        <w:tc>
          <w:p>
            <w:pPr>
              <w:pStyle w:val="Compact"/>
              <w:jc w:val="left"/>
            </w:pPr>
            <w:r>
              <w:t xml:space="preserve">= 0.83</w:t>
            </w:r>
          </w:p>
        </w:tc>
        <w:tc>
          <w:p>
            <w:pPr>
              <w:pStyle w:val="Compact"/>
              <w:jc w:val="left"/>
            </w:pPr>
            <w:r>
              <w:t xml:space="preserve">-0.10 (0.03)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2005 (2000, 2010)</w:t>
            </w:r>
          </w:p>
        </w:tc>
        <w:tc>
          <w:p>
            <w:pPr>
              <w:pStyle w:val="Compact"/>
              <w:jc w:val="left"/>
            </w:pPr>
            <w:r>
              <w:t xml:space="preserve">-233.86 (83.21)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0.12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0.11 (0.05)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2010 (2008, 2013)</w:t>
            </w:r>
          </w:p>
        </w:tc>
        <w:tc>
          <w:p>
            <w:pPr>
              <w:pStyle w:val="Compact"/>
              <w:jc w:val="left"/>
            </w:pPr>
            <w:r>
              <w:t xml:space="preserve">-540.15 (34.67)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0.27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0.15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32.54 (44.50)</w:t>
            </w:r>
          </w:p>
        </w:tc>
        <w:tc>
          <w:p>
            <w:pPr>
              <w:pStyle w:val="Compact"/>
              <w:jc w:val="left"/>
            </w:pPr>
            <w:r>
              <w:t xml:space="preserve">= 0.47</w:t>
            </w:r>
          </w:p>
        </w:tc>
        <w:tc>
          <w:p>
            <w:pPr>
              <w:pStyle w:val="Compact"/>
              <w:jc w:val="left"/>
            </w:pPr>
            <w:r>
              <w:t xml:space="preserve">-0.02 (0.02)</w:t>
            </w:r>
          </w:p>
        </w:tc>
        <w:tc>
          <w:p>
            <w:pPr>
              <w:pStyle w:val="Compact"/>
              <w:jc w:val="left"/>
            </w:pPr>
            <w:r>
              <w:t xml:space="preserve">= 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1988 (1981, 2000)</w:t>
            </w:r>
          </w:p>
        </w:tc>
        <w:tc>
          <w:p>
            <w:pPr>
              <w:pStyle w:val="Compact"/>
              <w:jc w:val="left"/>
            </w:pPr>
            <w:r>
              <w:t xml:space="preserve">188.61 (57.80)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-0.10 (0.03)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-0.08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1998 (1984, 2004)</w:t>
            </w:r>
          </w:p>
        </w:tc>
        <w:tc>
          <w:p>
            <w:pPr>
              <w:pStyle w:val="Compact"/>
              <w:jc w:val="left"/>
            </w:pPr>
            <w:r>
              <w:t xml:space="preserve">-719.31 (40.99)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0.36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0.45 (0.04)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2003 (1995, 2007)</w:t>
            </w:r>
          </w:p>
        </w:tc>
        <w:tc>
          <w:p>
            <w:pPr>
              <w:pStyle w:val="Compact"/>
              <w:jc w:val="left"/>
            </w:pPr>
            <w:r>
              <w:t xml:space="preserve">-373.23 (72.42)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0.19 (0.04)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-0.17 (0.04)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2006 (2001, 2010)</w:t>
            </w:r>
          </w:p>
        </w:tc>
        <w:tc>
          <w:p>
            <w:pPr>
              <w:pStyle w:val="Compact"/>
              <w:jc w:val="left"/>
            </w:pPr>
            <w:r>
              <w:t xml:space="preserve">108.82 (21.00)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-0.06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-0.24 (0.04)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2011 (2005, 2013)</w:t>
            </w:r>
          </w:p>
        </w:tc>
        <w:tc>
          <w:p>
            <w:pPr>
              <w:pStyle w:val="Compact"/>
              <w:jc w:val="left"/>
            </w:pPr>
            <w:r>
              <w:t xml:space="preserve">169.73 (25.36)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-0.09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-0.03 (0.02)</w:t>
            </w:r>
          </w:p>
        </w:tc>
        <w:tc>
          <w:p>
            <w:pPr>
              <w:pStyle w:val="Compact"/>
              <w:jc w:val="left"/>
            </w:pPr>
            <w:r>
              <w:t xml:space="preserve">=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-145.49 (53.82)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  <w:tc>
          <w:p>
            <w:pPr>
              <w:pStyle w:val="Compact"/>
              <w:jc w:val="left"/>
            </w:pPr>
            <w:r>
              <w:t xml:space="preserve">0.07 (0.03)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1990 (1981, 1992)</w:t>
            </w:r>
          </w:p>
        </w:tc>
        <w:tc>
          <w:p>
            <w:pPr>
              <w:pStyle w:val="Compact"/>
              <w:jc w:val="left"/>
            </w:pPr>
            <w:r>
              <w:t xml:space="preserve">-416.28 (549.57)</w:t>
            </w:r>
          </w:p>
        </w:tc>
        <w:tc>
          <w:p>
            <w:pPr>
              <w:pStyle w:val="Compact"/>
              <w:jc w:val="left"/>
            </w:pPr>
            <w:r>
              <w:t xml:space="preserve">= 0.46</w:t>
            </w:r>
          </w:p>
        </w:tc>
        <w:tc>
          <w:p>
            <w:pPr>
              <w:pStyle w:val="Compact"/>
              <w:jc w:val="left"/>
            </w:pPr>
            <w:r>
              <w:t xml:space="preserve">0.21 (0.28)</w:t>
            </w:r>
          </w:p>
        </w:tc>
        <w:tc>
          <w:p>
            <w:pPr>
              <w:pStyle w:val="Compact"/>
              <w:jc w:val="left"/>
            </w:pPr>
            <w:r>
              <w:t xml:space="preserve">= 0.46</w:t>
            </w:r>
          </w:p>
        </w:tc>
        <w:tc>
          <w:p>
            <w:pPr>
              <w:pStyle w:val="Compact"/>
              <w:jc w:val="left"/>
            </w:pPr>
            <w:r>
              <w:t xml:space="preserve">0.14 (0.28)</w:t>
            </w:r>
          </w:p>
        </w:tc>
        <w:tc>
          <w:p>
            <w:pPr>
              <w:pStyle w:val="Compact"/>
              <w:jc w:val="left"/>
            </w:pPr>
            <w:r>
              <w:t xml:space="preserve">= 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1993 (1991, 2003)</w:t>
            </w:r>
          </w:p>
        </w:tc>
        <w:tc>
          <w:p>
            <w:pPr>
              <w:pStyle w:val="Compact"/>
              <w:jc w:val="left"/>
            </w:pPr>
            <w:r>
              <w:t xml:space="preserve">-173.59 (10.80)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0.09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-0.12 (0.28)</w:t>
            </w:r>
          </w:p>
        </w:tc>
        <w:tc>
          <w:p>
            <w:pPr>
              <w:pStyle w:val="Compact"/>
              <w:jc w:val="left"/>
            </w:pPr>
            <w:r>
              <w:t xml:space="preserve">= 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2010 (2007, 2010)</w:t>
            </w:r>
          </w:p>
        </w:tc>
        <w:tc>
          <w:p>
            <w:pPr>
              <w:pStyle w:val="Compact"/>
              <w:jc w:val="left"/>
            </w:pPr>
            <w:r>
              <w:t xml:space="preserve">22.21 (173.05)</w:t>
            </w:r>
          </w:p>
        </w:tc>
        <w:tc>
          <w:p>
            <w:pPr>
              <w:pStyle w:val="Compact"/>
              <w:jc w:val="left"/>
            </w:pPr>
            <w:r>
              <w:t xml:space="preserve">= 0.90</w:t>
            </w:r>
          </w:p>
        </w:tc>
        <w:tc>
          <w:p>
            <w:pPr>
              <w:pStyle w:val="Compact"/>
              <w:jc w:val="left"/>
            </w:pPr>
            <w:r>
              <w:t xml:space="preserve">-0.01 (0.09)</w:t>
            </w:r>
          </w:p>
        </w:tc>
        <w:tc>
          <w:p>
            <w:pPr>
              <w:pStyle w:val="Compact"/>
              <w:jc w:val="left"/>
            </w:pPr>
            <w:r>
              <w:t xml:space="preserve">= 0.91</w:t>
            </w:r>
          </w:p>
        </w:tc>
        <w:tc>
          <w:p>
            <w:pPr>
              <w:pStyle w:val="Compact"/>
              <w:jc w:val="left"/>
            </w:pPr>
            <w:r>
              <w:t xml:space="preserve">-0.10 (0.09)</w:t>
            </w:r>
          </w:p>
        </w:tc>
        <w:tc>
          <w:p>
            <w:pPr>
              <w:pStyle w:val="Compact"/>
              <w:jc w:val="left"/>
            </w:pPr>
            <w:r>
              <w:t xml:space="preserve">= 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2013 (2012, 2013)</w:t>
            </w:r>
          </w:p>
        </w:tc>
        <w:tc>
          <w:p>
            <w:pPr>
              <w:pStyle w:val="Compact"/>
              <w:jc w:val="left"/>
            </w:pPr>
            <w:r>
              <w:t xml:space="preserve">-338.32 (155.22)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  <w:tc>
          <w:p>
            <w:pPr>
              <w:pStyle w:val="Compact"/>
              <w:jc w:val="left"/>
            </w:pPr>
            <w:r>
              <w:t xml:space="preserve">0.17 (0.08)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  <w:tc>
          <w:p>
            <w:pPr>
              <w:pStyle w:val="Compact"/>
              <w:jc w:val="left"/>
            </w:pPr>
            <w:r>
              <w:t xml:space="preserve">0.18 (0.12)</w:t>
            </w:r>
          </w:p>
        </w:tc>
        <w:tc>
          <w:p>
            <w:pPr>
              <w:pStyle w:val="Compact"/>
              <w:jc w:val="left"/>
            </w:pPr>
            <w:r>
              <w:t xml:space="preserve">= 0.13</w:t>
            </w:r>
          </w:p>
        </w:tc>
      </w:tr>
    </w:tbl>
    <w:p>
      <w:pPr>
        <w:pStyle w:val="Heading3"/>
      </w:pPr>
      <w:bookmarkStart w:id="26" w:name="summary"/>
      <w:bookmarkEnd w:id="26"/>
      <w:r>
        <w:t xml:space="preserve">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Obs.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Degrees of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squared errors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squared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580.29124</w:t>
            </w:r>
          </w:p>
        </w:tc>
        <w:tc>
          <w:p>
            <w:pPr>
              <w:pStyle w:val="Compact"/>
              <w:jc w:val="right"/>
            </w:pPr>
            <w:r>
              <w:t xml:space="preserve">20.010043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80.12523</w:t>
            </w:r>
          </w:p>
        </w:tc>
        <w:tc>
          <w:p>
            <w:pPr>
              <w:pStyle w:val="Compact"/>
              <w:jc w:val="right"/>
            </w:pPr>
            <w:r>
              <w:t xml:space="preserve">3.205009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246.14265</w:t>
            </w:r>
          </w:p>
        </w:tc>
        <w:tc>
          <w:p>
            <w:pPr>
              <w:pStyle w:val="Compact"/>
              <w:jc w:val="right"/>
            </w:pPr>
            <w:r>
              <w:t xml:space="preserve">9.116394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0a16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eTable 5. Joinpoint results by broad opioid type, white population, 1979-2015</dc:title>
  <dc:creator/>
  <dcterms:created xsi:type="dcterms:W3CDTF">2018-01-26T19:56:37Z</dcterms:created>
  <dcterms:modified xsi:type="dcterms:W3CDTF">2018-01-26T19:56:37Z</dcterms:modified>
</cp:coreProperties>
</file>