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eTable</w:t>
      </w:r>
      <w:r>
        <w:t xml:space="preserve"> </w:t>
      </w:r>
      <w:r>
        <w:t xml:space="preserve">6.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broad</w:t>
      </w:r>
      <w:r>
        <w:t xml:space="preserve"> </w:t>
      </w:r>
      <w:r>
        <w:t xml:space="preserve">opioid</w:t>
      </w:r>
      <w:r>
        <w:t xml:space="preserve"> </w:t>
      </w:r>
      <w:r>
        <w:t xml:space="preserve">type,</w:t>
      </w:r>
      <w:r>
        <w:t xml:space="preserve"> </w:t>
      </w:r>
      <w:r>
        <w:t xml:space="preserve">black</w:t>
      </w:r>
      <w:r>
        <w:t xml:space="preserve"> </w:t>
      </w:r>
      <w:r>
        <w:t xml:space="preserve">population,</w:t>
      </w:r>
      <w:r>
        <w:t xml:space="preserve"> </w:t>
      </w:r>
      <w:r>
        <w:t xml:space="preserve">1979-2015</w:t>
      </w:r>
    </w:p>
    <w:p>
      <w:pPr>
        <w:pStyle w:val="Heading1"/>
      </w:pPr>
      <w:bookmarkStart w:id="21" w:name="etable-6-joinpoint-results-in-black-population-by-broad-opioid-type-1979-2015"/>
      <w:bookmarkEnd w:id="21"/>
      <w:r>
        <w:t xml:space="preserve">eTable 6: Joinpoint results in black population by broad opioid type, 1979-2015</w:t>
      </w:r>
    </w:p>
    <w:p>
      <w:pPr>
        <w:pStyle w:val="Heading2"/>
      </w:pPr>
      <w:bookmarkStart w:id="22" w:name="average-apc"/>
      <w:bookmarkEnd w:id="22"/>
      <w:r>
        <w:t xml:space="preserve">Average APC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1979-2016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8.00 (6.79, 9.21)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1979-2016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0.07 (-3.92, 4.23)</w:t>
            </w:r>
          </w:p>
        </w:tc>
        <w:tc>
          <w:p>
            <w:pPr>
              <w:pStyle w:val="Compact"/>
              <w:jc w:val="left"/>
            </w:pPr>
            <w:r>
              <w:t xml:space="preserve">= 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1979-2016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8.52 (6.47, 10.61)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3" w:name="joinpoint-summary-jump-model"/>
      <w:bookmarkEnd w:id="23"/>
      <w:r>
        <w:t xml:space="preserve">Joinpoint Summary (Jump model)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1979-1995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7.61 (5.60, 9.67)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1995-2010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-0.55 (-2.08, 1.00)</w:t>
            </w:r>
          </w:p>
        </w:tc>
        <w:tc>
          <w:p>
            <w:pPr>
              <w:pStyle w:val="Compact"/>
              <w:jc w:val="left"/>
            </w:pPr>
            <w:r>
              <w:t xml:space="preserve">= 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2010-2016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33.98 (29.46, 38.65)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1979-1987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1.98 (-9.29, 14.65)</w:t>
            </w:r>
          </w:p>
        </w:tc>
        <w:tc>
          <w:p>
            <w:pPr>
              <w:pStyle w:val="Compact"/>
              <w:jc w:val="left"/>
            </w:pPr>
            <w:r>
              <w:t xml:space="preserve">= 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1987-1998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-12.56 (-20.73, -3.55)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1998-2006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23.75 (19.05, 28.62)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2006-2009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-10.32 (-26.27, 9.07)</w:t>
            </w:r>
          </w:p>
        </w:tc>
        <w:tc>
          <w:p>
            <w:pPr>
              <w:pStyle w:val="Compact"/>
              <w:jc w:val="left"/>
            </w:pPr>
            <w:r>
              <w:t xml:space="preserve">= 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2009-2016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-0.44 (-3.06, 2.25)</w:t>
            </w:r>
          </w:p>
        </w:tc>
        <w:tc>
          <w:p>
            <w:pPr>
              <w:pStyle w:val="Compact"/>
              <w:jc w:val="left"/>
            </w:pPr>
            <w:r>
              <w:t xml:space="preserve">= 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14.60 (10.25, 19.12)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1994-2013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-1.04 (-2.34, 0.28)</w:t>
            </w:r>
          </w:p>
        </w:tc>
        <w:tc>
          <w:p>
            <w:pPr>
              <w:pStyle w:val="Compact"/>
              <w:jc w:val="left"/>
            </w:pPr>
            <w:r>
              <w:t xml:space="preserve">=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2013-2016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48.16 (30.87, 67.72)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4" w:name="joinpoint-model-estimates"/>
      <w:bookmarkEnd w:id="24"/>
      <w:r>
        <w:t xml:space="preserve">Joinpoint Model Estimates</w:t>
      </w:r>
    </w:p>
    <w:p>
      <w:pPr>
        <w:pStyle w:val="Heading3"/>
      </w:pPr>
      <w:bookmarkStart w:id="25" w:name="estimates"/>
      <w:bookmarkEnd w:id="25"/>
      <w:r>
        <w:t xml:space="preserve">Estimates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Change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-146.28 (18.38)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0.07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1995 (1993, 2002)</w:t>
            </w:r>
          </w:p>
        </w:tc>
        <w:tc>
          <w:p>
            <w:pPr>
              <w:pStyle w:val="Compact"/>
              <w:jc w:val="left"/>
            </w:pPr>
            <w:r>
              <w:t xml:space="preserve">11.18 (15.15)</w:t>
            </w:r>
          </w:p>
        </w:tc>
        <w:tc>
          <w:p>
            <w:pPr>
              <w:pStyle w:val="Compact"/>
              <w:jc w:val="left"/>
            </w:pPr>
            <w:r>
              <w:t xml:space="preserve">= 0.47</w:t>
            </w:r>
          </w:p>
        </w:tc>
        <w:tc>
          <w:p>
            <w:pPr>
              <w:pStyle w:val="Compact"/>
              <w:jc w:val="left"/>
            </w:pPr>
            <w:r>
              <w:t xml:space="preserve">-0.01 (0.01)</w:t>
            </w:r>
          </w:p>
        </w:tc>
        <w:tc>
          <w:p>
            <w:pPr>
              <w:pStyle w:val="Compact"/>
              <w:jc w:val="left"/>
            </w:pPr>
            <w:r>
              <w:t xml:space="preserve">= 0.47</w:t>
            </w:r>
          </w:p>
        </w:tc>
        <w:tc>
          <w:p>
            <w:pPr>
              <w:pStyle w:val="Compact"/>
              <w:jc w:val="left"/>
            </w:pPr>
            <w:r>
              <w:t xml:space="preserve">-0.08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2010 (2009, 2011)</w:t>
            </w:r>
          </w:p>
        </w:tc>
        <w:tc>
          <w:p>
            <w:pPr>
              <w:pStyle w:val="Compact"/>
              <w:jc w:val="left"/>
            </w:pPr>
            <w:r>
              <w:t xml:space="preserve">-587.86 (33.83)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0.29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0.30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-41.85 (112.50)</w:t>
            </w:r>
          </w:p>
        </w:tc>
        <w:tc>
          <w:p>
            <w:pPr>
              <w:pStyle w:val="Compact"/>
              <w:jc w:val="left"/>
            </w:pPr>
            <w:r>
              <w:t xml:space="preserve">= 0.71</w:t>
            </w:r>
          </w:p>
        </w:tc>
        <w:tc>
          <w:p>
            <w:pPr>
              <w:pStyle w:val="Compact"/>
              <w:jc w:val="left"/>
            </w:pPr>
            <w:r>
              <w:t xml:space="preserve">0.02 (0.06)</w:t>
            </w:r>
          </w:p>
        </w:tc>
        <w:tc>
          <w:p>
            <w:pPr>
              <w:pStyle w:val="Compact"/>
              <w:jc w:val="left"/>
            </w:pPr>
            <w:r>
              <w:t xml:space="preserve">= 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1987 (1981, 2001)</w:t>
            </w:r>
          </w:p>
        </w:tc>
        <w:tc>
          <w:p>
            <w:pPr>
              <w:pStyle w:val="Compact"/>
              <w:jc w:val="left"/>
            </w:pPr>
            <w:r>
              <w:t xml:space="preserve">263.87 (94.66)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  <w:tc>
          <w:p>
            <w:pPr>
              <w:pStyle w:val="Compact"/>
              <w:jc w:val="left"/>
            </w:pPr>
            <w:r>
              <w:t xml:space="preserve">-0.13 (0.05)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-0.15 (0.07)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1998 (1992, 2007)</w:t>
            </w:r>
          </w:p>
        </w:tc>
        <w:tc>
          <w:p>
            <w:pPr>
              <w:pStyle w:val="Compact"/>
              <w:jc w:val="left"/>
            </w:pPr>
            <w:r>
              <w:t xml:space="preserve">-430.02 (37.51)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0.21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0.35 (0.05)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2006 (2004, 2011)</w:t>
            </w:r>
          </w:p>
        </w:tc>
        <w:tc>
          <w:p>
            <w:pPr>
              <w:pStyle w:val="Compact"/>
              <w:jc w:val="left"/>
            </w:pPr>
            <w:r>
              <w:t xml:space="preserve">215.96 (190.40)</w:t>
            </w:r>
          </w:p>
        </w:tc>
        <w:tc>
          <w:p>
            <w:pPr>
              <w:pStyle w:val="Compact"/>
              <w:jc w:val="left"/>
            </w:pPr>
            <w:r>
              <w:t xml:space="preserve">= 0.27</w:t>
            </w:r>
          </w:p>
        </w:tc>
        <w:tc>
          <w:p>
            <w:pPr>
              <w:pStyle w:val="Compact"/>
              <w:jc w:val="left"/>
            </w:pPr>
            <w:r>
              <w:t xml:space="preserve">-0.11 (0.09)</w:t>
            </w:r>
          </w:p>
        </w:tc>
        <w:tc>
          <w:p>
            <w:pPr>
              <w:pStyle w:val="Compact"/>
              <w:jc w:val="left"/>
            </w:pPr>
            <w:r>
              <w:t xml:space="preserve">= 0.26</w:t>
            </w:r>
          </w:p>
        </w:tc>
        <w:tc>
          <w:p>
            <w:pPr>
              <w:pStyle w:val="Compact"/>
              <w:jc w:val="left"/>
            </w:pPr>
            <w:r>
              <w:t xml:space="preserve">-0.32 (0.10)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2009 (2007, 2014)</w:t>
            </w:r>
          </w:p>
        </w:tc>
        <w:tc>
          <w:p>
            <w:pPr>
              <w:pStyle w:val="Compact"/>
              <w:jc w:val="left"/>
            </w:pPr>
            <w:r>
              <w:t xml:space="preserve">5.97 (26.02)</w:t>
            </w:r>
          </w:p>
        </w:tc>
        <w:tc>
          <w:p>
            <w:pPr>
              <w:pStyle w:val="Compact"/>
              <w:jc w:val="left"/>
            </w:pPr>
            <w:r>
              <w:t xml:space="preserve">= 0.82</w:t>
            </w:r>
          </w:p>
        </w:tc>
        <w:tc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p>
            <w:pPr>
              <w:pStyle w:val="Compact"/>
              <w:jc w:val="left"/>
            </w:pPr>
            <w:r>
              <w:t xml:space="preserve">= 0.73</w:t>
            </w:r>
          </w:p>
        </w:tc>
        <w:tc>
          <w:p>
            <w:pPr>
              <w:pStyle w:val="Compact"/>
              <w:jc w:val="left"/>
            </w:pPr>
            <w:r>
              <w:t xml:space="preserve">0.10 (0.10)</w:t>
            </w:r>
          </w:p>
        </w:tc>
        <w:tc>
          <w:p>
            <w:pPr>
              <w:pStyle w:val="Compact"/>
              <w:jc w:val="left"/>
            </w:pPr>
            <w:r>
              <w:t xml:space="preserve">= 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-271.10 (37.67)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0.14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1994 (1992, 1996)</w:t>
            </w:r>
          </w:p>
        </w:tc>
        <w:tc>
          <w:p>
            <w:pPr>
              <w:pStyle w:val="Compact"/>
              <w:jc w:val="left"/>
            </w:pPr>
            <w:r>
              <w:t xml:space="preserve">21.34 (13.02)</w:t>
            </w:r>
          </w:p>
        </w:tc>
        <w:tc>
          <w:p>
            <w:pPr>
              <w:pStyle w:val="Compact"/>
              <w:jc w:val="left"/>
            </w:pPr>
            <w:r>
              <w:t xml:space="preserve">= 0.11</w:t>
            </w:r>
          </w:p>
        </w:tc>
        <w:tc>
          <w:p>
            <w:pPr>
              <w:pStyle w:val="Compact"/>
              <w:jc w:val="left"/>
            </w:pPr>
            <w:r>
              <w:t xml:space="preserve">-0.01 (0.01)</w:t>
            </w:r>
          </w:p>
        </w:tc>
        <w:tc>
          <w:p>
            <w:pPr>
              <w:pStyle w:val="Compact"/>
              <w:jc w:val="left"/>
            </w:pPr>
            <w:r>
              <w:t xml:space="preserve">= 0.12</w:t>
            </w:r>
          </w:p>
        </w:tc>
        <w:tc>
          <w:p>
            <w:pPr>
              <w:pStyle w:val="Compact"/>
              <w:jc w:val="left"/>
            </w:pPr>
            <w:r>
              <w:t xml:space="preserve">-0.15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2013 (2012, 2014)</w:t>
            </w:r>
          </w:p>
        </w:tc>
        <w:tc>
          <w:p>
            <w:pPr>
              <w:pStyle w:val="Compact"/>
              <w:jc w:val="left"/>
            </w:pPr>
            <w:r>
              <w:t xml:space="preserve">-790.93 (122.41)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0.39 (0.06)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0.40 (0.06)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3"/>
      </w:pPr>
      <w:bookmarkStart w:id="26" w:name="summary"/>
      <w:bookmarkEnd w:id="26"/>
      <w:r>
        <w:t xml:space="preserve">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Obs.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Degrees of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squared errors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squared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97.41732</w:t>
            </w:r>
          </w:p>
        </w:tc>
        <w:tc>
          <w:p>
            <w:pPr>
              <w:pStyle w:val="Compact"/>
              <w:jc w:val="right"/>
            </w:pPr>
            <w:r>
              <w:t xml:space="preserve">3.044291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36.91320</w:t>
            </w:r>
          </w:p>
        </w:tc>
        <w:tc>
          <w:p>
            <w:pPr>
              <w:pStyle w:val="Compact"/>
              <w:jc w:val="right"/>
            </w:pPr>
            <w:r>
              <w:t xml:space="preserve">1.318329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264.69590</w:t>
            </w:r>
          </w:p>
        </w:tc>
        <w:tc>
          <w:p>
            <w:pPr>
              <w:pStyle w:val="Compact"/>
              <w:jc w:val="right"/>
            </w:pPr>
            <w:r>
              <w:t xml:space="preserve">8.271747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5fa6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eTable 6. Joinpoint results by broad opioid type, black population, 1979-2015</dc:title>
  <dc:creator/>
  <dcterms:created xsi:type="dcterms:W3CDTF">2018-03-26T17:32:15Z</dcterms:created>
  <dcterms:modified xsi:type="dcterms:W3CDTF">2018-03-26T17:32:15Z</dcterms:modified>
</cp:coreProperties>
</file>