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eTable</w:t>
      </w:r>
      <w:r>
        <w:t xml:space="preserve"> </w:t>
      </w:r>
      <w:r>
        <w:t xml:space="preserve">7.</w:t>
      </w:r>
      <w:r>
        <w:t xml:space="preserve"> </w:t>
      </w:r>
      <w:r>
        <w:t xml:space="preserve">Joinpoint</w:t>
      </w:r>
      <w:r>
        <w:t xml:space="preserve"> </w:t>
      </w:r>
      <w:r>
        <w:t xml:space="preserve">results</w:t>
      </w:r>
      <w:r>
        <w:t xml:space="preserve"> </w:t>
      </w:r>
      <w:r>
        <w:t xml:space="preserve">by</w:t>
      </w:r>
      <w:r>
        <w:t xml:space="preserve"> </w:t>
      </w:r>
      <w:r>
        <w:t xml:space="preserve">ICD-10</w:t>
      </w:r>
      <w:r>
        <w:t xml:space="preserve"> </w:t>
      </w:r>
      <w:r>
        <w:t xml:space="preserve">opioid</w:t>
      </w:r>
      <w:r>
        <w:t xml:space="preserve"> </w:t>
      </w:r>
      <w:r>
        <w:t xml:space="preserve">type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white</w:t>
      </w:r>
      <w:r>
        <w:t xml:space="preserve"> </w:t>
      </w:r>
      <w:r>
        <w:t xml:space="preserve">population,</w:t>
      </w:r>
      <w:r>
        <w:t xml:space="preserve"> </w:t>
      </w:r>
      <w:r>
        <w:t xml:space="preserve">1999-2015</w:t>
      </w:r>
    </w:p>
    <w:p>
      <w:pPr>
        <w:pStyle w:val="Heading1"/>
      </w:pPr>
      <w:bookmarkStart w:id="21" w:name="white-population-by-icd-10-type-1999-2015"/>
      <w:bookmarkEnd w:id="21"/>
      <w:r>
        <w:t xml:space="preserve">White population by ICD-10 type, 1999-2015</w:t>
      </w:r>
    </w:p>
    <w:p>
      <w:pPr>
        <w:pStyle w:val="Heading2"/>
      </w:pPr>
      <w:bookmarkStart w:id="22" w:name="average-apc"/>
      <w:bookmarkEnd w:id="22"/>
      <w:r>
        <w:t xml:space="preserve">Average APC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Average 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13.05 (10.20, 15.96)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9.19 (6.62, 11.82)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8.90 (7.80, 10.01)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-0.23 (-0.81, 0.36)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17.06 (13.20, 21.06)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3" w:name="joinpoint-summary"/>
      <w:bookmarkEnd w:id="23"/>
      <w:r>
        <w:t xml:space="preserve">Joinpoint 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 period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APC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1999-2005</w:t>
            </w:r>
          </w:p>
        </w:tc>
        <w:tc>
          <w:p>
            <w:pPr>
              <w:pStyle w:val="Compact"/>
              <w:jc w:val="left"/>
            </w:pPr>
            <w:r>
              <w:t xml:space="preserve">0.55 (-3.82, 5.12)</w:t>
            </w:r>
          </w:p>
        </w:tc>
        <w:tc>
          <w:p>
            <w:pPr>
              <w:pStyle w:val="Compact"/>
              <w:jc w:val="left"/>
            </w:pPr>
            <w:r>
              <w:t xml:space="preserve">= 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2005-2010</w:t>
            </w:r>
          </w:p>
        </w:tc>
        <w:tc>
          <w:p>
            <w:pPr>
              <w:pStyle w:val="Compact"/>
              <w:jc w:val="left"/>
            </w:pPr>
            <w:r>
              <w:t xml:space="preserve">12.38 (4.62, 20.70)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30.88 (27.05, 34.82)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1999-2003</w:t>
            </w:r>
          </w:p>
        </w:tc>
        <w:tc>
          <w:p>
            <w:pPr>
              <w:pStyle w:val="Compact"/>
              <w:jc w:val="left"/>
            </w:pPr>
            <w:r>
              <w:t xml:space="preserve">42.72 (33.78, 52.26)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2003-2006</w:t>
            </w:r>
          </w:p>
        </w:tc>
        <w:tc>
          <w:p>
            <w:pPr>
              <w:pStyle w:val="Compact"/>
              <w:jc w:val="left"/>
            </w:pPr>
            <w:r>
              <w:t xml:space="preserve">21.39 (8.30, 36.05)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2006-2015</w:t>
            </w:r>
          </w:p>
        </w:tc>
        <w:tc>
          <w:p>
            <w:pPr>
              <w:pStyle w:val="Compact"/>
              <w:jc w:val="left"/>
            </w:pPr>
            <w:r>
              <w:t xml:space="preserve">-6.42 (-7.40, -5.43)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1999-2010</w:t>
            </w:r>
          </w:p>
        </w:tc>
        <w:tc>
          <w:p>
            <w:pPr>
              <w:pStyle w:val="Compact"/>
              <w:jc w:val="left"/>
            </w:pPr>
            <w:r>
              <w:t xml:space="preserve">12.81 (11.51, 14.12)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2010-2015</w:t>
            </w:r>
          </w:p>
        </w:tc>
        <w:tc>
          <w:p>
            <w:pPr>
              <w:pStyle w:val="Compact"/>
              <w:jc w:val="left"/>
            </w:pPr>
            <w:r>
              <w:t xml:space="preserve">0.76 (-1.78, 3.37)</w:t>
            </w:r>
          </w:p>
        </w:tc>
        <w:tc>
          <w:p>
            <w:pPr>
              <w:pStyle w:val="Compact"/>
              <w:jc w:val="left"/>
            </w:pPr>
            <w:r>
              <w:t xml:space="preserve">= 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1999-2015</w:t>
            </w:r>
          </w:p>
        </w:tc>
        <w:tc>
          <w:p>
            <w:pPr>
              <w:pStyle w:val="Compact"/>
              <w:jc w:val="left"/>
            </w:pPr>
            <w:r>
              <w:t xml:space="preserve">-0.23 (-0.81, 0.36)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1999-2006</w:t>
            </w:r>
          </w:p>
        </w:tc>
        <w:tc>
          <w:p>
            <w:pPr>
              <w:pStyle w:val="Compact"/>
              <w:jc w:val="left"/>
            </w:pPr>
            <w:r>
              <w:t xml:space="preserve">17.68 (11.30, 24.44)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2006-2013</w:t>
            </w:r>
          </w:p>
        </w:tc>
        <w:tc>
          <w:p>
            <w:pPr>
              <w:pStyle w:val="Compact"/>
              <w:jc w:val="left"/>
            </w:pPr>
            <w:r>
              <w:t xml:space="preserve">3.19 (-1.66, 8.28)</w:t>
            </w:r>
          </w:p>
        </w:tc>
        <w:tc>
          <w:p>
            <w:pPr>
              <w:pStyle w:val="Compact"/>
              <w:jc w:val="left"/>
            </w:pPr>
            <w:r>
              <w:t xml:space="preserve">=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White</w:t>
            </w:r>
          </w:p>
        </w:tc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2013-2015</w:t>
            </w:r>
          </w:p>
        </w:tc>
        <w:tc>
          <w:p>
            <w:pPr>
              <w:pStyle w:val="Compact"/>
              <w:jc w:val="left"/>
            </w:pPr>
            <w:r>
              <w:t xml:space="preserve">78.70 (50.42, 112.29)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2"/>
      </w:pPr>
      <w:bookmarkStart w:id="24" w:name="joinpoint-model-estimates"/>
      <w:bookmarkEnd w:id="24"/>
      <w:r>
        <w:t xml:space="preserve">Joinpoint Model Estimates</w:t>
      </w:r>
    </w:p>
    <w:p>
      <w:pPr>
        <w:pStyle w:val="Heading3"/>
      </w:pPr>
      <w:bookmarkStart w:id="25" w:name="estimates"/>
      <w:bookmarkEnd w:id="25"/>
      <w:r>
        <w:t xml:space="preserve">Estimates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 (95% CI)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Intercept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in Slope (SE)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Slope Change</w:t>
            </w:r>
            <w:r>
              <w:t xml:space="preserve"> </w:t>
            </w:r>
            <w:r>
              <w:rPr>
                <w:i/>
              </w:rPr>
              <w:t xml:space="preserve">P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-11.38 (39.35)</w:t>
            </w:r>
          </w:p>
        </w:tc>
        <w:tc>
          <w:p>
            <w:pPr>
              <w:pStyle w:val="Compact"/>
              <w:jc w:val="left"/>
            </w:pPr>
            <w:r>
              <w:t xml:space="preserve">= 0.78</w:t>
            </w:r>
          </w:p>
        </w:tc>
        <w:tc>
          <w:p>
            <w:pPr>
              <w:pStyle w:val="Compact"/>
              <w:jc w:val="left"/>
            </w:pPr>
            <w:r>
              <w:t xml:space="preserve">0.01 (0.02)</w:t>
            </w:r>
          </w:p>
        </w:tc>
        <w:tc>
          <w:p>
            <w:pPr>
              <w:pStyle w:val="Compact"/>
              <w:jc w:val="left"/>
            </w:pPr>
            <w:r>
              <w:t xml:space="preserve">= 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2005 (2001, 2008)</w:t>
            </w:r>
          </w:p>
        </w:tc>
        <w:tc>
          <w:p>
            <w:pPr>
              <w:pStyle w:val="Compact"/>
              <w:jc w:val="left"/>
            </w:pPr>
            <w:r>
              <w:t xml:space="preserve">-234.28 (63.45)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0.12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0.11 (0.04)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left"/>
            </w:pPr>
            <w:r>
              <w:t xml:space="preserve">2010 (2008, 2012)</w:t>
            </w:r>
          </w:p>
        </w:tc>
        <w:tc>
          <w:p>
            <w:pPr>
              <w:pStyle w:val="Compact"/>
              <w:jc w:val="left"/>
            </w:pPr>
            <w:r>
              <w:t xml:space="preserve">-540.58 (26.43)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0.27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0.15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-712.28 (57.22)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0.36 (0.03)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2003 (2001, 2005)</w:t>
            </w:r>
          </w:p>
        </w:tc>
        <w:tc>
          <w:p>
            <w:pPr>
              <w:pStyle w:val="Compact"/>
              <w:jc w:val="left"/>
            </w:pPr>
            <w:r>
              <w:t xml:space="preserve">-387.96 (101.09)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0.19 (0.05)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  <w:tc>
          <w:p>
            <w:pPr>
              <w:pStyle w:val="Compact"/>
              <w:jc w:val="left"/>
            </w:pPr>
            <w:r>
              <w:t xml:space="preserve">-0.16 (0.06)</w:t>
            </w:r>
          </w:p>
        </w:tc>
        <w:tc>
          <w:p>
            <w:pPr>
              <w:pStyle w:val="Compact"/>
              <w:jc w:val="left"/>
            </w:pPr>
            <w:r>
              <w:t xml:space="preserve">&lt; 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left"/>
            </w:pPr>
            <w:r>
              <w:t xml:space="preserve">2006 (2005, 2008)</w:t>
            </w:r>
          </w:p>
        </w:tc>
        <w:tc>
          <w:p>
            <w:pPr>
              <w:pStyle w:val="Compact"/>
              <w:jc w:val="left"/>
            </w:pPr>
            <w:r>
              <w:t xml:space="preserve">133.87 (9.37)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-0.07 (0.00)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-0.26 (0.05)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-240.83 (10.67)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0.12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left"/>
            </w:pPr>
            <w:r>
              <w:t xml:space="preserve">2010 (2007, 2011)</w:t>
            </w:r>
          </w:p>
        </w:tc>
        <w:tc>
          <w:p>
            <w:pPr>
              <w:pStyle w:val="Compact"/>
              <w:jc w:val="left"/>
            </w:pPr>
            <w:r>
              <w:t xml:space="preserve">-13.79 (23.59)</w:t>
            </w:r>
          </w:p>
        </w:tc>
        <w:tc>
          <w:p>
            <w:pPr>
              <w:pStyle w:val="Compact"/>
              <w:jc w:val="left"/>
            </w:pPr>
            <w:r>
              <w:t xml:space="preserve">= 0.57</w:t>
            </w:r>
          </w:p>
        </w:tc>
        <w:tc>
          <w:p>
            <w:pPr>
              <w:pStyle w:val="Compact"/>
              <w:jc w:val="left"/>
            </w:pPr>
            <w:r>
              <w:t xml:space="preserve">0.01 (0.01)</w:t>
            </w:r>
          </w:p>
        </w:tc>
        <w:tc>
          <w:p>
            <w:pPr>
              <w:pStyle w:val="Compact"/>
              <w:jc w:val="left"/>
            </w:pPr>
            <w:r>
              <w:t xml:space="preserve">= 0.53</w:t>
            </w:r>
          </w:p>
        </w:tc>
        <w:tc>
          <w:p>
            <w:pPr>
              <w:pStyle w:val="Compact"/>
              <w:jc w:val="left"/>
            </w:pPr>
            <w:r>
              <w:t xml:space="preserve">-0.11 (0.01)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4.56 (5.50)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w:r>
              <w:t xml:space="preserve">-0.00 (0.00)</w:t>
            </w:r>
          </w:p>
        </w:tc>
        <w:tc>
          <w:p>
            <w:pPr>
              <w:pStyle w:val="Compact"/>
              <w:jc w:val="left"/>
            </w:pPr>
            <w:r>
              <w:t xml:space="preserve">= 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1999 (Starting year)</w:t>
            </w:r>
          </w:p>
        </w:tc>
        <w:tc>
          <w:p>
            <w:pPr>
              <w:pStyle w:val="Compact"/>
              <w:jc w:val="left"/>
            </w:pPr>
            <w:r>
              <w:t xml:space="preserve">-326.76 (49.42)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0.16 (0.02)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2006 (2003, 2010)</w:t>
            </w:r>
          </w:p>
        </w:tc>
        <w:tc>
          <w:p>
            <w:pPr>
              <w:pStyle w:val="Compact"/>
              <w:jc w:val="left"/>
            </w:pPr>
            <w:r>
              <w:t xml:space="preserve">-63.07 (42.77)</w:t>
            </w:r>
          </w:p>
        </w:tc>
        <w:tc>
          <w:p>
            <w:pPr>
              <w:pStyle w:val="Compact"/>
              <w:jc w:val="left"/>
            </w:pPr>
            <w:r>
              <w:t xml:space="preserve">= 0.17</w:t>
            </w:r>
          </w:p>
        </w:tc>
        <w:tc>
          <w:p>
            <w:pPr>
              <w:pStyle w:val="Compact"/>
              <w:jc w:val="left"/>
            </w:pPr>
            <w:r>
              <w:t xml:space="preserve">0.03 (0.02)</w:t>
            </w:r>
          </w:p>
        </w:tc>
        <w:tc>
          <w:p>
            <w:pPr>
              <w:pStyle w:val="Compact"/>
              <w:jc w:val="left"/>
            </w:pPr>
            <w:r>
              <w:t xml:space="preserve">= 0.17</w:t>
            </w:r>
          </w:p>
        </w:tc>
        <w:tc>
          <w:p>
            <w:pPr>
              <w:pStyle w:val="Compact"/>
              <w:jc w:val="left"/>
            </w:pPr>
            <w:r>
              <w:t xml:space="preserve">-0.13 (0.03)</w:t>
            </w:r>
          </w:p>
        </w:tc>
        <w:tc>
          <w:p>
            <w:pPr>
              <w:pStyle w:val="Compact"/>
              <w:jc w:val="left"/>
            </w:pPr>
            <w:r>
              <w:t xml:space="preserve">&lt; 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left"/>
            </w:pPr>
            <w:r>
              <w:t xml:space="preserve">2013 (2012, 2013)</w:t>
            </w:r>
          </w:p>
        </w:tc>
        <w:tc>
          <w:p>
            <w:pPr>
              <w:pStyle w:val="Compact"/>
              <w:jc w:val="left"/>
            </w:pPr>
            <w:r>
              <w:t xml:space="preserve">-1168.50 (153.40)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0.58 (0.08)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  <w:tc>
          <w:p>
            <w:pPr>
              <w:pStyle w:val="Compact"/>
              <w:jc w:val="left"/>
            </w:pPr>
            <w:r>
              <w:t xml:space="preserve">0.55 (0.08)</w:t>
            </w:r>
          </w:p>
        </w:tc>
        <w:tc>
          <w:p>
            <w:pPr>
              <w:pStyle w:val="Compact"/>
              <w:jc w:val="left"/>
            </w:pPr>
            <w:r>
              <w:t xml:space="preserve">&lt; 0.001</w:t>
            </w:r>
          </w:p>
        </w:tc>
      </w:tr>
    </w:tbl>
    <w:p>
      <w:pPr>
        <w:pStyle w:val="Heading3"/>
      </w:pPr>
      <w:bookmarkStart w:id="26" w:name="summary"/>
      <w:bookmarkEnd w:id="26"/>
      <w:r>
        <w:t xml:space="preserve">Summary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Obs. (N)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Parameters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Degrees of Freedom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squared errors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squared error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Heroin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179.43</w:t>
            </w:r>
          </w:p>
        </w:tc>
        <w:tc>
          <w:p>
            <w:pPr>
              <w:pStyle w:val="Compact"/>
              <w:jc w:val="right"/>
            </w:pPr>
            <w:r>
              <w:t xml:space="preserve">16.31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Methadone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78.36</w:t>
            </w:r>
          </w:p>
        </w:tc>
        <w:tc>
          <w:p>
            <w:pPr>
              <w:pStyle w:val="Compact"/>
              <w:jc w:val="right"/>
            </w:pPr>
            <w:r>
              <w:t xml:space="preserve">7.12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195.83</w:t>
            </w:r>
          </w:p>
        </w:tc>
        <w:tc>
          <w:p>
            <w:pPr>
              <w:pStyle w:val="Compact"/>
              <w:jc w:val="right"/>
            </w:pPr>
            <w:r>
              <w:t xml:space="preserve">15.06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104.10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178.63</w:t>
            </w:r>
          </w:p>
        </w:tc>
        <w:tc>
          <w:p>
            <w:pPr>
              <w:pStyle w:val="Compact"/>
              <w:jc w:val="right"/>
            </w:pPr>
            <w:r>
              <w:t xml:space="preserve">16.24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923f5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eTable 7. Joinpoint results by ICD-10 opioid type for the white population, 1999-2015</dc:title>
  <dc:creator/>
  <dcterms:created xsi:type="dcterms:W3CDTF">2018-01-26T19:56:37Z</dcterms:created>
  <dcterms:modified xsi:type="dcterms:W3CDTF">2018-01-26T19:56:37Z</dcterms:modified>
</cp:coreProperties>
</file>