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8.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type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population,</w:t>
      </w:r>
      <w:r>
        <w:t xml:space="preserve"> </w:t>
      </w:r>
      <w:r>
        <w:t xml:space="preserve">1999-2015</w:t>
      </w:r>
    </w:p>
    <w:p>
      <w:pPr>
        <w:pStyle w:val="Heading1"/>
      </w:pPr>
      <w:bookmarkStart w:id="21" w:name="black-population-by-icd0-10-type-1999-2015"/>
      <w:bookmarkEnd w:id="21"/>
      <w:r>
        <w:t xml:space="preserve">Black population by ICD0-10 type, 1999-2015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9.02 (6.83, 11.25)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6.21 (4.14, 8.33)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8.16 (7.66, 8.67)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-8.21 (-9.13, -7.29)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15.36 (0.67, 32.18)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</w:tbl>
    <w:p>
      <w:pPr>
        <w:pStyle w:val="Heading2"/>
      </w:pPr>
      <w:bookmarkStart w:id="23" w:name="joinpoint-summary"/>
      <w:bookmarkEnd w:id="23"/>
      <w:r>
        <w:t xml:space="preserve">Joinpoint 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-0.56 (-2.86, 1.79)</w:t>
            </w:r>
          </w:p>
        </w:tc>
        <w:tc>
          <w:p>
            <w:pPr>
              <w:pStyle w:val="Compact"/>
              <w:jc w:val="left"/>
            </w:pPr>
            <w:r>
              <w:t xml:space="preserve">= 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33.46 (26.90, 40.37)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21.81 (16.69, 27.14)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-4.52 (-6.43, -2.56)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8.16 (7.66, 8.67)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-8.21 (-9.13, -7.29)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6.09 (-5.68, 19.32)</w:t>
            </w:r>
          </w:p>
        </w:tc>
        <w:tc>
          <w:p>
            <w:pPr>
              <w:pStyle w:val="Compact"/>
              <w:jc w:val="left"/>
            </w:pPr>
            <w:r>
              <w:t xml:space="preserve">=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107.34 (-14.65, 403.72)</w:t>
            </w:r>
          </w:p>
        </w:tc>
        <w:tc>
          <w:p>
            <w:pPr>
              <w:pStyle w:val="Compact"/>
              <w:jc w:val="left"/>
            </w:pPr>
            <w:r>
              <w:t xml:space="preserve">= 0.10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11.06 (21.51)</w:t>
            </w:r>
          </w:p>
        </w:tc>
        <w:tc>
          <w:p>
            <w:pPr>
              <w:pStyle w:val="Compact"/>
              <w:jc w:val="left"/>
            </w:pPr>
            <w:r>
              <w:t xml:space="preserve">= 0.62</w:t>
            </w:r>
          </w:p>
        </w:tc>
        <w:tc>
          <w:p>
            <w:pPr>
              <w:pStyle w:val="Compact"/>
              <w:jc w:val="left"/>
            </w:pPr>
            <w:r>
              <w:t xml:space="preserve">-0.01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(2009, 2011)</w:t>
            </w:r>
          </w:p>
        </w:tc>
        <w:tc>
          <w:p>
            <w:pPr>
              <w:pStyle w:val="Compact"/>
              <w:jc w:val="left"/>
            </w:pPr>
            <w:r>
              <w:t xml:space="preserve">-580.48 (46.59)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-395.89 (39.43)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0.20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(2004, 2007)</w:t>
            </w:r>
          </w:p>
        </w:tc>
        <w:tc>
          <w:p>
            <w:pPr>
              <w:pStyle w:val="Compact"/>
              <w:jc w:val="left"/>
            </w:pPr>
            <w:r>
              <w:t xml:space="preserve">92.54 (18.71)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-0.05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-157.40 (4.42)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0.08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172.09 (9.45)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-0.09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-119.62 (108.31)</w:t>
            </w:r>
          </w:p>
        </w:tc>
        <w:tc>
          <w:p>
            <w:pPr>
              <w:pStyle w:val="Compact"/>
              <w:jc w:val="left"/>
            </w:pPr>
            <w:r>
              <w:t xml:space="preserve">= 0.29</w:t>
            </w:r>
          </w:p>
        </w:tc>
        <w:tc>
          <w:p>
            <w:pPr>
              <w:pStyle w:val="Compact"/>
              <w:jc w:val="left"/>
            </w:pPr>
            <w:r>
              <w:t xml:space="preserve">0.06 (0.05)</w:t>
            </w:r>
          </w:p>
        </w:tc>
        <w:tc>
          <w:p>
            <w:pPr>
              <w:pStyle w:val="Compact"/>
              <w:jc w:val="left"/>
            </w:pPr>
            <w:r>
              <w:t xml:space="preserve">= 0.30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 (2010, 2013)</w:t>
            </w:r>
          </w:p>
        </w:tc>
        <w:tc>
          <w:p>
            <w:pPr>
              <w:pStyle w:val="Compact"/>
              <w:jc w:val="left"/>
            </w:pPr>
            <w:r>
              <w:t xml:space="preserve">-1468.59 (820.77)</w:t>
            </w:r>
          </w:p>
        </w:tc>
        <w:tc>
          <w:p>
            <w:pPr>
              <w:pStyle w:val="Compact"/>
              <w:jc w:val="left"/>
            </w:pPr>
            <w:r>
              <w:t xml:space="preserve">= 0.10</w:t>
            </w:r>
          </w:p>
        </w:tc>
        <w:tc>
          <w:p>
            <w:pPr>
              <w:pStyle w:val="Compact"/>
              <w:jc w:val="left"/>
            </w:pPr>
            <w:r>
              <w:t xml:space="preserve">0.73 (0.41)</w:t>
            </w:r>
          </w:p>
        </w:tc>
        <w:tc>
          <w:p>
            <w:pPr>
              <w:pStyle w:val="Compact"/>
              <w:jc w:val="left"/>
            </w:pPr>
            <w:r>
              <w:t xml:space="preserve">= 0.10</w:t>
            </w:r>
          </w:p>
        </w:tc>
        <w:tc>
          <w:p>
            <w:pPr>
              <w:pStyle w:val="Compact"/>
              <w:jc w:val="left"/>
            </w:pPr>
            <w:r>
              <w:t xml:space="preserve">0.67 (0.41)</w:t>
            </w:r>
          </w:p>
        </w:tc>
        <w:tc>
          <w:p>
            <w:pPr>
              <w:pStyle w:val="Compact"/>
              <w:jc w:val="left"/>
            </w:pPr>
            <w:r>
              <w:t xml:space="preserve">= 0.13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45.26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22.20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53.40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589.09</w:t>
            </w:r>
          </w:p>
        </w:tc>
        <w:tc>
          <w:p>
            <w:pPr>
              <w:pStyle w:val="Compact"/>
              <w:jc w:val="right"/>
            </w:pPr>
            <w:r>
              <w:t xml:space="preserve">45.31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3ef6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8. Joinpoint results by ICD-10 opioid type for the black population, 1999-2015</dc:title>
  <dc:creator/>
  <dcterms:created xsi:type="dcterms:W3CDTF">2018-01-26T19:56:38Z</dcterms:created>
  <dcterms:modified xsi:type="dcterms:W3CDTF">2018-01-26T19:56:38Z</dcterms:modified>
</cp:coreProperties>
</file>