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eTable</w:t>
      </w:r>
      <w:r>
        <w:t xml:space="preserve"> </w:t>
      </w:r>
      <w:r>
        <w:t xml:space="preserve">8.</w:t>
      </w:r>
      <w:r>
        <w:t xml:space="preserve"> </w:t>
      </w:r>
      <w:r>
        <w:t xml:space="preserve">Joinpoint</w:t>
      </w:r>
      <w:r>
        <w:t xml:space="preserve"> </w:t>
      </w:r>
      <w:r>
        <w:t xml:space="preserve">results</w:t>
      </w:r>
      <w:r>
        <w:t xml:space="preserve"> </w:t>
      </w:r>
      <w:r>
        <w:t xml:space="preserve">by</w:t>
      </w:r>
      <w:r>
        <w:t xml:space="preserve"> </w:t>
      </w:r>
      <w:r>
        <w:t xml:space="preserve">ICD-10</w:t>
      </w:r>
      <w:r>
        <w:t xml:space="preserve"> </w:t>
      </w:r>
      <w:r>
        <w:t xml:space="preserve">opioid</w:t>
      </w:r>
      <w:r>
        <w:t xml:space="preserve"> </w:t>
      </w:r>
      <w:r>
        <w:t xml:space="preserve">type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black</w:t>
      </w:r>
      <w:r>
        <w:t xml:space="preserve"> </w:t>
      </w:r>
      <w:r>
        <w:t xml:space="preserve">population,</w:t>
      </w:r>
      <w:r>
        <w:t xml:space="preserve"> </w:t>
      </w:r>
      <w:r>
        <w:t xml:space="preserve">1999-2015</w:t>
      </w:r>
    </w:p>
    <w:p>
      <w:pPr>
        <w:pStyle w:val="Heading1"/>
      </w:pPr>
      <w:bookmarkStart w:id="21" w:name="black-population-by-icd0-10-type-1999-2015"/>
      <w:bookmarkEnd w:id="21"/>
      <w:r>
        <w:t xml:space="preserve">Black population by ICD0-10 type, 1999-2015</w:t>
      </w:r>
    </w:p>
    <w:p>
      <w:pPr>
        <w:pStyle w:val="Heading2"/>
      </w:pPr>
      <w:bookmarkStart w:id="22" w:name="average-apc"/>
      <w:bookmarkEnd w:id="22"/>
      <w:r>
        <w:t xml:space="preserve">Average APC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Race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Outcome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Time period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Average APC (95% CI)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i/>
              </w:rPr>
              <w:t xml:space="preserve">P</w:t>
            </w:r>
            <w:r>
              <w:t xml:space="preserve"> </w:t>
            </w:r>
            <w:r>
              <w:t xml:space="preserve">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Black</w:t>
            </w:r>
          </w:p>
        </w:tc>
        <w:tc>
          <w:p>
            <w:pPr>
              <w:pStyle w:val="Compact"/>
              <w:jc w:val="left"/>
            </w:pPr>
            <w:r>
              <w:t xml:space="preserve">Heroin</w:t>
            </w:r>
          </w:p>
        </w:tc>
        <w:tc>
          <w:p>
            <w:pPr>
              <w:pStyle w:val="Compact"/>
              <w:jc w:val="left"/>
            </w:pPr>
            <w:r>
              <w:t xml:space="preserve">1999-2016</w:t>
            </w:r>
          </w:p>
        </w:tc>
        <w:tc>
          <w:p>
            <w:pPr>
              <w:pStyle w:val="Compact"/>
              <w:jc w:val="left"/>
            </w:pPr>
            <w:r>
              <w:t xml:space="preserve">10.44 (8.57, 12.33)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Black</w:t>
            </w:r>
          </w:p>
        </w:tc>
        <w:tc>
          <w:p>
            <w:pPr>
              <w:pStyle w:val="Compact"/>
              <w:jc w:val="left"/>
            </w:pPr>
            <w:r>
              <w:t xml:space="preserve">Methadone</w:t>
            </w:r>
          </w:p>
        </w:tc>
        <w:tc>
          <w:p>
            <w:pPr>
              <w:pStyle w:val="Compact"/>
              <w:jc w:val="left"/>
            </w:pPr>
            <w:r>
              <w:t xml:space="preserve">1999-2016</w:t>
            </w:r>
          </w:p>
        </w:tc>
        <w:tc>
          <w:p>
            <w:pPr>
              <w:pStyle w:val="Compact"/>
              <w:jc w:val="left"/>
            </w:pPr>
            <w:r>
              <w:t xml:space="preserve">6.89 (2.69, 11.27)</w:t>
            </w:r>
          </w:p>
        </w:tc>
        <w:tc>
          <w:p>
            <w:pPr>
              <w:pStyle w:val="Compact"/>
              <w:jc w:val="left"/>
            </w:pPr>
            <w:r>
              <w:t xml:space="preserve">&lt; 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Black</w:t>
            </w:r>
          </w:p>
        </w:tc>
        <w:tc>
          <w:p>
            <w:pPr>
              <w:pStyle w:val="Compact"/>
              <w:jc w:val="left"/>
            </w:pPr>
            <w:r>
              <w:t xml:space="preserve">Natural</w:t>
            </w:r>
          </w:p>
        </w:tc>
        <w:tc>
          <w:p>
            <w:pPr>
              <w:pStyle w:val="Compact"/>
              <w:jc w:val="left"/>
            </w:pPr>
            <w:r>
              <w:t xml:space="preserve">1999-2016</w:t>
            </w:r>
          </w:p>
        </w:tc>
        <w:tc>
          <w:p>
            <w:pPr>
              <w:pStyle w:val="Compact"/>
              <w:jc w:val="left"/>
            </w:pPr>
            <w:r>
              <w:t xml:space="preserve">9.20 (8.15, 10.26)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Black</w:t>
            </w:r>
          </w:p>
        </w:tc>
        <w:tc>
          <w:p>
            <w:pPr>
              <w:pStyle w:val="Compact"/>
              <w:jc w:val="left"/>
            </w:pPr>
            <w:r>
              <w:t xml:space="preserve">Other</w:t>
            </w:r>
          </w:p>
        </w:tc>
        <w:tc>
          <w:p>
            <w:pPr>
              <w:pStyle w:val="Compact"/>
              <w:jc w:val="left"/>
            </w:pPr>
            <w:r>
              <w:t xml:space="preserve">1999-2016</w:t>
            </w:r>
          </w:p>
        </w:tc>
        <w:tc>
          <w:p>
            <w:pPr>
              <w:pStyle w:val="Compact"/>
              <w:jc w:val="left"/>
            </w:pPr>
            <w:r>
              <w:t xml:space="preserve">-5.80 (-9.37, -2.08)</w:t>
            </w:r>
          </w:p>
        </w:tc>
        <w:tc>
          <w:p>
            <w:pPr>
              <w:pStyle w:val="Compact"/>
              <w:jc w:val="left"/>
            </w:pPr>
            <w:r>
              <w:t xml:space="preserve">&lt; 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Black</w:t>
            </w:r>
          </w:p>
        </w:tc>
        <w:tc>
          <w:p>
            <w:pPr>
              <w:pStyle w:val="Compact"/>
              <w:jc w:val="left"/>
            </w:pPr>
            <w:r>
              <w:t xml:space="preserve">Synthetic</w:t>
            </w:r>
          </w:p>
        </w:tc>
        <w:tc>
          <w:p>
            <w:pPr>
              <w:pStyle w:val="Compact"/>
              <w:jc w:val="left"/>
            </w:pPr>
            <w:r>
              <w:t xml:space="preserve">1999-2016</w:t>
            </w:r>
          </w:p>
        </w:tc>
        <w:tc>
          <w:p>
            <w:pPr>
              <w:pStyle w:val="Compact"/>
              <w:jc w:val="left"/>
            </w:pPr>
            <w:r>
              <w:t xml:space="preserve">20.52 (8.92, 33.35)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</w:tr>
    </w:tbl>
    <w:p>
      <w:pPr>
        <w:pStyle w:val="Heading2"/>
      </w:pPr>
      <w:bookmarkStart w:id="23" w:name="joinpoint-summary"/>
      <w:bookmarkEnd w:id="23"/>
      <w:r>
        <w:t xml:space="preserve">Joinpoint Summary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Race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Outcome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Time period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APC (95% CI)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i/>
              </w:rPr>
              <w:t xml:space="preserve">P</w:t>
            </w:r>
            <w:r>
              <w:t xml:space="preserve"> </w:t>
            </w:r>
            <w:r>
              <w:t xml:space="preserve">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Black</w:t>
            </w:r>
          </w:p>
        </w:tc>
        <w:tc>
          <w:p>
            <w:pPr>
              <w:pStyle w:val="Compact"/>
              <w:jc w:val="left"/>
            </w:pPr>
            <w:r>
              <w:t xml:space="preserve">Heroin</w:t>
            </w:r>
          </w:p>
        </w:tc>
        <w:tc>
          <w:p>
            <w:pPr>
              <w:pStyle w:val="Compact"/>
              <w:jc w:val="left"/>
            </w:pPr>
            <w:r>
              <w:t xml:space="preserve">1999-2010</w:t>
            </w:r>
          </w:p>
        </w:tc>
        <w:tc>
          <w:p>
            <w:pPr>
              <w:pStyle w:val="Compact"/>
              <w:jc w:val="left"/>
            </w:pPr>
            <w:r>
              <w:t xml:space="preserve">-0.67 (-2.88, 1.58)</w:t>
            </w:r>
          </w:p>
        </w:tc>
        <w:tc>
          <w:p>
            <w:pPr>
              <w:pStyle w:val="Compact"/>
              <w:jc w:val="left"/>
            </w:pPr>
            <w:r>
              <w:t xml:space="preserve">= 0.53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Black</w:t>
            </w:r>
          </w:p>
        </w:tc>
        <w:tc>
          <w:p>
            <w:pPr>
              <w:pStyle w:val="Compact"/>
              <w:jc w:val="left"/>
            </w:pPr>
            <w:r>
              <w:t xml:space="preserve">Heroin</w:t>
            </w:r>
          </w:p>
        </w:tc>
        <w:tc>
          <w:p>
            <w:pPr>
              <w:pStyle w:val="Compact"/>
              <w:jc w:val="left"/>
            </w:pPr>
            <w:r>
              <w:t xml:space="preserve">2010-2016</w:t>
            </w:r>
          </w:p>
        </w:tc>
        <w:tc>
          <w:p>
            <w:pPr>
              <w:pStyle w:val="Compact"/>
              <w:jc w:val="left"/>
            </w:pPr>
            <w:r>
              <w:t xml:space="preserve">34.12 (29.70, 38.68)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Black</w:t>
            </w:r>
          </w:p>
        </w:tc>
        <w:tc>
          <w:p>
            <w:pPr>
              <w:pStyle w:val="Compact"/>
              <w:jc w:val="left"/>
            </w:pPr>
            <w:r>
              <w:t xml:space="preserve">Methadone</w:t>
            </w:r>
          </w:p>
        </w:tc>
        <w:tc>
          <w:p>
            <w:pPr>
              <w:pStyle w:val="Compact"/>
              <w:jc w:val="left"/>
            </w:pPr>
            <w:r>
              <w:t xml:space="preserve">1999-2006</w:t>
            </w:r>
          </w:p>
        </w:tc>
        <w:tc>
          <w:p>
            <w:pPr>
              <w:pStyle w:val="Compact"/>
              <w:jc w:val="left"/>
            </w:pPr>
            <w:r>
              <w:t xml:space="preserve">23.75 (18.36, 29.38)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Black</w:t>
            </w:r>
          </w:p>
        </w:tc>
        <w:tc>
          <w:p>
            <w:pPr>
              <w:pStyle w:val="Compact"/>
              <w:jc w:val="left"/>
            </w:pPr>
            <w:r>
              <w:t xml:space="preserve">Methadone</w:t>
            </w:r>
          </w:p>
        </w:tc>
        <w:tc>
          <w:p>
            <w:pPr>
              <w:pStyle w:val="Compact"/>
              <w:jc w:val="left"/>
            </w:pPr>
            <w:r>
              <w:t xml:space="preserve">2006-2009</w:t>
            </w:r>
          </w:p>
        </w:tc>
        <w:tc>
          <w:p>
            <w:pPr>
              <w:pStyle w:val="Compact"/>
              <w:jc w:val="left"/>
            </w:pPr>
            <w:r>
              <w:t xml:space="preserve">-10.32 (-28.43, 12.36)</w:t>
            </w:r>
          </w:p>
        </w:tc>
        <w:tc>
          <w:p>
            <w:pPr>
              <w:pStyle w:val="Compact"/>
              <w:jc w:val="left"/>
            </w:pPr>
            <w:r>
              <w:t xml:space="preserve">= 0.31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Black</w:t>
            </w:r>
          </w:p>
        </w:tc>
        <w:tc>
          <w:p>
            <w:pPr>
              <w:pStyle w:val="Compact"/>
              <w:jc w:val="left"/>
            </w:pPr>
            <w:r>
              <w:t xml:space="preserve">Methadone</w:t>
            </w:r>
          </w:p>
        </w:tc>
        <w:tc>
          <w:p>
            <w:pPr>
              <w:pStyle w:val="Compact"/>
              <w:jc w:val="left"/>
            </w:pPr>
            <w:r>
              <w:t xml:space="preserve">2009-2016</w:t>
            </w:r>
          </w:p>
        </w:tc>
        <w:tc>
          <w:p>
            <w:pPr>
              <w:pStyle w:val="Compact"/>
              <w:jc w:val="left"/>
            </w:pPr>
            <w:r>
              <w:t xml:space="preserve">-0.44 (-3.46, 2.66)</w:t>
            </w:r>
          </w:p>
        </w:tc>
        <w:tc>
          <w:p>
            <w:pPr>
              <w:pStyle w:val="Compact"/>
              <w:jc w:val="left"/>
            </w:pPr>
            <w:r>
              <w:t xml:space="preserve">= 0.75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Black</w:t>
            </w:r>
          </w:p>
        </w:tc>
        <w:tc>
          <w:p>
            <w:pPr>
              <w:pStyle w:val="Compact"/>
              <w:jc w:val="left"/>
            </w:pPr>
            <w:r>
              <w:t xml:space="preserve">Natural</w:t>
            </w:r>
          </w:p>
        </w:tc>
        <w:tc>
          <w:p>
            <w:pPr>
              <w:pStyle w:val="Compact"/>
              <w:jc w:val="left"/>
            </w:pPr>
            <w:r>
              <w:t xml:space="preserve">1999-2014</w:t>
            </w:r>
          </w:p>
        </w:tc>
        <w:tc>
          <w:p>
            <w:pPr>
              <w:pStyle w:val="Compact"/>
              <w:jc w:val="left"/>
            </w:pPr>
            <w:r>
              <w:t xml:space="preserve">7.93 (7.33, 8.54)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Black</w:t>
            </w:r>
          </w:p>
        </w:tc>
        <w:tc>
          <w:p>
            <w:pPr>
              <w:pStyle w:val="Compact"/>
              <w:jc w:val="left"/>
            </w:pPr>
            <w:r>
              <w:t xml:space="preserve">Natural</w:t>
            </w:r>
          </w:p>
        </w:tc>
        <w:tc>
          <w:p>
            <w:pPr>
              <w:pStyle w:val="Compact"/>
              <w:jc w:val="left"/>
            </w:pPr>
            <w:r>
              <w:t xml:space="preserve">2014-2016</w:t>
            </w:r>
          </w:p>
        </w:tc>
        <w:tc>
          <w:p>
            <w:pPr>
              <w:pStyle w:val="Compact"/>
              <w:jc w:val="left"/>
            </w:pPr>
            <w:r>
              <w:t xml:space="preserve">19.23 (10.05, 29.19)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Black</w:t>
            </w:r>
          </w:p>
        </w:tc>
        <w:tc>
          <w:p>
            <w:pPr>
              <w:pStyle w:val="Compact"/>
              <w:jc w:val="left"/>
            </w:pPr>
            <w:r>
              <w:t xml:space="preserve">Other</w:t>
            </w:r>
          </w:p>
        </w:tc>
        <w:tc>
          <w:p>
            <w:pPr>
              <w:pStyle w:val="Compact"/>
              <w:jc w:val="left"/>
            </w:pPr>
            <w:r>
              <w:t xml:space="preserve">1999-2014</w:t>
            </w:r>
          </w:p>
        </w:tc>
        <w:tc>
          <w:p>
            <w:pPr>
              <w:pStyle w:val="Compact"/>
              <w:jc w:val="left"/>
            </w:pPr>
            <w:r>
              <w:t xml:space="preserve">-8.48 (-9.59, -7.35)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Black</w:t>
            </w:r>
          </w:p>
        </w:tc>
        <w:tc>
          <w:p>
            <w:pPr>
              <w:pStyle w:val="Compact"/>
              <w:jc w:val="left"/>
            </w:pPr>
            <w:r>
              <w:t xml:space="preserve">Other</w:t>
            </w:r>
          </w:p>
        </w:tc>
        <w:tc>
          <w:p>
            <w:pPr>
              <w:pStyle w:val="Compact"/>
              <w:jc w:val="left"/>
            </w:pPr>
            <w:r>
              <w:t xml:space="preserve">2014-2016</w:t>
            </w:r>
          </w:p>
        </w:tc>
        <w:tc>
          <w:p>
            <w:pPr>
              <w:pStyle w:val="Compact"/>
              <w:jc w:val="left"/>
            </w:pPr>
            <w:r>
              <w:t xml:space="preserve">16.96 (-17.65, 66.14)</w:t>
            </w:r>
          </w:p>
        </w:tc>
        <w:tc>
          <w:p>
            <w:pPr>
              <w:pStyle w:val="Compact"/>
              <w:jc w:val="left"/>
            </w:pPr>
            <w:r>
              <w:t xml:space="preserve">= 0.35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Black</w:t>
            </w:r>
          </w:p>
        </w:tc>
        <w:tc>
          <w:p>
            <w:pPr>
              <w:pStyle w:val="Compact"/>
              <w:jc w:val="left"/>
            </w:pPr>
            <w:r>
              <w:t xml:space="preserve">Synthetic</w:t>
            </w:r>
          </w:p>
        </w:tc>
        <w:tc>
          <w:p>
            <w:pPr>
              <w:pStyle w:val="Compact"/>
              <w:jc w:val="left"/>
            </w:pPr>
            <w:r>
              <w:t xml:space="preserve">1999-2013</w:t>
            </w:r>
          </w:p>
        </w:tc>
        <w:tc>
          <w:p>
            <w:pPr>
              <w:pStyle w:val="Compact"/>
              <w:jc w:val="left"/>
            </w:pPr>
            <w:r>
              <w:t xml:space="preserve">5.11 (-6.16, 17.73)</w:t>
            </w:r>
          </w:p>
        </w:tc>
        <w:tc>
          <w:p>
            <w:pPr>
              <w:pStyle w:val="Compact"/>
              <w:jc w:val="left"/>
            </w:pPr>
            <w:r>
              <w:t xml:space="preserve">= 0.36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Black</w:t>
            </w:r>
          </w:p>
        </w:tc>
        <w:tc>
          <w:p>
            <w:pPr>
              <w:pStyle w:val="Compact"/>
              <w:jc w:val="left"/>
            </w:pPr>
            <w:r>
              <w:t xml:space="preserve">Synthetic</w:t>
            </w:r>
          </w:p>
        </w:tc>
        <w:tc>
          <w:p>
            <w:pPr>
              <w:pStyle w:val="Compact"/>
              <w:jc w:val="left"/>
            </w:pPr>
            <w:r>
              <w:t xml:space="preserve">2013-2016</w:t>
            </w:r>
          </w:p>
        </w:tc>
        <w:tc>
          <w:p>
            <w:pPr>
              <w:pStyle w:val="Compact"/>
              <w:jc w:val="left"/>
            </w:pPr>
            <w:r>
              <w:t xml:space="preserve">128.21 (61.59, 222.30)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</w:tr>
    </w:tbl>
    <w:p>
      <w:pPr>
        <w:pStyle w:val="Heading2"/>
      </w:pPr>
      <w:bookmarkStart w:id="24" w:name="joinpoint-model-estimates"/>
      <w:bookmarkEnd w:id="24"/>
      <w:r>
        <w:t xml:space="preserve">Joinpoint Model Estimates</w:t>
      </w:r>
    </w:p>
    <w:p>
      <w:pPr>
        <w:pStyle w:val="Heading3"/>
      </w:pPr>
      <w:bookmarkStart w:id="25" w:name="estimates"/>
      <w:bookmarkEnd w:id="25"/>
      <w:r>
        <w:t xml:space="preserve">Estimates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Outcome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Year (95% CI)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Intercept (SE)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Intercept</w:t>
            </w:r>
            <w:r>
              <w:t xml:space="preserve"> </w:t>
            </w:r>
            <w:r>
              <w:rPr>
                <w:i/>
              </w:rPr>
              <w:t xml:space="preserve">P</w:t>
            </w:r>
            <w:r>
              <w:t xml:space="preserve"> </w:t>
            </w:r>
            <w:r>
              <w:t xml:space="preserve">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Slope (SE)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Slope</w:t>
            </w:r>
            <w:r>
              <w:t xml:space="preserve"> </w:t>
            </w:r>
            <w:r>
              <w:rPr>
                <w:i/>
              </w:rPr>
              <w:t xml:space="preserve">P</w:t>
            </w:r>
            <w:r>
              <w:t xml:space="preserve"> </w:t>
            </w:r>
            <w:r>
              <w:t xml:space="preserve">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Change in Slope (SE)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Slope Change</w:t>
            </w:r>
            <w:r>
              <w:t xml:space="preserve"> </w:t>
            </w:r>
            <w:r>
              <w:rPr>
                <w:i/>
              </w:rPr>
              <w:t xml:space="preserve">P</w:t>
            </w:r>
            <w:r>
              <w:t xml:space="preserve"> </w:t>
            </w:r>
            <w:r>
              <w:t xml:space="preserve">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Heroin</w:t>
            </w:r>
          </w:p>
        </w:tc>
        <w:tc>
          <w:p>
            <w:pPr>
              <w:pStyle w:val="Compact"/>
              <w:jc w:val="left"/>
            </w:pPr>
            <w:r>
              <w:t xml:space="preserve">1999 (Starting year)</w:t>
            </w:r>
          </w:p>
        </w:tc>
        <w:tc>
          <w:p>
            <w:pPr>
              <w:pStyle w:val="Compact"/>
              <w:jc w:val="left"/>
            </w:pPr>
            <w:r>
              <w:t xml:space="preserve">13.25 (20.83)</w:t>
            </w:r>
          </w:p>
        </w:tc>
        <w:tc>
          <w:p>
            <w:pPr>
              <w:pStyle w:val="Compact"/>
              <w:jc w:val="left"/>
            </w:pPr>
            <w:r>
              <w:t xml:space="preserve">= 0.54</w:t>
            </w:r>
          </w:p>
        </w:tc>
        <w:tc>
          <w:p>
            <w:pPr>
              <w:pStyle w:val="Compact"/>
              <w:jc w:val="left"/>
            </w:pPr>
            <w:r>
              <w:t xml:space="preserve">-0.01 (0.01)</w:t>
            </w:r>
          </w:p>
        </w:tc>
        <w:tc>
          <w:p>
            <w:pPr>
              <w:pStyle w:val="Compact"/>
              <w:jc w:val="left"/>
            </w:pPr>
            <w:r>
              <w:t xml:space="preserve">= 0.53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Heroin</w:t>
            </w:r>
          </w:p>
        </w:tc>
        <w:tc>
          <w:p>
            <w:pPr>
              <w:pStyle w:val="Compact"/>
              <w:jc w:val="left"/>
            </w:pPr>
            <w:r>
              <w:t xml:space="preserve">2010 (2009, 2011)</w:t>
            </w:r>
          </w:p>
        </w:tc>
        <w:tc>
          <w:p>
            <w:pPr>
              <w:pStyle w:val="Compact"/>
              <w:jc w:val="left"/>
            </w:pPr>
            <w:r>
              <w:t xml:space="preserve">-590.32 (31.21)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  <w:tc>
          <w:p>
            <w:pPr>
              <w:pStyle w:val="Compact"/>
              <w:jc w:val="left"/>
            </w:pPr>
            <w:r>
              <w:t xml:space="preserve">0.29 (0.02)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  <w:tc>
          <w:p>
            <w:pPr>
              <w:pStyle w:val="Compact"/>
              <w:jc w:val="left"/>
            </w:pPr>
            <w:r>
              <w:t xml:space="preserve">0.30 (0.02)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Methadone</w:t>
            </w:r>
          </w:p>
        </w:tc>
        <w:tc>
          <w:p>
            <w:pPr>
              <w:pStyle w:val="Compact"/>
              <w:jc w:val="left"/>
            </w:pPr>
            <w:r>
              <w:t xml:space="preserve">1999 (Starting year)</w:t>
            </w:r>
          </w:p>
        </w:tc>
        <w:tc>
          <w:p>
            <w:pPr>
              <w:pStyle w:val="Compact"/>
              <w:jc w:val="left"/>
            </w:pPr>
            <w:r>
              <w:t xml:space="preserve">-427.52 (40.02)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  <w:tc>
          <w:p>
            <w:pPr>
              <w:pStyle w:val="Compact"/>
              <w:jc w:val="left"/>
            </w:pPr>
            <w:r>
              <w:t xml:space="preserve">0.21 (0.02)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Methadone</w:t>
            </w:r>
          </w:p>
        </w:tc>
        <w:tc>
          <w:p>
            <w:pPr>
              <w:pStyle w:val="Compact"/>
              <w:jc w:val="left"/>
            </w:pPr>
            <w:r>
              <w:t xml:space="preserve">2006 (2004, 2007)</w:t>
            </w:r>
          </w:p>
        </w:tc>
        <w:tc>
          <w:p>
            <w:pPr>
              <w:pStyle w:val="Compact"/>
              <w:jc w:val="left"/>
            </w:pPr>
            <w:r>
              <w:t xml:space="preserve">218.46 (203.16)</w:t>
            </w:r>
          </w:p>
        </w:tc>
        <w:tc>
          <w:p>
            <w:pPr>
              <w:pStyle w:val="Compact"/>
              <w:jc w:val="left"/>
            </w:pPr>
            <w:r>
              <w:t xml:space="preserve">= 0.31</w:t>
            </w:r>
          </w:p>
        </w:tc>
        <w:tc>
          <w:p>
            <w:pPr>
              <w:pStyle w:val="Compact"/>
              <w:jc w:val="left"/>
            </w:pPr>
            <w:r>
              <w:t xml:space="preserve">-0.11 (0.10)</w:t>
            </w:r>
          </w:p>
        </w:tc>
        <w:tc>
          <w:p>
            <w:pPr>
              <w:pStyle w:val="Compact"/>
              <w:jc w:val="left"/>
            </w:pPr>
            <w:r>
              <w:t xml:space="preserve">= 0.31</w:t>
            </w:r>
          </w:p>
        </w:tc>
        <w:tc>
          <w:p>
            <w:pPr>
              <w:pStyle w:val="Compact"/>
              <w:jc w:val="left"/>
            </w:pPr>
            <w:r>
              <w:t xml:space="preserve">-0.32 (0.10)</w:t>
            </w:r>
          </w:p>
        </w:tc>
        <w:tc>
          <w:p>
            <w:pPr>
              <w:pStyle w:val="Compact"/>
              <w:jc w:val="left"/>
            </w:pPr>
            <w:r>
              <w:t xml:space="preserve">&lt; .05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Methadone</w:t>
            </w:r>
          </w:p>
        </w:tc>
        <w:tc>
          <w:p>
            <w:pPr>
              <w:pStyle w:val="Compact"/>
              <w:jc w:val="left"/>
            </w:pPr>
            <w:r>
              <w:t xml:space="preserve">2009 (2008, 2014)</w:t>
            </w:r>
          </w:p>
        </w:tc>
        <w:tc>
          <w:p>
            <w:pPr>
              <w:pStyle w:val="Compact"/>
              <w:jc w:val="left"/>
            </w:pPr>
            <w:r>
              <w:t xml:space="preserve">8.47 (27.76)</w:t>
            </w:r>
          </w:p>
        </w:tc>
        <w:tc>
          <w:p>
            <w:pPr>
              <w:pStyle w:val="Compact"/>
              <w:jc w:val="left"/>
            </w:pPr>
            <w:r>
              <w:t xml:space="preserve">= 0.77</w:t>
            </w:r>
          </w:p>
        </w:tc>
        <w:tc>
          <w:p>
            <w:pPr>
              <w:pStyle w:val="Compact"/>
              <w:jc w:val="left"/>
            </w:pPr>
            <w:r>
              <w:t xml:space="preserve">-0.00 (0.01)</w:t>
            </w:r>
          </w:p>
        </w:tc>
        <w:tc>
          <w:p>
            <w:pPr>
              <w:pStyle w:val="Compact"/>
              <w:jc w:val="left"/>
            </w:pPr>
            <w:r>
              <w:t xml:space="preserve">= 0.75</w:t>
            </w:r>
          </w:p>
        </w:tc>
        <w:tc>
          <w:p>
            <w:pPr>
              <w:pStyle w:val="Compact"/>
              <w:jc w:val="left"/>
            </w:pPr>
            <w:r>
              <w:t xml:space="preserve">0.10 (0.10)</w:t>
            </w:r>
          </w:p>
        </w:tc>
        <w:tc>
          <w:p>
            <w:pPr>
              <w:pStyle w:val="Compact"/>
              <w:jc w:val="left"/>
            </w:pPr>
            <w:r>
              <w:t xml:space="preserve">= 0.33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Natural</w:t>
            </w:r>
          </w:p>
        </w:tc>
        <w:tc>
          <w:p>
            <w:pPr>
              <w:pStyle w:val="Compact"/>
              <w:jc w:val="left"/>
            </w:pPr>
            <w:r>
              <w:t xml:space="preserve">1999 (Starting year)</w:t>
            </w:r>
          </w:p>
        </w:tc>
        <w:tc>
          <w:p>
            <w:pPr>
              <w:pStyle w:val="Compact"/>
              <w:jc w:val="left"/>
            </w:pPr>
            <w:r>
              <w:t xml:space="preserve">-153.09 (5.23)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  <w:tc>
          <w:p>
            <w:pPr>
              <w:pStyle w:val="Compact"/>
              <w:jc w:val="left"/>
            </w:pPr>
            <w:r>
              <w:t xml:space="preserve">0.08 (0.00)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Natural</w:t>
            </w:r>
          </w:p>
        </w:tc>
        <w:tc>
          <w:p>
            <w:pPr>
              <w:pStyle w:val="Compact"/>
              <w:jc w:val="left"/>
            </w:pPr>
            <w:r>
              <w:t xml:space="preserve">2014 (2012, 2014)</w:t>
            </w:r>
          </w:p>
        </w:tc>
        <w:tc>
          <w:p>
            <w:pPr>
              <w:pStyle w:val="Compact"/>
              <w:jc w:val="left"/>
            </w:pPr>
            <w:r>
              <w:t xml:space="preserve">-353.70 (74.81)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  <w:tc>
          <w:p>
            <w:pPr>
              <w:pStyle w:val="Compact"/>
              <w:jc w:val="left"/>
            </w:pPr>
            <w:r>
              <w:t xml:space="preserve">0.18 (0.04)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  <w:tc>
          <w:p>
            <w:pPr>
              <w:pStyle w:val="Compact"/>
              <w:jc w:val="left"/>
            </w:pPr>
            <w:r>
              <w:t xml:space="preserve">0.10 (0.04)</w:t>
            </w:r>
          </w:p>
        </w:tc>
        <w:tc>
          <w:p>
            <w:pPr>
              <w:pStyle w:val="Compact"/>
              <w:jc w:val="left"/>
            </w:pPr>
            <w:r>
              <w:t xml:space="preserve">&lt; .05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Other</w:t>
            </w:r>
          </w:p>
        </w:tc>
        <w:tc>
          <w:p>
            <w:pPr>
              <w:pStyle w:val="Compact"/>
              <w:jc w:val="left"/>
            </w:pPr>
            <w:r>
              <w:t xml:space="preserve">1999 (Starting year)</w:t>
            </w:r>
          </w:p>
        </w:tc>
        <w:tc>
          <w:p>
            <w:pPr>
              <w:pStyle w:val="Compact"/>
              <w:jc w:val="left"/>
            </w:pPr>
            <w:r>
              <w:t xml:space="preserve">177.78 (11.35)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  <w:tc>
          <w:p>
            <w:pPr>
              <w:pStyle w:val="Compact"/>
              <w:jc w:val="left"/>
            </w:pPr>
            <w:r>
              <w:t xml:space="preserve">-0.09 (0.01)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Other</w:t>
            </w:r>
          </w:p>
        </w:tc>
        <w:tc>
          <w:p>
            <w:pPr>
              <w:pStyle w:val="Compact"/>
              <w:jc w:val="left"/>
            </w:pPr>
            <w:r>
              <w:t xml:space="preserve">2014 (2008, 2014)</w:t>
            </w:r>
          </w:p>
        </w:tc>
        <w:tc>
          <w:p>
            <w:pPr>
              <w:pStyle w:val="Compact"/>
              <w:jc w:val="left"/>
            </w:pPr>
            <w:r>
              <w:t xml:space="preserve">-316.20 (327.41)</w:t>
            </w:r>
          </w:p>
        </w:tc>
        <w:tc>
          <w:p>
            <w:pPr>
              <w:pStyle w:val="Compact"/>
              <w:jc w:val="left"/>
            </w:pPr>
            <w:r>
              <w:t xml:space="preserve">= 0.35</w:t>
            </w:r>
          </w:p>
        </w:tc>
        <w:tc>
          <w:p>
            <w:pPr>
              <w:pStyle w:val="Compact"/>
              <w:jc w:val="left"/>
            </w:pPr>
            <w:r>
              <w:t xml:space="preserve">0.16 (0.16)</w:t>
            </w:r>
          </w:p>
        </w:tc>
        <w:tc>
          <w:p>
            <w:pPr>
              <w:pStyle w:val="Compact"/>
              <w:jc w:val="left"/>
            </w:pPr>
            <w:r>
              <w:t xml:space="preserve">= 0.35</w:t>
            </w:r>
          </w:p>
        </w:tc>
        <w:tc>
          <w:p>
            <w:pPr>
              <w:pStyle w:val="Compact"/>
              <w:jc w:val="left"/>
            </w:pPr>
            <w:r>
              <w:t xml:space="preserve">0.25 (0.16)</w:t>
            </w:r>
          </w:p>
        </w:tc>
        <w:tc>
          <w:p>
            <w:pPr>
              <w:pStyle w:val="Compact"/>
              <w:jc w:val="left"/>
            </w:pPr>
            <w:r>
              <w:t xml:space="preserve">= 0.16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Synthetic</w:t>
            </w:r>
          </w:p>
        </w:tc>
        <w:tc>
          <w:p>
            <w:pPr>
              <w:pStyle w:val="Compact"/>
              <w:jc w:val="left"/>
            </w:pPr>
            <w:r>
              <w:t xml:space="preserve">1999 (Starting year)</w:t>
            </w:r>
          </w:p>
        </w:tc>
        <w:tc>
          <w:p>
            <w:pPr>
              <w:pStyle w:val="Compact"/>
              <w:jc w:val="left"/>
            </w:pPr>
            <w:r>
              <w:t xml:space="preserve">-101.07 (105.35)</w:t>
            </w:r>
          </w:p>
        </w:tc>
        <w:tc>
          <w:p>
            <w:pPr>
              <w:pStyle w:val="Compact"/>
              <w:jc w:val="left"/>
            </w:pPr>
            <w:r>
              <w:t xml:space="preserve">= 0.35</w:t>
            </w:r>
          </w:p>
        </w:tc>
        <w:tc>
          <w:p>
            <w:pPr>
              <w:pStyle w:val="Compact"/>
              <w:jc w:val="left"/>
            </w:pPr>
            <w:r>
              <w:t xml:space="preserve">0.05 (0.05)</w:t>
            </w:r>
          </w:p>
        </w:tc>
        <w:tc>
          <w:p>
            <w:pPr>
              <w:pStyle w:val="Compact"/>
              <w:jc w:val="left"/>
            </w:pPr>
            <w:r>
              <w:t xml:space="preserve">= 0.36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Synthetic</w:t>
            </w:r>
          </w:p>
        </w:tc>
        <w:tc>
          <w:p>
            <w:pPr>
              <w:pStyle w:val="Compact"/>
              <w:jc w:val="left"/>
            </w:pPr>
            <w:r>
              <w:t xml:space="preserve">2013 (2011, 2014)</w:t>
            </w:r>
          </w:p>
        </w:tc>
        <w:tc>
          <w:p>
            <w:pPr>
              <w:pStyle w:val="Compact"/>
              <w:jc w:val="left"/>
            </w:pPr>
            <w:r>
              <w:t xml:space="preserve">-1661.69 (322.06)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  <w:tc>
          <w:p>
            <w:pPr>
              <w:pStyle w:val="Compact"/>
              <w:jc w:val="left"/>
            </w:pPr>
            <w:r>
              <w:t xml:space="preserve">0.83 (0.16)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  <w:tc>
          <w:p>
            <w:pPr>
              <w:pStyle w:val="Compact"/>
              <w:jc w:val="left"/>
            </w:pPr>
            <w:r>
              <w:t xml:space="preserve">0.78 (0.17)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</w:tr>
    </w:tbl>
    <w:p>
      <w:pPr>
        <w:pStyle w:val="Heading3"/>
      </w:pPr>
      <w:bookmarkStart w:id="26" w:name="summary"/>
      <w:bookmarkEnd w:id="26"/>
      <w:r>
        <w:t xml:space="preserve">Summary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Outcome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Obs. (N)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Parameters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Degrees of Freedom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 of squared errors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 squared error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Heroin</w:t>
            </w:r>
          </w:p>
        </w:tc>
        <w:tc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p>
            <w:pPr>
              <w:pStyle w:val="Compact"/>
              <w:jc w:val="right"/>
            </w:pPr>
            <w:r>
              <w:t xml:space="preserve">46.05</w:t>
            </w:r>
          </w:p>
        </w:tc>
        <w:tc>
          <w:p>
            <w:pPr>
              <w:pStyle w:val="Compact"/>
              <w:jc w:val="right"/>
            </w:pPr>
            <w:r>
              <w:t xml:space="preserve">3.29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Methadone</w:t>
            </w:r>
          </w:p>
        </w:tc>
        <w:tc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18.55</w:t>
            </w:r>
          </w:p>
        </w:tc>
        <w:tc>
          <w:p>
            <w:pPr>
              <w:pStyle w:val="Compact"/>
              <w:jc w:val="right"/>
            </w:pPr>
            <w:r>
              <w:t xml:space="preserve">1.55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Natural</w:t>
            </w:r>
          </w:p>
        </w:tc>
        <w:tc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p>
            <w:pPr>
              <w:pStyle w:val="Compact"/>
              <w:jc w:val="right"/>
            </w:pPr>
            <w:r>
              <w:t xml:space="preserve">13.34</w:t>
            </w:r>
          </w:p>
        </w:tc>
        <w:tc>
          <w:p>
            <w:pPr>
              <w:pStyle w:val="Compact"/>
              <w:jc w:val="right"/>
            </w:pPr>
            <w:r>
              <w:t xml:space="preserve">0.95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Other</w:t>
            </w:r>
          </w:p>
        </w:tc>
        <w:tc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p>
            <w:pPr>
              <w:pStyle w:val="Compact"/>
              <w:jc w:val="right"/>
            </w:pPr>
            <w:r>
              <w:t xml:space="preserve">51.63</w:t>
            </w:r>
          </w:p>
        </w:tc>
        <w:tc>
          <w:p>
            <w:pPr>
              <w:pStyle w:val="Compact"/>
              <w:jc w:val="right"/>
            </w:pPr>
            <w:r>
              <w:t xml:space="preserve">3.69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Synthetic</w:t>
            </w:r>
          </w:p>
        </w:tc>
        <w:tc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p>
            <w:pPr>
              <w:pStyle w:val="Compact"/>
              <w:jc w:val="right"/>
            </w:pPr>
            <w:r>
              <w:t xml:space="preserve">606.26</w:t>
            </w:r>
          </w:p>
        </w:tc>
        <w:tc>
          <w:p>
            <w:pPr>
              <w:pStyle w:val="Compact"/>
              <w:jc w:val="right"/>
            </w:pPr>
            <w:r>
              <w:t xml:space="preserve">43.30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c56857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eTable 8. Joinpoint results by ICD-10 opioid type for the black population, 1999-2015</dc:title>
  <dc:creator/>
  <dcterms:created xsi:type="dcterms:W3CDTF">2018-03-26T17:32:16Z</dcterms:created>
  <dcterms:modified xsi:type="dcterms:W3CDTF">2018-03-26T17:32:16Z</dcterms:modified>
</cp:coreProperties>
</file>