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1.857 (1.785, 1.930)</w:t>
            </w:r>
          </w:p>
        </w:tc>
        <w:tc>
          <w:p>
            <w:pPr>
              <w:pStyle w:val="Compact"/>
              <w:jc w:val="left"/>
            </w:pPr>
            <w:r>
              <w:t xml:space="preserve">3.099 (2.192, 4.014)*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-0.725 (-2.569, 1.155)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9.311 (8.491, 10.138)*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-6.069 (-8.982, -3.061)*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12.171 (12.029, 12.313)</w:t>
            </w:r>
          </w:p>
        </w:tc>
        <w:tc>
          <w:p>
            <w:pPr>
              <w:pStyle w:val="Compact"/>
              <w:jc w:val="left"/>
            </w:pPr>
            <w:r>
              <w:t xml:space="preserve">9.901 (8.767, 11.048)*</w:t>
            </w:r>
          </w:p>
        </w:tc>
        <w:tc>
          <w:p>
            <w:pPr>
              <w:pStyle w:val="Compact"/>
              <w:jc w:val="left"/>
            </w:pPr>
            <w:r>
              <w:t xml:space="preserve">1979-1989</w:t>
            </w:r>
          </w:p>
        </w:tc>
        <w:tc>
          <w:p>
            <w:pPr>
              <w:pStyle w:val="Compact"/>
              <w:jc w:val="left"/>
            </w:pPr>
            <w:r>
              <w:t xml:space="preserve">8.323 (4.980, 11.773)*</w:t>
            </w:r>
          </w:p>
        </w:tc>
        <w:tc>
          <w:p>
            <w:pPr>
              <w:pStyle w:val="Compact"/>
              <w:jc w:val="left"/>
            </w:pPr>
            <w:r>
              <w:t xml:space="preserve">1989-2006</w:t>
            </w:r>
          </w:p>
        </w:tc>
        <w:tc>
          <w:p>
            <w:pPr>
              <w:pStyle w:val="Compact"/>
              <w:jc w:val="left"/>
            </w:pPr>
            <w:r>
              <w:t xml:space="preserve">12.526 (11.727, 13.330)*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4.632 (2.906, 6.386)*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6.552 (6.307, 6.798)</w:t>
            </w:r>
          </w:p>
        </w:tc>
        <w:tc>
          <w:p>
            <w:pPr>
              <w:pStyle w:val="Compact"/>
              <w:jc w:val="left"/>
            </w:pPr>
            <w:r>
              <w:t xml:space="preserve">6.216 (5.134, 7.310)*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10.880 (8.819, 12.981)*</w:t>
            </w:r>
          </w:p>
        </w:tc>
        <w:tc>
          <w:p>
            <w:pPr>
              <w:pStyle w:val="Compact"/>
              <w:jc w:val="left"/>
            </w:pPr>
            <w:r>
              <w:t xml:space="preserve">1994-2011</w:t>
            </w:r>
          </w:p>
        </w:tc>
        <w:tc>
          <w:p>
            <w:pPr>
              <w:pStyle w:val="Compact"/>
              <w:jc w:val="left"/>
            </w:pPr>
            <w:r>
              <w:t xml:space="preserve">0.103 (-0.790, 1.004)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16.309 (10.261, 22.689)*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11.860 (9.958, 13.795)*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11.495 (9.966, 13.046)*</w:t>
            </w:r>
          </w:p>
        </w:tc>
        <w:tc>
          <w:p>
            <w:pPr>
              <w:pStyle w:val="Compact"/>
              <w:jc w:val="left"/>
            </w:pPr>
            <w:r>
              <w:t xml:space="preserve">1998-2005</w:t>
            </w:r>
          </w:p>
        </w:tc>
        <w:tc>
          <w:p>
            <w:pPr>
              <w:pStyle w:val="Compact"/>
              <w:jc w:val="left"/>
            </w:pPr>
            <w:r>
              <w:t xml:space="preserve">0.553 (-4.637, 6.025)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12.377 (3.200, 22.371)*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7.317 (6.007, 8.644)*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7.602 (5.558, 9.685)*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-0.441 (-1.991, 1.134)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33.277 (26.729, 40.165)*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1.683 (-0.456, 3.868)</w:t>
            </w:r>
          </w:p>
        </w:tc>
        <w:tc>
          <w:p>
            <w:pPr>
              <w:pStyle w:val="Compact"/>
              <w:jc w:val="left"/>
            </w:pPr>
            <w:r>
              <w:t xml:space="preserve">1979-1988</w:t>
            </w:r>
          </w:p>
        </w:tc>
        <w:tc>
          <w:p>
            <w:pPr>
              <w:pStyle w:val="Compact"/>
              <w:jc w:val="left"/>
            </w:pPr>
            <w:r>
              <w:t xml:space="preserve">-1.782 (-6.274, 2.926)</w:t>
            </w:r>
          </w:p>
        </w:tc>
        <w:tc>
          <w:p>
            <w:pPr>
              <w:pStyle w:val="Compact"/>
              <w:jc w:val="left"/>
            </w:pPr>
            <w:r>
              <w:t xml:space="preserve">1988-1998</w:t>
            </w:r>
          </w:p>
        </w:tc>
        <w:tc>
          <w:p>
            <w:pPr>
              <w:pStyle w:val="Compact"/>
              <w:jc w:val="left"/>
            </w:pPr>
            <w:r>
              <w:t xml:space="preserve">-9.197 (-14.530, -3.533)*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43.037 (37.054, 49.281)*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-0.100 (-3.958, 3.914)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1.982 (-8.668, 13.873)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-12.561 (-20.276, -4.101)*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23.621 (19.203, 28.204)*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8.151 (8.035, 8.266)</w:t>
            </w:r>
          </w:p>
        </w:tc>
        <w:tc>
          <w:p>
            <w:pPr>
              <w:pStyle w:val="Compact"/>
              <w:jc w:val="left"/>
            </w:pPr>
            <w:r>
              <w:t xml:space="preserve">9.334 (3.912, 15.040)*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7.545 (1.679, 13.750)*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23.222 (-30.373, 118.071)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9.094 (7.884, 10.318)*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4.174 (3.977, 4.370)</w:t>
            </w:r>
          </w:p>
        </w:tc>
        <w:tc>
          <w:p>
            <w:pPr>
              <w:pStyle w:val="Compact"/>
              <w:jc w:val="left"/>
            </w:pPr>
            <w:r>
              <w:t xml:space="preserve">7.176 (4.842, 9.561)*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14.522 (10.314, 18.890)*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-0.663 (-1.930, 0.620)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34.134 (1.583, 77.114)*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1.857 (1.785, 1.930)</w:t>
            </w:r>
          </w:p>
        </w:tc>
        <w:tc>
          <w:p>
            <w:pPr>
              <w:pStyle w:val="Compact"/>
              <w:jc w:val="left"/>
            </w:pPr>
            <w:r>
              <w:t xml:space="preserve">3.099 (2.192, 4.014)*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12.171 (12.029, 12.313)</w:t>
            </w:r>
          </w:p>
        </w:tc>
        <w:tc>
          <w:p>
            <w:pPr>
              <w:pStyle w:val="Compact"/>
              <w:jc w:val="left"/>
            </w:pPr>
            <w:r>
              <w:t xml:space="preserve">9.901 (8.767, 11.048)*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14.815 (5.752, 24.654)*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6.552 (6.307, 6.798)</w:t>
            </w:r>
          </w:p>
        </w:tc>
        <w:tc>
          <w:p>
            <w:pPr>
              <w:pStyle w:val="Compact"/>
              <w:jc w:val="left"/>
            </w:pPr>
            <w:r>
              <w:t xml:space="preserve">6.216 (5.134, 7.310)*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11.860 (9.958, 13.795)*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30.876 (26.325, 35.590)*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7.317 (6.007, 8.644)*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1.683 (-0.456, 3.868)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20.340 (11.604, 29.760)*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-5.366 (-7.407, -3.279)*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-8.189 (-10.570, -5.745)*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-0.100 (-3.958, 3.914)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-9.426 (-24.674, 8.908)</w:t>
            </w:r>
          </w:p>
        </w:tc>
        <w:tc>
          <w:p>
            <w:pPr>
              <w:pStyle w:val="Compact"/>
              <w:jc w:val="left"/>
            </w:pPr>
            <w:r>
              <w:t xml:space="preserve">2009-2015</w:t>
            </w:r>
          </w:p>
        </w:tc>
        <w:tc>
          <w:p>
            <w:pPr>
              <w:pStyle w:val="Compact"/>
              <w:jc w:val="left"/>
            </w:pPr>
            <w:r>
              <w:t xml:space="preserve">-1.910 (-5.067, 1.352)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8.151 (8.035, 8.266)</w:t>
            </w:r>
          </w:p>
        </w:tc>
        <w:tc>
          <w:p>
            <w:pPr>
              <w:pStyle w:val="Compact"/>
              <w:jc w:val="left"/>
            </w:pPr>
            <w:r>
              <w:t xml:space="preserve">9.334 (3.912, 15.040)*</w:t>
            </w:r>
          </w:p>
        </w:tc>
        <w:tc>
          <w:p>
            <w:pPr>
              <w:pStyle w:val="Compact"/>
              <w:jc w:val="left"/>
            </w:pPr>
            <w:r>
              <w:t xml:space="preserve">2010-2013</w:t>
            </w:r>
          </w:p>
        </w:tc>
        <w:tc>
          <w:p>
            <w:pPr>
              <w:pStyle w:val="Compact"/>
              <w:jc w:val="left"/>
            </w:pPr>
            <w:r>
              <w:t xml:space="preserve">-1.031 (-17.166, 18.246)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18.380 (0.938, 38.835)*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4.174 (3.977, 4.370)</w:t>
            </w:r>
          </w:p>
        </w:tc>
        <w:tc>
          <w:p>
            <w:pPr>
              <w:pStyle w:val="Compact"/>
              <w:jc w:val="left"/>
            </w:pPr>
            <w:r>
              <w:t xml:space="preserve">7.176 (4.842, 9.561)*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c3c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2018-05-04T18:33:26Z</dcterms:created>
  <dcterms:modified xsi:type="dcterms:W3CDTF">2018-05-04T18:33:26Z</dcterms:modified>
</cp:coreProperties>
</file>