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1999-2015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0.741 (0.705, 0.776)</w:t>
            </w:r>
          </w:p>
        </w:tc>
        <w:tc>
          <w:p>
            <w:pPr>
              <w:pStyle w:val="Compact"/>
              <w:jc w:val="left"/>
            </w:pPr>
            <w:r>
              <w:t xml:space="preserve">4.826 (4.736, 4.916)</w:t>
            </w:r>
          </w:p>
        </w:tc>
        <w:tc>
          <w:p>
            <w:pPr>
              <w:pStyle w:val="Compact"/>
              <w:jc w:val="left"/>
            </w:pPr>
            <w:r>
              <w:t xml:space="preserve">13.042 (10.238, 15.917)*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0.765 (-3.198, 4.889)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11.521 (4.555, 18.950)*</w:t>
            </w:r>
          </w:p>
        </w:tc>
        <w:tc>
          <w:p>
            <w:pPr>
              <w:pStyle w:val="Compact"/>
              <w:jc w:val="left"/>
            </w:pPr>
            <w:r>
              <w:t xml:space="preserve">2010-2014</w:t>
            </w:r>
          </w:p>
        </w:tc>
        <w:tc>
          <w:p>
            <w:pPr>
              <w:pStyle w:val="Compact"/>
              <w:jc w:val="left"/>
            </w:pPr>
            <w:r>
              <w:t xml:space="preserve">33.471 (24.796, 42.750)*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0.833 (0.733, 0.933)</w:t>
            </w:r>
          </w:p>
        </w:tc>
        <w:tc>
          <w:p>
            <w:pPr>
              <w:pStyle w:val="Compact"/>
              <w:jc w:val="left"/>
            </w:pPr>
            <w:r>
              <w:t xml:space="preserve">3.115 (2.946, 3.284)</w:t>
            </w:r>
          </w:p>
        </w:tc>
        <w:tc>
          <w:p>
            <w:pPr>
              <w:pStyle w:val="Compact"/>
              <w:jc w:val="left"/>
            </w:pPr>
            <w:r>
              <w:t xml:space="preserve">10.435 (8.574, 12.327)*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-0.671 (-2.876, 1.585)</w:t>
            </w:r>
          </w:p>
        </w:tc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34.119 (29.704, 38.684)*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0.313 (0.290, 0.336)</w:t>
            </w:r>
          </w:p>
        </w:tc>
        <w:tc>
          <w:p>
            <w:pPr>
              <w:pStyle w:val="Compact"/>
              <w:jc w:val="left"/>
            </w:pPr>
            <w:r>
              <w:t xml:space="preserve">1.206 (1.161, 1.250)</w:t>
            </w:r>
          </w:p>
        </w:tc>
        <w:tc>
          <w:p>
            <w:pPr>
              <w:pStyle w:val="Compact"/>
              <w:jc w:val="left"/>
            </w:pPr>
            <w:r>
              <w:t xml:space="preserve">8.339 (5.706, 11.037)*</w:t>
            </w:r>
          </w:p>
        </w:tc>
        <w:tc>
          <w:p>
            <w:pPr>
              <w:pStyle w:val="Compact"/>
              <w:jc w:val="left"/>
            </w:pPr>
            <w:r>
              <w:t xml:space="preserve">1999-2003</w:t>
            </w:r>
          </w:p>
        </w:tc>
        <w:tc>
          <w:p>
            <w:pPr>
              <w:pStyle w:val="Compact"/>
              <w:jc w:val="left"/>
            </w:pPr>
            <w:r>
              <w:t xml:space="preserve">42.818 (33.145, 53.194)*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21.057 (6.972, 36.997)*</w:t>
            </w:r>
          </w:p>
        </w:tc>
        <w:tc>
          <w:p>
            <w:pPr>
              <w:pStyle w:val="Compact"/>
              <w:jc w:val="left"/>
            </w:pPr>
            <w:r>
              <w:t xml:space="preserve">2006-2016</w:t>
            </w:r>
          </w:p>
        </w:tc>
        <w:tc>
          <w:p>
            <w:pPr>
              <w:pStyle w:val="Compact"/>
              <w:jc w:val="left"/>
            </w:pPr>
            <w:r>
              <w:t xml:space="preserve">-6.174 (-7.091, -5.248)*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0.213 (0.163, 0.263)</w:t>
            </w:r>
          </w:p>
        </w:tc>
        <w:tc>
          <w:p>
            <w:pPr>
              <w:pStyle w:val="Compact"/>
              <w:jc w:val="left"/>
            </w:pPr>
            <w:r>
              <w:t xml:space="preserve">0.579 (0.507, 0.651)</w:t>
            </w:r>
          </w:p>
        </w:tc>
        <w:tc>
          <w:p>
            <w:pPr>
              <w:pStyle w:val="Compact"/>
              <w:jc w:val="left"/>
            </w:pPr>
            <w:r>
              <w:t xml:space="preserve">6.894 (2.691, 11.269)*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23.745 (18.357, 29.379)*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-10.324 (-28.427, 12.359)</w:t>
            </w:r>
          </w:p>
        </w:tc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-0.443 (-3.456, 2.663)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natural_white</w:t>
            </w:r>
          </w:p>
        </w:tc>
        <w:tc>
          <w:p>
            <w:pPr>
              <w:pStyle w:val="Compact"/>
              <w:jc w:val="left"/>
            </w:pPr>
            <w:r>
              <w:t xml:space="preserve">1.109 (1.066, 1.153)</w:t>
            </w:r>
          </w:p>
        </w:tc>
        <w:tc>
          <w:p>
            <w:pPr>
              <w:pStyle w:val="Compact"/>
              <w:jc w:val="left"/>
            </w:pPr>
            <w:r>
              <w:t xml:space="preserve">4.609 (4.522, 4.695)</w:t>
            </w:r>
          </w:p>
        </w:tc>
        <w:tc>
          <w:p>
            <w:pPr>
              <w:pStyle w:val="Compact"/>
              <w:jc w:val="left"/>
            </w:pPr>
            <w:r>
              <w:t xml:space="preserve">9.101 (7.958, 10.256)*</w:t>
            </w:r>
          </w:p>
        </w:tc>
        <w:tc>
          <w:p>
            <w:pPr>
              <w:pStyle w:val="Compact"/>
              <w:jc w:val="left"/>
            </w:pPr>
            <w:r>
              <w:t xml:space="preserve">1999-2009</w:t>
            </w:r>
          </w:p>
        </w:tc>
        <w:tc>
          <w:p>
            <w:pPr>
              <w:pStyle w:val="Compact"/>
              <w:jc w:val="left"/>
            </w:pPr>
            <w:r>
              <w:t xml:space="preserve">13.405 (11.647, 15.192)*</w:t>
            </w:r>
          </w:p>
        </w:tc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3.233 (1.471, 5.026)*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natural_black</w:t>
            </w:r>
          </w:p>
        </w:tc>
        <w:tc>
          <w:p>
            <w:pPr>
              <w:pStyle w:val="Compact"/>
              <w:jc w:val="left"/>
            </w:pPr>
            <w:r>
              <w:t xml:space="preserve">0.622 (0.536, 0.709)</w:t>
            </w:r>
          </w:p>
        </w:tc>
        <w:tc>
          <w:p>
            <w:pPr>
              <w:pStyle w:val="Compact"/>
              <w:jc w:val="left"/>
            </w:pPr>
            <w:r>
              <w:t xml:space="preserve">2.113 (1.972, 2.254)</w:t>
            </w:r>
          </w:p>
        </w:tc>
        <w:tc>
          <w:p>
            <w:pPr>
              <w:pStyle w:val="Compact"/>
              <w:jc w:val="left"/>
            </w:pPr>
            <w:r>
              <w:t xml:space="preserve">9.203 (8.152, 10.264)*</w:t>
            </w:r>
          </w:p>
        </w:tc>
        <w:tc>
          <w:p>
            <w:pPr>
              <w:pStyle w:val="Compact"/>
              <w:jc w:val="left"/>
            </w:pPr>
            <w:r>
              <w:t xml:space="preserve">1999-2014</w:t>
            </w:r>
          </w:p>
        </w:tc>
        <w:tc>
          <w:p>
            <w:pPr>
              <w:pStyle w:val="Compact"/>
              <w:jc w:val="left"/>
            </w:pPr>
            <w:r>
              <w:t xml:space="preserve">7.931 (7.326, 8.540)*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19.235 (10.047, 29.190)*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synth_white</w:t>
            </w:r>
          </w:p>
        </w:tc>
        <w:tc>
          <w:p>
            <w:pPr>
              <w:pStyle w:val="Compact"/>
              <w:jc w:val="left"/>
            </w:pPr>
            <w:r>
              <w:t xml:space="preserve">0.298 (0.275, 0.320)</w:t>
            </w:r>
          </w:p>
        </w:tc>
        <w:tc>
          <w:p>
            <w:pPr>
              <w:pStyle w:val="Compact"/>
              <w:jc w:val="left"/>
            </w:pPr>
            <w:r>
              <w:t xml:space="preserve">3.591 (3.514, 3.669)</w:t>
            </w:r>
          </w:p>
        </w:tc>
        <w:tc>
          <w:p>
            <w:pPr>
              <w:pStyle w:val="Compact"/>
              <w:jc w:val="left"/>
            </w:pPr>
            <w:r>
              <w:t xml:space="preserve">20.585 (17.159, 24.112)*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17.882 (11.531, 24.594)*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2.750 (-2.042, 7.776)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84.701 (71.656, 98.738)*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synth_black</w:t>
            </w:r>
          </w:p>
        </w:tc>
        <w:tc>
          <w:p>
            <w:pPr>
              <w:pStyle w:val="Compact"/>
              <w:jc w:val="left"/>
            </w:pPr>
            <w:r>
              <w:t xml:space="preserve">0.115 (0.078, 0.152)</w:t>
            </w:r>
          </w:p>
        </w:tc>
        <w:tc>
          <w:p>
            <w:pPr>
              <w:pStyle w:val="Compact"/>
              <w:jc w:val="left"/>
            </w:pPr>
            <w:r>
              <w:t xml:space="preserve">2.102 (1.963, 2.240)</w:t>
            </w:r>
          </w:p>
        </w:tc>
        <w:tc>
          <w:p>
            <w:pPr>
              <w:pStyle w:val="Compact"/>
              <w:jc w:val="left"/>
            </w:pPr>
            <w:r>
              <w:t xml:space="preserve">20.519 (8.923, 33.348)*</w:t>
            </w:r>
          </w:p>
        </w:tc>
        <w:tc>
          <w:p>
            <w:pPr>
              <w:pStyle w:val="Compact"/>
              <w:jc w:val="left"/>
            </w:pPr>
            <w:r>
              <w:t xml:space="preserve">1999-2013</w:t>
            </w:r>
          </w:p>
        </w:tc>
        <w:tc>
          <w:p>
            <w:pPr>
              <w:pStyle w:val="Compact"/>
              <w:jc w:val="left"/>
            </w:pPr>
            <w:r>
              <w:t xml:space="preserve">5.108 (-6.160, 17.730)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128.209 (61.589, 222.296)*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other_op_white</w:t>
            </w:r>
          </w:p>
        </w:tc>
        <w:tc>
          <w:p>
            <w:pPr>
              <w:pStyle w:val="Compact"/>
              <w:jc w:val="left"/>
            </w:pPr>
            <w:r>
              <w:t xml:space="preserve">0.964 (0.923, 1.004)</w:t>
            </w:r>
          </w:p>
        </w:tc>
        <w:tc>
          <w:p>
            <w:pPr>
              <w:pStyle w:val="Compact"/>
              <w:jc w:val="left"/>
            </w:pPr>
            <w:r>
              <w:t xml:space="preserve">1.007 (0.966, 1.047)</w:t>
            </w:r>
          </w:p>
        </w:tc>
        <w:tc>
          <w:p>
            <w:pPr>
              <w:pStyle w:val="Compact"/>
              <w:jc w:val="left"/>
            </w:pPr>
            <w:r>
              <w:t xml:space="preserve">-0.237 (-0.752, 0.280)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-0.237 (-0.752, 0.280)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other_op_black</w:t>
            </w:r>
          </w:p>
        </w:tc>
        <w:tc>
          <w:p>
            <w:pPr>
              <w:pStyle w:val="Compact"/>
              <w:jc w:val="left"/>
            </w:pPr>
            <w:r>
              <w:t xml:space="preserve">2.056 (1.900, 2.212)</w:t>
            </w:r>
          </w:p>
        </w:tc>
        <w:tc>
          <w:p>
            <w:pPr>
              <w:pStyle w:val="Compact"/>
              <w:jc w:val="left"/>
            </w:pPr>
            <w:r>
              <w:t xml:space="preserve">0.594 (0.519, 0.668)</w:t>
            </w:r>
          </w:p>
        </w:tc>
        <w:tc>
          <w:p>
            <w:pPr>
              <w:pStyle w:val="Compact"/>
              <w:jc w:val="left"/>
            </w:pPr>
            <w:r>
              <w:t xml:space="preserve">-5.796 (-9.374, -2.078)*</w:t>
            </w:r>
          </w:p>
        </w:tc>
        <w:tc>
          <w:p>
            <w:pPr>
              <w:pStyle w:val="Compact"/>
              <w:jc w:val="left"/>
            </w:pPr>
            <w:r>
              <w:t xml:space="preserve">1999-2014</w:t>
            </w:r>
          </w:p>
        </w:tc>
        <w:tc>
          <w:p>
            <w:pPr>
              <w:pStyle w:val="Compact"/>
              <w:jc w:val="left"/>
            </w:pPr>
            <w:r>
              <w:t xml:space="preserve">-8.476 (-9.589, -7.349)*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16.965 (-17.653, 66.137)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4329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2. Joinpoint results by ICD-10 opioid category and race, 1999-2015</dc:title>
  <dc:creator/>
  <dcterms:created xsi:type="dcterms:W3CDTF">2018-05-12T19:55:30Z</dcterms:created>
  <dcterms:modified xsi:type="dcterms:W3CDTF">2018-05-12T19:55:30Z</dcterms:modified>
</cp:coreProperties>
</file>