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0.741 (0.705, 0.776)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13.046 (10.204, 15.960)*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0.553 (-3.821, 5.125)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12.377 (4.624, 20.705)*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30.876 (27.046, 34.821)*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0.833 (0.733, 0.933)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9.017 (6.832, 11.247)*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-0.562 (-2.860, 1.790)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33.464 (26.903, 40.365)*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0.313 (0.290, 0.336)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9.193 (6.625, 11.822)*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42.719 (33.779, 52.256)*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21.385 (8.297, 36.054)*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-6.419 (-7.400, -5.427)*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0.213 (0.163, 0.263)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6.215 (4.138, 8.334)*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21.806 (16.692, 27.144)*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-4.518 (-6.434, -2.563)*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1.109 (1.066, 1.153)</w:t>
            </w:r>
          </w:p>
        </w:tc>
        <w:tc>
          <w:p>
            <w:pPr>
              <w:pStyle w:val="Compact"/>
              <w:jc w:val="left"/>
            </w:pPr>
            <w:r>
              <w:t xml:space="preserve">4.601 (4.515, 4.687)</w:t>
            </w:r>
          </w:p>
        </w:tc>
        <w:tc>
          <w:p>
            <w:pPr>
              <w:pStyle w:val="Compact"/>
              <w:jc w:val="left"/>
            </w:pPr>
            <w:r>
              <w:t xml:space="preserve">8.898 (7.799, 10.008)*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12.810 (11.511, 14.125)*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0.761 (-1.779, 3.367)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0.622 (0.536, 0.709)</w:t>
            </w:r>
          </w:p>
        </w:tc>
        <w:tc>
          <w:p>
            <w:pPr>
              <w:pStyle w:val="Compact"/>
              <w:jc w:val="left"/>
            </w:pPr>
            <w:r>
              <w:t xml:space="preserve">2.110 (1.969, 2.250)</w:t>
            </w:r>
          </w:p>
        </w:tc>
        <w:tc>
          <w:p>
            <w:pPr>
              <w:pStyle w:val="Compact"/>
              <w:jc w:val="left"/>
            </w:pPr>
            <w:r>
              <w:t xml:space="preserve">8.163 (7.658, 8.671)*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8.163 (7.658, 8.671)*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0.298 (0.275, 0.320)</w:t>
            </w:r>
          </w:p>
        </w:tc>
        <w:tc>
          <w:p>
            <w:pPr>
              <w:pStyle w:val="Compact"/>
              <w:jc w:val="left"/>
            </w:pPr>
            <w:r>
              <w:t xml:space="preserve">3.585 (3.507, 3.662)</w:t>
            </w:r>
          </w:p>
        </w:tc>
        <w:tc>
          <w:p>
            <w:pPr>
              <w:pStyle w:val="Compact"/>
              <w:jc w:val="left"/>
            </w:pPr>
            <w:r>
              <w:t xml:space="preserve">17.063 (13.196, 21.063)*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17.685 (11.296, 24.441)*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3.189 (-1.661, 8.278)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78.700 (50.424, 112.290)*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0.115 (0.078, 0.152)</w:t>
            </w:r>
          </w:p>
        </w:tc>
        <w:tc>
          <w:p>
            <w:pPr>
              <w:pStyle w:val="Compact"/>
              <w:jc w:val="left"/>
            </w:pPr>
            <w:r>
              <w:t xml:space="preserve">2.098 (1.960, 2.237)</w:t>
            </w:r>
          </w:p>
        </w:tc>
        <w:tc>
          <w:p>
            <w:pPr>
              <w:pStyle w:val="Compact"/>
              <w:jc w:val="left"/>
            </w:pPr>
            <w:r>
              <w:t xml:space="preserve">15.355 (0.674, 32.176)*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6.086 (-5.683, 19.323)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107.343 (-14.652, 403.719)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0.964 (0.923, 1.004)</w:t>
            </w:r>
          </w:p>
        </w:tc>
        <w:tc>
          <w:p>
            <w:pPr>
              <w:pStyle w:val="Compact"/>
              <w:jc w:val="left"/>
            </w:pPr>
            <w:r>
              <w:t xml:space="preserve">1.005 (0.964, 1.046)</w:t>
            </w:r>
          </w:p>
        </w:tc>
        <w:tc>
          <w:p>
            <w:pPr>
              <w:pStyle w:val="Compact"/>
              <w:jc w:val="left"/>
            </w:pPr>
            <w:r>
              <w:t xml:space="preserve">-0.227 (-0.808, 0.357)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-0.227 (-0.808, 0.357)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2.056 (1.900, 2.212)</w:t>
            </w:r>
          </w:p>
        </w:tc>
        <w:tc>
          <w:p>
            <w:pPr>
              <w:pStyle w:val="Compact"/>
              <w:jc w:val="left"/>
            </w:pPr>
            <w:r>
              <w:t xml:space="preserve">0.593 (0.519, 0.667)</w:t>
            </w:r>
          </w:p>
        </w:tc>
        <w:tc>
          <w:p>
            <w:pPr>
              <w:pStyle w:val="Compact"/>
              <w:jc w:val="left"/>
            </w:pPr>
            <w:r>
              <w:t xml:space="preserve">-8.215 (-9.133, -7.288)*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-8.215 (-9.133, -7.288)*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94a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2018-05-04T18:33:27Z</dcterms:created>
  <dcterms:modified xsi:type="dcterms:W3CDTF">2018-05-04T18:33:27Z</dcterms:modified>
</cp:coreProperties>
</file>