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1999-2015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0.7 (0.7, 0.8)</w:t>
            </w:r>
          </w:p>
        </w:tc>
        <w:tc>
          <w:p>
            <w:pPr>
              <w:pStyle w:val="Compact"/>
              <w:jc w:val="left"/>
            </w:pPr>
            <w:r>
              <w:t xml:space="preserve">4.8 (4.7, 4.9)</w:t>
            </w:r>
          </w:p>
        </w:tc>
        <w:tc>
          <w:p>
            <w:pPr>
              <w:pStyle w:val="Compact"/>
              <w:jc w:val="left"/>
            </w:pPr>
            <w:r>
              <w:t xml:space="preserve">13.0 (10.2, 16.0)*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0.6 (-3.8, 5.1)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12.4 (4.6, 20.7)*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30.9 (27.0, 34.8)*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0.8 (0.7, 0.9)</w:t>
            </w:r>
          </w:p>
        </w:tc>
        <w:tc>
          <w:p>
            <w:pPr>
              <w:pStyle w:val="Compact"/>
              <w:jc w:val="left"/>
            </w:pPr>
            <w:r>
              <w:t xml:space="preserve">3.1 (2.9, 3.3)</w:t>
            </w:r>
          </w:p>
        </w:tc>
        <w:tc>
          <w:p>
            <w:pPr>
              <w:pStyle w:val="Compact"/>
              <w:jc w:val="left"/>
            </w:pPr>
            <w:r>
              <w:t xml:space="preserve">9.0 (6.8, 11.2)*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-0.6 (-2.9, 1.8)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33.5 (26.9, 40.4)*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0.3 (0.3, 0.3)</w:t>
            </w:r>
          </w:p>
        </w:tc>
        <w:tc>
          <w:p>
            <w:pPr>
              <w:pStyle w:val="Compact"/>
              <w:jc w:val="left"/>
            </w:pPr>
            <w:r>
              <w:t xml:space="preserve">1.2 (1.2, 1.2)</w:t>
            </w:r>
          </w:p>
        </w:tc>
        <w:tc>
          <w:p>
            <w:pPr>
              <w:pStyle w:val="Compact"/>
              <w:jc w:val="left"/>
            </w:pPr>
            <w:r>
              <w:t xml:space="preserve">9.2 (6.6, 11.8)*</w:t>
            </w:r>
          </w:p>
        </w:tc>
        <w:tc>
          <w:p>
            <w:pPr>
              <w:pStyle w:val="Compact"/>
              <w:jc w:val="left"/>
            </w:pPr>
            <w:r>
              <w:t xml:space="preserve">1999-2003</w:t>
            </w:r>
          </w:p>
        </w:tc>
        <w:tc>
          <w:p>
            <w:pPr>
              <w:pStyle w:val="Compact"/>
              <w:jc w:val="left"/>
            </w:pPr>
            <w:r>
              <w:t xml:space="preserve">42.7 (33.8, 52.3)*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21.4 (8.3, 36.1)*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-6.4 (-7.4, -5.4)*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0.2 (0.2, 0.3)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6.2 (4.1, 8.3)*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21.8 (16.7, 27.1)*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-4.5 (-6.4, -2.6)*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natural_white</w:t>
            </w:r>
          </w:p>
        </w:tc>
        <w:tc>
          <w:p>
            <w:pPr>
              <w:pStyle w:val="Compact"/>
              <w:jc w:val="left"/>
            </w:pPr>
            <w:r>
              <w:t xml:space="preserve">1.1 (1.1, 1.2)</w:t>
            </w:r>
          </w:p>
        </w:tc>
        <w:tc>
          <w:p>
            <w:pPr>
              <w:pStyle w:val="Compact"/>
              <w:jc w:val="left"/>
            </w:pPr>
            <w:r>
              <w:t xml:space="preserve">4.6 (4.5, 4.7)</w:t>
            </w:r>
          </w:p>
        </w:tc>
        <w:tc>
          <w:p>
            <w:pPr>
              <w:pStyle w:val="Compact"/>
              <w:jc w:val="left"/>
            </w:pPr>
            <w:r>
              <w:t xml:space="preserve">8.9 (7.8, 10.0)*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12.8 (11.5, 14.1)*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0.8 (-1.8, 3.4)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natural_black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2.1 (2.0, 2.3)</w:t>
            </w:r>
          </w:p>
        </w:tc>
        <w:tc>
          <w:p>
            <w:pPr>
              <w:pStyle w:val="Compact"/>
              <w:jc w:val="left"/>
            </w:pPr>
            <w:r>
              <w:t xml:space="preserve">8.2 (7.7, 8.7)*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8.2 (7.7, 8.7)*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synth_white</w:t>
            </w:r>
          </w:p>
        </w:tc>
        <w:tc>
          <w:p>
            <w:pPr>
              <w:pStyle w:val="Compact"/>
              <w:jc w:val="left"/>
            </w:pPr>
            <w:r>
              <w:t xml:space="preserve">0.3 (0.3, 0.3)</w:t>
            </w:r>
          </w:p>
        </w:tc>
        <w:tc>
          <w:p>
            <w:pPr>
              <w:pStyle w:val="Compact"/>
              <w:jc w:val="left"/>
            </w:pPr>
            <w:r>
              <w:t xml:space="preserve">3.6 (3.5, 3.7)</w:t>
            </w:r>
          </w:p>
        </w:tc>
        <w:tc>
          <w:p>
            <w:pPr>
              <w:pStyle w:val="Compact"/>
              <w:jc w:val="left"/>
            </w:pPr>
            <w:r>
              <w:t xml:space="preserve">17.1 (13.2, 21.1)*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17.7 (11.3, 24.4)*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3.2 (-1.7, 8.3)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78.7 (50.4, 112.3)*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synth_black</w:t>
            </w:r>
          </w:p>
        </w:tc>
        <w:tc>
          <w:p>
            <w:pPr>
              <w:pStyle w:val="Compact"/>
              <w:jc w:val="left"/>
            </w:pPr>
            <w:r>
              <w:t xml:space="preserve">0.1 (0.1, 0.2)</w:t>
            </w:r>
          </w:p>
        </w:tc>
        <w:tc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p>
            <w:pPr>
              <w:pStyle w:val="Compact"/>
              <w:jc w:val="left"/>
            </w:pPr>
            <w:r>
              <w:t xml:space="preserve">15.4 (0.7, 32.2)*</w:t>
            </w:r>
          </w:p>
        </w:tc>
        <w:tc>
          <w:p>
            <w:pPr>
              <w:pStyle w:val="Compact"/>
              <w:jc w:val="left"/>
            </w:pPr>
            <w:r>
              <w:t xml:space="preserve">1999-2013</w:t>
            </w:r>
          </w:p>
        </w:tc>
        <w:tc>
          <w:p>
            <w:pPr>
              <w:pStyle w:val="Compact"/>
              <w:jc w:val="left"/>
            </w:pPr>
            <w:r>
              <w:t xml:space="preserve">6.1 (-5.7, 19.3)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107.3 (-14.7, 403.7)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other_op_white</w:t>
            </w:r>
          </w:p>
        </w:tc>
        <w:tc>
          <w:p>
            <w:pPr>
              <w:pStyle w:val="Compact"/>
              <w:jc w:val="left"/>
            </w:pPr>
            <w:r>
              <w:t xml:space="preserve">1.0 (0.9, 1.0)</w:t>
            </w:r>
          </w:p>
        </w:tc>
        <w:tc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p>
            <w:pPr>
              <w:pStyle w:val="Compact"/>
              <w:jc w:val="left"/>
            </w:pPr>
            <w:r>
              <w:t xml:space="preserve">-0.2 (-0.8, 0.4)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-0.2 (-0.8, 0.4)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other_op_black</w:t>
            </w:r>
          </w:p>
        </w:tc>
        <w:tc>
          <w:p>
            <w:pPr>
              <w:pStyle w:val="Compact"/>
              <w:jc w:val="left"/>
            </w:pPr>
            <w:r>
              <w:t xml:space="preserve">2.1 (1.9, 2.2)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-8.2 (-9.1, -7.3)*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-8.2 (-9.1, -7.3)*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328f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2. Joinpoint results by ICD-10 opioid category and race, 1999-2015</dc:title>
  <dc:creator/>
  <dcterms:created xsi:type="dcterms:W3CDTF">2018-01-26T18:42:51Z</dcterms:created>
  <dcterms:modified xsi:type="dcterms:W3CDTF">2018-01-26T18:42:51Z</dcterms:modified>
</cp:coreProperties>
</file>