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11/5/18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Using BIOS (STARTER)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The function call TimerIntClear(TIMER2_BASE, TIMER_TIMA_TIMEOUT) HAS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to be in the ISR. This fxn clears the TIMER's interrupt flag coming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from the peripheral - it does NOT clear the CPU interrupt flag - that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is done by hardware. The author struggled figuring this part out - hence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the note. And, in the Swi lab, this fxn must be placed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Timer_ISR fxn because it will be the new ISR.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Follow these steps to create this project in CCSv6.0: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Project -&gt; New CCS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Select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TI-RTOS for Tiva-C -&gt; Driver Examples -&gt; EK-TM4C123 LP -&gt; Example Projects 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Empty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Empty Project contains full instrumentation (UIA, RTOS Analyzer) 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paths set up for the TI-RTOS version of MSP430Ware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Delete the following files: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Board.h, empty.c, EK_TM4C123GXL.c/h, empty_readme.txt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Add main.c from TI-RTOS Workshop Solution file for this 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5. Edit empty.cfg as needed (to add/subtract) BIOS services, delete given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6. Build, load, run...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BIOS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 </w:t>
              <w:tab/>
              <w:tab/>
              <w:tab/>
              <w:tab/>
              <w:tab/>
              <w:tab/>
              <w:t xml:space="preserve"> //mandatory - have to include first, for BIOS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    </w:t>
              <w:tab/>
              <w:tab/>
              <w:tab/>
              <w:t xml:space="preserve"> //mandatory - if you call APIs like BIOS_start()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&lt;xdc/runtime/Log.h&gt;   </w:t>
              <w:tab/>
              <w:tab/>
              <w:tab/>
              <w:t xml:space="preserve"> //needed for any Log_info()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&lt;xdc/cfg/global.h&gt;    </w:t>
              <w:tab/>
              <w:tab/>
              <w:tab/>
              <w:t xml:space="preserve"> //header file for statically defined objects/handles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BIOS_start();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ab/>
              <w:t xml:space="preserve">{</w:t>
              <w:br w:type="textWrapping"/>
              <w:t xml:space="preserve">    </w:t>
              <w:tab/>
              <w:t xml:space="preserve">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{</w:t>
              <w:br w:type="textWrapping"/>
              <w:t xml:space="preserve">    </w:t>
              <w:tab/>
              <w:t xml:space="preserve">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  <w:t xml:space="preserve">delay();</w:t>
              <w:br w:type="textWrapping"/>
              <w:br w:type="textWrapping"/>
              <w:tab/>
              <w:t xml:space="preserve">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"TOGGLED LED [%u] times"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i16ToggleCount);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delay()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Creates a 500ms delay via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 SysCtlDelay(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6700000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creates ~500ms delay -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-588168</wp:posOffset>
            </wp:positionH>
            <wp:positionV relativeFrom="paragraph">
              <wp:posOffset>209550</wp:posOffset>
            </wp:positionV>
            <wp:extent cx="7246144" cy="85248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6144" cy="85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00463" cy="14269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42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https://youtu.be/n8dADVOBfMg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24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n8dADVOBfMg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