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7501</wp:posOffset>
                </wp:positionH>
                <wp:positionV relativeFrom="line">
                  <wp:posOffset>188596</wp:posOffset>
                </wp:positionV>
                <wp:extent cx="5007847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84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6pt;margin-top:14.9pt;width:394.3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Company Name"/>
        <w:bidi w:val="0"/>
      </w:pPr>
      <w:r>
        <w:rPr>
          <w:rtl w:val="0"/>
        </w:rPr>
        <w:t>Acme FINANCE GROUP</w:t>
      </w:r>
    </w:p>
    <w:tbl>
      <w:tblPr>
        <w:tblW w:w="7900" w:type="dxa"/>
        <w:jc w:val="left"/>
        <w:tblInd w:w="108" w:type="dxa"/>
        <w:tblBorders>
          <w:top w:val="single" w:color="c8c2ba" w:sz="2" w:space="0" w:shadow="0" w:frame="0"/>
          <w:left w:val="single" w:color="c8c2ba" w:sz="2" w:space="0" w:shadow="0" w:frame="0"/>
          <w:bottom w:val="single" w:color="c8c2ba" w:sz="2" w:space="0" w:shadow="0" w:frame="0"/>
          <w:right w:val="single" w:color="c8c2ba" w:sz="2" w:space="0" w:shadow="0" w:frame="0"/>
          <w:insideH w:val="single" w:color="c8c2ba" w:sz="2" w:space="0" w:shadow="0" w:frame="0"/>
          <w:insideV w:val="single" w:color="c8c2ba" w:sz="2" w:space="0" w:shadow="0" w:frame="0"/>
        </w:tblBorders>
        <w:shd w:val="clear" w:color="auto" w:fill="auto"/>
        <w:tblLayout w:type="fixed"/>
      </w:tblPr>
      <w:tblGrid>
        <w:gridCol w:w="2317"/>
        <w:gridCol w:w="3856"/>
        <w:gridCol w:w="1727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2317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</w:pPr>
            <w:r>
              <w:rPr>
                <w:rFonts w:ascii="Avenir Next Regular" w:hAnsi="Avenir Next Regular"/>
                <w:b w:val="1"/>
                <w:bCs w:val="1"/>
                <w:rtl w:val="0"/>
              </w:rPr>
              <w:t>Service Offerings</w:t>
            </w:r>
          </w:p>
        </w:tc>
        <w:tc>
          <w:tcPr>
            <w:tcW w:type="dxa" w:w="385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</w:pPr>
            <w:r>
              <w:rPr>
                <w:rFonts w:ascii="Avenir Next Regular" w:hAnsi="Avenir Next Regular"/>
                <w:b w:val="1"/>
                <w:bCs w:val="1"/>
                <w:rtl w:val="0"/>
              </w:rPr>
              <w:t>Description</w:t>
            </w:r>
          </w:p>
        </w:tc>
        <w:tc>
          <w:tcPr>
            <w:tcW w:type="dxa" w:w="172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</w:pPr>
            <w:r>
              <w:rPr>
                <w:rFonts w:ascii="Avenir Next Regular" w:hAnsi="Avenir Next Regular"/>
                <w:b w:val="1"/>
                <w:bCs w:val="1"/>
                <w:rtl w:val="0"/>
              </w:rPr>
              <w:t>Interest Rate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317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c8c2ba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>Business Loan</w:t>
            </w:r>
          </w:p>
        </w:tc>
        <w:tc>
          <w:tcPr>
            <w:tcW w:type="dxa" w:w="385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c8c2ba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>Lowest Interest in Business Loan</w:t>
            </w:r>
          </w:p>
        </w:tc>
        <w:tc>
          <w:tcPr>
            <w:tcW w:type="dxa" w:w="172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c8c2ba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760"/>
              </w:tabs>
              <w:suppressAutoHyphens w:val="0"/>
              <w:bidi w:val="0"/>
              <w:spacing w:before="0" w:after="18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venir Next Regular" w:cs="Arial Unicode MS" w:hAnsi="Avenir Next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9.60%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317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>Personal Loan</w:t>
            </w:r>
          </w:p>
        </w:tc>
        <w:tc>
          <w:tcPr>
            <w:tcW w:type="dxa" w:w="385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>Easy Personal Loan by Anyone</w:t>
            </w:r>
          </w:p>
        </w:tc>
        <w:tc>
          <w:tcPr>
            <w:tcW w:type="dxa" w:w="172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760"/>
              </w:tabs>
              <w:suppressAutoHyphens w:val="0"/>
              <w:bidi w:val="0"/>
              <w:spacing w:before="0" w:after="18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venir Next Regular" w:cs="Arial Unicode MS" w:hAnsi="Avenir Next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11.30%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317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c8c2ba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>Credit &amp; Debit Card</w:t>
            </w:r>
          </w:p>
        </w:tc>
        <w:tc>
          <w:tcPr>
            <w:tcW w:type="dxa" w:w="385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c8c2ba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>Credit &amp; Debit Card with 0 interest</w:t>
            </w:r>
          </w:p>
        </w:tc>
        <w:tc>
          <w:tcPr>
            <w:tcW w:type="dxa" w:w="172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c8c2ba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760"/>
              </w:tabs>
              <w:suppressAutoHyphens w:val="0"/>
              <w:bidi w:val="0"/>
              <w:spacing w:before="0" w:after="18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venir Next Regular" w:cs="Arial Unicode MS" w:hAnsi="Avenir Next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7.55%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317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>Car Loan</w:t>
            </w:r>
          </w:p>
        </w:tc>
        <w:tc>
          <w:tcPr>
            <w:tcW w:type="dxa" w:w="385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Avenir Next Regular" w:cs="Arial Unicode MS" w:hAnsi="Avenir Next Regular" w:eastAsia="Arial Unicode MS"/>
                <w:rtl w:val="0"/>
              </w:rPr>
              <w:t>New &amp; Recondition Car Loan</w:t>
            </w:r>
          </w:p>
        </w:tc>
        <w:tc>
          <w:tcPr>
            <w:tcW w:type="dxa" w:w="1726"/>
            <w:tcBorders>
              <w:top w:val="single" w:color="c8c2ba" w:sz="2" w:space="0" w:shadow="0" w:frame="0"/>
              <w:left w:val="single" w:color="c8c2ba" w:sz="2" w:space="0" w:shadow="0" w:frame="0"/>
              <w:bottom w:val="single" w:color="c8c2ba" w:sz="2" w:space="0" w:shadow="0" w:frame="0"/>
              <w:right w:val="single" w:color="c8c2ba" w:sz="2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760"/>
              </w:tabs>
              <w:suppressAutoHyphens w:val="0"/>
              <w:bidi w:val="0"/>
              <w:spacing w:before="0" w:after="180" w:line="264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venir Next Regular" w:cs="Arial Unicode MS" w:hAnsi="Avenir Next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10.66%</w:t>
            </w:r>
          </w:p>
        </w:tc>
      </w:tr>
      <w:tr>
        <w:tblPrEx/>
        <w:trPr>
          <w:trHeight w:val="480" w:hRule="atLeast"/>
          <w:tblHeader/>
        </w:trPr>
        <w:tc>
          <w:tcPr>
            <w:tcW w:type="dxa" w:w="7900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8"/>
              <w:left/>
              <w:bottom/>
              <w:right/>
            </w:tcMar>
            <w:vAlign w:val="center"/>
          </w:tcPr>
          <w:p>
            <w:pPr>
              <w:pStyle w:val="Object Caption"/>
              <w:bidi w:val="0"/>
            </w:pPr>
            <w:r>
              <w:rPr>
                <w:rtl w:val="0"/>
              </w:rPr>
              <w:t xml:space="preserve">Table 1: </w:t>
            </w:r>
            <w:r>
              <w:rPr>
                <w:rtl w:val="0"/>
              </w:rPr>
              <w:t>Financial Services Overview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1a202c"/>
          <w:sz w:val="24"/>
          <w:szCs w:val="24"/>
          <w:rtl w:val="0"/>
          <w14:textFill>
            <w14:solidFill>
              <w14:srgbClr w14:val="1A202C"/>
            </w14:solidFill>
          </w14:textFill>
        </w:rPr>
      </w:pPr>
    </w:p>
    <w:p>
      <w:pPr>
        <w:pStyle w:val="Heading"/>
        <w:jc w:val="left"/>
      </w:pPr>
      <w:r>
        <w:rPr>
          <w:rtl w:val="0"/>
          <w:lang w:val="en-US"/>
        </w:rPr>
        <w:t>Documentation Required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preapproval process is essentially a mortgage application. This means your lender or loan officer</w:t>
      </w:r>
      <w:r>
        <w:rPr>
          <w:rFonts w:cs="Arial Unicode MS" w:eastAsia="Arial Unicode MS"/>
          <w:rtl w:val="0"/>
          <w:lang w:val="en-US"/>
        </w:rPr>
        <w:t xml:space="preserve"> (LO)</w:t>
      </w:r>
      <w:r>
        <w:rPr>
          <w:rFonts w:cs="Arial Unicode MS" w:eastAsia="Arial Unicode MS"/>
          <w:rtl w:val="0"/>
          <w:lang w:val="en-US"/>
        </w:rPr>
        <w:t xml:space="preserve"> will want to take a comprehensive look at your finances. You should be prepared to provide information on the following:</w:t>
      </w:r>
    </w:p>
    <w:p>
      <w:pPr>
        <w:pStyle w:val="Body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Employment verification</w:t>
      </w:r>
    </w:p>
    <w:p>
      <w:pPr>
        <w:pStyle w:val="Body"/>
        <w:numPr>
          <w:ilvl w:val="0"/>
          <w:numId w:val="2"/>
        </w:numPr>
        <w:spacing w:line="240" w:lineRule="auto"/>
        <w:rPr>
          <w:strike w:val="1"/>
          <w:dstrike w:val="0"/>
          <w:lang w:val="en-US"/>
        </w:rPr>
      </w:pPr>
      <w:r>
        <w:rPr>
          <w:strike w:val="1"/>
          <w:dstrike w:val="0"/>
          <w:rtl w:val="0"/>
          <w:lang w:val="en-US"/>
        </w:rPr>
        <w:t>Proof of assets</w:t>
      </w:r>
    </w:p>
    <w:p>
      <w:pPr>
        <w:pStyle w:val="Body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Credit history</w:t>
      </w:r>
    </w:p>
    <w:p>
      <w:pPr>
        <w:pStyle w:val="Body"/>
        <w:numPr>
          <w:ilvl w:val="0"/>
          <w:numId w:val="2"/>
        </w:numPr>
        <w:spacing w:line="240" w:lineRule="auto"/>
        <w:rPr>
          <w:lang w:val="fr-FR"/>
        </w:rPr>
      </w:pPr>
      <w:r>
        <w:rPr>
          <w:rtl w:val="0"/>
          <w:lang w:val="fr-FR"/>
        </w:rPr>
        <w:t>Identification</w:t>
      </w:r>
    </w:p>
    <w:p>
      <w:pPr>
        <w:pStyle w:val="Body"/>
        <w:numPr>
          <w:ilvl w:val="0"/>
          <w:numId w:val="2"/>
        </w:numPr>
        <w:spacing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Internal only: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Proof of income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Before starting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"https://acmefinancegroup.com/preapproval"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preapproval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process, you'll want the necessary documentation to ensure the process goes smoothly. Here are a few items you should have on your</w:t>
      </w:r>
      <w:r>
        <w:rPr>
          <w:rFonts w:cs="Arial Unicode MS" w:eastAsia="Arial Unicode MS" w:hint="default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"https://www.rocketmortgage.com/learn/mortgage-preapproval-checklist"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mortgage preapproval checklist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308609</wp:posOffset>
            </wp:positionV>
            <wp:extent cx="5016500" cy="6805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6" name="officeArt object" descr="2024-03-13T12.17.36-Ph8jmLDf@2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24-03-13T12.17.36-Ph8jmLDf@2x.png" descr="2024-03-13T12.17.36-Ph8jmLDf@2x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805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0" w:right="2000" w:bottom="108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950"/>
        <w:tab w:val="right" w:pos="7900"/>
        <w:tab w:val="clear" w:pos="9020"/>
      </w:tabs>
      <w:jc w:val="left"/>
    </w:pPr>
    <w:r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950"/>
        <w:tab w:val="right" w:pos="7900"/>
        <w:tab w:val="clear" w:pos="9020"/>
      </w:tabs>
      <w:jc w:val="left"/>
    </w:pPr>
    <w:r>
      <w:rPr>
        <w:rtl w:val="0"/>
        <w:lang w:val="en-US"/>
      </w:rPr>
      <w:t>Confidential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mpany Name">
    <w:name w:val="Company Name"/>
    <w:next w:val="Body 2"/>
    <w:pPr>
      <w:keepNext w:val="0"/>
      <w:keepLines w:val="0"/>
      <w:pageBreakBefore w:val="0"/>
      <w:widowControl w:val="1"/>
      <w:pBdr>
        <w:top w:val="nil"/>
        <w:left w:val="nil"/>
        <w:bottom w:val="single" w:color="594a3a" w:sz="16" w:space="10" w:shadow="0" w:frame="0"/>
        <w:right w:val="nil"/>
      </w:pBdr>
      <w:shd w:val="clear" w:color="auto" w:fill="auto"/>
      <w:suppressAutoHyphens w:val="0"/>
      <w:bidi w:val="0"/>
      <w:spacing w:before="38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Letter">
  <a:themeElements>
    <a:clrScheme name="05_NewElegant-Letter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Letter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