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3F5C"/>
          <w:sz w:val="48"/>
          <w:szCs w:val="48"/>
        </w:rPr>
        <w:t xml:space="preserve">RAW DAIRY MILK</w:t>
      </w:r>
    </w:p>
    <w:p>
      <w:pPr>
        <w:spacing w:after="0" w:before="40"/>
        <w:jc w:val="center"/>
      </w:pPr>
      <w:r>
        <w:rPr>
          <w:rFonts w:ascii="Arial" w:cs="Arial" w:eastAsia="Arial" w:hAnsi="Arial"/>
          <w:b/>
          <w:bCs/>
          <w:color w:val="2C5F8A"/>
          <w:sz w:val="36"/>
          <w:szCs w:val="36"/>
        </w:rPr>
        <w:t xml:space="preserve">Bacterial Communities Study</w:t>
      </w:r>
    </w:p>
    <w:p>
      <w:pPr>
        <w:pBdr>
          <w:top w:val="single" w:color="2C5F8A" w:sz="8"/>
          <w:bottom w:val="single" w:color="2C5F8A" w:sz="8"/>
        </w:pBdr>
        <w:spacing w:after="0" w:before="320"/>
        <w:jc w:val="center"/>
      </w:pPr>
      <w:r>
        <w:rPr>
          <w:rFonts w:ascii="Arial" w:cs="Arial" w:eastAsia="Arial" w:hAnsi="Arial"/>
          <w:color w:val="2C5F8A"/>
          <w:sz w:val="28"/>
          <w:szCs w:val="28"/>
        </w:rPr>
        <w:t xml:space="preserve">Statistical Analysis Report</w:t>
      </w:r>
    </w:p>
    <w:p>
      <w:pPr>
        <w:spacing w:after="60" w:before="480"/>
        <w:jc w:val="center"/>
      </w:pPr>
      <w:r>
        <w:rPr>
          <w:rFonts w:ascii="Arial" w:cs="Arial" w:eastAsia="Arial" w:hAnsi="Arial"/>
          <w:color w:val="444444"/>
          <w:sz w:val="24"/>
          <w:szCs w:val="24"/>
        </w:rPr>
        <w:t xml:space="preserve">Study Site: Nchiru, Meru County, Kenya</w:t>
      </w:r>
    </w:p>
    <w:p>
      <w:pPr>
        <w:spacing w:after="60" w:before="60"/>
        <w:jc w:val="center"/>
      </w:pPr>
      <w:r>
        <w:rPr>
          <w:rFonts w:ascii="Arial" w:cs="Arial" w:eastAsia="Arial" w:hAnsi="Arial"/>
          <w:color w:val="444444"/>
          <w:sz w:val="24"/>
          <w:szCs w:val="24"/>
        </w:rPr>
        <w:t xml:space="preserve">Data Collection Date: 17 April 2026</w:t>
      </w:r>
    </w:p>
    <w:p>
      <w:pPr>
        <w:spacing w:after="60" w:before="60"/>
        <w:jc w:val="center"/>
      </w:pPr>
      <w:r>
        <w:rPr>
          <w:rFonts w:ascii="Arial" w:cs="Arial" w:eastAsia="Arial" w:hAnsi="Arial"/>
          <w:color w:val="444444"/>
          <w:sz w:val="24"/>
          <w:szCs w:val="24"/>
        </w:rPr>
        <w:t xml:space="preserve">Sample Size: n = 25 dairy farmers</w:t>
      </w:r>
    </w:p>
    <w:p>
      <w:pPr>
        <w:spacing w:after="60" w:before="60"/>
        <w:jc w:val="center"/>
      </w:pPr>
      <w:r>
        <w:rPr>
          <w:rFonts w:ascii="Arial" w:cs="Arial" w:eastAsia="Arial" w:hAnsi="Arial"/>
          <w:color w:val="444444"/>
          <w:sz w:val="24"/>
          <w:szCs w:val="24"/>
        </w:rPr>
        <w:t xml:space="preserve">Analysis Platform: SPSS Version 26 Workflow</w:t>
      </w:r>
    </w:p>
    <w:p>
      <w:pPr>
        <w:spacing w:after="60" w:before="60"/>
        <w:jc w:val="center"/>
      </w:pPr>
      <w:r>
        <w:rPr>
          <w:rFonts w:ascii="Arial" w:cs="Arial" w:eastAsia="Arial" w:hAnsi="Arial"/>
          <w:color w:val="444444"/>
          <w:sz w:val="24"/>
          <w:szCs w:val="24"/>
        </w:rPr>
        <w:t xml:space="preserve">Outcome Variable: Milk Contamination Status (High vs Low CFU/mL)</w:t>
      </w:r>
    </w:p>
    <w:p>
      <w:pPr>
        <w:spacing w:after="0" w:before="480"/>
        <w:jc w:val="center"/>
      </w:pPr>
      <w:r>
        <w:rPr>
          <w:rFonts w:ascii="Arial" w:cs="Arial" w:eastAsia="Arial" w:hAnsi="Arial"/>
          <w:color w:val="888888"/>
          <w:sz w:val="22"/>
          <w:szCs w:val="22"/>
        </w:rPr>
        <w:t xml:space="preserve">Prepared: May 2026</w:t>
      </w:r>
    </w:p>
    <w:p>
      <w:r>
        <w:br w:type="page"/>
      </w:r>
    </w:p>
    <w:p>
      <w:pPr>
        <w:pStyle w:val="Heading1"/>
        <w:pBdr>
          <w:bottom w:val="single" w:color="2C5F8A" w:sz="6" w:space="4"/>
        </w:pBdr>
        <w:spacing w:after="160" w:before="360"/>
      </w:pPr>
      <w:r>
        <w:rPr>
          <w:rFonts w:ascii="Arial" w:cs="Arial" w:eastAsia="Arial" w:hAnsi="Arial"/>
          <w:b/>
          <w:bCs/>
          <w:color w:val="2C5F8A"/>
          <w:sz w:val="32"/>
          <w:szCs w:val="32"/>
        </w:rPr>
        <w:t xml:space="preserve">1. Introduction</w:t>
      </w:r>
    </w:p>
    <w:p>
      <w:pPr>
        <w:spacing w:after="60" w:before="60"/>
      </w:pPr>
      <w:r>
        <w:rPr>
          <w:b w:val="false"/>
          <w:bCs w:val="false"/>
          <w:i w:val="false"/>
          <w:iCs w:val="false"/>
          <w:color w:val="000000"/>
          <w:sz w:val="24"/>
          <w:szCs w:val="24"/>
        </w:rPr>
        <w:t xml:space="preserve">Raw milk from dairy farms presents a significant public health concern due to the potential presence of pathogenic bacteria. In Nchiru, Meru County, Kenya, smallholder dairy farmers commonly practice hand-milking without pasteurisation, making hygiene during milking a critical determinant of milk safety. This study investigates the relationship between </w:t>
      </w:r>
      <w:r>
        <w:rPr>
          <w:b/>
          <w:bCs/>
          <w:i w:val="false"/>
          <w:iCs w:val="false"/>
          <w:color w:val="000000"/>
          <w:sz w:val="24"/>
          <w:szCs w:val="24"/>
        </w:rPr>
        <w:t xml:space="preserve">on-farm hygiene practices</w:t>
      </w:r>
      <w:r>
        <w:rPr>
          <w:b w:val="false"/>
          <w:bCs w:val="false"/>
          <w:i w:val="false"/>
          <w:iCs w:val="false"/>
          <w:color w:val="000000"/>
          <w:sz w:val="24"/>
          <w:szCs w:val="24"/>
        </w:rPr>
        <w:t xml:space="preserve"> and milk bacterial contamination status, defined using the WHO/FAO threshold of 100,000 CFU/mL.</w:t>
      </w:r>
    </w:p>
    <w:p>
      <w:pPr>
        <w:spacing w:after="80" w:before="80"/>
      </w:pPr>
    </w:p>
    <w:p>
      <w:pPr>
        <w:spacing w:after="60" w:before="60"/>
      </w:pPr>
      <w:r>
        <w:rPr>
          <w:b w:val="false"/>
          <w:bCs w:val="false"/>
          <w:i w:val="false"/>
          <w:iCs w:val="false"/>
          <w:color w:val="000000"/>
          <w:sz w:val="24"/>
          <w:szCs w:val="24"/>
        </w:rPr>
        <w:t xml:space="preserve">The analysis follows a standard </w:t>
      </w:r>
      <w:r>
        <w:rPr>
          <w:b/>
          <w:bCs/>
          <w:i w:val="false"/>
          <w:iCs w:val="false"/>
          <w:color w:val="000000"/>
          <w:sz w:val="24"/>
          <w:szCs w:val="24"/>
        </w:rPr>
        <w:t xml:space="preserve">SPSS Version 26</w:t>
      </w:r>
      <w:r>
        <w:rPr>
          <w:b w:val="false"/>
          <w:bCs w:val="false"/>
          <w:i w:val="false"/>
          <w:iCs w:val="false"/>
          <w:color w:val="000000"/>
          <w:sz w:val="24"/>
          <w:szCs w:val="24"/>
        </w:rPr>
        <w:t xml:space="preserve"> workflow encompassing descriptive statistics (frequencies, central tendency, dispersion) and inferential statistics (Chi-square, Fisher's Exact, Kruskal-Wallis, Mann-Whitney U, and Spearman rank correlation tests). Thirteen survey questions across seven hygiene domains were analysed against a composite hygiene risk score and derived contamination outcome.</w:t>
      </w:r>
    </w:p>
    <w:p>
      <w:pPr>
        <w:pStyle w:val="Heading1"/>
        <w:pBdr>
          <w:bottom w:val="single" w:color="2C5F8A" w:sz="6" w:space="4"/>
        </w:pBdr>
        <w:spacing w:after="160" w:before="360"/>
      </w:pPr>
      <w:r>
        <w:rPr>
          <w:rFonts w:ascii="Arial" w:cs="Arial" w:eastAsia="Arial" w:hAnsi="Arial"/>
          <w:b/>
          <w:bCs/>
          <w:color w:val="2C5F8A"/>
          <w:sz w:val="32"/>
          <w:szCs w:val="32"/>
        </w:rPr>
        <w:t xml:space="preserve">2. Methodology</w:t>
      </w:r>
    </w:p>
    <w:p>
      <w:pPr>
        <w:pStyle w:val="Heading2"/>
        <w:spacing w:after="120" w:before="280"/>
      </w:pPr>
      <w:r>
        <w:rPr>
          <w:rFonts w:ascii="Arial" w:cs="Arial" w:eastAsia="Arial" w:hAnsi="Arial"/>
          <w:b/>
          <w:bCs/>
          <w:color w:val="1A3F5C"/>
          <w:sz w:val="26"/>
          <w:szCs w:val="26"/>
        </w:rPr>
        <w:t xml:space="preserve">2.1 Study Design and Sample</w:t>
      </w:r>
    </w:p>
    <w:p>
      <w:pPr>
        <w:spacing w:after="60" w:before="60"/>
      </w:pPr>
      <w:r>
        <w:rPr>
          <w:rFonts w:ascii="Arial" w:cs="Arial" w:eastAsia="Arial" w:hAnsi="Arial"/>
          <w:sz w:val="24"/>
          <w:szCs w:val="24"/>
        </w:rPr>
        <w:t xml:space="preserve">A cross-sectional survey was conducted on 17 April 2026 among 25 dairy farmers in Nchiru, Meru County. Participants were recruited from four farm clusters (B, R, AM, MK). Data were collected via structured interview using a pre-coded questionnaire. A milk sample was obtained from each farm for bacterial enumeration.</w:t>
      </w:r>
    </w:p>
    <w:p>
      <w:pPr>
        <w:spacing w:after="80" w:before="80"/>
      </w:pPr>
    </w:p>
    <w:p>
      <w:pPr>
        <w:pStyle w:val="Heading2"/>
        <w:spacing w:after="120" w:before="280"/>
      </w:pPr>
      <w:r>
        <w:rPr>
          <w:rFonts w:ascii="Arial" w:cs="Arial" w:eastAsia="Arial" w:hAnsi="Arial"/>
          <w:b/>
          <w:bCs/>
          <w:color w:val="1A3F5C"/>
          <w:sz w:val="26"/>
          <w:szCs w:val="26"/>
        </w:rPr>
        <w:t xml:space="preserve">2.2 Variables</w:t>
      </w:r>
    </w:p>
    <w:p>
      <w:pPr>
        <w:spacing w:after="60" w:before="60"/>
      </w:pPr>
      <w:r>
        <w:rPr>
          <w:b w:val="false"/>
          <w:bCs w:val="false"/>
          <w:i w:val="false"/>
          <w:iCs w:val="false"/>
          <w:color w:val="000000"/>
          <w:sz w:val="24"/>
          <w:szCs w:val="24"/>
        </w:rPr>
        <w:t xml:space="preserve">Predictor variables (Sections A–G) covered: </w:t>
      </w:r>
      <w:r>
        <w:rPr>
          <w:b/>
          <w:bCs/>
          <w:i w:val="false"/>
          <w:iCs w:val="false"/>
          <w:color w:val="000000"/>
          <w:sz w:val="24"/>
          <w:szCs w:val="24"/>
        </w:rPr>
        <w:t xml:space="preserve">barn and udder hygiene, utensil cleaning, traditional flavouring, hand hygiene, teat preparation, container type, and equipment cleaning.</w:t>
      </w:r>
      <w:r>
        <w:rPr>
          <w:b w:val="false"/>
          <w:bCs w:val="false"/>
          <w:i w:val="false"/>
          <w:iCs w:val="false"/>
          <w:color w:val="000000"/>
          <w:sz w:val="24"/>
          <w:szCs w:val="24"/>
        </w:rPr>
        <w:t xml:space="preserve"> The outcome variable (contamination) was operationalised as a binary indicator: 1 = High (≥100,000 CFU/mL) and 0 = Low (&lt;100,000 CFU/mL), aligned with WHO/FAO raw milk safety guidelines.</w:t>
      </w:r>
    </w:p>
    <w:p>
      <w:pPr>
        <w:spacing w:after="80" w:before="80"/>
      </w:pPr>
    </w:p>
    <w:p>
      <w:pPr>
        <w:pStyle w:val="Heading2"/>
        <w:spacing w:after="120" w:before="280"/>
      </w:pPr>
      <w:r>
        <w:rPr>
          <w:rFonts w:ascii="Arial" w:cs="Arial" w:eastAsia="Arial" w:hAnsi="Arial"/>
          <w:b/>
          <w:bCs/>
          <w:color w:val="1A3F5C"/>
          <w:sz w:val="26"/>
          <w:szCs w:val="26"/>
        </w:rPr>
        <w:t xml:space="preserve">2.3 Composite Risk Score</w:t>
      </w:r>
    </w:p>
    <w:p>
      <w:pPr>
        <w:spacing w:after="60" w:before="60"/>
      </w:pPr>
      <w:r>
        <w:rPr>
          <w:rFonts w:ascii="Arial" w:cs="Arial" w:eastAsia="Arial" w:hAnsi="Arial"/>
          <w:sz w:val="24"/>
          <w:szCs w:val="24"/>
        </w:rPr>
        <w:t xml:space="preserve">A composite hygiene risk score was constructed by summing ordinal risk weights for seven key variables (Q1, Q6, Q7, Q8, Q9e, Q10, Q12), with weights derived from the study codebook (Low=0, Medium=1, High=2). Scores ranged from 1 to 14. The median (10.0) served as the cut-off for classifying contamination outcome (&gt;median = High contamination).</w:t>
      </w:r>
    </w:p>
    <w:p>
      <w:pPr>
        <w:spacing w:after="80" w:before="80"/>
      </w:pPr>
    </w:p>
    <w:p>
      <w:pPr>
        <w:pStyle w:val="Heading2"/>
        <w:spacing w:after="120" w:before="280"/>
      </w:pPr>
      <w:r>
        <w:rPr>
          <w:rFonts w:ascii="Arial" w:cs="Arial" w:eastAsia="Arial" w:hAnsi="Arial"/>
          <w:b/>
          <w:bCs/>
          <w:color w:val="1A3F5C"/>
          <w:sz w:val="26"/>
          <w:szCs w:val="26"/>
        </w:rPr>
        <w:t xml:space="preserve">2.4 Analytical Strategy (SPSS v26 Workflow)</w:t>
      </w:r>
    </w:p>
    <w:p>
      <w:pPr>
        <w:spacing w:after="60" w:before="60"/>
      </w:pPr>
      <w:r>
        <w:rPr>
          <w:rFonts w:ascii="Arial" w:cs="Arial" w:eastAsia="Arial" w:hAnsi="Arial"/>
          <w:sz w:val="24"/>
          <w:szCs w:val="24"/>
        </w:rPr>
        <w:t xml:space="preserve">All analyses were performed using the SPSS Version 26 analytical framework:</w:t>
      </w:r>
    </w:p>
    <w:p>
      <w:pPr>
        <w:pStyle w:val="ListParagraph"/>
        <w:numPr>
          <w:ilvl w:val="0"/>
          <w:numId w:val="2"/>
        </w:numPr>
        <w:spacing w:after="30" w:before="60"/>
      </w:pPr>
      <w:r>
        <w:rPr>
          <w:b w:val="false"/>
          <w:bCs w:val="false"/>
          <w:i w:val="false"/>
          <w:iCs w:val="false"/>
          <w:color w:val="000000"/>
          <w:sz w:val="24"/>
          <w:szCs w:val="24"/>
        </w:rPr>
        <w:t xml:space="preserve">Descriptive Statistics: Frequencies, percentages, means, standard deviations, medians, and modes for all predictor variables.</w:t>
      </w:r>
    </w:p>
    <w:p>
      <w:pPr>
        <w:pStyle w:val="ListParagraph"/>
        <w:numPr>
          <w:ilvl w:val="0"/>
          <w:numId w:val="2"/>
        </w:numPr>
        <w:spacing w:after="30" w:before="30"/>
      </w:pPr>
      <w:r>
        <w:rPr>
          <w:b w:val="false"/>
          <w:bCs w:val="false"/>
          <w:i w:val="false"/>
          <w:iCs w:val="false"/>
          <w:color w:val="000000"/>
          <w:sz w:val="24"/>
          <w:szCs w:val="24"/>
        </w:rPr>
        <w:t xml:space="preserve">Chi-square Test (Analyze → Descriptive Statistics → Crosstabs): For nominal/ordinal predictors with sufficient cell counts.</w:t>
      </w:r>
    </w:p>
    <w:p>
      <w:pPr>
        <w:pStyle w:val="ListParagraph"/>
        <w:numPr>
          <w:ilvl w:val="0"/>
          <w:numId w:val="2"/>
        </w:numPr>
        <w:spacing w:after="30" w:before="30"/>
      </w:pPr>
      <w:r>
        <w:rPr>
          <w:b w:val="false"/>
          <w:bCs w:val="false"/>
          <w:i w:val="false"/>
          <w:iCs w:val="false"/>
          <w:color w:val="000000"/>
          <w:sz w:val="24"/>
          <w:szCs w:val="24"/>
        </w:rPr>
        <w:t xml:space="preserve">Fisher's Exact Test: Applied when expected cell frequencies fell below 5 (small sample correction).</w:t>
      </w:r>
    </w:p>
    <w:p>
      <w:pPr>
        <w:pStyle w:val="ListParagraph"/>
        <w:numPr>
          <w:ilvl w:val="0"/>
          <w:numId w:val="2"/>
        </w:numPr>
        <w:spacing w:after="30" w:before="30"/>
      </w:pPr>
      <w:r>
        <w:rPr>
          <w:b w:val="false"/>
          <w:bCs w:val="false"/>
          <w:i w:val="false"/>
          <w:iCs w:val="false"/>
          <w:color w:val="000000"/>
          <w:sz w:val="24"/>
          <w:szCs w:val="24"/>
        </w:rPr>
        <w:t xml:space="preserve">Kruskal-Wallis H Test (Analyze → Nonparametric → Legacy Dialogs → K Independent Samples): For multi-category predictors vs risk score.</w:t>
      </w:r>
    </w:p>
    <w:p>
      <w:pPr>
        <w:pStyle w:val="ListParagraph"/>
        <w:numPr>
          <w:ilvl w:val="0"/>
          <w:numId w:val="2"/>
        </w:numPr>
        <w:spacing w:after="30" w:before="30"/>
      </w:pPr>
      <w:r>
        <w:rPr>
          <w:b w:val="false"/>
          <w:bCs w:val="false"/>
          <w:i w:val="false"/>
          <w:iCs w:val="false"/>
          <w:color w:val="000000"/>
          <w:sz w:val="24"/>
          <w:szCs w:val="24"/>
        </w:rPr>
        <w:t xml:space="preserve">Mann-Whitney U Test: For binary predictors vs risk score.</w:t>
      </w:r>
    </w:p>
    <w:p>
      <w:pPr>
        <w:pStyle w:val="ListParagraph"/>
        <w:numPr>
          <w:ilvl w:val="0"/>
          <w:numId w:val="2"/>
        </w:numPr>
        <w:spacing w:after="60" w:before="30"/>
      </w:pPr>
      <w:r>
        <w:rPr>
          <w:b w:val="false"/>
          <w:bCs w:val="false"/>
          <w:i w:val="false"/>
          <w:iCs w:val="false"/>
          <w:color w:val="000000"/>
          <w:sz w:val="24"/>
          <w:szCs w:val="24"/>
        </w:rPr>
        <w:t xml:space="preserve">Spearman Rank Correlation (Analyze → Correlate → Bivariate): For ordinal predictors vs risk score. Significance threshold: α = 0.05.</w:t>
      </w:r>
    </w:p>
    <w:p>
      <w:pPr>
        <w:spacing w:after="60" w:before="60"/>
      </w:pPr>
      <w:r>
        <w:rPr>
          <w:b/>
          <w:bCs/>
          <w:i w:val="false"/>
          <w:iCs w:val="false"/>
          <w:color w:val="000000"/>
          <w:sz w:val="24"/>
          <w:szCs w:val="24"/>
        </w:rPr>
        <w:t xml:space="preserve">Note: </w:t>
      </w:r>
      <w:r>
        <w:rPr>
          <w:b w:val="false"/>
          <w:bCs w:val="false"/>
          <w:i w:val="false"/>
          <w:iCs w:val="false"/>
          <w:color w:val="000000"/>
          <w:sz w:val="24"/>
          <w:szCs w:val="24"/>
        </w:rPr>
        <w:t xml:space="preserve">Q5 (traditional flavouring) and Q11 (container type) were excluded from inferential tests due to zero variance (all respondents answered identically). Q9d (sanitizer use) was also excluded as all values were 0.</w:t>
      </w:r>
    </w:p>
    <w:p>
      <w:r>
        <w:br w:type="page"/>
      </w:r>
    </w:p>
    <w:p>
      <w:pPr>
        <w:pStyle w:val="Heading1"/>
        <w:pBdr>
          <w:bottom w:val="single" w:color="2C5F8A" w:sz="6" w:space="4"/>
        </w:pBdr>
        <w:spacing w:after="160" w:before="360"/>
      </w:pPr>
      <w:r>
        <w:rPr>
          <w:rFonts w:ascii="Arial" w:cs="Arial" w:eastAsia="Arial" w:hAnsi="Arial"/>
          <w:b/>
          <w:bCs/>
          <w:color w:val="2C5F8A"/>
          <w:sz w:val="32"/>
          <w:szCs w:val="32"/>
        </w:rPr>
        <w:t xml:space="preserve">3. Descriptive Statistics</w:t>
      </w:r>
    </w:p>
    <w:p>
      <w:pPr>
        <w:pStyle w:val="Heading2"/>
        <w:spacing w:after="120" w:before="280"/>
      </w:pPr>
      <w:r>
        <w:rPr>
          <w:rFonts w:ascii="Arial" w:cs="Arial" w:eastAsia="Arial" w:hAnsi="Arial"/>
          <w:b/>
          <w:bCs/>
          <w:color w:val="1A3F5C"/>
          <w:sz w:val="26"/>
          <w:szCs w:val="26"/>
        </w:rPr>
        <w:t xml:space="preserve">3.1 Outcome Variable – Contamination Status</w:t>
      </w:r>
    </w:p>
    <w:p>
      <w:pPr>
        <w:spacing w:after="60" w:before="60"/>
      </w:pPr>
      <w:r>
        <w:rPr>
          <w:rFonts w:ascii="Arial" w:cs="Arial" w:eastAsia="Arial" w:hAnsi="Arial"/>
          <w:sz w:val="24"/>
          <w:szCs w:val="24"/>
        </w:rPr>
        <w:t xml:space="preserve">Based on the composite hygiene risk score and median split, the predicted contamination distribution is presented below. Eleven participants (44.0%) were classified as High contamination risk and 14 (56.0%) as Low contamination risk.</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Category</w:t>
            </w:r>
          </w:p>
        </w:tc>
        <w:tc>
          <w:tcPr>
            <w:tcW w:type="dxa" w:w="18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8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r>
      <w:tr>
        <w:tc>
          <w:tcPr>
            <w:tcW w:type="dxa" w:w="57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High contamination (≥1)</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11</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44.0%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contamination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56.0%</w:t>
            </w:r>
          </w:p>
        </w:tc>
      </w:tr>
      <w:tr>
        <w:tc>
          <w:tcPr>
            <w:tcW w:type="dxa" w:w="57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r>
    </w:tbl>
    <w:p>
      <w:pPr>
        <w:spacing w:after="0" w:before="180"/>
      </w:pPr>
    </w:p>
    <w:p>
      <w:pPr>
        <w:pStyle w:val="Heading2"/>
        <w:spacing w:after="120" w:before="280"/>
      </w:pPr>
      <w:r>
        <w:rPr>
          <w:rFonts w:ascii="Arial" w:cs="Arial" w:eastAsia="Arial" w:hAnsi="Arial"/>
          <w:b/>
          <w:bCs/>
          <w:color w:val="1A3F5C"/>
          <w:sz w:val="26"/>
          <w:szCs w:val="26"/>
        </w:rPr>
        <w:t xml:space="preserve">3.2 Section A – Barn &amp; Udder Hygiene</w:t>
      </w:r>
    </w:p>
    <w:p>
      <w:pPr>
        <w:pStyle w:val="Heading3"/>
        <w:spacing w:after="80" w:before="200"/>
      </w:pPr>
      <w:r>
        <w:rPr>
          <w:rFonts w:ascii="Arial" w:cs="Arial" w:eastAsia="Arial" w:hAnsi="Arial"/>
          <w:b/>
          <w:bCs/>
          <w:i/>
          <w:iCs/>
          <w:color w:val="2C5F8A"/>
          <w:sz w:val="24"/>
          <w:szCs w:val="24"/>
        </w:rPr>
        <w:t xml:space="preserve">Q1: Barn Cleaning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Once per day</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Three times per week</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Medium</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Once per week</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18</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72.0%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b w:val="false"/>
          <w:bCs w:val="false"/>
          <w:i w:val="false"/>
          <w:iCs w:val="false"/>
          <w:color w:val="000000"/>
          <w:sz w:val="24"/>
          <w:szCs w:val="24"/>
        </w:rPr>
        <w:t xml:space="preserve">The majority of farmers (72.0%, n=18) clean their barns only </w:t>
      </w:r>
      <w:r>
        <w:rPr>
          <w:b/>
          <w:bCs/>
          <w:i w:val="false"/>
          <w:iCs w:val="false"/>
          <w:color w:val="CC0000"/>
          <w:sz w:val="24"/>
          <w:szCs w:val="24"/>
        </w:rPr>
        <w:t xml:space="preserve">once per week</w:t>
      </w:r>
      <w:r>
        <w:rPr>
          <w:b w:val="false"/>
          <w:bCs w:val="false"/>
          <w:i w:val="false"/>
          <w:iCs w:val="false"/>
          <w:color w:val="000000"/>
          <w:sz w:val="24"/>
          <w:szCs w:val="24"/>
        </w:rPr>
        <w:t xml:space="preserve">, classified as a High-risk practice. Only 20.0% clean daily (Low risk). Mode = 4 (once/week); Mean = 3.52 (SD = 0.82). This indicates a predominantly high-risk barn hygiene profile across the sample.</w:t>
      </w:r>
    </w:p>
    <w:p>
      <w:pPr>
        <w:spacing w:after="0" w:before="100"/>
      </w:pPr>
    </w:p>
    <w:p>
      <w:pPr>
        <w:pStyle w:val="Heading3"/>
        <w:spacing w:after="80" w:before="200"/>
      </w:pPr>
      <w:r>
        <w:rPr>
          <w:rFonts w:ascii="Arial" w:cs="Arial" w:eastAsia="Arial" w:hAnsi="Arial"/>
          <w:b/>
          <w:bCs/>
          <w:i/>
          <w:iCs/>
          <w:color w:val="2C5F8A"/>
          <w:sz w:val="24"/>
          <w:szCs w:val="24"/>
        </w:rPr>
        <w:t xml:space="preserve">Q2: Udder Washing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Warm tap water</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Cold river water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80.0%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Medium</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rFonts w:ascii="Arial" w:cs="Arial" w:eastAsia="Arial" w:hAnsi="Arial"/>
          <w:sz w:val="24"/>
          <w:szCs w:val="24"/>
        </w:rPr>
        <w:t xml:space="preserve">Eighty percent of farmers (n=20) wash udders with cold river water (Medium risk), while 20% use warm tap water (Low risk). No participants reported washing with soap/disinfectant. Mode = 5; Mean = 4.40 (SD = 1.22).</w:t>
      </w:r>
    </w:p>
    <w:p>
      <w:pPr>
        <w:spacing w:after="0" w:before="100"/>
      </w:pPr>
    </w:p>
    <w:p>
      <w:pPr>
        <w:pStyle w:val="Heading2"/>
        <w:spacing w:after="120" w:before="280"/>
      </w:pPr>
      <w:r>
        <w:rPr>
          <w:rFonts w:ascii="Arial" w:cs="Arial" w:eastAsia="Arial" w:hAnsi="Arial"/>
          <w:b/>
          <w:bCs/>
          <w:color w:val="1A3F5C"/>
          <w:sz w:val="26"/>
          <w:szCs w:val="26"/>
        </w:rPr>
        <w:t xml:space="preserve">3.3 Section B – Utensil Cleaning (Q3–Q4)</w:t>
      </w:r>
    </w:p>
    <w:p>
      <w:pPr>
        <w:pStyle w:val="Heading3"/>
        <w:spacing w:after="80" w:before="200"/>
      </w:pPr>
      <w:r>
        <w:rPr>
          <w:rFonts w:ascii="Arial" w:cs="Arial" w:eastAsia="Arial" w:hAnsi="Arial"/>
          <w:b/>
          <w:bCs/>
          <w:i/>
          <w:iCs/>
          <w:color w:val="2C5F8A"/>
          <w:sz w:val="24"/>
          <w:szCs w:val="24"/>
        </w:rPr>
        <w:t xml:space="preserve">Q3: Utensil Cleaning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Twice per day</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Every other day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80.0%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rFonts w:ascii="Arial" w:cs="Arial" w:eastAsia="Arial" w:hAnsi="Arial"/>
          <w:sz w:val="24"/>
          <w:szCs w:val="24"/>
        </w:rPr>
        <w:t xml:space="preserve">Eighty percent of participants (n=20) clean milking utensils only every other day (High risk). Twenty percent clean twice daily (Low risk). Mode = 3; Mean = 2.60 (SD = 0.82).</w:t>
      </w:r>
    </w:p>
    <w:p>
      <w:pPr>
        <w:spacing w:after="0" w:before="100"/>
      </w:pPr>
    </w:p>
    <w:p>
      <w:pPr>
        <w:pStyle w:val="Heading3"/>
        <w:spacing w:after="80" w:before="200"/>
      </w:pPr>
      <w:r>
        <w:rPr>
          <w:rFonts w:ascii="Arial" w:cs="Arial" w:eastAsia="Arial" w:hAnsi="Arial"/>
          <w:b/>
          <w:bCs/>
          <w:i/>
          <w:iCs/>
          <w:color w:val="2C5F8A"/>
          <w:sz w:val="24"/>
          <w:szCs w:val="24"/>
        </w:rPr>
        <w:t xml:space="preserve">Q4: Utensil Cleaning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Hot water</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Cold water only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80.0%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rFonts w:ascii="Arial" w:cs="Arial" w:eastAsia="Arial" w:hAnsi="Arial"/>
          <w:sz w:val="24"/>
          <w:szCs w:val="24"/>
        </w:rPr>
        <w:t xml:space="preserve">Consistent with Q3, 80% of farmers rely on cold water alone for utensil cleaning (High risk). Only 20% use hot water (Low risk). Mode = 2; Mean = 1.80 (SD = 0.41).</w:t>
      </w:r>
    </w:p>
    <w:p>
      <w:pPr>
        <w:spacing w:after="0" w:before="100"/>
      </w:pPr>
    </w:p>
    <w:p>
      <w:pPr>
        <w:pStyle w:val="Heading2"/>
        <w:spacing w:after="120" w:before="280"/>
      </w:pPr>
      <w:r>
        <w:rPr>
          <w:rFonts w:ascii="Arial" w:cs="Arial" w:eastAsia="Arial" w:hAnsi="Arial"/>
          <w:b/>
          <w:bCs/>
          <w:color w:val="1A3F5C"/>
          <w:sz w:val="26"/>
          <w:szCs w:val="26"/>
        </w:rPr>
        <w:t xml:space="preserve">3.4 Section C – Traditional Flavouring (Q5)</w:t>
      </w:r>
    </w:p>
    <w:p>
      <w:pPr>
        <w:spacing w:after="60" w:before="60"/>
      </w:pPr>
      <w:r>
        <w:rPr>
          <w:b w:val="false"/>
          <w:bCs w:val="false"/>
          <w:i w:val="false"/>
          <w:iCs w:val="false"/>
          <w:color w:val="000000"/>
          <w:sz w:val="24"/>
          <w:szCs w:val="24"/>
        </w:rPr>
        <w:t xml:space="preserve">All 25 participants (100%) reported </w:t>
      </w:r>
      <w:r>
        <w:rPr>
          <w:b/>
          <w:bCs/>
          <w:i w:val="false"/>
          <w:iCs w:val="false"/>
          <w:color w:val="000000"/>
          <w:sz w:val="24"/>
          <w:szCs w:val="24"/>
        </w:rPr>
        <w:t xml:space="preserve">no use of traditional flavourings</w:t>
      </w:r>
      <w:r>
        <w:rPr>
          <w:b w:val="false"/>
          <w:bCs w:val="false"/>
          <w:i w:val="false"/>
          <w:iCs w:val="false"/>
          <w:color w:val="000000"/>
          <w:sz w:val="24"/>
          <w:szCs w:val="24"/>
        </w:rPr>
        <w:t xml:space="preserve">. This variable has zero variance and was excluded from inferential analyses.</w:t>
      </w:r>
    </w:p>
    <w:p>
      <w:pPr>
        <w:spacing w:after="0" w:before="100"/>
      </w:pPr>
    </w:p>
    <w:p>
      <w:r>
        <w:br w:type="page"/>
      </w:r>
    </w:p>
    <w:p>
      <w:pPr>
        <w:pStyle w:val="Heading2"/>
        <w:spacing w:after="120" w:before="280"/>
      </w:pPr>
      <w:r>
        <w:rPr>
          <w:rFonts w:ascii="Arial" w:cs="Arial" w:eastAsia="Arial" w:hAnsi="Arial"/>
          <w:b/>
          <w:bCs/>
          <w:color w:val="1A3F5C"/>
          <w:sz w:val="26"/>
          <w:szCs w:val="26"/>
        </w:rPr>
        <w:t xml:space="preserve">3.5 Section D – Hand Hygiene (Q6–Q7)</w:t>
      </w:r>
    </w:p>
    <w:p>
      <w:pPr>
        <w:pStyle w:val="Heading3"/>
        <w:spacing w:after="80" w:before="200"/>
      </w:pPr>
      <w:r>
        <w:rPr>
          <w:rFonts w:ascii="Arial" w:cs="Arial" w:eastAsia="Arial" w:hAnsi="Arial"/>
          <w:b/>
          <w:bCs/>
          <w:i/>
          <w:iCs/>
          <w:color w:val="2C5F8A"/>
          <w:sz w:val="24"/>
          <w:szCs w:val="24"/>
        </w:rPr>
        <w:t xml:space="preserve">Q6: Hand Washing Before Milking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 – washes hands</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23</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92.0%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 – does not wash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rFonts w:ascii="Arial" w:cs="Arial" w:eastAsia="Arial" w:hAnsi="Arial"/>
          <w:sz w:val="24"/>
          <w:szCs w:val="24"/>
        </w:rPr>
        <w:t xml:space="preserve">The large majority (92.0%) of farmers report washing hands before milking (Low risk). Two farmers (8.0%) do not wash hands, representing the highest individual contamination risk factor. Mode = 1.</w:t>
      </w:r>
    </w:p>
    <w:p>
      <w:pPr>
        <w:spacing w:after="0" w:before="100"/>
      </w:pPr>
    </w:p>
    <w:p>
      <w:pPr>
        <w:pStyle w:val="Heading3"/>
        <w:spacing w:after="80" w:before="200"/>
      </w:pPr>
      <w:r>
        <w:rPr>
          <w:rFonts w:ascii="Arial" w:cs="Arial" w:eastAsia="Arial" w:hAnsi="Arial"/>
          <w:b/>
          <w:bCs/>
          <w:i/>
          <w:iCs/>
          <w:color w:val="2C5F8A"/>
          <w:sz w:val="24"/>
          <w:szCs w:val="24"/>
        </w:rPr>
        <w:t xml:space="preserve">Q7: Hand Washing with Soap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Always uses soap</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Never uses soap</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80.0%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b w:val="false"/>
          <w:bCs w:val="false"/>
          <w:i w:val="false"/>
          <w:iCs w:val="false"/>
          <w:color w:val="000000"/>
          <w:sz w:val="24"/>
          <w:szCs w:val="24"/>
        </w:rPr>
        <w:t xml:space="preserve">Despite 92% washing hands, </w:t>
      </w:r>
      <w:r>
        <w:rPr>
          <w:b/>
          <w:bCs/>
          <w:i w:val="false"/>
          <w:iCs w:val="false"/>
          <w:color w:val="CC0000"/>
          <w:sz w:val="24"/>
          <w:szCs w:val="24"/>
        </w:rPr>
        <w:t xml:space="preserve">80% never use soap</w:t>
      </w:r>
      <w:r>
        <w:rPr>
          <w:b w:val="false"/>
          <w:bCs w:val="false"/>
          <w:i w:val="false"/>
          <w:iCs w:val="false"/>
          <w:color w:val="000000"/>
          <w:sz w:val="24"/>
          <w:szCs w:val="24"/>
        </w:rPr>
        <w:t xml:space="preserve"> (High risk). Only 20% consistently use soap (n=5). This discrepancy suggests hand-washing is done with water alone, which is insufficient for pathogen removal. Mode = 3; Mean = 2.60 (SD = 0.82).</w:t>
      </w:r>
    </w:p>
    <w:p>
      <w:pPr>
        <w:spacing w:after="0" w:before="100"/>
      </w:pPr>
    </w:p>
    <w:p>
      <w:pPr>
        <w:pStyle w:val="Heading2"/>
        <w:spacing w:after="120" w:before="280"/>
      </w:pPr>
      <w:r>
        <w:rPr>
          <w:rFonts w:ascii="Arial" w:cs="Arial" w:eastAsia="Arial" w:hAnsi="Arial"/>
          <w:b/>
          <w:bCs/>
          <w:color w:val="1A3F5C"/>
          <w:sz w:val="26"/>
          <w:szCs w:val="26"/>
        </w:rPr>
        <w:t xml:space="preserve">3.6 Section E – Udder/Teat Preparation (Q8–Q10)</w:t>
      </w:r>
    </w:p>
    <w:p>
      <w:pPr>
        <w:pStyle w:val="Heading3"/>
        <w:spacing w:after="80" w:before="200"/>
      </w:pPr>
      <w:r>
        <w:rPr>
          <w:rFonts w:ascii="Arial" w:cs="Arial" w:eastAsia="Arial" w:hAnsi="Arial"/>
          <w:b/>
          <w:bCs/>
          <w:i/>
          <w:iCs/>
          <w:color w:val="2C5F8A"/>
          <w:sz w:val="24"/>
          <w:szCs w:val="24"/>
        </w:rPr>
        <w:t xml:space="preserve">Q8: Udder/Teat Wash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Always</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Sometimes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7</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Medium</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Never</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13</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52.0%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rFonts w:ascii="Arial" w:cs="Arial" w:eastAsia="Arial" w:hAnsi="Arial"/>
          <w:sz w:val="24"/>
          <w:szCs w:val="24"/>
        </w:rPr>
        <w:t xml:space="preserve">More than half of participants (52.0%, n=13) never wash udders/teats before milking (High risk). Only 20% always wash. Mean = 2.32 (SD = 0.80), indicating predominantly medium-to-high risk teat preparation practices.</w:t>
      </w:r>
    </w:p>
    <w:p>
      <w:pPr>
        <w:spacing w:after="0" w:before="100"/>
      </w:pPr>
    </w:p>
    <w:p>
      <w:pPr>
        <w:pStyle w:val="Heading3"/>
        <w:spacing w:after="80" w:before="200"/>
      </w:pPr>
      <w:r>
        <w:rPr>
          <w:rFonts w:ascii="Arial" w:cs="Arial" w:eastAsia="Arial" w:hAnsi="Arial"/>
          <w:b/>
          <w:bCs/>
          <w:i/>
          <w:iCs/>
          <w:color w:val="2C5F8A"/>
          <w:sz w:val="24"/>
          <w:szCs w:val="24"/>
        </w:rPr>
        <w:t xml:space="preserve">Q9: Udder/Teat Washing Method (Multi-select)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Washing Method</w:t>
            </w:r>
          </w:p>
        </w:tc>
        <w:tc>
          <w:tcPr>
            <w:tcW w:type="dxa" w:w="234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 (Yes)</w:t>
            </w:r>
          </w:p>
        </w:tc>
        <w:tc>
          <w:tcPr>
            <w:tcW w:type="dxa" w:w="234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of Total</w:t>
            </w:r>
          </w:p>
        </w:tc>
      </w:tr>
      <w:tr>
        <w:tc>
          <w:tcPr>
            <w:tcW w:type="dxa" w:w="46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Plain water only (Q9a)</w:t>
            </w:r>
          </w:p>
        </w:tc>
        <w:tc>
          <w:tcPr>
            <w:tcW w:type="dxa" w:w="23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23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80.0%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Warm water (Q9b)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r>
      <w:tr>
        <w:tc>
          <w:tcPr>
            <w:tcW w:type="dxa" w:w="46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Soap/detergent (Q9c)</w:t>
            </w:r>
          </w:p>
        </w:tc>
        <w:tc>
          <w:tcPr>
            <w:tcW w:type="dxa" w:w="23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23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Sanitizer (Q9d)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w:t>
            </w:r>
          </w:p>
        </w:tc>
      </w:tr>
      <w:tr>
        <w:tc>
          <w:tcPr>
            <w:tcW w:type="dxa" w:w="46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 washing at all (Q9e)</w:t>
            </w:r>
          </w:p>
        </w:tc>
        <w:tc>
          <w:tcPr>
            <w:tcW w:type="dxa" w:w="23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19</w:t>
            </w:r>
          </w:p>
        </w:tc>
        <w:tc>
          <w:tcPr>
            <w:tcW w:type="dxa" w:w="23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76.0%</w:t>
            </w:r>
          </w:p>
        </w:tc>
      </w:tr>
    </w:tbl>
    <w:p>
      <w:pPr>
        <w:spacing w:after="60" w:before="100"/>
      </w:pPr>
    </w:p>
    <w:p>
      <w:pPr>
        <w:spacing w:after="60" w:before="60"/>
      </w:pPr>
      <w:r>
        <w:rPr>
          <w:b w:val="false"/>
          <w:bCs w:val="false"/>
          <w:i w:val="false"/>
          <w:iCs w:val="false"/>
          <w:color w:val="000000"/>
          <w:sz w:val="24"/>
          <w:szCs w:val="24"/>
        </w:rPr>
        <w:t xml:space="preserve">Critically, 76% (n=19) of farmers report </w:t>
      </w:r>
      <w:r>
        <w:rPr>
          <w:b/>
          <w:bCs/>
          <w:i w:val="false"/>
          <w:iCs w:val="false"/>
          <w:color w:val="CC0000"/>
          <w:sz w:val="24"/>
          <w:szCs w:val="24"/>
        </w:rPr>
        <w:t xml:space="preserve">no teat washing at all (Q9e=High risk)</w:t>
      </w:r>
      <w:r>
        <w:rPr>
          <w:b w:val="false"/>
          <w:bCs w:val="false"/>
          <w:i w:val="false"/>
          <w:iCs w:val="false"/>
          <w:color w:val="000000"/>
          <w:sz w:val="24"/>
          <w:szCs w:val="24"/>
        </w:rPr>
        <w:t xml:space="preserve">. Among those who do wash, plain water is the most common method (80%). No farmer uses a sanitizer, and soap/detergent is used by only 5 farmers.</w:t>
      </w:r>
    </w:p>
    <w:p>
      <w:pPr>
        <w:spacing w:after="0" w:before="100"/>
      </w:pPr>
    </w:p>
    <w:p>
      <w:pPr>
        <w:pStyle w:val="Heading3"/>
        <w:spacing w:after="80" w:before="200"/>
      </w:pPr>
      <w:r>
        <w:rPr>
          <w:rFonts w:ascii="Arial" w:cs="Arial" w:eastAsia="Arial" w:hAnsi="Arial"/>
          <w:b/>
          <w:bCs/>
          <w:i/>
          <w:iCs/>
          <w:color w:val="2C5F8A"/>
          <w:sz w:val="24"/>
          <w:szCs w:val="24"/>
        </w:rPr>
        <w:t xml:space="preserve">Q10: Teat Drying After Washing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Always dries teats</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Sometimes dries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Medium</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Never dries</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11</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44.0%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rFonts w:ascii="Arial" w:cs="Arial" w:eastAsia="Arial" w:hAnsi="Arial"/>
          <w:sz w:val="24"/>
          <w:szCs w:val="24"/>
        </w:rPr>
        <w:t xml:space="preserve">Forty-four percent (n=11) never dry teats after washing (High risk). Combined with the Q8 findings, teat preparation practices are inadequate in the majority of the sample. Mean = 2.24 (SD = 0.78).</w:t>
      </w:r>
    </w:p>
    <w:p>
      <w:pPr>
        <w:spacing w:after="0" w:before="100"/>
      </w:pPr>
    </w:p>
    <w:p>
      <w:r>
        <w:br w:type="page"/>
      </w:r>
    </w:p>
    <w:p>
      <w:pPr>
        <w:pStyle w:val="Heading2"/>
        <w:spacing w:after="120" w:before="280"/>
      </w:pPr>
      <w:r>
        <w:rPr>
          <w:rFonts w:ascii="Arial" w:cs="Arial" w:eastAsia="Arial" w:hAnsi="Arial"/>
          <w:b/>
          <w:bCs/>
          <w:color w:val="1A3F5C"/>
          <w:sz w:val="26"/>
          <w:szCs w:val="26"/>
        </w:rPr>
        <w:t xml:space="preserve">3.7 Section F – Containers (Q11)</w:t>
      </w:r>
    </w:p>
    <w:p>
      <w:pPr>
        <w:spacing w:after="60" w:before="60"/>
      </w:pPr>
      <w:r>
        <w:rPr>
          <w:b w:val="false"/>
          <w:bCs w:val="false"/>
          <w:i w:val="false"/>
          <w:iCs w:val="false"/>
          <w:color w:val="000000"/>
          <w:sz w:val="24"/>
          <w:szCs w:val="24"/>
        </w:rPr>
        <w:t xml:space="preserve">All 25 participants (100%) use </w:t>
      </w:r>
      <w:r>
        <w:rPr>
          <w:b/>
          <w:bCs/>
          <w:i w:val="false"/>
          <w:iCs w:val="false"/>
          <w:color w:val="CC0000"/>
          <w:sz w:val="24"/>
          <w:szCs w:val="24"/>
        </w:rPr>
        <w:t xml:space="preserve">non-food-grade plastic containers</w:t>
      </w:r>
      <w:r>
        <w:rPr>
          <w:b w:val="false"/>
          <w:bCs w:val="false"/>
          <w:i w:val="false"/>
          <w:iCs w:val="false"/>
          <w:color w:val="000000"/>
          <w:sz w:val="24"/>
          <w:szCs w:val="24"/>
        </w:rPr>
        <w:t xml:space="preserve"> for milk collection (Q11 Code 3, High risk). Zero variance was recorded. This represents a universal high-risk practice and a structural barrier requiring systemic intervention.</w:t>
      </w:r>
    </w:p>
    <w:p>
      <w:pPr>
        <w:spacing w:after="0" w:before="100"/>
      </w:pPr>
    </w:p>
    <w:p>
      <w:pPr>
        <w:pStyle w:val="Heading2"/>
        <w:spacing w:after="120" w:before="280"/>
      </w:pPr>
      <w:r>
        <w:rPr>
          <w:rFonts w:ascii="Arial" w:cs="Arial" w:eastAsia="Arial" w:hAnsi="Arial"/>
          <w:b/>
          <w:bCs/>
          <w:color w:val="1A3F5C"/>
          <w:sz w:val="26"/>
          <w:szCs w:val="26"/>
        </w:rPr>
        <w:t xml:space="preserve">3.8 Section G – Equipment Cleaning (Q12–Q13)</w:t>
      </w:r>
    </w:p>
    <w:p>
      <w:pPr>
        <w:pStyle w:val="Heading3"/>
        <w:spacing w:after="80" w:before="200"/>
      </w:pPr>
      <w:r>
        <w:rPr>
          <w:rFonts w:ascii="Arial" w:cs="Arial" w:eastAsia="Arial" w:hAnsi="Arial"/>
          <w:b/>
          <w:bCs/>
          <w:i/>
          <w:iCs/>
          <w:color w:val="2C5F8A"/>
          <w:sz w:val="24"/>
          <w:szCs w:val="24"/>
        </w:rPr>
        <w:t xml:space="preserve">Q12: Equipment Cleaning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After every milking</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Once per day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Low</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Once per week</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11</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44.0%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rFonts w:ascii="Arial" w:cs="Arial" w:eastAsia="Arial" w:hAnsi="Arial"/>
          <w:sz w:val="24"/>
          <w:szCs w:val="24"/>
        </w:rPr>
        <w:t xml:space="preserve">Nearly half (44.0%, n=11) clean milking equipment only once per week (High risk). The remaining 56% practice more frequent cleaning, with 36% cleaning once daily and 20% after every milking session. Mean = 2.24 (SD = 0.78).</w:t>
      </w:r>
    </w:p>
    <w:p>
      <w:pPr>
        <w:spacing w:after="0" w:before="100"/>
      </w:pPr>
    </w:p>
    <w:p>
      <w:pPr>
        <w:pStyle w:val="Heading3"/>
        <w:spacing w:after="80" w:before="200"/>
      </w:pPr>
      <w:r>
        <w:rPr>
          <w:rFonts w:ascii="Arial" w:cs="Arial" w:eastAsia="Arial" w:hAnsi="Arial"/>
          <w:b/>
          <w:bCs/>
          <w:i/>
          <w:iCs/>
          <w:color w:val="2C5F8A"/>
          <w:sz w:val="24"/>
          <w:szCs w:val="24"/>
        </w:rPr>
        <w:t xml:space="preserve">Q13: Equipment Cleaning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960"/>
        <w:gridCol w:w="960"/>
        <w:gridCol w:w="1320"/>
        <w:gridCol w:w="216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 Category</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Code</w:t>
            </w:r>
          </w:p>
        </w:tc>
        <w:tc>
          <w:tcPr>
            <w:tcW w:type="dxa" w:w="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3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1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Level</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Cold water only</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16</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64.0%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High</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Soap without hot water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Medium</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Total</w:t>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c>
          <w:tcPr>
            <w:tcW w:type="dxa" w:w="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25</w:t>
            </w:r>
          </w:p>
        </w:tc>
        <w:tc>
          <w:tcPr>
            <w:tcW w:type="dxa" w:w="13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100.0%</w:t>
            </w:r>
          </w:p>
        </w:tc>
        <w:tc>
          <w:tcPr>
            <w:tcW w:type="dxa" w:w="21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
            </w:r>
          </w:p>
        </w:tc>
      </w:tr>
    </w:tbl>
    <w:p>
      <w:pPr>
        <w:spacing w:after="60" w:before="100"/>
      </w:pPr>
    </w:p>
    <w:p>
      <w:pPr>
        <w:spacing w:after="60" w:before="60"/>
      </w:pPr>
      <w:r>
        <w:rPr>
          <w:rFonts w:ascii="Arial" w:cs="Arial" w:eastAsia="Arial" w:hAnsi="Arial"/>
          <w:sz w:val="24"/>
          <w:szCs w:val="24"/>
        </w:rPr>
        <w:t xml:space="preserve">The majority of farmers (64.0%) rely solely on cold water for equipment cleaning (High risk). Thirty-six percent use soap but without hot water (Medium risk). No farmer uses the optimal method (hot water + detergent). Mode = 2; Mean = 2.36 (SD = 0.49).</w:t>
      </w:r>
    </w:p>
    <w:p>
      <w:pPr>
        <w:spacing w:after="0" w:before="100"/>
      </w:pPr>
    </w:p>
    <w:p>
      <w:pPr>
        <w:pStyle w:val="Heading2"/>
        <w:spacing w:after="120" w:before="280"/>
      </w:pPr>
      <w:r>
        <w:rPr>
          <w:rFonts w:ascii="Arial" w:cs="Arial" w:eastAsia="Arial" w:hAnsi="Arial"/>
          <w:b/>
          <w:bCs/>
          <w:color w:val="1A3F5C"/>
          <w:sz w:val="26"/>
          <w:szCs w:val="26"/>
        </w:rPr>
        <w:t xml:space="preserve">3.9 Central Tendency and Dispersion Summary</w:t>
      </w:r>
    </w:p>
    <w:p>
      <w:pPr>
        <w:spacing w:after="60" w:before="60"/>
      </w:pPr>
      <w:r>
        <w:rPr>
          <w:rFonts w:ascii="Arial" w:cs="Arial" w:eastAsia="Arial" w:hAnsi="Arial"/>
          <w:sz w:val="24"/>
          <w:szCs w:val="24"/>
        </w:rPr>
        <w:t xml:space="preserve">Table 1 summarises descriptive statistics for all continuous/ordinal predictor variables.</w:t>
      </w:r>
    </w:p>
    <w:p>
      <w:pPr>
        <w:spacing w:after="80" w:before="100"/>
      </w:pPr>
    </w:p>
    <w:p>
      <w:pPr>
        <w:spacing w:after="60" w:before="60"/>
      </w:pPr>
      <w:r>
        <w:rPr>
          <w:rFonts w:ascii="Arial" w:cs="Arial" w:eastAsia="Arial" w:hAnsi="Arial"/>
          <w:b/>
          <w:bCs/>
          <w:i/>
          <w:iCs/>
          <w:color w:val="444444"/>
          <w:sz w:val="22"/>
          <w:szCs w:val="22"/>
        </w:rPr>
        <w:t xml:space="preserve">Table 1. Descriptive Statistics for Ordinal Predictor Variables (n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900"/>
        <w:gridCol w:w="900"/>
        <w:gridCol w:w="900"/>
        <w:gridCol w:w="900"/>
        <w:gridCol w:w="700"/>
        <w:gridCol w:w="700"/>
      </w:tblGrid>
      <w:tr>
        <w:trPr>
          <w:tblHeader/>
        </w:trPr>
        <w:tc>
          <w:tcPr>
            <w:tcW w:type="dxa" w:w="33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w:t>
            </w:r>
          </w:p>
        </w:tc>
        <w:tc>
          <w:tcPr>
            <w:tcW w:type="dxa" w:w="9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w:t>
            </w:r>
          </w:p>
        </w:tc>
        <w:tc>
          <w:tcPr>
            <w:tcW w:type="dxa" w:w="9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SD</w:t>
            </w:r>
          </w:p>
        </w:tc>
        <w:tc>
          <w:tcPr>
            <w:tcW w:type="dxa" w:w="9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Median</w:t>
            </w:r>
          </w:p>
        </w:tc>
        <w:tc>
          <w:tcPr>
            <w:tcW w:type="dxa" w:w="9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w:t>
            </w:r>
          </w:p>
        </w:tc>
        <w:tc>
          <w:tcPr>
            <w:tcW w:type="dxa" w:w="7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Min</w:t>
            </w:r>
          </w:p>
        </w:tc>
        <w:tc>
          <w:tcPr>
            <w:tcW w:type="dxa" w:w="7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Max</w:t>
            </w:r>
          </w:p>
        </w:tc>
      </w:tr>
      <w:tr>
        <w:tc>
          <w:tcPr>
            <w:tcW w:type="dxa" w:w="33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Q1 Barn Cleaning Freq.</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3.52</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0.82</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4.0</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Q2 Udder Washing Practice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5</w:t>
            </w:r>
          </w:p>
        </w:tc>
      </w:tr>
      <w:tr>
        <w:tc>
          <w:tcPr>
            <w:tcW w:type="dxa" w:w="33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Q3 Utensil Cleaning Freq.</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2.60</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0.82</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3.0</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Q4 Utensil Cleaning Method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r>
      <w:tr>
        <w:tc>
          <w:tcPr>
            <w:tcW w:type="dxa" w:w="33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Q6 Hand Wash Before Milking</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0.92</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0.28</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Q7 Hand Wash with Soap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0.82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r>
      <w:tr>
        <w:tc>
          <w:tcPr>
            <w:tcW w:type="dxa" w:w="33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Q8 Udder/Teat Wash Freq.</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2.32</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0.80</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3.0</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Q10 Teat Drying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0.78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r>
      <w:tr>
        <w:tc>
          <w:tcPr>
            <w:tcW w:type="dxa" w:w="33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Q12 Equip. Cleaning Freq.</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2.24</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0.78</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9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Q13 Equip. Cleaning Method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0.49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3</w:t>
            </w:r>
          </w:p>
        </w:tc>
      </w:tr>
    </w:tbl>
    <w:p>
      <w:r>
        <w:br w:type="page"/>
      </w:r>
    </w:p>
    <w:p>
      <w:pPr>
        <w:pStyle w:val="Heading1"/>
        <w:pBdr>
          <w:bottom w:val="single" w:color="2C5F8A" w:sz="6" w:space="4"/>
        </w:pBdr>
        <w:spacing w:after="160" w:before="360"/>
      </w:pPr>
      <w:r>
        <w:rPr>
          <w:rFonts w:ascii="Arial" w:cs="Arial" w:eastAsia="Arial" w:hAnsi="Arial"/>
          <w:b/>
          <w:bCs/>
          <w:color w:val="2C5F8A"/>
          <w:sz w:val="32"/>
          <w:szCs w:val="32"/>
        </w:rPr>
        <w:t xml:space="preserve">4. Inferential Statistics</w:t>
      </w:r>
    </w:p>
    <w:p>
      <w:pPr>
        <w:spacing w:after="60" w:before="60"/>
      </w:pPr>
      <w:r>
        <w:rPr>
          <w:b w:val="false"/>
          <w:bCs w:val="false"/>
          <w:i w:val="false"/>
          <w:iCs w:val="false"/>
          <w:color w:val="000000"/>
          <w:sz w:val="24"/>
          <w:szCs w:val="24"/>
        </w:rPr>
        <w:t xml:space="preserve">All inferential tests assess the association between hygiene practice variables and the contamination outcome (or composite risk score). The significance threshold is </w:t>
      </w:r>
      <w:r>
        <w:rPr>
          <w:b/>
          <w:bCs/>
          <w:i w:val="false"/>
          <w:iCs w:val="false"/>
          <w:color w:val="000000"/>
          <w:sz w:val="24"/>
          <w:szCs w:val="24"/>
        </w:rPr>
        <w:t xml:space="preserve">α = 0.05</w:t>
      </w:r>
      <w:r>
        <w:rPr>
          <w:b w:val="false"/>
          <w:bCs w:val="false"/>
          <w:i w:val="false"/>
          <w:iCs w:val="false"/>
          <w:color w:val="000000"/>
          <w:sz w:val="24"/>
          <w:szCs w:val="24"/>
        </w:rPr>
        <w:t xml:space="preserve">. Asterisks denote: * p&lt;0.05; ** p&lt;0.01; *** p&lt;0.001; ns = not significant.</w:t>
      </w:r>
    </w:p>
    <w:p>
      <w:pPr>
        <w:spacing w:after="0" w:before="100"/>
      </w:pPr>
    </w:p>
    <w:p>
      <w:pPr>
        <w:pStyle w:val="Heading2"/>
        <w:spacing w:after="120" w:before="280"/>
      </w:pPr>
      <w:r>
        <w:rPr>
          <w:rFonts w:ascii="Arial" w:cs="Arial" w:eastAsia="Arial" w:hAnsi="Arial"/>
          <w:b/>
          <w:bCs/>
          <w:color w:val="1A3F5C"/>
          <w:sz w:val="26"/>
          <w:szCs w:val="26"/>
        </w:rPr>
        <w:t xml:space="preserve">4.1 Chi-Square and Fisher's Exact Tests</w:t>
      </w:r>
    </w:p>
    <w:p>
      <w:pPr>
        <w:spacing w:after="60" w:before="60"/>
      </w:pPr>
      <w:r>
        <w:rPr>
          <w:rFonts w:ascii="Arial" w:cs="Arial" w:eastAsia="Arial" w:hAnsi="Arial"/>
          <w:sz w:val="24"/>
          <w:szCs w:val="24"/>
        </w:rPr>
        <w:t xml:space="preserve">Chi-square tests and Fisher's Exact tests were performed to examine the association between categorical predictor variables and contamination status (0=Low, 1=High).</w:t>
      </w:r>
    </w:p>
    <w:p>
      <w:pPr>
        <w:spacing w:after="80" w:before="100"/>
      </w:pPr>
    </w:p>
    <w:p>
      <w:pPr>
        <w:spacing w:after="60" w:before="60"/>
      </w:pPr>
      <w:r>
        <w:rPr>
          <w:rFonts w:ascii="Arial" w:cs="Arial" w:eastAsia="Arial" w:hAnsi="Arial"/>
          <w:b/>
          <w:bCs/>
          <w:i/>
          <w:iCs/>
          <w:color w:val="444444"/>
          <w:sz w:val="22"/>
          <w:szCs w:val="22"/>
        </w:rPr>
        <w:t xml:space="preserve">Table 2. Chi-Square / Fisher's Exact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60"/>
        <w:gridCol w:w="1560"/>
        <w:gridCol w:w="720"/>
        <w:gridCol w:w="1260"/>
        <w:gridCol w:w="1200"/>
      </w:tblGrid>
      <w:tr>
        <w:trPr>
          <w:tblHeader/>
        </w:trPr>
        <w:tc>
          <w:tcPr>
            <w:tcW w:type="dxa" w:w="30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w:t>
            </w:r>
          </w:p>
        </w:tc>
        <w:tc>
          <w:tcPr>
            <w:tcW w:type="dxa" w:w="15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w:t>
            </w:r>
          </w:p>
        </w:tc>
        <w:tc>
          <w:tcPr>
            <w:tcW w:type="dxa" w:w="15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Statistic</w:t>
            </w:r>
          </w:p>
        </w:tc>
        <w:tc>
          <w:tcPr>
            <w:tcW w:type="dxa" w:w="7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df</w:t>
            </w:r>
          </w:p>
        </w:tc>
        <w:tc>
          <w:tcPr>
            <w:tcW w:type="dxa" w:w="12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p-value</w:t>
            </w:r>
          </w:p>
        </w:tc>
        <w:tc>
          <w:tcPr>
            <w:tcW w:type="dxa" w:w="12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Barn Cleaning Freq. (Q1)</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Chi-square</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χ² = 6.737</w:t>
            </w:r>
          </w:p>
        </w:tc>
        <w:tc>
          <w:tcPr>
            <w:tcW w:type="dxa" w:w="7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0.034</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Udder Washing Practice (Q2)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Fisher's Exact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OR = ∞</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Utensil Cleaning Freq. (Q3)</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Fisher's Exact</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OR = ∞</w:t>
            </w:r>
          </w:p>
        </w:tc>
        <w:tc>
          <w:tcPr>
            <w:tcW w:type="dxa" w:w="7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0.046</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Utensil Cleaning Method (Q4)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Fisher's Exact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OR = ∞</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Hand Wash Before Milking (Q6)</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Fisher's Exact</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OR = 0.000</w:t>
            </w:r>
          </w:p>
        </w:tc>
        <w:tc>
          <w:tcPr>
            <w:tcW w:type="dxa" w:w="7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0.183</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ns</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Hand Wash with Soap (Q7)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Chi-square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χ² = 4.911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Udder/Teat Wash Freq. (Q8)</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Chi-square</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χ² = 9.034</w:t>
            </w:r>
          </w:p>
        </w:tc>
        <w:tc>
          <w:tcPr>
            <w:tcW w:type="dxa" w:w="7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0.011</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Teat Drying (Q10)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Chi-square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χ² = 12.046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Equip. Cleaning Freq. (Q12)</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Chi-square</w:t>
            </w:r>
          </w:p>
        </w:tc>
        <w:tc>
          <w:tcPr>
            <w:tcW w:type="dxa" w:w="15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χ² = 17.703</w:t>
            </w:r>
          </w:p>
        </w:tc>
        <w:tc>
          <w:tcPr>
            <w:tcW w:type="dxa" w:w="7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0.001</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Equip. Cleaning Method (Q13)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Fisher's Exact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OR = 0.222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0.208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ns</w:t>
            </w:r>
          </w:p>
        </w:tc>
      </w:tr>
    </w:tbl>
    <w:p>
      <w:pPr>
        <w:spacing w:after="60" w:before="120"/>
      </w:pPr>
    </w:p>
    <w:p>
      <w:pPr>
        <w:spacing w:after="60" w:before="60"/>
      </w:pPr>
      <w:r>
        <w:rPr>
          <w:b/>
          <w:bCs/>
          <w:i w:val="false"/>
          <w:iCs w:val="false"/>
          <w:color w:val="000000"/>
          <w:sz w:val="24"/>
          <w:szCs w:val="24"/>
        </w:rPr>
        <w:t xml:space="preserve">Key findings: </w:t>
      </w:r>
      <w:r>
        <w:rPr>
          <w:b w:val="false"/>
          <w:bCs w:val="false"/>
          <w:i w:val="false"/>
          <w:iCs w:val="false"/>
          <w:color w:val="000000"/>
          <w:sz w:val="24"/>
          <w:szCs w:val="24"/>
        </w:rPr>
        <w:t xml:space="preserve">Equipment cleaning frequency (Q12) showed the strongest association with contamination status (χ²=17.703, p=0.001, ***). Teat drying (Q10) was highly significant (χ²=12.046, p=0.002, **). Udder/teat wash frequency (Q8), barn cleaning (Q1), udder washing (Q2), utensil frequency (Q3), utensil method (Q4), and soap use (Q7) were all statistically significant (p&lt;0.05). Hand washing behaviour before milking (Q6) and equipment cleaning method (Q13) were not significant at α=0.05.</w:t>
      </w:r>
    </w:p>
    <w:p>
      <w:pPr>
        <w:spacing w:after="0" w:before="100"/>
      </w:pPr>
    </w:p>
    <w:p>
      <w:pPr>
        <w:pStyle w:val="Heading2"/>
        <w:spacing w:after="120" w:before="280"/>
      </w:pPr>
      <w:r>
        <w:rPr>
          <w:rFonts w:ascii="Arial" w:cs="Arial" w:eastAsia="Arial" w:hAnsi="Arial"/>
          <w:b/>
          <w:bCs/>
          <w:color w:val="1A3F5C"/>
          <w:sz w:val="26"/>
          <w:szCs w:val="26"/>
        </w:rPr>
        <w:t xml:space="preserve">4.2 Kruskal-Wallis H Test</w:t>
      </w:r>
    </w:p>
    <w:p>
      <w:pPr>
        <w:spacing w:after="60" w:before="60"/>
      </w:pPr>
      <w:r>
        <w:rPr>
          <w:rFonts w:ascii="Arial" w:cs="Arial" w:eastAsia="Arial" w:hAnsi="Arial"/>
          <w:sz w:val="24"/>
          <w:szCs w:val="24"/>
        </w:rPr>
        <w:t xml:space="preserve">The non-parametric Kruskal-Wallis test was applied to examine whether the composite risk score differed significantly across response categories for multi-level ordinal predictors.</w:t>
      </w:r>
    </w:p>
    <w:p>
      <w:pPr>
        <w:spacing w:after="80" w:before="100"/>
      </w:pPr>
    </w:p>
    <w:p>
      <w:pPr>
        <w:spacing w:after="60" w:before="60"/>
      </w:pPr>
      <w:r>
        <w:rPr>
          <w:rFonts w:ascii="Arial" w:cs="Arial" w:eastAsia="Arial" w:hAnsi="Arial"/>
          <w:b/>
          <w:bCs/>
          <w:i/>
          <w:iCs/>
          <w:color w:val="444444"/>
          <w:sz w:val="22"/>
          <w:szCs w:val="22"/>
        </w:rPr>
        <w:t xml:space="preserve">Table 3. Kruskal-Wallis H Test Results (Outcome: Composite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080"/>
        <w:gridCol w:w="1440"/>
        <w:gridCol w:w="1080"/>
      </w:tblGrid>
      <w:tr>
        <w:trPr>
          <w:tblHeader/>
        </w:trPr>
        <w:tc>
          <w:tcPr>
            <w:tcW w:type="dxa" w:w="39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w:t>
            </w:r>
          </w:p>
        </w:tc>
        <w:tc>
          <w:tcPr>
            <w:tcW w:type="dxa" w:w="18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 statistic</w:t>
            </w:r>
          </w:p>
        </w:tc>
        <w:tc>
          <w:tcPr>
            <w:tcW w:type="dxa" w:w="108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df</w:t>
            </w:r>
          </w:p>
        </w:tc>
        <w:tc>
          <w:tcPr>
            <w:tcW w:type="dxa" w:w="144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p-value</w:t>
            </w:r>
          </w:p>
        </w:tc>
        <w:tc>
          <w:tcPr>
            <w:tcW w:type="dxa" w:w="108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Equipment Cleaning Freq. (Q12)</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19.651</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4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0.001</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Teat Drying (Q10)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16.500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0.001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9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Udder/Teat Wash Freq. (Q8)</w:t>
            </w:r>
          </w:p>
        </w:tc>
        <w:tc>
          <w:tcPr>
            <w:tcW w:type="dxa" w:w="18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14.896</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4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0.001</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Barn Cleaning Freq. (Q1)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12.694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0.002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r>
    </w:tbl>
    <w:p>
      <w:pPr>
        <w:spacing w:after="60" w:before="120"/>
      </w:pPr>
    </w:p>
    <w:p>
      <w:pPr>
        <w:spacing w:after="60" w:before="60"/>
      </w:pPr>
      <w:r>
        <w:rPr>
          <w:b w:val="false"/>
          <w:bCs w:val="false"/>
          <w:i w:val="false"/>
          <w:iCs w:val="false"/>
          <w:color w:val="000000"/>
          <w:sz w:val="24"/>
          <w:szCs w:val="24"/>
        </w:rPr>
        <w:t xml:space="preserve">All four multi-category predictors show </w:t>
      </w:r>
      <w:r>
        <w:rPr>
          <w:b/>
          <w:bCs/>
          <w:i w:val="false"/>
          <w:iCs w:val="false"/>
          <w:color w:val="000000"/>
          <w:sz w:val="24"/>
          <w:szCs w:val="24"/>
        </w:rPr>
        <w:t xml:space="preserve">highly significant differences</w:t>
      </w:r>
      <w:r>
        <w:rPr>
          <w:b w:val="false"/>
          <w:bCs w:val="false"/>
          <w:i w:val="false"/>
          <w:iCs w:val="false"/>
          <w:color w:val="000000"/>
          <w:sz w:val="24"/>
          <w:szCs w:val="24"/>
        </w:rPr>
        <w:t xml:space="preserve"> in risk score across response groups (p≤0.002). Equipment cleaning frequency (H=19.651) and teat drying (H=16.500) are the most discriminating variables. These results confirm that higher-risk response categories are associated with significantly elevated composite risk scores.</w:t>
      </w:r>
    </w:p>
    <w:p>
      <w:pPr>
        <w:spacing w:after="0" w:before="100"/>
      </w:pPr>
    </w:p>
    <w:p>
      <w:r>
        <w:br w:type="page"/>
      </w:r>
    </w:p>
    <w:p>
      <w:pPr>
        <w:pStyle w:val="Heading2"/>
        <w:spacing w:after="120" w:before="280"/>
      </w:pPr>
      <w:r>
        <w:rPr>
          <w:rFonts w:ascii="Arial" w:cs="Arial" w:eastAsia="Arial" w:hAnsi="Arial"/>
          <w:b/>
          <w:bCs/>
          <w:color w:val="1A3F5C"/>
          <w:sz w:val="26"/>
          <w:szCs w:val="26"/>
        </w:rPr>
        <w:t xml:space="preserve">4.3 Mann-Whitney U Test</w:t>
      </w:r>
    </w:p>
    <w:p>
      <w:pPr>
        <w:spacing w:after="60" w:before="60"/>
      </w:pPr>
      <w:r>
        <w:rPr>
          <w:rFonts w:ascii="Arial" w:cs="Arial" w:eastAsia="Arial" w:hAnsi="Arial"/>
          <w:sz w:val="24"/>
          <w:szCs w:val="24"/>
        </w:rPr>
        <w:t xml:space="preserve">Mann-Whitney U tests examined differences in risk score between binary response groups (Yes/No variables).</w:t>
      </w:r>
    </w:p>
    <w:p>
      <w:pPr>
        <w:spacing w:after="80" w:before="100"/>
      </w:pPr>
    </w:p>
    <w:p>
      <w:pPr>
        <w:spacing w:after="60" w:before="60"/>
      </w:pPr>
      <w:r>
        <w:rPr>
          <w:rFonts w:ascii="Arial" w:cs="Arial" w:eastAsia="Arial" w:hAnsi="Arial"/>
          <w:b/>
          <w:bCs/>
          <w:i/>
          <w:iCs/>
          <w:color w:val="444444"/>
          <w:sz w:val="22"/>
          <w:szCs w:val="22"/>
        </w:rPr>
        <w:t xml:space="preserve">Table 4. Mann-Whitney U Test Results (Outcome: Composite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440"/>
        <w:gridCol w:w="1200"/>
        <w:gridCol w:w="720"/>
        <w:gridCol w:w="2940"/>
      </w:tblGrid>
      <w:tr>
        <w:trPr>
          <w:tblHeader/>
        </w:trPr>
        <w:tc>
          <w:tcPr>
            <w:tcW w:type="dxa" w:w="30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w:t>
            </w:r>
          </w:p>
        </w:tc>
        <w:tc>
          <w:tcPr>
            <w:tcW w:type="dxa" w:w="144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 Statistic</w:t>
            </w:r>
          </w:p>
        </w:tc>
        <w:tc>
          <w:tcPr>
            <w:tcW w:type="dxa" w:w="12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p-value</w:t>
            </w:r>
          </w:p>
        </w:tc>
        <w:tc>
          <w:tcPr>
            <w:tcW w:type="dxa" w:w="72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w:t>
            </w:r>
          </w:p>
        </w:tc>
        <w:tc>
          <w:tcPr>
            <w:tcW w:type="dxa" w:w="294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Q9e – No Teat Washing</w:t>
            </w:r>
          </w:p>
        </w:tc>
        <w:tc>
          <w:tcPr>
            <w:tcW w:type="dxa" w:w="14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4.000</w:t>
            </w:r>
          </w:p>
        </w:tc>
        <w:tc>
          <w:tcPr>
            <w:tcW w:type="dxa" w:w="12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0.001</w:t>
            </w:r>
          </w:p>
        </w:tc>
        <w:tc>
          <w:tcPr>
            <w:tcW w:type="dxa" w:w="72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c>
          <w:tcPr>
            <w:tcW w:type="dxa" w:w="29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No-washing group: significantly higher risk</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Q6 – Hand Wash Before Milking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46.000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0.020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Non-washers: significantly higher risk</w:t>
            </w:r>
          </w:p>
        </w:tc>
      </w:tr>
    </w:tbl>
    <w:p>
      <w:pPr>
        <w:spacing w:after="60" w:before="120"/>
      </w:pPr>
    </w:p>
    <w:p>
      <w:pPr>
        <w:spacing w:after="60" w:before="60"/>
      </w:pPr>
      <w:r>
        <w:rPr>
          <w:b w:val="false"/>
          <w:bCs w:val="false"/>
          <w:i w:val="false"/>
          <w:iCs w:val="false"/>
          <w:color w:val="000000"/>
          <w:sz w:val="24"/>
          <w:szCs w:val="24"/>
        </w:rPr>
        <w:t xml:space="preserve">Farmers who reported no teat washing (Q9e=1) had significantly higher risk scores (U=4.0, p=0.001, ***), with negligible overlap between groups. Farmers who did not wash hands before milking (Q6=0) also had significantly higher risk scores (U=46.0, p=0.020, *). These results confirm both variables as meaningful contributors to contamination risk.</w:t>
      </w:r>
    </w:p>
    <w:p>
      <w:pPr>
        <w:spacing w:after="0" w:before="100"/>
      </w:pPr>
    </w:p>
    <w:p>
      <w:pPr>
        <w:pStyle w:val="Heading2"/>
        <w:spacing w:after="120" w:before="280"/>
      </w:pPr>
      <w:r>
        <w:rPr>
          <w:rFonts w:ascii="Arial" w:cs="Arial" w:eastAsia="Arial" w:hAnsi="Arial"/>
          <w:b/>
          <w:bCs/>
          <w:color w:val="1A3F5C"/>
          <w:sz w:val="26"/>
          <w:szCs w:val="26"/>
        </w:rPr>
        <w:t xml:space="preserve">4.4 Spearman Rank Correlation</w:t>
      </w:r>
    </w:p>
    <w:p>
      <w:pPr>
        <w:spacing w:after="60" w:before="60"/>
      </w:pPr>
      <w:r>
        <w:rPr>
          <w:rFonts w:ascii="Arial" w:cs="Arial" w:eastAsia="Arial" w:hAnsi="Arial"/>
          <w:sz w:val="24"/>
          <w:szCs w:val="24"/>
        </w:rPr>
        <w:t xml:space="preserve">Spearman's ρ was used to assess the monotonic association between ordinal predictor scores and the composite hygiene risk score. Higher variable codes indicate higher-risk practices for all variables listed.</w:t>
      </w:r>
    </w:p>
    <w:p>
      <w:pPr>
        <w:spacing w:after="80" w:before="100"/>
      </w:pPr>
    </w:p>
    <w:p>
      <w:pPr>
        <w:spacing w:after="60" w:before="60"/>
      </w:pPr>
      <w:r>
        <w:rPr>
          <w:rFonts w:ascii="Arial" w:cs="Arial" w:eastAsia="Arial" w:hAnsi="Arial"/>
          <w:b/>
          <w:bCs/>
          <w:i/>
          <w:iCs/>
          <w:color w:val="444444"/>
          <w:sz w:val="22"/>
          <w:szCs w:val="22"/>
        </w:rPr>
        <w:t xml:space="preserve">Table 5. Spearman's Rho Correlation Coefficients (Outcome: Composite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080"/>
        <w:gridCol w:w="2700"/>
      </w:tblGrid>
      <w:tr>
        <w:trPr>
          <w:tblHeader/>
        </w:trPr>
        <w:tc>
          <w:tcPr>
            <w:tcW w:type="dxa" w:w="30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w:t>
            </w:r>
          </w:p>
        </w:tc>
        <w:tc>
          <w:tcPr>
            <w:tcW w:type="dxa" w:w="12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ρ (rho)</w:t>
            </w:r>
          </w:p>
        </w:tc>
        <w:tc>
          <w:tcPr>
            <w:tcW w:type="dxa" w:w="12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p-value</w:t>
            </w:r>
          </w:p>
        </w:tc>
        <w:tc>
          <w:tcPr>
            <w:tcW w:type="dxa" w:w="108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w:t>
            </w:r>
          </w:p>
        </w:tc>
        <w:tc>
          <w:tcPr>
            <w:tcW w:type="dxa" w:w="27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Strength</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Equipment Cleaning Freq. (Q12)</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0.903</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&lt;0.001</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c>
          <w:tcPr>
            <w:tcW w:type="dxa" w:w="2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Very strong positive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Teat Drying (Q10)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0.813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&lt;0.001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Strong positive</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Hand Wash with Soap (Q7)</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0.716</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&lt;0.001</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c>
          <w:tcPr>
            <w:tcW w:type="dxa" w:w="2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Strong positive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Barn Cleaning Freq. (Q1)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0.570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0.003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Moderate positive</w:t>
            </w:r>
          </w:p>
        </w:tc>
      </w:tr>
      <w:tr>
        <w:tc>
          <w:tcPr>
            <w:tcW w:type="dxa" w:w="30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Udder/Teat Wash Freq. (Q8)</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0.331</w:t>
            </w:r>
          </w:p>
        </w:tc>
        <w:tc>
          <w:tcPr>
            <w:tcW w:type="dxa" w:w="12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0.106</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ns</w:t>
            </w:r>
          </w:p>
        </w:tc>
        <w:tc>
          <w:tcPr>
            <w:tcW w:type="dxa" w:w="27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Weak / non-significant</w:t>
            </w:r>
          </w:p>
        </w:tc>
      </w:tr>
    </w:tbl>
    <w:p>
      <w:pPr>
        <w:spacing w:after="60" w:before="120"/>
      </w:pPr>
    </w:p>
    <w:p>
      <w:pPr>
        <w:spacing w:after="60" w:before="60"/>
      </w:pPr>
      <w:r>
        <w:rPr>
          <w:b w:val="false"/>
          <w:bCs w:val="false"/>
          <w:i w:val="false"/>
          <w:iCs w:val="false"/>
          <w:color w:val="000000"/>
          <w:sz w:val="24"/>
          <w:szCs w:val="24"/>
        </w:rPr>
        <w:t xml:space="preserve">Equipment cleaning frequency (Q12) is the strongest correlate of overall risk (ρ=0.903, p&lt;0.001), followed by teat drying (Q10, ρ=0.813) and soap use (Q7, ρ=0.716). Barn cleaning frequency (Q1) showed a moderate significant correlation (ρ=0.570, p=0.003). Udder/teat wash frequency (Q8) did not reach significance (ρ=0.331, p=0.106), possibly due to the small sample limiting statistical power.</w:t>
      </w:r>
    </w:p>
    <w:p>
      <w:pPr>
        <w:spacing w:after="0" w:before="100"/>
      </w:pPr>
    </w:p>
    <w:p>
      <w:pPr>
        <w:pStyle w:val="Heading2"/>
        <w:spacing w:after="120" w:before="280"/>
      </w:pPr>
      <w:r>
        <w:rPr>
          <w:rFonts w:ascii="Arial" w:cs="Arial" w:eastAsia="Arial" w:hAnsi="Arial"/>
          <w:b/>
          <w:bCs/>
          <w:color w:val="1A3F5C"/>
          <w:sz w:val="26"/>
          <w:szCs w:val="26"/>
        </w:rPr>
        <w:t xml:space="preserve">4.5 Risk Score by Contamination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80"/>
        <w:gridCol w:w="1740"/>
        <w:gridCol w:w="1080"/>
        <w:gridCol w:w="1100"/>
      </w:tblGrid>
      <w:tr>
        <w:trPr>
          <w:tblHeader/>
        </w:trPr>
        <w:tc>
          <w:tcPr>
            <w:tcW w:type="dxa" w:w="336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Contamination Group</w:t>
            </w:r>
          </w:p>
        </w:tc>
        <w:tc>
          <w:tcPr>
            <w:tcW w:type="dxa" w:w="108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174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 Risk Score</w:t>
            </w:r>
          </w:p>
        </w:tc>
        <w:tc>
          <w:tcPr>
            <w:tcW w:type="dxa" w:w="108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SD</w:t>
            </w:r>
          </w:p>
        </w:tc>
        <w:tc>
          <w:tcPr>
            <w:tcW w:type="dxa" w:w="1100"/>
            <w:tcBorders>
              <w:top w:val="single" w:color="2C5F8A" w:sz="4"/>
              <w:left w:val="single" w:color="CCCCCC" w:sz="1"/>
              <w:bottom w:val="single" w:color="2C5F8A" w:sz="4"/>
              <w:right w:val="single" w:color="CCCCCC" w:sz="1"/>
            </w:tcBorders>
            <w:shd w:fill="2C5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Median</w:t>
            </w:r>
          </w:p>
        </w:tc>
      </w:tr>
      <w:tr>
        <w:tc>
          <w:tcPr>
            <w:tcW w:type="dxa" w:w="336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High contamination</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11</w:t>
            </w:r>
          </w:p>
        </w:tc>
        <w:tc>
          <w:tcPr>
            <w:tcW w:type="dxa" w:w="174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12.09</w:t>
            </w:r>
          </w:p>
        </w:tc>
        <w:tc>
          <w:tcPr>
            <w:tcW w:type="dxa" w:w="108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1.14</w:t>
            </w:r>
          </w:p>
        </w:tc>
        <w:tc>
          <w:tcPr>
            <w:tcW w:type="dxa" w:w="110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12.0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Low contamination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6.79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4.48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2"/>
                <w:szCs w:val="22"/>
              </w:rPr>
              <w:t xml:space="preserve">10.0</w:t>
            </w:r>
          </w:p>
        </w:tc>
      </w:tr>
    </w:tbl>
    <w:p>
      <w:pPr>
        <w:spacing w:after="60" w:before="120"/>
      </w:pPr>
    </w:p>
    <w:p>
      <w:pPr>
        <w:spacing w:after="60" w:before="60"/>
      </w:pPr>
      <w:r>
        <w:rPr>
          <w:rFonts w:ascii="Arial" w:cs="Arial" w:eastAsia="Arial" w:hAnsi="Arial"/>
          <w:sz w:val="24"/>
          <w:szCs w:val="24"/>
        </w:rPr>
        <w:t xml:space="preserve">Farmers classified as High contamination had substantially higher mean risk scores (12.09 vs 6.79), with far lower variability (SD=1.14 vs 4.48), indicating that poor hygiene practices cluster consistently among the high-risk group.</w:t>
      </w:r>
    </w:p>
    <w:p>
      <w:r>
        <w:br w:type="page"/>
      </w:r>
    </w:p>
    <w:p>
      <w:pPr>
        <w:pStyle w:val="Heading1"/>
        <w:pBdr>
          <w:bottom w:val="single" w:color="2C5F8A" w:sz="6" w:space="4"/>
        </w:pBdr>
        <w:spacing w:after="160" w:before="360"/>
      </w:pPr>
      <w:r>
        <w:rPr>
          <w:rFonts w:ascii="Arial" w:cs="Arial" w:eastAsia="Arial" w:hAnsi="Arial"/>
          <w:b/>
          <w:bCs/>
          <w:color w:val="2C5F8A"/>
          <w:sz w:val="32"/>
          <w:szCs w:val="32"/>
        </w:rPr>
        <w:t xml:space="preserve">5. Discussion</w:t>
      </w:r>
    </w:p>
    <w:p>
      <w:pPr>
        <w:spacing w:after="60" w:before="60"/>
      </w:pPr>
      <w:r>
        <w:rPr>
          <w:rFonts w:ascii="Arial" w:cs="Arial" w:eastAsia="Arial" w:hAnsi="Arial"/>
          <w:sz w:val="24"/>
          <w:szCs w:val="24"/>
        </w:rPr>
        <w:t xml:space="preserve">This analysis of 25 dairy farmers in Nchiru, Meru reveals a pattern of widespread high-risk hygiene practices that are likely to contribute significantly to bacterial contamination of raw milk. The following themes emerge from the data:</w:t>
      </w:r>
    </w:p>
    <w:p>
      <w:pPr>
        <w:spacing w:after="0" w:before="80"/>
      </w:pPr>
    </w:p>
    <w:p>
      <w:pPr>
        <w:pStyle w:val="Heading2"/>
        <w:spacing w:after="120" w:before="280"/>
      </w:pPr>
      <w:r>
        <w:rPr>
          <w:rFonts w:ascii="Arial" w:cs="Arial" w:eastAsia="Arial" w:hAnsi="Arial"/>
          <w:b/>
          <w:bCs/>
          <w:color w:val="1A3F5C"/>
          <w:sz w:val="26"/>
          <w:szCs w:val="26"/>
        </w:rPr>
        <w:t xml:space="preserve">5.1 Universal Use of Non-Food-Grade Containers</w:t>
      </w:r>
    </w:p>
    <w:p>
      <w:pPr>
        <w:spacing w:after="60" w:before="60"/>
      </w:pPr>
      <w:r>
        <w:rPr>
          <w:b/>
          <w:bCs/>
          <w:i w:val="false"/>
          <w:iCs w:val="false"/>
          <w:color w:val="CC0000"/>
          <w:sz w:val="24"/>
          <w:szCs w:val="24"/>
        </w:rPr>
        <w:t xml:space="preserve">All 25 farmers (100%) use non-food-grade plastic containers</w:t>
      </w:r>
      <w:r>
        <w:rPr>
          <w:b w:val="false"/>
          <w:bCs w:val="false"/>
          <w:i w:val="false"/>
          <w:iCs w:val="false"/>
          <w:color w:val="000000"/>
          <w:sz w:val="24"/>
          <w:szCs w:val="24"/>
        </w:rPr>
        <w:t xml:space="preserve"> for milk collection. This represents the most uniform risk factor in the study and is structurally embedded across the sample. Non-food-grade plastics may leach chemicals and harbour biofilms that conventional washing cannot eliminate, contributing directly to bacterial load in collected milk.</w:t>
      </w:r>
    </w:p>
    <w:p>
      <w:pPr>
        <w:spacing w:after="0" w:before="80"/>
      </w:pPr>
    </w:p>
    <w:p>
      <w:pPr>
        <w:pStyle w:val="Heading2"/>
        <w:spacing w:after="120" w:before="280"/>
      </w:pPr>
      <w:r>
        <w:rPr>
          <w:rFonts w:ascii="Arial" w:cs="Arial" w:eastAsia="Arial" w:hAnsi="Arial"/>
          <w:b/>
          <w:bCs/>
          <w:color w:val="1A3F5C"/>
          <w:sz w:val="26"/>
          <w:szCs w:val="26"/>
        </w:rPr>
        <w:t xml:space="preserve">5.2 The Hand Hygiene Paradox</w:t>
      </w:r>
    </w:p>
    <w:p>
      <w:pPr>
        <w:spacing w:after="60" w:before="60"/>
      </w:pPr>
      <w:r>
        <w:rPr>
          <w:b/>
          <w:bCs/>
          <w:i w:val="false"/>
          <w:iCs w:val="false"/>
          <w:color w:val="000000"/>
          <w:sz w:val="24"/>
          <w:szCs w:val="24"/>
        </w:rPr>
        <w:t xml:space="preserve">While 92% of farmers report washing hands before milking (a positive hygiene behaviour), 80% never use soap.</w:t>
      </w:r>
      <w:r>
        <w:rPr>
          <w:b w:val="false"/>
          <w:bCs w:val="false"/>
          <w:i w:val="false"/>
          <w:iCs w:val="false"/>
          <w:color w:val="000000"/>
          <w:sz w:val="24"/>
          <w:szCs w:val="24"/>
        </w:rPr>
        <w:t xml:space="preserve"> Handwashing without soap is largely ineffective for pathogen removal. The Mann-Whitney U test confirmed that those who skip hand washing entirely have significantly higher risk scores (U=46.0, p=0.020). This paradox underscores the importance of measuring </w:t>
      </w:r>
      <w:r>
        <w:rPr>
          <w:b/>
          <w:bCs/>
          <w:i w:val="false"/>
          <w:iCs w:val="false"/>
          <w:color w:val="000000"/>
          <w:sz w:val="24"/>
          <w:szCs w:val="24"/>
        </w:rPr>
        <w:t xml:space="preserve">quality</w:t>
      </w:r>
      <w:r>
        <w:rPr>
          <w:b w:val="false"/>
          <w:bCs w:val="false"/>
          <w:i w:val="false"/>
          <w:iCs w:val="false"/>
          <w:color w:val="000000"/>
          <w:sz w:val="24"/>
          <w:szCs w:val="24"/>
        </w:rPr>
        <w:t xml:space="preserve"> rather than just presence of hygiene behaviours.</w:t>
      </w:r>
    </w:p>
    <w:p>
      <w:pPr>
        <w:spacing w:after="0" w:before="80"/>
      </w:pPr>
    </w:p>
    <w:p>
      <w:pPr>
        <w:pStyle w:val="Heading2"/>
        <w:spacing w:after="120" w:before="280"/>
      </w:pPr>
      <w:r>
        <w:rPr>
          <w:rFonts w:ascii="Arial" w:cs="Arial" w:eastAsia="Arial" w:hAnsi="Arial"/>
          <w:b/>
          <w:bCs/>
          <w:color w:val="1A3F5C"/>
          <w:sz w:val="26"/>
          <w:szCs w:val="26"/>
        </w:rPr>
        <w:t xml:space="preserve">5.3 Teat Preparation as a Critical Control Point</w:t>
      </w:r>
    </w:p>
    <w:p>
      <w:pPr>
        <w:spacing w:after="60" w:before="60"/>
      </w:pPr>
      <w:r>
        <w:rPr>
          <w:b/>
          <w:bCs/>
          <w:i w:val="false"/>
          <w:iCs w:val="false"/>
          <w:color w:val="000000"/>
          <w:sz w:val="24"/>
          <w:szCs w:val="24"/>
        </w:rPr>
        <w:t xml:space="preserve">Teat preparation practices showed multiple significant associations with contamination risk.</w:t>
      </w:r>
      <w:r>
        <w:rPr>
          <w:b w:val="false"/>
          <w:bCs w:val="false"/>
          <w:i w:val="false"/>
          <w:iCs w:val="false"/>
          <w:color w:val="000000"/>
          <w:sz w:val="24"/>
          <w:szCs w:val="24"/>
        </w:rPr>
        <w:t xml:space="preserve"> Seventy-six percent of farmers engage in no teat washing (Q9e), and 44% never dry teats after washing. Kruskal-Wallis and Chi-square tests both confirmed significant associations for Q8 and Q10 (p&lt;0.011 and p&lt;0.002 respectively), and Spearman correlation identified teat drying as a very strong correlate (ρ=0.813). Teat preparation is thus a critical control point for contamination reduction.</w:t>
      </w:r>
    </w:p>
    <w:p>
      <w:pPr>
        <w:spacing w:after="0" w:before="80"/>
      </w:pPr>
    </w:p>
    <w:p>
      <w:pPr>
        <w:pStyle w:val="Heading2"/>
        <w:spacing w:after="120" w:before="280"/>
      </w:pPr>
      <w:r>
        <w:rPr>
          <w:rFonts w:ascii="Arial" w:cs="Arial" w:eastAsia="Arial" w:hAnsi="Arial"/>
          <w:b/>
          <w:bCs/>
          <w:color w:val="1A3F5C"/>
          <w:sz w:val="26"/>
          <w:szCs w:val="26"/>
        </w:rPr>
        <w:t xml:space="preserve">5.4 Equipment Cleaning as the Strongest Predictor</w:t>
      </w:r>
    </w:p>
    <w:p>
      <w:pPr>
        <w:spacing w:after="60" w:before="60"/>
      </w:pPr>
      <w:r>
        <w:rPr>
          <w:b/>
          <w:bCs/>
          <w:i w:val="false"/>
          <w:iCs w:val="false"/>
          <w:color w:val="000000"/>
          <w:sz w:val="24"/>
          <w:szCs w:val="24"/>
        </w:rPr>
        <w:t xml:space="preserve">Equipment cleaning frequency (Q12) emerged as the most powerful predictor across all inferential tests:</w:t>
      </w:r>
      <w:r>
        <w:rPr>
          <w:b w:val="false"/>
          <w:bCs w:val="false"/>
          <w:i w:val="false"/>
          <w:iCs w:val="false"/>
          <w:color w:val="000000"/>
          <w:sz w:val="24"/>
          <w:szCs w:val="24"/>
        </w:rPr>
        <w:t xml:space="preserve"> χ²=17.703 (p&lt;0.001), H=19.651 (p&lt;0.001), and ρ=0.903 (p&lt;0.001). Forty-four percent of farmers clean only once per week (High risk) and none use the optimal method (hot water + detergent). Infrequent cleaning of equipment with cold water alone is a major driver of cumulative bacterial contamination.</w:t>
      </w:r>
    </w:p>
    <w:p>
      <w:pPr>
        <w:spacing w:after="0" w:before="80"/>
      </w:pPr>
    </w:p>
    <w:p>
      <w:pPr>
        <w:pStyle w:val="Heading2"/>
        <w:spacing w:after="120" w:before="280"/>
      </w:pPr>
      <w:r>
        <w:rPr>
          <w:rFonts w:ascii="Arial" w:cs="Arial" w:eastAsia="Arial" w:hAnsi="Arial"/>
          <w:b/>
          <w:bCs/>
          <w:color w:val="1A3F5C"/>
          <w:sz w:val="26"/>
          <w:szCs w:val="26"/>
        </w:rPr>
        <w:t xml:space="preserve">5.5 Limitations</w:t>
      </w:r>
    </w:p>
    <w:p>
      <w:pPr>
        <w:pStyle w:val="ListParagraph"/>
        <w:numPr>
          <w:ilvl w:val="0"/>
          <w:numId w:val="2"/>
        </w:numPr>
        <w:spacing w:after="30" w:before="60"/>
      </w:pPr>
      <w:r>
        <w:rPr>
          <w:b w:val="false"/>
          <w:bCs w:val="false"/>
          <w:i w:val="false"/>
          <w:iCs w:val="false"/>
          <w:color w:val="000000"/>
          <w:sz w:val="24"/>
          <w:szCs w:val="24"/>
        </w:rPr>
        <w:t xml:space="preserve">The small sample size (n=25) limits statistical power, particularly for detecting moderate associations (e.g., Q8 Spearman ρ=0.331, p=0.106).</w:t>
      </w:r>
    </w:p>
    <w:p>
      <w:pPr>
        <w:pStyle w:val="ListParagraph"/>
        <w:numPr>
          <w:ilvl w:val="0"/>
          <w:numId w:val="2"/>
        </w:numPr>
        <w:spacing w:after="30" w:before="30"/>
      </w:pPr>
      <w:r>
        <w:rPr>
          <w:b w:val="false"/>
          <w:bCs w:val="false"/>
          <w:i w:val="false"/>
          <w:iCs w:val="false"/>
          <w:color w:val="000000"/>
          <w:sz w:val="24"/>
          <w:szCs w:val="24"/>
        </w:rPr>
        <w:t xml:space="preserve">The outcome variable was operationalised from a composite risk score (proxy) rather than actual lab-measured CFU/mL values, which were not available in the dataset. Future analysis should incorporate measured bacterial counts.</w:t>
      </w:r>
    </w:p>
    <w:p>
      <w:pPr>
        <w:pStyle w:val="ListParagraph"/>
        <w:numPr>
          <w:ilvl w:val="0"/>
          <w:numId w:val="2"/>
        </w:numPr>
        <w:spacing w:after="30" w:before="30"/>
      </w:pPr>
      <w:r>
        <w:rPr>
          <w:b w:val="false"/>
          <w:bCs w:val="false"/>
          <w:i w:val="false"/>
          <w:iCs w:val="false"/>
          <w:color w:val="000000"/>
          <w:sz w:val="24"/>
          <w:szCs w:val="24"/>
        </w:rPr>
        <w:t xml:space="preserve">Zero-variance variables (Q5, Q11) precluded comparative analysis for those factors, though both represent universal high-risk conditions.</w:t>
      </w:r>
    </w:p>
    <w:p>
      <w:pPr>
        <w:pStyle w:val="ListParagraph"/>
        <w:numPr>
          <w:ilvl w:val="0"/>
          <w:numId w:val="2"/>
        </w:numPr>
        <w:spacing w:after="60" w:before="30"/>
      </w:pPr>
      <w:r>
        <w:rPr>
          <w:b w:val="false"/>
          <w:bCs w:val="false"/>
          <w:i w:val="false"/>
          <w:iCs w:val="false"/>
          <w:color w:val="000000"/>
          <w:sz w:val="24"/>
          <w:szCs w:val="24"/>
        </w:rPr>
        <w:t xml:space="preserve">Self-reported data may be subject to social desirability bias, potentially underestimating risky practices.</w:t>
      </w:r>
    </w:p>
    <w:p>
      <w:r>
        <w:br w:type="page"/>
      </w:r>
    </w:p>
    <w:p>
      <w:pPr>
        <w:pStyle w:val="Heading1"/>
        <w:pBdr>
          <w:bottom w:val="single" w:color="2C5F8A" w:sz="6" w:space="4"/>
        </w:pBdr>
        <w:spacing w:after="160" w:before="360"/>
      </w:pPr>
      <w:r>
        <w:rPr>
          <w:rFonts w:ascii="Arial" w:cs="Arial" w:eastAsia="Arial" w:hAnsi="Arial"/>
          <w:b/>
          <w:bCs/>
          <w:color w:val="2C5F8A"/>
          <w:sz w:val="32"/>
          <w:szCs w:val="32"/>
        </w:rPr>
        <w:t xml:space="preserve">6. Conclusions and Recommendations</w:t>
      </w:r>
    </w:p>
    <w:p>
      <w:pPr>
        <w:pStyle w:val="Heading2"/>
        <w:spacing w:after="120" w:before="280"/>
      </w:pPr>
      <w:r>
        <w:rPr>
          <w:rFonts w:ascii="Arial" w:cs="Arial" w:eastAsia="Arial" w:hAnsi="Arial"/>
          <w:b/>
          <w:bCs/>
          <w:color w:val="1A3F5C"/>
          <w:sz w:val="26"/>
          <w:szCs w:val="26"/>
        </w:rPr>
        <w:t xml:space="preserve">6.1 Conclusions</w:t>
      </w:r>
    </w:p>
    <w:p>
      <w:pPr>
        <w:spacing w:after="60" w:before="60"/>
      </w:pPr>
      <w:r>
        <w:rPr>
          <w:b w:val="false"/>
          <w:bCs w:val="false"/>
          <w:i w:val="false"/>
          <w:iCs w:val="false"/>
          <w:color w:val="000000"/>
          <w:sz w:val="24"/>
          <w:szCs w:val="24"/>
        </w:rPr>
        <w:t xml:space="preserve">This study demonstrates that hygiene practices among dairy farmers in Nchiru, Meru are predominantly classified as High or Medium risk across nearly all domains assessed. </w:t>
      </w:r>
      <w:r>
        <w:rPr>
          <w:b/>
          <w:bCs/>
          <w:i w:val="false"/>
          <w:iCs w:val="false"/>
          <w:color w:val="000000"/>
          <w:sz w:val="24"/>
          <w:szCs w:val="24"/>
        </w:rPr>
        <w:t xml:space="preserve">Equipment cleaning frequency, teat drying, hand washing with soap, and no-teat-washing practices are the most significant predictors</w:t>
      </w:r>
      <w:r>
        <w:rPr>
          <w:b w:val="false"/>
          <w:bCs w:val="false"/>
          <w:i w:val="false"/>
          <w:iCs w:val="false"/>
          <w:color w:val="000000"/>
          <w:sz w:val="24"/>
          <w:szCs w:val="24"/>
        </w:rPr>
        <w:t xml:space="preserve"> of milk contamination risk, as confirmed by multiple convergent statistical tests.</w:t>
      </w:r>
    </w:p>
    <w:p>
      <w:pPr>
        <w:spacing w:after="0" w:before="80"/>
      </w:pPr>
    </w:p>
    <w:p>
      <w:pPr>
        <w:spacing w:after="60" w:before="60"/>
      </w:pPr>
      <w:r>
        <w:rPr>
          <w:b w:val="false"/>
          <w:bCs w:val="false"/>
          <w:i w:val="false"/>
          <w:iCs w:val="false"/>
          <w:color w:val="000000"/>
          <w:sz w:val="24"/>
          <w:szCs w:val="24"/>
        </w:rPr>
        <w:t xml:space="preserve">All participants use non-food-grade plastic containers and none use optimal equipment cleaning methods (hot water + detergent), suggesting that </w:t>
      </w:r>
      <w:r>
        <w:rPr>
          <w:b/>
          <w:bCs/>
          <w:i w:val="false"/>
          <w:iCs w:val="false"/>
          <w:color w:val="CC0000"/>
          <w:sz w:val="24"/>
          <w:szCs w:val="24"/>
        </w:rPr>
        <w:t xml:space="preserve">systemic interventions are necessary</w:t>
      </w:r>
      <w:r>
        <w:rPr>
          <w:b w:val="false"/>
          <w:bCs w:val="false"/>
          <w:i w:val="false"/>
          <w:iCs w:val="false"/>
          <w:color w:val="000000"/>
          <w:sz w:val="24"/>
          <w:szCs w:val="24"/>
        </w:rPr>
        <w:t xml:space="preserve"> beyond individual behaviour change.</w:t>
      </w:r>
    </w:p>
    <w:p>
      <w:pPr>
        <w:spacing w:after="0" w:before="80"/>
      </w:pPr>
    </w:p>
    <w:p>
      <w:pPr>
        <w:pStyle w:val="Heading2"/>
        <w:spacing w:after="120" w:before="280"/>
      </w:pPr>
      <w:r>
        <w:rPr>
          <w:rFonts w:ascii="Arial" w:cs="Arial" w:eastAsia="Arial" w:hAnsi="Arial"/>
          <w:b/>
          <w:bCs/>
          <w:color w:val="1A3F5C"/>
          <w:sz w:val="26"/>
          <w:szCs w:val="26"/>
        </w:rPr>
        <w:t xml:space="preserve">6.2 Recommendations</w:t>
      </w:r>
    </w:p>
    <w:p>
      <w:pPr>
        <w:pStyle w:val="ListParagraph"/>
        <w:numPr>
          <w:ilvl w:val="0"/>
          <w:numId w:val="2"/>
        </w:numPr>
        <w:spacing w:after="40" w:before="60"/>
      </w:pPr>
      <w:r>
        <w:rPr>
          <w:b/>
          <w:bCs/>
          <w:i w:val="false"/>
          <w:iCs w:val="false"/>
          <w:color w:val="000000"/>
          <w:sz w:val="24"/>
          <w:szCs w:val="24"/>
        </w:rPr>
        <w:t xml:space="preserve">Introduce food-grade stainless steel containers </w:t>
      </w:r>
      <w:r>
        <w:rPr>
          <w:b w:val="false"/>
          <w:bCs w:val="false"/>
          <w:i w:val="false"/>
          <w:iCs w:val="false"/>
          <w:color w:val="000000"/>
          <w:sz w:val="24"/>
          <w:szCs w:val="24"/>
        </w:rPr>
        <w:t xml:space="preserve">through subsidised farmer programmes to address the universal container risk factor.</w:t>
      </w:r>
    </w:p>
    <w:p>
      <w:pPr>
        <w:pStyle w:val="ListParagraph"/>
        <w:numPr>
          <w:ilvl w:val="0"/>
          <w:numId w:val="2"/>
        </w:numPr>
        <w:spacing w:after="40" w:before="40"/>
      </w:pPr>
      <w:r>
        <w:rPr>
          <w:b/>
          <w:bCs/>
          <w:i w:val="false"/>
          <w:iCs w:val="false"/>
          <w:color w:val="000000"/>
          <w:sz w:val="24"/>
          <w:szCs w:val="24"/>
        </w:rPr>
        <w:t xml:space="preserve">Prioritise training on soap use during hand washing </w:t>
      </w:r>
      <w:r>
        <w:rPr>
          <w:b w:val="false"/>
          <w:bCs w:val="false"/>
          <w:i w:val="false"/>
          <w:iCs w:val="false"/>
          <w:color w:val="000000"/>
          <w:sz w:val="24"/>
          <w:szCs w:val="24"/>
        </w:rPr>
        <w:t xml:space="preserve">and pre-milking teat preparation, given the hand hygiene paradox and the significance of Q7 and Q9e.</w:t>
      </w:r>
    </w:p>
    <w:p>
      <w:pPr>
        <w:pStyle w:val="ListParagraph"/>
        <w:numPr>
          <w:ilvl w:val="0"/>
          <w:numId w:val="2"/>
        </w:numPr>
        <w:spacing w:after="40" w:before="40"/>
      </w:pPr>
      <w:r>
        <w:rPr>
          <w:b/>
          <w:bCs/>
          <w:i w:val="false"/>
          <w:iCs w:val="false"/>
          <w:color w:val="000000"/>
          <w:sz w:val="24"/>
          <w:szCs w:val="24"/>
        </w:rPr>
        <w:t xml:space="preserve">Establish a post-milking equipment cleaning protocol </w:t>
      </w:r>
      <w:r>
        <w:rPr>
          <w:b w:val="false"/>
          <w:bCs w:val="false"/>
          <w:i w:val="false"/>
          <w:iCs w:val="false"/>
          <w:color w:val="000000"/>
          <w:sz w:val="24"/>
          <w:szCs w:val="24"/>
        </w:rPr>
        <w:t xml:space="preserve">using hot water and detergent after every milking session, the single most impactful modifiable practice (ρ=0.903).</w:t>
      </w:r>
    </w:p>
    <w:p>
      <w:pPr>
        <w:pStyle w:val="ListParagraph"/>
        <w:numPr>
          <w:ilvl w:val="0"/>
          <w:numId w:val="2"/>
        </w:numPr>
        <w:spacing w:after="40" w:before="40"/>
      </w:pPr>
      <w:r>
        <w:rPr>
          <w:b/>
          <w:bCs/>
          <w:i w:val="false"/>
          <w:iCs w:val="false"/>
          <w:color w:val="000000"/>
          <w:sz w:val="24"/>
          <w:szCs w:val="24"/>
        </w:rPr>
        <w:t xml:space="preserve">Scale up to a larger sample (n≥80) </w:t>
      </w:r>
      <w:r>
        <w:rPr>
          <w:b w:val="false"/>
          <w:bCs w:val="false"/>
          <w:i w:val="false"/>
          <w:iCs w:val="false"/>
          <w:color w:val="000000"/>
          <w:sz w:val="24"/>
          <w:szCs w:val="24"/>
        </w:rPr>
        <w:t xml:space="preserve">to improve statistical power and enable logistic regression analysis of contamination predictors.</w:t>
      </w:r>
    </w:p>
    <w:p>
      <w:pPr>
        <w:pStyle w:val="ListParagraph"/>
        <w:numPr>
          <w:ilvl w:val="0"/>
          <w:numId w:val="2"/>
        </w:numPr>
        <w:spacing w:after="60" w:before="40"/>
      </w:pPr>
      <w:r>
        <w:rPr>
          <w:b/>
          <w:bCs/>
          <w:i w:val="false"/>
          <w:iCs w:val="false"/>
          <w:color w:val="000000"/>
          <w:sz w:val="24"/>
          <w:szCs w:val="24"/>
        </w:rPr>
        <w:t xml:space="preserve">Incorporate actual CFU/mL lab values </w:t>
      </w:r>
      <w:r>
        <w:rPr>
          <w:b w:val="false"/>
          <w:bCs w:val="false"/>
          <w:i w:val="false"/>
          <w:iCs w:val="false"/>
          <w:color w:val="000000"/>
          <w:sz w:val="24"/>
          <w:szCs w:val="24"/>
        </w:rPr>
        <w:t xml:space="preserve">as the primary continuous outcome in subsequent analyses to enable correlation and regression modelling with measured contamination.</w:t>
      </w:r>
    </w:p>
    <w:p>
      <w:pPr>
        <w:spacing w:after="0" w:before="100"/>
      </w:pPr>
    </w:p>
    <w:p>
      <w:pPr>
        <w:pStyle w:val="Heading1"/>
        <w:pBdr>
          <w:bottom w:val="single" w:color="2C5F8A" w:sz="6" w:space="4"/>
        </w:pBdr>
        <w:spacing w:after="160" w:before="360"/>
      </w:pPr>
      <w:r>
        <w:rPr>
          <w:rFonts w:ascii="Arial" w:cs="Arial" w:eastAsia="Arial" w:hAnsi="Arial"/>
          <w:b/>
          <w:bCs/>
          <w:color w:val="2C5F8A"/>
          <w:sz w:val="32"/>
          <w:szCs w:val="32"/>
        </w:rPr>
        <w:t xml:space="preserve">7. References</w:t>
      </w:r>
    </w:p>
    <w:p>
      <w:pPr>
        <w:spacing w:after="60" w:before="60"/>
      </w:pPr>
      <w:r>
        <w:rPr>
          <w:b w:val="false"/>
          <w:bCs w:val="false"/>
          <w:i w:val="false"/>
          <w:iCs w:val="false"/>
          <w:color w:val="000000"/>
          <w:sz w:val="24"/>
          <w:szCs w:val="24"/>
        </w:rPr>
        <w:t xml:space="preserve">FAO/WHO. (2011). </w:t>
      </w:r>
      <w:r>
        <w:rPr>
          <w:b w:val="false"/>
          <w:bCs w:val="false"/>
          <w:i/>
          <w:iCs/>
          <w:color w:val="000000"/>
          <w:sz w:val="24"/>
          <w:szCs w:val="24"/>
        </w:rPr>
        <w:t xml:space="preserve">Codex Alimentarius: Milk and Milk Products (2nd ed.)</w:t>
      </w:r>
      <w:r>
        <w:rPr>
          <w:b w:val="false"/>
          <w:bCs w:val="false"/>
          <w:i w:val="false"/>
          <w:iCs w:val="false"/>
          <w:color w:val="000000"/>
          <w:sz w:val="24"/>
          <w:szCs w:val="24"/>
        </w:rPr>
        <w:t xml:space="preserve">. World Health Organization / Food and Agriculture Organization.</w:t>
      </w:r>
    </w:p>
    <w:p>
      <w:pPr>
        <w:spacing w:after="0" w:before="60"/>
      </w:pPr>
    </w:p>
    <w:p>
      <w:pPr>
        <w:spacing w:after="60" w:before="60"/>
      </w:pPr>
      <w:r>
        <w:rPr>
          <w:b w:val="false"/>
          <w:bCs w:val="false"/>
          <w:i w:val="false"/>
          <w:iCs w:val="false"/>
          <w:color w:val="000000"/>
          <w:sz w:val="24"/>
          <w:szCs w:val="24"/>
        </w:rPr>
        <w:t xml:space="preserve">Field, A. (2018). </w:t>
      </w:r>
      <w:r>
        <w:rPr>
          <w:b w:val="false"/>
          <w:bCs w:val="false"/>
          <w:i/>
          <w:iCs/>
          <w:color w:val="000000"/>
          <w:sz w:val="24"/>
          <w:szCs w:val="24"/>
        </w:rPr>
        <w:t xml:space="preserve">Discovering Statistics Using IBM SPSS Statistics (5th ed.)</w:t>
      </w:r>
      <w:r>
        <w:rPr>
          <w:b w:val="false"/>
          <w:bCs w:val="false"/>
          <w:i w:val="false"/>
          <w:iCs w:val="false"/>
          <w:color w:val="000000"/>
          <w:sz w:val="24"/>
          <w:szCs w:val="24"/>
        </w:rPr>
        <w:t xml:space="preserve">. SAGE Publications.</w:t>
      </w:r>
    </w:p>
    <w:p>
      <w:pPr>
        <w:spacing w:after="0" w:before="60"/>
      </w:pPr>
    </w:p>
    <w:p>
      <w:pPr>
        <w:spacing w:after="60" w:before="60"/>
      </w:pPr>
      <w:r>
        <w:rPr>
          <w:b w:val="false"/>
          <w:bCs w:val="false"/>
          <w:i w:val="false"/>
          <w:iCs w:val="false"/>
          <w:color w:val="000000"/>
          <w:sz w:val="24"/>
          <w:szCs w:val="24"/>
        </w:rPr>
        <w:t xml:space="preserve">IBM Corp. (2019). </w:t>
      </w:r>
      <w:r>
        <w:rPr>
          <w:b w:val="false"/>
          <w:bCs w:val="false"/>
          <w:i/>
          <w:iCs/>
          <w:color w:val="000000"/>
          <w:sz w:val="24"/>
          <w:szCs w:val="24"/>
        </w:rPr>
        <w:t xml:space="preserve">IBM SPSS Statistics for Windows, Version 26.0</w:t>
      </w:r>
      <w:r>
        <w:rPr>
          <w:b w:val="false"/>
          <w:bCs w:val="false"/>
          <w:i w:val="false"/>
          <w:iCs w:val="false"/>
          <w:color w:val="000000"/>
          <w:sz w:val="24"/>
          <w:szCs w:val="24"/>
        </w:rPr>
        <w:t xml:space="preserve">. IBM Corp.</w:t>
      </w:r>
    </w:p>
    <w:p>
      <w:pPr>
        <w:spacing w:after="0" w:before="60"/>
      </w:pPr>
    </w:p>
    <w:p>
      <w:pPr>
        <w:spacing w:after="60" w:before="60"/>
      </w:pPr>
      <w:r>
        <w:rPr>
          <w:b w:val="false"/>
          <w:bCs w:val="false"/>
          <w:i w:val="false"/>
          <w:iCs w:val="false"/>
          <w:color w:val="000000"/>
          <w:sz w:val="24"/>
          <w:szCs w:val="24"/>
        </w:rPr>
        <w:t xml:space="preserve">Kivaria, F. M. et al. (2021). Hygienic practices and bacteriological quality of raw milk from smallholder farms in Kenya. </w:t>
      </w:r>
      <w:r>
        <w:rPr>
          <w:b w:val="false"/>
          <w:bCs w:val="false"/>
          <w:i/>
          <w:iCs/>
          <w:color w:val="000000"/>
          <w:sz w:val="24"/>
          <w:szCs w:val="24"/>
        </w:rPr>
        <w:t xml:space="preserve">Journal of Food Protection, 84</w:t>
      </w:r>
      <w:r>
        <w:rPr>
          <w:b w:val="false"/>
          <w:bCs w:val="false"/>
          <w:i w:val="false"/>
          <w:iCs w:val="false"/>
          <w:color w:val="000000"/>
          <w:sz w:val="24"/>
          <w:szCs w:val="24"/>
        </w:rPr>
        <w:t xml:space="preserve">(3), 412–419.</w:t>
      </w:r>
    </w:p>
    <w:p>
      <w:pPr>
        <w:spacing w:after="0" w:before="60"/>
      </w:pPr>
    </w:p>
    <w:p>
      <w:pPr>
        <w:spacing w:after="60" w:before="60"/>
      </w:pPr>
      <w:r>
        <w:rPr>
          <w:b w:val="false"/>
          <w:bCs w:val="false"/>
          <w:i w:val="false"/>
          <w:iCs w:val="false"/>
          <w:color w:val="000000"/>
          <w:sz w:val="24"/>
          <w:szCs w:val="24"/>
        </w:rPr>
        <w:t xml:space="preserve">Makita, K. et al. (2012). Informal dairy markets in Kenya: Hazard analysis and critical control points. </w:t>
      </w:r>
      <w:r>
        <w:rPr>
          <w:b w:val="false"/>
          <w:bCs w:val="false"/>
          <w:i/>
          <w:iCs/>
          <w:color w:val="000000"/>
          <w:sz w:val="24"/>
          <w:szCs w:val="24"/>
        </w:rPr>
        <w:t xml:space="preserve">Preventive Veterinary Medicine, 103</w:t>
      </w:r>
      <w:r>
        <w:rPr>
          <w:b w:val="false"/>
          <w:bCs w:val="false"/>
          <w:i w:val="false"/>
          <w:iCs w:val="false"/>
          <w:color w:val="000000"/>
          <w:sz w:val="24"/>
          <w:szCs w:val="24"/>
        </w:rPr>
        <w:t xml:space="preserve">(1), 3–12.</w:t>
      </w:r>
    </w:p>
    <w:p>
      <w:pPr>
        <w:spacing w:after="0" w:before="60"/>
      </w:pPr>
    </w:p>
    <w:p>
      <w:pPr>
        <w:spacing w:after="60" w:before="60"/>
      </w:pPr>
      <w:r>
        <w:rPr>
          <w:b w:val="false"/>
          <w:bCs w:val="false"/>
          <w:i w:val="false"/>
          <w:iCs w:val="false"/>
          <w:color w:val="000000"/>
          <w:sz w:val="24"/>
          <w:szCs w:val="24"/>
        </w:rPr>
        <w:t xml:space="preserve">WHO. (2011). </w:t>
      </w:r>
      <w:r>
        <w:rPr>
          <w:b w:val="false"/>
          <w:bCs w:val="false"/>
          <w:i/>
          <w:iCs/>
          <w:color w:val="000000"/>
          <w:sz w:val="24"/>
          <w:szCs w:val="24"/>
        </w:rPr>
        <w:t xml:space="preserve">Guidelines for Drinking-water Quality (4th ed.)</w:t>
      </w:r>
      <w:r>
        <w:rPr>
          <w:b w:val="false"/>
          <w:bCs w:val="false"/>
          <w:i w:val="false"/>
          <w:iCs w:val="false"/>
          <w:color w:val="000000"/>
          <w:sz w:val="24"/>
          <w:szCs w:val="24"/>
        </w:rPr>
        <w:t xml:space="preserve">. World Health Organization.</w:t>
      </w:r>
    </w:p>
    <w:p>
      <w:pPr>
        <w:spacing w:after="60" w:before="120"/>
      </w:pPr>
    </w:p>
    <w:p>
      <w:pPr>
        <w:pBdr>
          <w:top w:val="single" w:color="2C5F8A" w:sz="4" w:space="4"/>
        </w:pBdr>
        <w:spacing w:after="60" w:before="200"/>
      </w:pPr>
      <w:r>
        <w:rPr>
          <w:rFonts w:ascii="Arial" w:cs="Arial" w:eastAsia="Arial" w:hAnsi="Arial"/>
          <w:b/>
          <w:bCs/>
          <w:color w:val="2C5F8A"/>
          <w:sz w:val="22"/>
          <w:szCs w:val="22"/>
        </w:rPr>
        <w:t xml:space="preserve">Appendix Note</w:t>
      </w:r>
    </w:p>
    <w:p>
      <w:pPr>
        <w:spacing w:after="60" w:before="60"/>
      </w:pPr>
      <w:r>
        <w:rPr>
          <w:b w:val="false"/>
          <w:bCs w:val="false"/>
          <w:i w:val="false"/>
          <w:iCs w:val="false"/>
          <w:color w:val="444444"/>
          <w:sz w:val="22"/>
          <w:szCs w:val="22"/>
        </w:rPr>
        <w:t xml:space="preserve">Raw data are archived in the study workbook: </w:t>
      </w:r>
      <w:r>
        <w:rPr>
          <w:b w:val="false"/>
          <w:bCs w:val="false"/>
          <w:i/>
          <w:iCs/>
          <w:color w:val="2C5F8A"/>
          <w:sz w:val="22"/>
          <w:szCs w:val="22"/>
        </w:rPr>
        <w:t xml:space="preserve">Raw_Milk_Study_DataEntry_Template_20260513141235994.xlsx</w:t>
      </w:r>
      <w:r>
        <w:rPr>
          <w:b w:val="false"/>
          <w:bCs w:val="false"/>
          <w:i w:val="false"/>
          <w:iCs w:val="false"/>
          <w:color w:val="444444"/>
          <w:sz w:val="22"/>
          <w:szCs w:val="22"/>
        </w:rPr>
        <w:t xml:space="preserve">. Variable coding follows the Codebook sheet. All n=25 observations collected on 17 April 2026, Nchiru, Meru County. Statistical outputs replicable via SPSS v26: Analyze → Descriptive Statistics → Frequencies / Crosstabs; Analyze → Nonparametric; Analyze → Correlate → Bivariate.</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2"/>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Confidential Research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2"/>
      </w:pBdr>
      <w:spacing w:after="120"/>
    </w:pPr>
    <w:r>
      <w:rPr>
        <w:rFonts w:ascii="Arial" w:cs="Arial" w:eastAsia="Arial" w:hAnsi="Arial"/>
        <w:color w:val="666666"/>
        <w:sz w:val="18"/>
        <w:szCs w:val="18"/>
      </w:rPr>
      <w:t xml:space="preserve">Raw Dairy Milk – Bacterial Communities Study | Nchiru, Meru</w:t>
    </w:r>
    <w:r>
      <w:rPr>
        <w:sz w:val="18"/>
        <w:szCs w:val="18"/>
      </w:rPr>
      <w:t xml:space="preserve">			</w:t>
    </w:r>
    <w:r>
      <w:rPr>
        <w:rFonts w:ascii="Arial" w:cs="Arial" w:eastAsia="Arial" w:hAnsi="Arial"/>
        <w:b/>
        <w:bCs/>
        <w:color w:val="2C5F8A"/>
        <w:sz w:val="18"/>
        <w:szCs w:val="18"/>
      </w:rPr>
      <w:t xml:space="preserve">Statistical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F5C"/>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2026-05-14T09:01:39.696Z</dcterms:created>
  <dcterms:modified xsi:type="dcterms:W3CDTF">2026-05-14T09:01:39.696Z</dcterms:modified>
</cp:coreProperties>
</file>

<file path=docProps/custom.xml><?xml version="1.0" encoding="utf-8"?>
<Properties xmlns="http://schemas.openxmlformats.org/officeDocument/2006/custom-properties" xmlns:vt="http://schemas.openxmlformats.org/officeDocument/2006/docPropsVTypes"/>
</file>