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goe9xzxx0fid" w:id="0"/>
      <w:bookmarkEnd w:id="0"/>
      <w:r w:rsidDel="00000000" w:rsidR="00000000" w:rsidRPr="00000000">
        <w:rPr>
          <w:rFonts w:ascii="Google Sans" w:cs="Google Sans" w:eastAsia="Google Sans" w:hAnsi="Google Sans"/>
          <w:rtl w:val="0"/>
        </w:rPr>
        <w:t xml:space="preserve">Compliance checklist</w:t>
      </w:r>
    </w:p>
    <w:p w:rsidR="00000000" w:rsidDel="00000000" w:rsidP="00000000" w:rsidRDefault="00000000" w:rsidRPr="00000000" w14:paraId="0000000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review compliance regulations and standards, read the </w:t>
      </w:r>
      <w:r w:rsidDel="00000000" w:rsidR="00000000" w:rsidRPr="00000000">
        <w:rPr>
          <w:rFonts w:ascii="Google Sans" w:cs="Google Sans" w:eastAsia="Google Sans" w:hAnsi="Google Sans"/>
          <w:sz w:val="24"/>
          <w:szCs w:val="24"/>
          <w:rtl w:val="0"/>
        </w:rPr>
        <w:t xml:space="preserve">controls, frameworks, and compliance</w:t>
      </w:r>
      <w:r w:rsidDel="00000000" w:rsidR="00000000" w:rsidRPr="00000000">
        <w:rPr>
          <w:rFonts w:ascii="Google Sans" w:cs="Google Sans" w:eastAsia="Google Sans" w:hAnsi="Google Sans"/>
          <w:sz w:val="24"/>
          <w:szCs w:val="24"/>
          <w:rtl w:val="0"/>
        </w:rPr>
        <w:t xml:space="preserve"> document.</w:t>
      </w:r>
    </w:p>
    <w:p w:rsidR="00000000" w:rsidDel="00000000" w:rsidP="00000000" w:rsidRDefault="00000000" w:rsidRPr="00000000" w14:paraId="0000000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4">
      <w:pPr>
        <w:numPr>
          <w:ilvl w:val="0"/>
          <w:numId w:val="4"/>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Federal Energy Regulatory Commission - North American Electric Reliability Corporation (FERC-NERC)</w:t>
      </w:r>
    </w:p>
    <w:p w:rsidR="00000000" w:rsidDel="00000000" w:rsidP="00000000" w:rsidRDefault="00000000" w:rsidRPr="00000000" w14:paraId="00000005">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FERC-NERC regulation applies to organizations that work with electricity or that are involved with the U.S. and North American power grid. Organizations have an obligation to prepare for, mitigate, and report any potential security incident that can negatively affect the power grid. Organizations are legally required to adhere to the Critical Infrastructure Protection Reliability Standards (CIP) defined by the FERC. </w:t>
      </w:r>
    </w:p>
    <w:p w:rsidR="00000000" w:rsidDel="00000000" w:rsidP="00000000" w:rsidRDefault="00000000" w:rsidRPr="00000000" w14:paraId="00000006">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w:t>
      </w: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7">
      <w:pPr>
        <w:numPr>
          <w:ilvl w:val="0"/>
          <w:numId w:val="2"/>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General Data Protection Regulation (GDPR)</w:t>
      </w:r>
    </w:p>
    <w:p w:rsidR="00000000" w:rsidDel="00000000" w:rsidP="00000000" w:rsidRDefault="00000000" w:rsidRPr="00000000" w14:paraId="00000008">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GDPR is a European Union (E.U.) general data regulation that protects the processing of E.U. citizens’ data and their right to privacy in and out of E.U. territory. Additionally, if a breach occurs and a E.U. citizen’s data is compromised, they must be informed within 72 hours of the incident.</w:t>
      </w:r>
    </w:p>
    <w:p w:rsidR="00000000" w:rsidDel="00000000" w:rsidP="00000000" w:rsidRDefault="00000000" w:rsidRPr="00000000" w14:paraId="00000009">
      <w:pPr>
        <w:spacing w:after="200" w:line="360" w:lineRule="auto"/>
        <w:ind w:left="720" w:firstLine="0"/>
        <w:rPr>
          <w:rFonts w:ascii="Google Sans" w:cs="Google Sans" w:eastAsia="Google Sans" w:hAnsi="Google Sans"/>
          <w:b w:val="1"/>
          <w:i w:val="1"/>
          <w:sz w:val="24"/>
          <w:szCs w:val="24"/>
          <w:highlight w:val="yellow"/>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b w:val="1"/>
          <w:i w:val="1"/>
          <w:sz w:val="24"/>
          <w:szCs w:val="24"/>
          <w:highlight w:val="yellow"/>
          <w:rtl w:val="0"/>
        </w:rPr>
        <w:t xml:space="preserve">botium need to adhere to gdrp because they conduct business world wide including the E.U.  </w:t>
      </w:r>
    </w:p>
    <w:p w:rsidR="00000000" w:rsidDel="00000000" w:rsidP="00000000" w:rsidRDefault="00000000" w:rsidRPr="00000000" w14:paraId="0000000A">
      <w:pPr>
        <w:spacing w:after="200" w:line="360" w:lineRule="auto"/>
        <w:ind w:left="720" w:firstLine="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Payment Card Industry Data Security Standard (PCI DSS)</w:t>
      </w:r>
    </w:p>
    <w:p w:rsidR="00000000" w:rsidDel="00000000" w:rsidP="00000000" w:rsidRDefault="00000000" w:rsidRPr="00000000" w14:paraId="0000000B">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PCI DSS is an international security standard meant to ensure that organizations storing, accepting, processing, and transmitting credit card information do so in a secure environment. </w:t>
      </w:r>
    </w:p>
    <w:p w:rsidR="00000000" w:rsidDel="00000000" w:rsidP="00000000" w:rsidRDefault="00000000" w:rsidRPr="00000000" w14:paraId="0000000C">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b w:val="1"/>
          <w:i w:val="1"/>
          <w:sz w:val="24"/>
          <w:szCs w:val="24"/>
          <w:highlight w:val="yellow"/>
          <w:rtl w:val="0"/>
        </w:rPr>
        <w:t xml:space="preserve">botium need to adhere  PCI DSS because they store,accept,process and transmit the credit card information in person and online.</w:t>
      </w:r>
      <w:r w:rsidDel="00000000" w:rsidR="00000000" w:rsidRPr="00000000">
        <w:rPr>
          <w:rtl w:val="0"/>
        </w:rPr>
      </w:r>
    </w:p>
    <w:p w:rsidR="00000000" w:rsidDel="00000000" w:rsidP="00000000" w:rsidRDefault="00000000" w:rsidRPr="00000000" w14:paraId="0000000D">
      <w:pPr>
        <w:numPr>
          <w:ilvl w:val="0"/>
          <w:numId w:val="1"/>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The Health Insurance Portability and Accountability Act (HIPAA)</w:t>
      </w:r>
    </w:p>
    <w:p w:rsidR="00000000" w:rsidDel="00000000" w:rsidP="00000000" w:rsidRDefault="00000000" w:rsidRPr="00000000" w14:paraId="0000000E">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HIPAA is a federal law established in 1996 to protect U.S. patients’ health information. This law prohibits patient information from being shared without their consent. Organizations have a legal obligation to inform patients of a breach. </w:t>
      </w:r>
    </w:p>
    <w:p w:rsidR="00000000" w:rsidDel="00000000" w:rsidP="00000000" w:rsidRDefault="00000000" w:rsidRPr="00000000" w14:paraId="0000000F">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tl w:val="0"/>
        </w:rPr>
      </w:r>
    </w:p>
    <w:p w:rsidR="00000000" w:rsidDel="00000000" w:rsidP="00000000" w:rsidRDefault="00000000" w:rsidRPr="00000000" w14:paraId="00000010">
      <w:pPr>
        <w:numPr>
          <w:ilvl w:val="0"/>
          <w:numId w:val="3"/>
        </w:numPr>
        <w:spacing w:after="200" w:line="360" w:lineRule="auto"/>
        <w:ind w:left="720" w:hanging="36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System and Organizations Controls (SOC type 1, SOC type 2)</w:t>
      </w:r>
    </w:p>
    <w:p w:rsidR="00000000" w:rsidDel="00000000" w:rsidP="00000000" w:rsidRDefault="00000000" w:rsidRPr="00000000" w14:paraId="00000011">
      <w:pPr>
        <w:spacing w:after="200" w:line="36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SOC1 and SOC2 are a series of reports that focus on an organization’s user access policies at different organizational levels. They are used to assess an organization’s financial compliance and levels of risk. They also cover confidentiality, privacy, integrity, availability, security, and overall data safety. Control failures in these areas can lead to fraud.</w:t>
      </w:r>
    </w:p>
    <w:p w:rsidR="00000000" w:rsidDel="00000000" w:rsidP="00000000" w:rsidRDefault="00000000" w:rsidRPr="00000000" w14:paraId="00000012">
      <w:pPr>
        <w:spacing w:after="200" w:line="360" w:lineRule="auto"/>
        <w:ind w:left="720" w:firstLine="0"/>
        <w:rPr>
          <w:rFonts w:ascii="Google Sans" w:cs="Google Sans" w:eastAsia="Google Sans" w:hAnsi="Google Sans"/>
          <w:b w:val="1"/>
          <w:i w:val="1"/>
          <w:sz w:val="24"/>
          <w:szCs w:val="24"/>
          <w:highlight w:val="yellow"/>
        </w:rPr>
      </w:pPr>
      <w:r w:rsidDel="00000000" w:rsidR="00000000" w:rsidRPr="00000000">
        <w:rPr>
          <w:rFonts w:ascii="Google Sans" w:cs="Google Sans" w:eastAsia="Google Sans" w:hAnsi="Google Sans"/>
          <w:b w:val="1"/>
          <w:sz w:val="24"/>
          <w:szCs w:val="24"/>
          <w:rtl w:val="0"/>
        </w:rPr>
        <w:t xml:space="preserve">Explanation: </w:t>
      </w:r>
      <w:r w:rsidDel="00000000" w:rsidR="00000000" w:rsidRPr="00000000">
        <w:rPr>
          <w:rFonts w:ascii="Google Sans" w:cs="Google Sans" w:eastAsia="Google Sans" w:hAnsi="Google Sans"/>
          <w:b w:val="1"/>
          <w:i w:val="1"/>
          <w:color w:val="ffff00"/>
          <w:sz w:val="24"/>
          <w:szCs w:val="24"/>
          <w:rtl w:val="0"/>
        </w:rPr>
        <w:t xml:space="preserve"> </w:t>
      </w:r>
      <w:r w:rsidDel="00000000" w:rsidR="00000000" w:rsidRPr="00000000">
        <w:rPr>
          <w:rFonts w:ascii="Google Sans" w:cs="Google Sans" w:eastAsia="Google Sans" w:hAnsi="Google Sans"/>
          <w:b w:val="1"/>
          <w:i w:val="1"/>
          <w:sz w:val="24"/>
          <w:szCs w:val="24"/>
          <w:highlight w:val="yellow"/>
          <w:rtl w:val="0"/>
        </w:rPr>
        <w:t xml:space="preserve">Biotum need to adhere to SOC type1 &amp; 2 to mitigate risk and ensure data safety.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