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rFonts w:ascii="Google Sans" w:cs="Google Sans" w:eastAsia="Google Sans" w:hAnsi="Google Sans"/>
        </w:rPr>
      </w:pPr>
      <w:bookmarkStart w:colFirst="0" w:colLast="0" w:name="_goe9xzxx0fid" w:id="0"/>
      <w:bookmarkEnd w:id="0"/>
      <w:r w:rsidDel="00000000" w:rsidR="00000000" w:rsidRPr="00000000">
        <w:rPr>
          <w:rFonts w:ascii="Google Sans" w:cs="Google Sans" w:eastAsia="Google Sans" w:hAnsi="Google Sans"/>
          <w:rtl w:val="0"/>
        </w:rPr>
        <w:t xml:space="preserve">Compliance checklist</w:t>
      </w:r>
    </w:p>
    <w:p w:rsidR="00000000" w:rsidDel="00000000" w:rsidP="00000000" w:rsidRDefault="00000000" w:rsidRPr="00000000" w14:paraId="00000002">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To review compliance regulations and standards, read the </w:t>
      </w:r>
      <w:r w:rsidDel="00000000" w:rsidR="00000000" w:rsidRPr="00000000">
        <w:rPr>
          <w:rFonts w:ascii="Google Sans" w:cs="Google Sans" w:eastAsia="Google Sans" w:hAnsi="Google Sans"/>
          <w:sz w:val="24"/>
          <w:szCs w:val="24"/>
          <w:rtl w:val="0"/>
        </w:rPr>
        <w:t xml:space="preserve">controls, frameworks, and compliance</w:t>
      </w:r>
      <w:r w:rsidDel="00000000" w:rsidR="00000000" w:rsidRPr="00000000">
        <w:rPr>
          <w:rFonts w:ascii="Google Sans" w:cs="Google Sans" w:eastAsia="Google Sans" w:hAnsi="Google Sans"/>
          <w:sz w:val="24"/>
          <w:szCs w:val="24"/>
          <w:rtl w:val="0"/>
        </w:rPr>
        <w:t xml:space="preserve"> document.</w:t>
      </w:r>
    </w:p>
    <w:p w:rsidR="00000000" w:rsidDel="00000000" w:rsidP="00000000" w:rsidRDefault="00000000" w:rsidRPr="00000000" w14:paraId="00000003">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4">
      <w:pPr>
        <w:numPr>
          <w:ilvl w:val="0"/>
          <w:numId w:val="5"/>
        </w:numPr>
        <w:spacing w:after="200" w:line="360" w:lineRule="auto"/>
        <w:ind w:left="720" w:hanging="360"/>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The Federal Energy Regulatory Commission - North American Electric Reliability Corporation (FERC-NERC)</w:t>
      </w:r>
    </w:p>
    <w:p w:rsidR="00000000" w:rsidDel="00000000" w:rsidP="00000000" w:rsidRDefault="00000000" w:rsidRPr="00000000" w14:paraId="00000005">
      <w:pPr>
        <w:spacing w:after="200" w:line="36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FERC-NERC regulation applies to organizations that work with electricity or that are involved with the U.S. and North American power grid. Organizations have an obligation to prepare for, mitigate, and report any potential security incident that can negatively affect the power grid. Organizations are legally required to adhere to the Critical Infrastructure Protection Reliability Standards (CIP) defined by the FERC. </w:t>
      </w:r>
    </w:p>
    <w:p w:rsidR="00000000" w:rsidDel="00000000" w:rsidP="00000000" w:rsidRDefault="00000000" w:rsidRPr="00000000" w14:paraId="00000006">
      <w:pPr>
        <w:spacing w:after="200" w:line="36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Explanation:</w:t>
      </w:r>
      <w:r w:rsidDel="00000000" w:rsidR="00000000" w:rsidRPr="00000000">
        <w:rPr>
          <w:rFonts w:ascii="Google Sans" w:cs="Google Sans" w:eastAsia="Google Sans" w:hAnsi="Google Sans"/>
          <w:sz w:val="24"/>
          <w:szCs w:val="24"/>
          <w:rtl w:val="0"/>
        </w:rPr>
        <w:t xml:space="preserve"> </w:t>
      </w:r>
    </w:p>
    <w:p w:rsidR="00000000" w:rsidDel="00000000" w:rsidP="00000000" w:rsidRDefault="00000000" w:rsidRPr="00000000" w14:paraId="00000007">
      <w:pPr>
        <w:numPr>
          <w:ilvl w:val="0"/>
          <w:numId w:val="3"/>
        </w:numPr>
        <w:spacing w:after="200" w:line="360" w:lineRule="auto"/>
        <w:ind w:left="720" w:hanging="360"/>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General Data Protection Regulation (GDPR)</w:t>
      </w:r>
    </w:p>
    <w:p w:rsidR="00000000" w:rsidDel="00000000" w:rsidP="00000000" w:rsidRDefault="00000000" w:rsidRPr="00000000" w14:paraId="00000008">
      <w:pPr>
        <w:spacing w:after="200" w:line="36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GDPR is a European Union (E.U.) general data regulation that protects the processing of E.U. citizens’ data and their right to privacy in and out of E.U. territory. Additionally, if a breach occurs and a E.U. citizen’s data is compromised, they must be informed within 72 hours of the incident.</w:t>
      </w:r>
    </w:p>
    <w:p w:rsidR="00000000" w:rsidDel="00000000" w:rsidP="00000000" w:rsidRDefault="00000000" w:rsidRPr="00000000" w14:paraId="00000009">
      <w:pPr>
        <w:spacing w:after="200" w:line="36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Explanation: Botium plans on making transactions with citizens in the E.U.  This means that the organization will be handling SPII of these customers and must adhere to these data and privacy laws.</w:t>
      </w:r>
      <w:r w:rsidDel="00000000" w:rsidR="00000000" w:rsidRPr="00000000">
        <w:rPr>
          <w:rtl w:val="0"/>
        </w:rPr>
      </w:r>
    </w:p>
    <w:p w:rsidR="00000000" w:rsidDel="00000000" w:rsidP="00000000" w:rsidRDefault="00000000" w:rsidRPr="00000000" w14:paraId="0000000A">
      <w:pPr>
        <w:numPr>
          <w:ilvl w:val="0"/>
          <w:numId w:val="2"/>
        </w:numPr>
        <w:spacing w:after="200" w:line="360" w:lineRule="auto"/>
        <w:ind w:left="720" w:hanging="360"/>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Payment Card Industry Data Security Standard (PCI DSS)</w:t>
      </w:r>
    </w:p>
    <w:p w:rsidR="00000000" w:rsidDel="00000000" w:rsidP="00000000" w:rsidRDefault="00000000" w:rsidRPr="00000000" w14:paraId="0000000B">
      <w:pPr>
        <w:spacing w:after="200" w:line="36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PCI DSS is an international security standard meant to ensure that organizations storing, accepting, processing, and transmitting credit card information do so in a secure environment. </w:t>
      </w:r>
    </w:p>
    <w:p w:rsidR="00000000" w:rsidDel="00000000" w:rsidP="00000000" w:rsidRDefault="00000000" w:rsidRPr="00000000" w14:paraId="0000000C">
      <w:pPr>
        <w:spacing w:after="200" w:line="36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Explanation: Botium Toys is presumably selling toys online so one of the main payment methods will be through card.  PCI DSS will compliance will ensure the organization is handling the SPII of their users properly.</w:t>
      </w:r>
      <w:r w:rsidDel="00000000" w:rsidR="00000000" w:rsidRPr="00000000">
        <w:rPr>
          <w:rtl w:val="0"/>
        </w:rPr>
      </w:r>
    </w:p>
    <w:p w:rsidR="00000000" w:rsidDel="00000000" w:rsidP="00000000" w:rsidRDefault="00000000" w:rsidRPr="00000000" w14:paraId="0000000D">
      <w:pPr>
        <w:numPr>
          <w:ilvl w:val="0"/>
          <w:numId w:val="1"/>
        </w:numPr>
        <w:spacing w:after="200" w:line="360" w:lineRule="auto"/>
        <w:ind w:left="720" w:hanging="360"/>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The Health Insurance Portability and Accountability Act (HIPAA)</w:t>
      </w:r>
    </w:p>
    <w:p w:rsidR="00000000" w:rsidDel="00000000" w:rsidP="00000000" w:rsidRDefault="00000000" w:rsidRPr="00000000" w14:paraId="0000000E">
      <w:pPr>
        <w:spacing w:after="200" w:line="36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HIPAA is a federal law established in 1996 to protect U.S. patients’ health information. This law prohibits patient information from being shared without their consent. Organizations have a legal obligation to inform patients of a breach. </w:t>
      </w:r>
    </w:p>
    <w:p w:rsidR="00000000" w:rsidDel="00000000" w:rsidP="00000000" w:rsidRDefault="00000000" w:rsidRPr="00000000" w14:paraId="0000000F">
      <w:pPr>
        <w:spacing w:after="200" w:line="36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Explanation: </w:t>
      </w:r>
      <w:r w:rsidDel="00000000" w:rsidR="00000000" w:rsidRPr="00000000">
        <w:rPr>
          <w:rtl w:val="0"/>
        </w:rPr>
      </w:r>
    </w:p>
    <w:p w:rsidR="00000000" w:rsidDel="00000000" w:rsidP="00000000" w:rsidRDefault="00000000" w:rsidRPr="00000000" w14:paraId="00000010">
      <w:pPr>
        <w:numPr>
          <w:ilvl w:val="0"/>
          <w:numId w:val="4"/>
        </w:numPr>
        <w:spacing w:after="200" w:line="360" w:lineRule="auto"/>
        <w:ind w:left="720" w:hanging="360"/>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System and Organizations Controls (SOC type 1, SOC type 2)</w:t>
      </w:r>
    </w:p>
    <w:p w:rsidR="00000000" w:rsidDel="00000000" w:rsidP="00000000" w:rsidRDefault="00000000" w:rsidRPr="00000000" w14:paraId="00000011">
      <w:pPr>
        <w:spacing w:after="200" w:line="36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SOC1 and SOC2 are a series of reports that focus on an organization’s user access policies at different organizational levels. They are used to assess an organization’s financial compliance and levels of risk. They also cover confidentiality, privacy, integrity, availability, security, and overall data safety. Control failures in these areas can lead to fraud.</w:t>
      </w:r>
    </w:p>
    <w:p w:rsidR="00000000" w:rsidDel="00000000" w:rsidP="00000000" w:rsidRDefault="00000000" w:rsidRPr="00000000" w14:paraId="00000012">
      <w:pPr>
        <w:spacing w:after="200" w:line="36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Explanation: Botium needs appropriate user access policies for internal and external use.  Also reduces risk and improves data privacy.</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