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3"/>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Matthew Lam</w:t>
        <w:br w:type="textWrapping"/>
        <w:t xml:space="preserve">DATE: 2023-08-24</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1A">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ab/>
        <w:t xml:space="preserve">The scope of this audit included the following systems: accounting, end point detection, firewalls, intrusion detection system, security information and event management (SIEM) tool.  The systems were audited for:</w:t>
      </w:r>
    </w:p>
    <w:p w:rsidR="00000000" w:rsidDel="00000000" w:rsidP="00000000" w:rsidRDefault="00000000" w:rsidRPr="00000000" w14:paraId="0000001B">
      <w:pPr>
        <w:numPr>
          <w:ilvl w:val="0"/>
          <w:numId w:val="4"/>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User Permissions</w:t>
      </w:r>
    </w:p>
    <w:p w:rsidR="00000000" w:rsidDel="00000000" w:rsidP="00000000" w:rsidRDefault="00000000" w:rsidRPr="00000000" w14:paraId="0000001C">
      <w:pPr>
        <w:numPr>
          <w:ilvl w:val="0"/>
          <w:numId w:val="4"/>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1D">
      <w:pPr>
        <w:numPr>
          <w:ilvl w:val="0"/>
          <w:numId w:val="4"/>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E">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ab/>
      </w:r>
    </w:p>
    <w:p w:rsidR="00000000" w:rsidDel="00000000" w:rsidP="00000000" w:rsidRDefault="00000000" w:rsidRPr="00000000" w14:paraId="0000001F">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ab/>
        <w:t xml:space="preserve">Additionally, ensure current user permissions, controls, procedures, and protocols in place align with necessary compliance requirements as well as ensure current technology is accounted for. Both hardware and system access.</w:t>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22">
      <w:pPr>
        <w:spacing w:after="240" w:before="240"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w:t>
      </w:r>
      <w:r w:rsidDel="00000000" w:rsidR="00000000" w:rsidRPr="00000000">
        <w:rPr>
          <w:rFonts w:ascii="Times New Roman" w:cs="Times New Roman" w:eastAsia="Times New Roman" w:hAnsi="Times New Roman"/>
          <w:b w:val="1"/>
          <w:color w:val="434343"/>
          <w:sz w:val="14"/>
          <w:szCs w:val="14"/>
          <w:rtl w:val="0"/>
        </w:rPr>
        <w:t xml:space="preserve">     </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To adhere to the National Institute of Standards and Technology Cybersecurity Framework (NIST CSF)</w:t>
      </w:r>
    </w:p>
    <w:p w:rsidR="00000000" w:rsidDel="00000000" w:rsidP="00000000" w:rsidRDefault="00000000" w:rsidRPr="00000000" w14:paraId="00000023">
      <w:pPr>
        <w:spacing w:after="240" w:before="240"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w:t>
      </w:r>
    </w:p>
    <w:p w:rsidR="00000000" w:rsidDel="00000000" w:rsidP="00000000" w:rsidRDefault="00000000" w:rsidRPr="00000000" w14:paraId="00000024">
      <w:pPr>
        <w:spacing w:after="240" w:before="240"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25">
      <w:pPr>
        <w:spacing w:after="240" w:before="240"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Implement the concept of least permissions when it comes to user credential management</w:t>
      </w:r>
    </w:p>
    <w:p w:rsidR="00000000" w:rsidDel="00000000" w:rsidP="00000000" w:rsidRDefault="00000000" w:rsidRPr="00000000" w14:paraId="00000026">
      <w:pPr>
        <w:spacing w:after="240" w:before="240" w:lineRule="auto"/>
        <w:ind w:left="108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w:t>
      </w:r>
    </w:p>
    <w:p w:rsidR="00000000" w:rsidDel="00000000" w:rsidP="00000000" w:rsidRDefault="00000000" w:rsidRPr="00000000" w14:paraId="00000027">
      <w:pPr>
        <w:spacing w:after="240" w:before="240" w:lineRule="auto"/>
        <w:ind w:left="1080" w:hanging="360"/>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Google Sans" w:cs="Google Sans" w:eastAsia="Google Sans" w:hAnsi="Google Sans"/>
          <w:color w:val="434343"/>
          <w:sz w:val="24"/>
          <w:szCs w:val="24"/>
          <w:rtl w:val="0"/>
        </w:rPr>
        <w:t xml:space="preserve">Ensure they are meeting compliance requirements</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Lack of controls gives Botium Toys a risk assessment of 8/10</w:t>
      </w:r>
    </w:p>
    <w:p w:rsidR="00000000" w:rsidDel="00000000" w:rsidP="00000000" w:rsidRDefault="00000000" w:rsidRPr="00000000" w14:paraId="0000002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These controls need to be immediately implemented:</w:t>
      </w:r>
    </w:p>
    <w:p w:rsidR="00000000" w:rsidDel="00000000" w:rsidP="00000000" w:rsidRDefault="00000000" w:rsidRPr="00000000" w14:paraId="0000002C">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Least privilege </w:t>
      </w:r>
    </w:p>
    <w:p w:rsidR="00000000" w:rsidDel="00000000" w:rsidP="00000000" w:rsidRDefault="00000000" w:rsidRPr="00000000" w14:paraId="0000002D">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E">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Separation of duties</w:t>
      </w:r>
    </w:p>
    <w:p w:rsidR="00000000" w:rsidDel="00000000" w:rsidP="00000000" w:rsidRDefault="00000000" w:rsidRPr="00000000" w14:paraId="0000002F">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30">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Data Encryption</w:t>
      </w:r>
    </w:p>
    <w:p w:rsidR="00000000" w:rsidDel="00000000" w:rsidP="00000000" w:rsidRDefault="00000000" w:rsidRPr="00000000" w14:paraId="00000031">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32">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Manual Monitoring for legacy systems</w:t>
      </w:r>
    </w:p>
    <w:p w:rsidR="00000000" w:rsidDel="00000000" w:rsidP="00000000" w:rsidRDefault="00000000" w:rsidRPr="00000000" w14:paraId="00000033">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34">
      <w:pPr>
        <w:numPr>
          <w:ilvl w:val="0"/>
          <w:numId w:val="5"/>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Antivirus</w:t>
      </w:r>
    </w:p>
    <w:p w:rsidR="00000000" w:rsidDel="00000000" w:rsidP="00000000" w:rsidRDefault="00000000" w:rsidRPr="00000000" w14:paraId="00000035">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6">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3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39">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Password Policies</w:t>
      </w:r>
    </w:p>
    <w:p w:rsidR="00000000" w:rsidDel="00000000" w:rsidP="00000000" w:rsidRDefault="00000000" w:rsidRPr="00000000" w14:paraId="0000003A">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Access Control Policies</w:t>
      </w:r>
    </w:p>
    <w:p w:rsidR="00000000" w:rsidDel="00000000" w:rsidP="00000000" w:rsidRDefault="00000000" w:rsidRPr="00000000" w14:paraId="0000003B">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Account Management Policies</w:t>
      </w:r>
    </w:p>
    <w:p w:rsidR="00000000" w:rsidDel="00000000" w:rsidP="00000000" w:rsidRDefault="00000000" w:rsidRPr="00000000" w14:paraId="0000003C">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Password Management Systems</w:t>
      </w:r>
    </w:p>
    <w:p w:rsidR="00000000" w:rsidDel="00000000" w:rsidP="00000000" w:rsidRDefault="00000000" w:rsidRPr="00000000" w14:paraId="0000003D">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E">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Alarm Service Signage</w:t>
      </w:r>
    </w:p>
    <w:p w:rsidR="00000000" w:rsidDel="00000000" w:rsidP="00000000" w:rsidRDefault="00000000" w:rsidRPr="00000000" w14:paraId="0000003F">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Fire Detection System</w:t>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It is important to adhere to GDPR, PCI DSS Guidelines and Regulations as Botium will be handling transactions online with E.U. customers.  SOC Guidelines will help reduce risk when implementing user permissions and policies within and outside the organization.</w:t>
      </w:r>
    </w:p>
    <w:p w:rsidR="00000000" w:rsidDel="00000000" w:rsidP="00000000" w:rsidRDefault="00000000" w:rsidRPr="00000000" w14:paraId="0000004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Implementing backups and disaster recovery plans are extremely important for business continuity, especially since the organization is at HIGH risk.  IDS, Antivirus and CCTV will be the basic line of defense for detecting anomalies.  With a physical location in America, locks and cabinets will physically secure the hardware storing data and SPII.  These controls are especially important with a legacy system that requires manual monitoring.</w:t>
      </w:r>
    </w:p>
    <w:p w:rsidR="00000000" w:rsidDel="00000000" w:rsidP="00000000" w:rsidRDefault="00000000" w:rsidRPr="00000000" w14:paraId="0000004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and account policies are important, but aren’t as immediately required as the earlier recommendations.  Lastly, adequate lighting, signage and a fire detection system will be required, but not urgent to the organization's operations.</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