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프로그램이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spacing w:before="60" w:after="100"/>
        <w:rPr>
          <w:lang w:eastAsia="ko-KR"/>
        </w:rPr>
      </w:pPr>
      <w:r>
        <w:rPr>
          <w:b/>
          <w:color w:val="1F4E79"/>
          <w:sz w:val="20"/>
          <w:szCs w:val="20"/>
          <w:lang w:eastAsia="ko-KR"/>
        </w:rPr>
        <w:t xml:space="preserve">구조화 자료로 정하는 속성 값: 운영행위 시각  </w:t>
      </w:r>
      <w:r>
        <w:rPr>
          <w:sz w:val="20"/>
          <w:szCs w:val="20"/>
          <w:lang w:eastAsia="ko-KR"/>
        </w:rPr>
        <w:t xml:space="preserve">Operation 개체는 단계 4에서 비고를 읽어 만들지만, 시각(operationTime)은 글이 아니라 구조화 자료에서 정한다. 승인의 시각과 실제 운영행위 시각은 다르므로, 승인 CSV의 방류시작시간 앞 3시간~뒤 6시간에서 측정자료의 총방류량이 직전보다 1 CMS 또는 10% 이상 변한 시각 중 시작에 가장 가까운 것을 행위 시각으로 한다. 변화가 없으면 승인의 방류시작시간을 쓰고,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이 문헌들의 유사도는 텍스트를 임베딩 벡터로 바꾸어 비교하는 것이며(Li 등은 코사인 유사도), 수위·유입량 같은 수치 상태를 비교하는 기준이나 제한수위 대비 차이, 승인량 대비 비율을 계산하는 방법은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문헌의 코사인 유사도는 두 값의 크기를 보지 않아 이 자료에서는 거의 모든 사례가 1에 가까워 구분되지 않았고, 크기를 반영하는 유클리드 거리로 바꾸어 적용하였다.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세 가지는 한계이다. 현재와 사례의 수위 차 “+7.27 m”는 근거 묶음에 없는 값으로 LLM이 직접 계산하였다. 사례 수를 묻지 않았는데 LLM이 1개로 지정하여 사례가 하나만 제시되었다. 마지막 문장(“임시 기준으로 선정된 사례이며 … 차이가 있습니다”)은 근거 묶음의 유사도 안내를 LLM이 풀어 쓴 것으로, 차이의 크기는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답변의 한계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예시 답변에서 현재와 사례의 수위 차(+7.27 m)를 LLM이 직접 계산하였고, 사례 수를 LLM이 1개로 지정하여 사례가 하나만 제시되었다. 답변에 인용된 나머지 수치와 근거 번호는 근거 묶음과 일치하였다.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프로그램이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