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Морошан Матвей Корнелиович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арифметических инструкций языка ассемблера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Символьные и численные данные в NASM</w:t>
      </w:r>
      <w:r>
        <w:br/>
      </w:r>
      <w:r>
        <w:br/>
      </w:r>
      <w:r>
        <w:rPr>
          <w:rStyle w:val="VerbatimChar"/>
        </w:rPr>
        <w:t xml:space="preserve">2. Выполнение арифметических операций в NASM</w:t>
      </w:r>
      <w:r>
        <w:br/>
      </w:r>
      <w:r>
        <w:br/>
      </w:r>
      <w:r>
        <w:rPr>
          <w:rStyle w:val="VerbatimChar"/>
        </w:rPr>
        <w:t xml:space="preserve">3. Выполнение заданий для самостоятельной работы</w:t>
      </w:r>
    </w:p>
    <w:bookmarkEnd w:id="21"/>
    <w:bookmarkStart w:id="1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74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 лабораторной работы №6, перехожу в него и создаю файл lab6-1.asm (рис. 1)</w:t>
      </w:r>
    </w:p>
    <w:bookmarkStart w:id="25" w:name="fig:001"/>
    <w:p>
      <w:pPr>
        <w:pStyle w:val="CaptionedFigure"/>
      </w:pPr>
      <w:r>
        <w:drawing>
          <wp:inline>
            <wp:extent cx="3733800" cy="499690"/>
            <wp:effectExtent b="0" l="0" r="0" t="0"/>
            <wp:docPr descr="Рис. 1: Создание каталога, переход в него и создание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9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каталога, переход в него и создание файла</w:t>
      </w:r>
    </w:p>
    <w:bookmarkEnd w:id="25"/>
    <w:p>
      <w:pPr>
        <w:pStyle w:val="BodyText"/>
      </w:pPr>
      <w:r>
        <w:t xml:space="preserve">Копирую файл in_out.asm в каталог для лабораторной работы №6 для дальнейшей работы (рис. 2)</w:t>
      </w:r>
    </w:p>
    <w:bookmarkStart w:id="29" w:name="fig:002"/>
    <w:p>
      <w:pPr>
        <w:pStyle w:val="CaptionedFigure"/>
      </w:pPr>
      <w:r>
        <w:drawing>
          <wp:inline>
            <wp:extent cx="3733800" cy="379708"/>
            <wp:effectExtent b="0" l="0" r="0" t="0"/>
            <wp:docPr descr="Рис. 2: Копирование файла in_out.asm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 in_out.asm</w:t>
      </w:r>
    </w:p>
    <w:bookmarkEnd w:id="29"/>
    <w:p>
      <w:pPr>
        <w:pStyle w:val="BodyText"/>
      </w:pPr>
      <w:r>
        <w:t xml:space="preserve">Открываю файл lab6-1.asm и ввожу текст программы из листинга 6.1 (рис. 3)</w:t>
      </w:r>
    </w:p>
    <w:bookmarkStart w:id="33" w:name="fig:003"/>
    <w:p>
      <w:pPr>
        <w:pStyle w:val="CaptionedFigure"/>
      </w:pPr>
      <w:r>
        <w:drawing>
          <wp:inline>
            <wp:extent cx="3733800" cy="1708014"/>
            <wp:effectExtent b="0" l="0" r="0" t="0"/>
            <wp:docPr descr="Рис. 3: Текст программы lab6-1.asm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Текст программы lab6-1.asm</w:t>
      </w:r>
    </w:p>
    <w:bookmarkEnd w:id="33"/>
    <w:p>
      <w:pPr>
        <w:pStyle w:val="BodyText"/>
      </w:pPr>
      <w:r>
        <w:t xml:space="preserve">Создаю исполняемый файл и запускаю его (рис. 4)</w:t>
      </w:r>
    </w:p>
    <w:bookmarkStart w:id="37" w:name="fig:004"/>
    <w:p>
      <w:pPr>
        <w:pStyle w:val="CaptionedFigure"/>
      </w:pPr>
      <w:r>
        <w:drawing>
          <wp:inline>
            <wp:extent cx="3733800" cy="529654"/>
            <wp:effectExtent b="0" l="0" r="0" t="0"/>
            <wp:docPr descr="Рис. 4: Создание и запуск исполняемого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и запуск исполняемого файла</w:t>
      </w:r>
    </w:p>
    <w:bookmarkEnd w:id="37"/>
    <w:p>
      <w:pPr>
        <w:pStyle w:val="BodyText"/>
      </w:pPr>
      <w:r>
        <w:t xml:space="preserve">Изменяю текст программы (рис. 5)</w:t>
      </w:r>
    </w:p>
    <w:bookmarkStart w:id="41" w:name="fig:005"/>
    <w:p>
      <w:pPr>
        <w:pStyle w:val="CaptionedFigure"/>
      </w:pPr>
      <w:r>
        <w:drawing>
          <wp:inline>
            <wp:extent cx="3733800" cy="1624083"/>
            <wp:effectExtent b="0" l="0" r="0" t="0"/>
            <wp:docPr descr="Рис. 5: Измененный текст программ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4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Измененный текст программы</w:t>
      </w:r>
    </w:p>
    <w:bookmarkEnd w:id="41"/>
    <w:p>
      <w:pPr>
        <w:pStyle w:val="BodyText"/>
      </w:pPr>
      <w:r>
        <w:t xml:space="preserve">Снова создаю исполняемый файл и запускаю его. Символ не отображается на экране (рис. 6)</w:t>
      </w:r>
    </w:p>
    <w:bookmarkStart w:id="45" w:name="fig:006"/>
    <w:p>
      <w:pPr>
        <w:pStyle w:val="CaptionedFigure"/>
      </w:pPr>
      <w:r>
        <w:drawing>
          <wp:inline>
            <wp:extent cx="3733800" cy="571607"/>
            <wp:effectExtent b="0" l="0" r="0" t="0"/>
            <wp:docPr descr="Рис. 6: Создание и запуск исполняемого фай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и запуск исполняемого файла</w:t>
      </w:r>
    </w:p>
    <w:bookmarkEnd w:id="45"/>
    <w:p>
      <w:pPr>
        <w:pStyle w:val="BodyText"/>
      </w:pPr>
      <w:r>
        <w:t xml:space="preserve">Создаю файл lab6-2.asm (рис. 7)</w:t>
      </w:r>
    </w:p>
    <w:bookmarkStart w:id="49" w:name="fig:007"/>
    <w:p>
      <w:pPr>
        <w:pStyle w:val="CaptionedFigure"/>
      </w:pPr>
      <w:r>
        <w:drawing>
          <wp:inline>
            <wp:extent cx="3733800" cy="190970"/>
            <wp:effectExtent b="0" l="0" r="0" t="0"/>
            <wp:docPr descr="Рис. 7: Создание файла lab6-2.asm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файла lab6-2.asm</w:t>
      </w:r>
    </w:p>
    <w:bookmarkEnd w:id="49"/>
    <w:p>
      <w:pPr>
        <w:pStyle w:val="BodyText"/>
      </w:pPr>
      <w:r>
        <w:t xml:space="preserve">Ввожу в него текст программы из листинга 6.2 (рис. 8)</w:t>
      </w:r>
    </w:p>
    <w:bookmarkStart w:id="53" w:name="fig:008"/>
    <w:p>
      <w:pPr>
        <w:pStyle w:val="CaptionedFigure"/>
      </w:pPr>
      <w:r>
        <w:drawing>
          <wp:inline>
            <wp:extent cx="3733800" cy="1281633"/>
            <wp:effectExtent b="0" l="0" r="0" t="0"/>
            <wp:docPr descr="Рис. 8: Текст программы lab6-2.asm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1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программы lab6-2.asm</w:t>
      </w:r>
    </w:p>
    <w:bookmarkEnd w:id="53"/>
    <w:p>
      <w:pPr>
        <w:pStyle w:val="BodyText"/>
      </w:pPr>
      <w:r>
        <w:t xml:space="preserve">Создаю исполняемый файл и запускаю его (рис. 9)</w:t>
      </w:r>
    </w:p>
    <w:bookmarkStart w:id="57" w:name="fig:009"/>
    <w:p>
      <w:pPr>
        <w:pStyle w:val="CaptionedFigure"/>
      </w:pPr>
      <w:r>
        <w:drawing>
          <wp:inline>
            <wp:extent cx="3733800" cy="519485"/>
            <wp:effectExtent b="0" l="0" r="0" t="0"/>
            <wp:docPr descr="Рис. 9: Создание исполняемого файла и запуск его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исполняемого файла и запуск его</w:t>
      </w:r>
    </w:p>
    <w:bookmarkEnd w:id="57"/>
    <w:p>
      <w:pPr>
        <w:pStyle w:val="BodyText"/>
      </w:pPr>
      <w:r>
        <w:t xml:space="preserve">Изменяю текст программы (рис. 10)</w:t>
      </w:r>
    </w:p>
    <w:bookmarkStart w:id="61" w:name="fig:010"/>
    <w:p>
      <w:pPr>
        <w:pStyle w:val="CaptionedFigure"/>
      </w:pPr>
      <w:r>
        <w:drawing>
          <wp:inline>
            <wp:extent cx="3733800" cy="1310802"/>
            <wp:effectExtent b="0" l="0" r="0" t="0"/>
            <wp:docPr descr="Рис. 10: Измененный текст программы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Измененный текст программы</w:t>
      </w:r>
    </w:p>
    <w:bookmarkEnd w:id="61"/>
    <w:p>
      <w:pPr>
        <w:pStyle w:val="BodyText"/>
      </w:pPr>
      <w:r>
        <w:t xml:space="preserve">Создаю исполняемый файл и запускаю его (рис. 11)</w:t>
      </w:r>
    </w:p>
    <w:bookmarkStart w:id="65" w:name="fig:011"/>
    <w:p>
      <w:pPr>
        <w:pStyle w:val="CaptionedFigure"/>
      </w:pPr>
      <w:r>
        <w:drawing>
          <wp:inline>
            <wp:extent cx="3733800" cy="518289"/>
            <wp:effectExtent b="0" l="0" r="0" t="0"/>
            <wp:docPr descr="Рис. 11: Создание и запуск файл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и запуск файла</w:t>
      </w:r>
    </w:p>
    <w:bookmarkEnd w:id="65"/>
    <w:p>
      <w:pPr>
        <w:pStyle w:val="BodyText"/>
      </w:pPr>
      <w:r>
        <w:t xml:space="preserve">Изменяю iprintLF на iprint (рис. 12)</w:t>
      </w:r>
    </w:p>
    <w:bookmarkStart w:id="69" w:name="fig:012"/>
    <w:p>
      <w:pPr>
        <w:pStyle w:val="CaptionedFigure"/>
      </w:pPr>
      <w:r>
        <w:drawing>
          <wp:inline>
            <wp:extent cx="3733800" cy="1223415"/>
            <wp:effectExtent b="0" l="0" r="0" t="0"/>
            <wp:docPr descr="Рис. 12: Замена iprintLF на iprint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Замена iprintLF на iprint</w:t>
      </w:r>
    </w:p>
    <w:bookmarkEnd w:id="69"/>
    <w:p>
      <w:pPr>
        <w:pStyle w:val="BodyText"/>
      </w:pPr>
      <w:r>
        <w:t xml:space="preserve">Вновь создаю исполняемый файл и запускаю его. iprint не добавляет переноса строки в отличие от iprintLF (рис. 13)</w:t>
      </w:r>
    </w:p>
    <w:bookmarkStart w:id="73" w:name="fig:013"/>
    <w:p>
      <w:pPr>
        <w:pStyle w:val="CaptionedFigure"/>
      </w:pPr>
      <w:r>
        <w:drawing>
          <wp:inline>
            <wp:extent cx="3733800" cy="540142"/>
            <wp:effectExtent b="0" l="0" r="0" t="0"/>
            <wp:docPr descr="Рис. 13: Создание файла и его запуск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файла и его запуск</w:t>
      </w:r>
    </w:p>
    <w:bookmarkEnd w:id="73"/>
    <w:bookmarkEnd w:id="74"/>
    <w:bookmarkStart w:id="108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(рис. 14)</w:t>
      </w:r>
    </w:p>
    <w:bookmarkStart w:id="78" w:name="fig:014"/>
    <w:p>
      <w:pPr>
        <w:pStyle w:val="CaptionedFigure"/>
      </w:pPr>
      <w:r>
        <w:drawing>
          <wp:inline>
            <wp:extent cx="3733800" cy="180344"/>
            <wp:effectExtent b="0" l="0" r="0" t="0"/>
            <wp:docPr descr="Рис. 14: Создание файла lab6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 lab6-3.asm</w:t>
      </w:r>
    </w:p>
    <w:bookmarkEnd w:id="78"/>
    <w:p>
      <w:pPr>
        <w:pStyle w:val="BodyText"/>
      </w:pPr>
      <w:r>
        <w:t xml:space="preserve">Ввожу текст програмы из листинга 6.3 и ввожу в lab6-3.asm (рис. 15)</w:t>
      </w:r>
    </w:p>
    <w:bookmarkStart w:id="82" w:name="fig:015"/>
    <w:p>
      <w:pPr>
        <w:pStyle w:val="CaptionedFigure"/>
      </w:pPr>
      <w:r>
        <w:drawing>
          <wp:inline>
            <wp:extent cx="3733800" cy="2626754"/>
            <wp:effectExtent b="0" l="0" r="0" t="0"/>
            <wp:docPr descr="Рис. 15: Текст программы lab6-3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6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Текст программы lab6-3.asm</w:t>
      </w:r>
    </w:p>
    <w:bookmarkEnd w:id="82"/>
    <w:p>
      <w:pPr>
        <w:pStyle w:val="BodyText"/>
      </w:pPr>
      <w:r>
        <w:t xml:space="preserve">Создаю исполняемый файл и запускаю его (рис. 16)</w:t>
      </w:r>
    </w:p>
    <w:bookmarkStart w:id="86" w:name="fig:016"/>
    <w:p>
      <w:pPr>
        <w:pStyle w:val="CaptionedFigure"/>
      </w:pPr>
      <w:r>
        <w:drawing>
          <wp:inline>
            <wp:extent cx="3733800" cy="660472"/>
            <wp:effectExtent b="0" l="0" r="0" t="0"/>
            <wp:docPr descr="Рис. 16: Создание и запуск исполняемого файла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0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и запуск исполняемого файла</w:t>
      </w:r>
    </w:p>
    <w:bookmarkEnd w:id="86"/>
    <w:p>
      <w:pPr>
        <w:pStyle w:val="BodyText"/>
      </w:pPr>
      <w:r>
        <w:t xml:space="preserve">Изменяю текст программы для вычисления выражения f(x)=(4*6+2)/5 (рис. 17)</w:t>
      </w:r>
    </w:p>
    <w:bookmarkStart w:id="90" w:name="fig:017"/>
    <w:p>
      <w:pPr>
        <w:pStyle w:val="CaptionedFigure"/>
      </w:pPr>
      <w:r>
        <w:drawing>
          <wp:inline>
            <wp:extent cx="3733800" cy="2660183"/>
            <wp:effectExtent b="0" l="0" r="0" t="0"/>
            <wp:docPr descr="Рис. 17: Текст программы для вычисления выражения f(x)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0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Текст программы для вычисления выражения f(x)</w:t>
      </w:r>
    </w:p>
    <w:bookmarkEnd w:id="90"/>
    <w:p>
      <w:pPr>
        <w:pStyle w:val="BodyText"/>
      </w:pPr>
      <w:r>
        <w:t xml:space="preserve">Создаю исполняемый файл и запускаю его (рис. 18)</w:t>
      </w:r>
    </w:p>
    <w:bookmarkStart w:id="94" w:name="fig:018"/>
    <w:p>
      <w:pPr>
        <w:pStyle w:val="CaptionedFigure"/>
      </w:pPr>
      <w:r>
        <w:drawing>
          <wp:inline>
            <wp:extent cx="3733800" cy="623195"/>
            <wp:effectExtent b="0" l="0" r="0" t="0"/>
            <wp:docPr descr="Рис. 18: Создание и запуск исполняемого файла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3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и запуск исполняемого файла</w:t>
      </w:r>
    </w:p>
    <w:bookmarkEnd w:id="94"/>
    <w:p>
      <w:pPr>
        <w:pStyle w:val="BodyText"/>
      </w:pPr>
      <w:r>
        <w:t xml:space="preserve">Создаю файл variant.asm (рис. 19)</w:t>
      </w:r>
    </w:p>
    <w:bookmarkStart w:id="98" w:name="fig:019"/>
    <w:p>
      <w:pPr>
        <w:pStyle w:val="CaptionedFigure"/>
      </w:pPr>
      <w:r>
        <w:drawing>
          <wp:inline>
            <wp:extent cx="3733800" cy="162057"/>
            <wp:effectExtent b="0" l="0" r="0" t="0"/>
            <wp:docPr descr="Рис. 19: Создание файла variant.asm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файла variant.asm</w:t>
      </w:r>
    </w:p>
    <w:bookmarkEnd w:id="98"/>
    <w:p>
      <w:pPr>
        <w:pStyle w:val="BodyText"/>
      </w:pPr>
      <w:r>
        <w:t xml:space="preserve">Ввожу текст программы из листинга 6.4 в файл variant.asm (рис. 20)</w:t>
      </w:r>
    </w:p>
    <w:bookmarkStart w:id="102" w:name="fig:020"/>
    <w:p>
      <w:pPr>
        <w:pStyle w:val="CaptionedFigure"/>
      </w:pPr>
      <w:r>
        <w:drawing>
          <wp:inline>
            <wp:extent cx="3733800" cy="2517123"/>
            <wp:effectExtent b="0" l="0" r="0" t="0"/>
            <wp:docPr descr="Рис. 20: Текст программы variant.asm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Текст программы variant.asm</w:t>
      </w:r>
    </w:p>
    <w:bookmarkEnd w:id="102"/>
    <w:p>
      <w:pPr>
        <w:pStyle w:val="BodyText"/>
      </w:pPr>
      <w:r>
        <w:t xml:space="preserve">Создаю исполняемый файл и запускаю его (рис. 21)</w:t>
      </w:r>
    </w:p>
    <w:bookmarkStart w:id="106" w:name="fig:021"/>
    <w:p>
      <w:pPr>
        <w:pStyle w:val="CaptionedFigure"/>
      </w:pPr>
      <w:r>
        <w:drawing>
          <wp:inline>
            <wp:extent cx="3733800" cy="732219"/>
            <wp:effectExtent b="0" l="0" r="0" t="0"/>
            <wp:docPr descr="Рис. 21: Создание исполняемого файла и запуск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2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Создание исполняемого файла и запуск</w:t>
      </w:r>
    </w:p>
    <w:bookmarkEnd w:id="106"/>
    <w:bookmarkStart w:id="107" w:name="ответы-на-вопросы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Ответы на вопросы</w:t>
      </w:r>
    </w:p>
    <w:p>
      <w:pPr>
        <w:pStyle w:val="SourceCode"/>
      </w:pPr>
      <w:r>
        <w:rPr>
          <w:rStyle w:val="VerbatimChar"/>
        </w:rPr>
        <w:t xml:space="preserve">1. За вывод на экран сообщения 'Ваш вариант:' отвечают строки листинга:</w:t>
      </w:r>
      <w:r>
        <w:br/>
      </w:r>
      <w:r>
        <w:br/>
      </w: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2. Инструкция mov ecx, x используется, чтобы вложить адрес вводимой строки x в регистр ecx</w:t>
      </w:r>
      <w:r>
        <w:br/>
      </w:r>
      <w:r>
        <w:br/>
      </w:r>
      <w:r>
        <w:rPr>
          <w:rStyle w:val="VerbatimChar"/>
        </w:rPr>
        <w:t xml:space="preserve">Инструкция mov edx, 80 - это запись в регистр edx длины вводимой строки</w:t>
      </w:r>
      <w:r>
        <w:br/>
      </w:r>
      <w:r>
        <w:br/>
      </w:r>
      <w:r>
        <w:rPr>
          <w:rStyle w:val="VerbatimChar"/>
        </w:rPr>
        <w:t xml:space="preserve">Инструкция call sread - вызов подпрограммы из внешнего файла, обеспечивающей</w:t>
      </w:r>
      <w:r>
        <w:br/>
      </w:r>
      <w:r>
        <w:rPr>
          <w:rStyle w:val="VerbatimChar"/>
        </w:rPr>
        <w:t xml:space="preserve">ввод сообщения с клавиатуры</w:t>
      </w:r>
      <w:r>
        <w:br/>
      </w:r>
      <w:r>
        <w:br/>
      </w:r>
      <w:r>
        <w:rPr>
          <w:rStyle w:val="VerbatimChar"/>
        </w:rPr>
        <w:t xml:space="preserve">3. Инструкция call atoi используется для вызова подпрограммы из внешнего файла, которая </w:t>
      </w:r>
      <w:r>
        <w:br/>
      </w:r>
      <w:r>
        <w:rPr>
          <w:rStyle w:val="VerbatimChar"/>
        </w:rPr>
        <w:t xml:space="preserve">преобразует ascii-код символа в целое число и записывает результат в регистр eax</w:t>
      </w:r>
      <w:r>
        <w:br/>
      </w:r>
      <w:r>
        <w:br/>
      </w:r>
      <w:r>
        <w:rPr>
          <w:rStyle w:val="VerbatimChar"/>
        </w:rPr>
        <w:t xml:space="preserve">4. За вычисление варианта отвечают строки:</w:t>
      </w:r>
      <w:r>
        <w:br/>
      </w:r>
      <w:r>
        <w:br/>
      </w: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  <w:r>
        <w:br/>
      </w:r>
      <w:r>
        <w:br/>
      </w:r>
      <w:r>
        <w:rPr>
          <w:rStyle w:val="VerbatimChar"/>
        </w:rPr>
        <w:t xml:space="preserve">5. Остаток от деления при выполнении иструкции div ebx записывается в регистр edx</w:t>
      </w:r>
      <w:r>
        <w:br/>
      </w:r>
      <w:r>
        <w:br/>
      </w:r>
      <w:r>
        <w:rPr>
          <w:rStyle w:val="VerbatimChar"/>
        </w:rPr>
        <w:t xml:space="preserve">6. Инструкция inc edx увеличивает значение регистра edx на 1</w:t>
      </w:r>
      <w:r>
        <w:br/>
      </w:r>
      <w:r>
        <w:br/>
      </w:r>
      <w:r>
        <w:rPr>
          <w:rStyle w:val="VerbatimChar"/>
        </w:rPr>
        <w:t xml:space="preserve">7. За вывод на экран результата вычислений отвечают следующие строки:</w:t>
      </w:r>
      <w:r>
        <w:br/>
      </w:r>
      <w:r>
        <w:br/>
      </w:r>
      <w:r>
        <w:rPr>
          <w:rStyle w:val="VerbatimChar"/>
        </w:rPr>
        <w:t xml:space="preserve">mov eax,edx</w:t>
      </w:r>
      <w:r>
        <w:br/>
      </w:r>
      <w:r>
        <w:rPr>
          <w:rStyle w:val="VerbatimChar"/>
        </w:rPr>
        <w:t xml:space="preserve">call iprintLF</w:t>
      </w:r>
    </w:p>
    <w:bookmarkEnd w:id="107"/>
    <w:bookmarkEnd w:id="108"/>
    <w:bookmarkStart w:id="121" w:name="X32ff26b75a7156f968f22ae721fd8fec4b51e1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для выполнения в нем заданий для самостоятельной работы (рис. 22)</w:t>
      </w:r>
    </w:p>
    <w:bookmarkStart w:id="112" w:name="fig:022"/>
    <w:p>
      <w:pPr>
        <w:pStyle w:val="CaptionedFigure"/>
      </w:pPr>
      <w:r>
        <w:drawing>
          <wp:inline>
            <wp:extent cx="3733800" cy="124633"/>
            <wp:effectExtent b="0" l="0" r="0" t="0"/>
            <wp:docPr descr="Рис. 22: Создание файла для самостоятельной работы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Создание файла для самостоятельной работы</w:t>
      </w:r>
    </w:p>
    <w:bookmarkEnd w:id="112"/>
    <w:p>
      <w:pPr>
        <w:pStyle w:val="BodyText"/>
      </w:pPr>
      <w:r>
        <w:t xml:space="preserve">Вписываю текст программы в файл для f(x)=4/3(x-1)+5 (рис. 23)</w:t>
      </w:r>
    </w:p>
    <w:bookmarkStart w:id="116" w:name="fig:023"/>
    <w:p>
      <w:pPr>
        <w:pStyle w:val="CaptionedFigure"/>
      </w:pPr>
      <w:r>
        <w:drawing>
          <wp:inline>
            <wp:extent cx="3733800" cy="2803332"/>
            <wp:effectExtent b="0" l="0" r="0" t="0"/>
            <wp:docPr descr="Рис. 23: Текст программы для заданной функции" title="" id="114" name="Picture"/>
            <a:graphic>
              <a:graphicData uri="http://schemas.openxmlformats.org/drawingml/2006/picture">
                <pic:pic>
                  <pic:nvPicPr>
                    <pic:cNvPr descr="image/2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3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Текст программы для заданной функции</w:t>
      </w:r>
    </w:p>
    <w:bookmarkEnd w:id="116"/>
    <w:p>
      <w:pPr>
        <w:pStyle w:val="BodyText"/>
      </w:pPr>
      <w:r>
        <w:t xml:space="preserve">Создаю файл и запускаю его. Ввожу значения x=4 и x=10 и получаю результат (рис. 24)</w:t>
      </w:r>
    </w:p>
    <w:bookmarkStart w:id="120" w:name="fig:024"/>
    <w:p>
      <w:pPr>
        <w:pStyle w:val="CaptionedFigure"/>
      </w:pPr>
      <w:r>
        <w:drawing>
          <wp:inline>
            <wp:extent cx="3733800" cy="984268"/>
            <wp:effectExtent b="0" l="0" r="0" t="0"/>
            <wp:docPr descr="Рис. 24: Результат работы" title="" id="118" name="Picture"/>
            <a:graphic>
              <a:graphicData uri="http://schemas.openxmlformats.org/drawingml/2006/picture">
                <pic:pic>
                  <pic:nvPicPr>
                    <pic:cNvPr descr="image/24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4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Результат работы</w:t>
      </w:r>
    </w:p>
    <w:bookmarkEnd w:id="120"/>
    <w:bookmarkEnd w:id="121"/>
    <w:bookmarkEnd w:id="122"/>
    <w:bookmarkStart w:id="1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арифметические инструкции языка ассемблера NASM</w:t>
      </w:r>
    </w:p>
    <w:bookmarkEnd w:id="1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Морошан Матвей Корнелиович</dc:creator>
  <dc:language>ru-RU</dc:language>
  <cp:keywords/>
  <dcterms:created xsi:type="dcterms:W3CDTF">2024-11-15T09:15:01Z</dcterms:created>
  <dcterms:modified xsi:type="dcterms:W3CDTF">2024-11-15T09:15:01Z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onofont">
    <vt:lpwstr>IBM Plex Mono</vt:lpwstr>
  </property>
  <property fmtid="{D5CDD505-2E9C-101B-9397-08002B2CF9AE}" pid="60" name="monofontoptions">
    <vt:lpwstr>Scale=MatchLowercase,Scale=0.94,FakeStretch=0.9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IBM Plex Serif</vt:lpwstr>
  </property>
  <property fmtid="{D5CDD505-2E9C-101B-9397-08002B2CF9AE}" pid="71" name="romanfontoptions">
    <vt:lpwstr>Ligatures=Common,Ligatures=TeX,Scale=0.94</vt:lpwstr>
  </property>
  <property fmtid="{D5CDD505-2E9C-101B-9397-08002B2CF9AE}" pid="72" name="sansfont">
    <vt:lpwstr>IBM Plex Sans</vt:lpwstr>
  </property>
  <property fmtid="{D5CDD505-2E9C-101B-9397-08002B2CF9AE}" pid="73" name="sansfontoptions">
    <vt:lpwstr>Ligatures=Common,Ligatures=TeX,Scale=MatchLowercase,Scale=0.94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компьютера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