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30.jpg" ContentType="image/jpeg"/>
  <Override PartName="/word/media/rId14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Морошан Матвей Корнелиович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написания программ с использованием подпрограмм и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Реализация подпрограмм в NASM</w:t>
      </w:r>
      <w:r>
        <w:br/>
      </w:r>
      <w:r>
        <w:br/>
      </w:r>
      <w:r>
        <w:rPr>
          <w:rStyle w:val="VerbatimChar"/>
        </w:rPr>
        <w:t xml:space="preserve">2. Отладка программам с помощью GDB</w:t>
      </w:r>
      <w:r>
        <w:br/>
      </w:r>
      <w:r>
        <w:br/>
      </w:r>
      <w:r>
        <w:rPr>
          <w:rStyle w:val="VerbatimChar"/>
        </w:rPr>
        <w:t xml:space="preserve">3. Выполнение заданий для самостоятельной работы</w:t>
      </w:r>
    </w:p>
    <w:bookmarkEnd w:id="21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6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№9, перехожу в него и создаю файл (рис. 1).</w:t>
      </w:r>
    </w:p>
    <w:bookmarkStart w:id="25" w:name="fig:001"/>
    <w:p>
      <w:pPr>
        <w:pStyle w:val="CaptionedFigure"/>
      </w:pPr>
      <w:r>
        <w:drawing>
          <wp:inline>
            <wp:extent cx="3733800" cy="491836"/>
            <wp:effectExtent b="0" l="0" r="0" t="0"/>
            <wp:docPr descr="Рис. 1: Создание каталога, перехожу в него, создаю файл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1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каталога, перехожу в него, создаю файл</w:t>
      </w:r>
    </w:p>
    <w:bookmarkEnd w:id="25"/>
    <w:p>
      <w:pPr>
        <w:pStyle w:val="BodyText"/>
      </w:pPr>
      <w:r>
        <w:t xml:space="preserve">Копирую файл in_out.asm из загрузок в каталог для выполнения лабораторной работы №9 (рис. 2)</w:t>
      </w:r>
    </w:p>
    <w:bookmarkStart w:id="29" w:name="fig:002"/>
    <w:p>
      <w:pPr>
        <w:pStyle w:val="CaptionedFigure"/>
      </w:pPr>
      <w:r>
        <w:drawing>
          <wp:inline>
            <wp:extent cx="3733800" cy="378173"/>
            <wp:effectExtent b="0" l="0" r="0" t="0"/>
            <wp:docPr descr="Рис. 2: Копирование in_out.asm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in_out.asm</w:t>
      </w:r>
    </w:p>
    <w:bookmarkEnd w:id="29"/>
    <w:p>
      <w:pPr>
        <w:pStyle w:val="BodyText"/>
      </w:pPr>
      <w:r>
        <w:t xml:space="preserve">Ввожу текст программы из листинга 9.1 в файл lab09-1.asm (рис. 3)</w:t>
      </w:r>
    </w:p>
    <w:bookmarkStart w:id="33" w:name="fig:003"/>
    <w:p>
      <w:pPr>
        <w:pStyle w:val="CaptionedFigure"/>
      </w:pPr>
      <w:r>
        <w:drawing>
          <wp:inline>
            <wp:extent cx="3733800" cy="3464136"/>
            <wp:effectExtent b="0" l="0" r="0" t="0"/>
            <wp:docPr descr="Рис. 3: Текст программы lab09-1.asm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4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Текст программы lab09-1.asm</w:t>
      </w:r>
    </w:p>
    <w:bookmarkEnd w:id="33"/>
    <w:p>
      <w:pPr>
        <w:pStyle w:val="BodyText"/>
      </w:pPr>
      <w:r>
        <w:t xml:space="preserve">Создаю исполняемый файл и запускаю (рис. 4)</w:t>
      </w:r>
    </w:p>
    <w:bookmarkStart w:id="37" w:name="fig:004"/>
    <w:p>
      <w:pPr>
        <w:pStyle w:val="CaptionedFigure"/>
      </w:pPr>
      <w:r>
        <w:drawing>
          <wp:inline>
            <wp:extent cx="3733800" cy="624062"/>
            <wp:effectExtent b="0" l="0" r="0" t="0"/>
            <wp:docPr descr="Рис. 4: Создание исполняемого файла и запуск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исполняемого файла и запуск</w:t>
      </w:r>
    </w:p>
    <w:bookmarkEnd w:id="37"/>
    <w:p>
      <w:pPr>
        <w:pStyle w:val="BodyText"/>
      </w:pPr>
      <w:r>
        <w:t xml:space="preserve">Изменяю текст программы для функции f(g(x)) (рис. 5)</w:t>
      </w:r>
    </w:p>
    <w:bookmarkStart w:id="41" w:name="fig:005"/>
    <w:p>
      <w:pPr>
        <w:pStyle w:val="CaptionedFigure"/>
      </w:pPr>
      <w:r>
        <w:drawing>
          <wp:inline>
            <wp:extent cx="3733800" cy="4291018"/>
            <wp:effectExtent b="0" l="0" r="0" t="0"/>
            <wp:docPr descr="Рис. 5: Измененный текст программы lab09-1.asm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1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Измененный текст программы lab09-1.asm</w:t>
      </w:r>
    </w:p>
    <w:bookmarkEnd w:id="41"/>
    <w:p>
      <w:pPr>
        <w:pStyle w:val="BodyText"/>
      </w:pPr>
      <w:r>
        <w:t xml:space="preserve">Создаю исполняемый файл и запускаю его (рис. 6)</w:t>
      </w:r>
    </w:p>
    <w:bookmarkStart w:id="45" w:name="fig:006"/>
    <w:p>
      <w:pPr>
        <w:pStyle w:val="CaptionedFigure"/>
      </w:pPr>
      <w:r>
        <w:drawing>
          <wp:inline>
            <wp:extent cx="3733800" cy="839583"/>
            <wp:effectExtent b="0" l="0" r="0" t="0"/>
            <wp:docPr descr="Рис. 6: Результат работы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Результат работы</w:t>
      </w:r>
    </w:p>
    <w:bookmarkEnd w:id="45"/>
    <w:bookmarkEnd w:id="46"/>
    <w:bookmarkStart w:id="119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 с текстом программы из листинга 9.2 (рис. 7)</w:t>
      </w:r>
    </w:p>
    <w:bookmarkStart w:id="50" w:name="fig:007"/>
    <w:p>
      <w:pPr>
        <w:pStyle w:val="CaptionedFigure"/>
      </w:pPr>
      <w:r>
        <w:drawing>
          <wp:inline>
            <wp:extent cx="3733800" cy="238908"/>
            <wp:effectExtent b="0" l="0" r="0" t="0"/>
            <wp:docPr descr="Рис. 7: Создание lab09-2.asm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lab09-2.asm</w:t>
      </w:r>
    </w:p>
    <w:bookmarkEnd w:id="50"/>
    <w:p>
      <w:pPr>
        <w:pStyle w:val="BodyText"/>
      </w:pPr>
      <w:r>
        <w:t xml:space="preserve">Текст программы lab09-2.asm (рис. 8)</w:t>
      </w:r>
    </w:p>
    <w:bookmarkStart w:id="54" w:name="fig:008"/>
    <w:p>
      <w:pPr>
        <w:pStyle w:val="CaptionedFigure"/>
      </w:pPr>
      <w:r>
        <w:drawing>
          <wp:inline>
            <wp:extent cx="3733800" cy="2164941"/>
            <wp:effectExtent b="0" l="0" r="0" t="0"/>
            <wp:docPr descr="Рис. 8: Текст программы lab09-2.asm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4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Текст программы lab09-2.asm</w:t>
      </w:r>
    </w:p>
    <w:bookmarkEnd w:id="54"/>
    <w:p>
      <w:pPr>
        <w:pStyle w:val="BodyText"/>
      </w:pPr>
      <w:r>
        <w:t xml:space="preserve">Получаю исполняемый файл и провожу трансляцию с ключом -g, загружаю исполняемый файл в отладчик gdb. Также проверяю работу программы, запустив ее в оболочке GDB с помощью команды run (рис. 9)</w:t>
      </w:r>
    </w:p>
    <w:bookmarkStart w:id="58" w:name="fig:009"/>
    <w:p>
      <w:pPr>
        <w:pStyle w:val="CaptionedFigure"/>
      </w:pPr>
      <w:r>
        <w:drawing>
          <wp:inline>
            <wp:extent cx="3733800" cy="2638224"/>
            <wp:effectExtent b="0" l="0" r="0" t="0"/>
            <wp:docPr descr="Рис. 9: Трансляция, загрузка в gdb и проверка работы программы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Трансляция, загрузка в gdb и проверка работы программы</w:t>
      </w:r>
    </w:p>
    <w:bookmarkEnd w:id="58"/>
    <w:p>
      <w:pPr>
        <w:pStyle w:val="BodyText"/>
      </w:pPr>
      <w:r>
        <w:t xml:space="preserve">Устанавливаю брейкпоинт на метку _start и запускаю (рис. 10)</w:t>
      </w:r>
    </w:p>
    <w:bookmarkStart w:id="62" w:name="fig:010"/>
    <w:p>
      <w:pPr>
        <w:pStyle w:val="CaptionedFigure"/>
      </w:pPr>
      <w:r>
        <w:drawing>
          <wp:inline>
            <wp:extent cx="3733800" cy="841935"/>
            <wp:effectExtent b="0" l="0" r="0" t="0"/>
            <wp:docPr descr="Рис. 10: Брейкпоинт на метку _start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1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Брейкпоинт на метку _start</w:t>
      </w:r>
    </w:p>
    <w:bookmarkEnd w:id="62"/>
    <w:p>
      <w:pPr>
        <w:pStyle w:val="BodyText"/>
      </w:pPr>
      <w:r>
        <w:t xml:space="preserve">Смотрю дисассимилированный код программы с помощью команды disassemble с метки _start (рис. 11)</w:t>
      </w:r>
    </w:p>
    <w:bookmarkStart w:id="66" w:name="fig:011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11: Дисассимилированный код программы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Дисассимилированный код программы</w:t>
      </w:r>
    </w:p>
    <w:bookmarkEnd w:id="66"/>
    <w:p>
      <w:pPr>
        <w:pStyle w:val="BodyText"/>
      </w:pPr>
      <w:r>
        <w:t xml:space="preserve">Переключаюсь на отображение команд с Intel’овским синтаксисом, введя команду set disassembly-flavor intel (рис. 12)</w:t>
      </w:r>
    </w:p>
    <w:bookmarkStart w:id="70" w:name="fig:012"/>
    <w:p>
      <w:pPr>
        <w:pStyle w:val="CaptionedFigure"/>
      </w:pPr>
      <w:r>
        <w:drawing>
          <wp:inline>
            <wp:extent cx="3733800" cy="3235960"/>
            <wp:effectExtent b="0" l="0" r="0" t="0"/>
            <wp:docPr descr="Рис. 12: Переключение на отображение команд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Переключение на отображение команд</w:t>
      </w:r>
    </w:p>
    <w:bookmarkEnd w:id="70"/>
    <w:p>
      <w:pPr>
        <w:pStyle w:val="BodyText"/>
      </w:pPr>
      <w:r>
        <w:t xml:space="preserve">Включаю режим псевдографики для более удобного анализа команды (рис. 13)</w:t>
      </w:r>
    </w:p>
    <w:bookmarkStart w:id="74" w:name="fig:013"/>
    <w:p>
      <w:pPr>
        <w:pStyle w:val="CaptionedFigure"/>
      </w:pPr>
      <w:r>
        <w:drawing>
          <wp:inline>
            <wp:extent cx="3733800" cy="3214639"/>
            <wp:effectExtent b="0" l="0" r="0" t="0"/>
            <wp:docPr descr="Рис. 13: Режим псевдографики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Режим псевдографики</w:t>
      </w:r>
    </w:p>
    <w:bookmarkEnd w:id="74"/>
    <w:p>
      <w:pPr>
        <w:pStyle w:val="BodyText"/>
      </w:pPr>
      <w:r>
        <w:t xml:space="preserve">С помощью info breakpoints проверяю установку точек останова по имени метки на предыдущих шагах (рис. 14)</w:t>
      </w:r>
    </w:p>
    <w:bookmarkStart w:id="78" w:name="fig:014"/>
    <w:p>
      <w:pPr>
        <w:pStyle w:val="CaptionedFigure"/>
      </w:pPr>
      <w:r>
        <w:drawing>
          <wp:inline>
            <wp:extent cx="3733800" cy="3239559"/>
            <wp:effectExtent b="0" l="0" r="0" t="0"/>
            <wp:docPr descr="Рис. 14: Команда info break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info break</w:t>
      </w:r>
    </w:p>
    <w:bookmarkEnd w:id="78"/>
    <w:p>
      <w:pPr>
        <w:pStyle w:val="BodyText"/>
      </w:pPr>
      <w:r>
        <w:t xml:space="preserve">Устанавливаю точку останова и смотрю информацию о всех установленных точках останова (рис. 15)</w:t>
      </w:r>
    </w:p>
    <w:bookmarkStart w:id="82" w:name="fig:015"/>
    <w:p>
      <w:pPr>
        <w:pStyle w:val="CaptionedFigure"/>
      </w:pPr>
      <w:r>
        <w:drawing>
          <wp:inline>
            <wp:extent cx="3733800" cy="1281340"/>
            <wp:effectExtent b="0" l="0" r="0" t="0"/>
            <wp:docPr descr="Рис. 15: Установка точки останова и просмотр информации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точки останова и просмотр информации</w:t>
      </w:r>
    </w:p>
    <w:bookmarkEnd w:id="82"/>
    <w:p>
      <w:pPr>
        <w:pStyle w:val="BodyText"/>
      </w:pPr>
      <w:r>
        <w:t xml:space="preserve">Выполняю команду si (рис. 16)</w:t>
      </w:r>
    </w:p>
    <w:bookmarkStart w:id="86" w:name="fig:016"/>
    <w:p>
      <w:pPr>
        <w:pStyle w:val="CaptionedFigure"/>
      </w:pPr>
      <w:r>
        <w:drawing>
          <wp:inline>
            <wp:extent cx="3733800" cy="4081515"/>
            <wp:effectExtent b="0" l="0" r="0" t="0"/>
            <wp:docPr descr="Рис. 16: Команда si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1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si</w:t>
      </w:r>
    </w:p>
    <w:bookmarkEnd w:id="86"/>
    <w:p>
      <w:pPr>
        <w:pStyle w:val="BodyText"/>
      </w:pPr>
      <w:r>
        <w:t xml:space="preserve">Результат команды info registers (рис. 17)</w:t>
      </w:r>
    </w:p>
    <w:bookmarkStart w:id="90" w:name="fig:017"/>
    <w:p>
      <w:pPr>
        <w:pStyle w:val="CaptionedFigure"/>
      </w:pPr>
      <w:r>
        <w:drawing>
          <wp:inline>
            <wp:extent cx="3733800" cy="4081515"/>
            <wp:effectExtent b="0" l="0" r="0" t="0"/>
            <wp:docPr descr="Рис. 17: info registers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1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info registers</w:t>
      </w:r>
    </w:p>
    <w:bookmarkEnd w:id="90"/>
    <w:p>
      <w:pPr>
        <w:pStyle w:val="BodyText"/>
      </w:pPr>
      <w:r>
        <w:t xml:space="preserve">Смотрю значение переменной msg1 (рис. 18)</w:t>
      </w:r>
    </w:p>
    <w:bookmarkStart w:id="94" w:name="fig:018"/>
    <w:p>
      <w:pPr>
        <w:pStyle w:val="CaptionedFigure"/>
      </w:pPr>
      <w:r>
        <w:drawing>
          <wp:inline>
            <wp:extent cx="3733800" cy="4081515"/>
            <wp:effectExtent b="0" l="0" r="0" t="0"/>
            <wp:docPr descr="Рис. 18: Значение переменной msg1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1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Значение переменной msg1</w:t>
      </w:r>
    </w:p>
    <w:bookmarkEnd w:id="94"/>
    <w:p>
      <w:pPr>
        <w:pStyle w:val="BodyText"/>
      </w:pPr>
      <w:r>
        <w:t xml:space="preserve">Смотрю значение переменной msg2 и изменяю первый символ переменной msg1 (рис. 19)</w:t>
      </w:r>
    </w:p>
    <w:bookmarkStart w:id="98" w:name="fig:019"/>
    <w:p>
      <w:pPr>
        <w:pStyle w:val="CaptionedFigure"/>
      </w:pPr>
      <w:r>
        <w:drawing>
          <wp:inline>
            <wp:extent cx="3733800" cy="4081515"/>
            <wp:effectExtent b="0" l="0" r="0" t="0"/>
            <wp:docPr descr="Рис. 19: Значение msg2 и изменение первого символа msg1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1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Значение msg2 и изменение первого символа msg1</w:t>
      </w:r>
    </w:p>
    <w:bookmarkEnd w:id="98"/>
    <w:p>
      <w:pPr>
        <w:pStyle w:val="BodyText"/>
      </w:pPr>
      <w:r>
        <w:t xml:space="preserve">Использую команду print (рис. 20)</w:t>
      </w:r>
    </w:p>
    <w:bookmarkStart w:id="102" w:name="fig:020"/>
    <w:p>
      <w:pPr>
        <w:pStyle w:val="CaptionedFigure"/>
      </w:pPr>
      <w:r>
        <w:drawing>
          <wp:inline>
            <wp:extent cx="3733800" cy="4160165"/>
            <wp:effectExtent b="0" l="0" r="0" t="0"/>
            <wp:docPr descr="Рис. 20: Команда print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0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print</w:t>
      </w:r>
    </w:p>
    <w:bookmarkEnd w:id="102"/>
    <w:p>
      <w:pPr>
        <w:pStyle w:val="BodyText"/>
      </w:pPr>
      <w:r>
        <w:t xml:space="preserve">Продолжаю и выхожу (рис. 21)</w:t>
      </w:r>
    </w:p>
    <w:bookmarkStart w:id="106" w:name="fig:021"/>
    <w:p>
      <w:pPr>
        <w:pStyle w:val="CaptionedFigure"/>
      </w:pPr>
      <w:r>
        <w:drawing>
          <wp:inline>
            <wp:extent cx="3733800" cy="4160165"/>
            <wp:effectExtent b="0" l="0" r="0" t="0"/>
            <wp:docPr descr="Рис. 21: Продолжение и выход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0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Продолжение и выход</w:t>
      </w:r>
    </w:p>
    <w:bookmarkEnd w:id="106"/>
    <w:p>
      <w:pPr>
        <w:pStyle w:val="BodyText"/>
      </w:pPr>
      <w:r>
        <w:t xml:space="preserve">Копирую файл lab8-2.asm в файл с именем lab09-3.asm (рис. 22)</w:t>
      </w:r>
    </w:p>
    <w:bookmarkStart w:id="110" w:name="fig:022"/>
    <w:p>
      <w:pPr>
        <w:pStyle w:val="CaptionedFigure"/>
      </w:pPr>
      <w:r>
        <w:drawing>
          <wp:inline>
            <wp:extent cx="3733800" cy="189784"/>
            <wp:effectExtent b="0" l="0" r="0" t="0"/>
            <wp:docPr descr="Рис. 22: Копирование в файл lab09-3.asm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Копирование в файл lab09-3.asm</w:t>
      </w:r>
    </w:p>
    <w:bookmarkEnd w:id="110"/>
    <w:p>
      <w:pPr>
        <w:pStyle w:val="BodyText"/>
      </w:pPr>
      <w:r>
        <w:t xml:space="preserve">Создаю исполняемый файл, загружаю исполняемый файл в откладчик, указав аргументы. Устанавливаю точку останова перед первой инструкцией в программе и запускаю (рис. 23)</w:t>
      </w:r>
    </w:p>
    <w:bookmarkStart w:id="114" w:name="fig:023"/>
    <w:p>
      <w:pPr>
        <w:pStyle w:val="CaptionedFigure"/>
      </w:pPr>
      <w:r>
        <w:drawing>
          <wp:inline>
            <wp:extent cx="3733800" cy="2772501"/>
            <wp:effectExtent b="0" l="0" r="0" t="0"/>
            <wp:docPr descr="Рис. 23: Исполняемый файл, загрузка в откладчик, установка точки останова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Исполняемый файл, загрузка в откладчик, установка точки останова</w:t>
      </w:r>
    </w:p>
    <w:bookmarkEnd w:id="114"/>
    <w:p>
      <w:pPr>
        <w:pStyle w:val="BodyText"/>
      </w:pPr>
      <w:r>
        <w:t xml:space="preserve">Элементы расположены с интервалом в 4 единицы т.к стек может хранить до 4 байт (рис. 24)</w:t>
      </w:r>
    </w:p>
    <w:bookmarkStart w:id="118" w:name="fig:024"/>
    <w:p>
      <w:pPr>
        <w:pStyle w:val="CaptionedFigure"/>
      </w:pPr>
      <w:r>
        <w:drawing>
          <wp:inline>
            <wp:extent cx="3733800" cy="1387498"/>
            <wp:effectExtent b="0" l="0" r="0" t="0"/>
            <wp:docPr descr="Рис. 24: Позиции стека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7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Позиции стека</w:t>
      </w:r>
    </w:p>
    <w:bookmarkEnd w:id="118"/>
    <w:bookmarkEnd w:id="119"/>
    <w:bookmarkStart w:id="156" w:name="X32ff26b75a7156f968f22ae721fd8fec4b51e1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файл lab09-4.asm для задания 1 (рис. 25)</w:t>
      </w:r>
    </w:p>
    <w:bookmarkStart w:id="123" w:name="fig:025"/>
    <w:p>
      <w:pPr>
        <w:pStyle w:val="CaptionedFigure"/>
      </w:pPr>
      <w:r>
        <w:drawing>
          <wp:inline>
            <wp:extent cx="3733800" cy="235041"/>
            <wp:effectExtent b="0" l="0" r="0" t="0"/>
            <wp:docPr descr="Рис. 25: Создание файла lab09-4" title="" id="121" name="Picture"/>
            <a:graphic>
              <a:graphicData uri="http://schemas.openxmlformats.org/drawingml/2006/picture">
                <pic:pic>
                  <pic:nvPicPr>
                    <pic:cNvPr descr="image/2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файла lab09-4</w:t>
      </w:r>
    </w:p>
    <w:bookmarkEnd w:id="123"/>
    <w:p>
      <w:pPr>
        <w:pStyle w:val="BodyText"/>
      </w:pPr>
      <w:r>
        <w:t xml:space="preserve">Изменяю программу, реализовав вычисление значения функции f(x) как подпрограмму (рис. 26)</w:t>
      </w:r>
    </w:p>
    <w:bookmarkStart w:id="127" w:name="fig:026"/>
    <w:p>
      <w:pPr>
        <w:pStyle w:val="CaptionedFigure"/>
      </w:pPr>
      <w:r>
        <w:drawing>
          <wp:inline>
            <wp:extent cx="3733800" cy="3266558"/>
            <wp:effectExtent b="0" l="0" r="0" t="0"/>
            <wp:docPr descr="Рис. 26: Изменение программы" title="" id="125" name="Picture"/>
            <a:graphic>
              <a:graphicData uri="http://schemas.openxmlformats.org/drawingml/2006/picture">
                <pic:pic>
                  <pic:nvPicPr>
                    <pic:cNvPr descr="image/2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Изменение программы</w:t>
      </w:r>
    </w:p>
    <w:bookmarkEnd w:id="127"/>
    <w:p>
      <w:pPr>
        <w:pStyle w:val="BodyText"/>
      </w:pPr>
      <w:r>
        <w:t xml:space="preserve">Создаю исполняемый файл и проверяю работу программы (рис. 27)</w:t>
      </w:r>
    </w:p>
    <w:bookmarkStart w:id="131" w:name="fig:027"/>
    <w:p>
      <w:pPr>
        <w:pStyle w:val="CaptionedFigure"/>
      </w:pPr>
      <w:r>
        <w:drawing>
          <wp:inline>
            <wp:extent cx="3733800" cy="1030934"/>
            <wp:effectExtent b="0" l="0" r="0" t="0"/>
            <wp:docPr descr="Рис. 27: Создание исполняемого файла и запуск" title="" id="129" name="Picture"/>
            <a:graphic>
              <a:graphicData uri="http://schemas.openxmlformats.org/drawingml/2006/picture">
                <pic:pic>
                  <pic:nvPicPr>
                    <pic:cNvPr descr="image/2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исполняемого файла и запуск</w:t>
      </w:r>
    </w:p>
    <w:bookmarkEnd w:id="131"/>
    <w:p>
      <w:pPr>
        <w:pStyle w:val="BodyText"/>
      </w:pPr>
      <w:r>
        <w:t xml:space="preserve">Создаю файл lab09-5.asm для задания 2 (рис. 28)</w:t>
      </w:r>
    </w:p>
    <w:bookmarkStart w:id="135" w:name="fig:028"/>
    <w:p>
      <w:pPr>
        <w:pStyle w:val="CaptionedFigure"/>
      </w:pPr>
      <w:r>
        <w:drawing>
          <wp:inline>
            <wp:extent cx="3733800" cy="212223"/>
            <wp:effectExtent b="0" l="0" r="0" t="0"/>
            <wp:docPr descr="Рис. 28: Создание файла lab09-5" title="" id="133" name="Picture"/>
            <a:graphic>
              <a:graphicData uri="http://schemas.openxmlformats.org/drawingml/2006/picture">
                <pic:pic>
                  <pic:nvPicPr>
                    <pic:cNvPr descr="image/2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файла lab09-5</w:t>
      </w:r>
    </w:p>
    <w:bookmarkEnd w:id="135"/>
    <w:p>
      <w:pPr>
        <w:pStyle w:val="BodyText"/>
      </w:pPr>
      <w:r>
        <w:t xml:space="preserve">Ввожу текст программы из листинга 9.3 (рис. 29)</w:t>
      </w:r>
    </w:p>
    <w:bookmarkStart w:id="139" w:name="fig:029"/>
    <w:p>
      <w:pPr>
        <w:pStyle w:val="CaptionedFigure"/>
      </w:pPr>
      <w:r>
        <w:drawing>
          <wp:inline>
            <wp:extent cx="3733800" cy="2164941"/>
            <wp:effectExtent b="0" l="0" r="0" t="0"/>
            <wp:docPr descr="Рис. 29: Текст программы" title="" id="137" name="Picture"/>
            <a:graphic>
              <a:graphicData uri="http://schemas.openxmlformats.org/drawingml/2006/picture">
                <pic:pic>
                  <pic:nvPicPr>
                    <pic:cNvPr descr="image/2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4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Текст программы</w:t>
      </w:r>
    </w:p>
    <w:bookmarkEnd w:id="139"/>
    <w:p>
      <w:pPr>
        <w:pStyle w:val="BodyText"/>
      </w:pPr>
      <w:r>
        <w:t xml:space="preserve">Создаю исполняемый файл и проверяю, что программа выдает ошибку (рис. 30)</w:t>
      </w:r>
    </w:p>
    <w:bookmarkStart w:id="143" w:name="fig:030"/>
    <w:p>
      <w:pPr>
        <w:pStyle w:val="CaptionedFigure"/>
      </w:pPr>
      <w:r>
        <w:drawing>
          <wp:inline>
            <wp:extent cx="3733800" cy="528118"/>
            <wp:effectExtent b="0" l="0" r="0" t="0"/>
            <wp:docPr descr="Рис. 30: Проверка программы" title="" id="141" name="Picture"/>
            <a:graphic>
              <a:graphicData uri="http://schemas.openxmlformats.org/drawingml/2006/picture">
                <pic:pic>
                  <pic:nvPicPr>
                    <pic:cNvPr descr="image/3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Проверка программы</w:t>
      </w:r>
    </w:p>
    <w:bookmarkEnd w:id="143"/>
    <w:p>
      <w:pPr>
        <w:pStyle w:val="BodyText"/>
      </w:pPr>
      <w:r>
        <w:t xml:space="preserve">Запускаю программу в отладчике (рис. 31)</w:t>
      </w:r>
    </w:p>
    <w:bookmarkStart w:id="147" w:name="fig:031"/>
    <w:p>
      <w:pPr>
        <w:pStyle w:val="CaptionedFigure"/>
      </w:pPr>
      <w:r>
        <w:drawing>
          <wp:inline>
            <wp:extent cx="3733800" cy="4092465"/>
            <wp:effectExtent b="0" l="0" r="0" t="0"/>
            <wp:docPr descr="Рис. 31: Запуск программы в отладчике" title="" id="145" name="Picture"/>
            <a:graphic>
              <a:graphicData uri="http://schemas.openxmlformats.org/drawingml/2006/picture">
                <pic:pic>
                  <pic:nvPicPr>
                    <pic:cNvPr descr="image/3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2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Запуск программы в отладчике</w:t>
      </w:r>
    </w:p>
    <w:bookmarkEnd w:id="147"/>
    <w:p>
      <w:pPr>
        <w:pStyle w:val="BodyText"/>
      </w:pPr>
      <w:r>
        <w:t xml:space="preserve">Некоторые регистры стоят не на своих местах, поэтому исправляю это (рис. 32)</w:t>
      </w:r>
    </w:p>
    <w:bookmarkStart w:id="151" w:name="fig:032"/>
    <w:p>
      <w:pPr>
        <w:pStyle w:val="CaptionedFigure"/>
      </w:pPr>
      <w:r>
        <w:drawing>
          <wp:inline>
            <wp:extent cx="3733800" cy="2821190"/>
            <wp:effectExtent b="0" l="0" r="0" t="0"/>
            <wp:docPr descr="Рис. 32: Регистры" title="" id="149" name="Picture"/>
            <a:graphic>
              <a:graphicData uri="http://schemas.openxmlformats.org/drawingml/2006/picture">
                <pic:pic>
                  <pic:nvPicPr>
                    <pic:cNvPr descr="image/32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1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Регистры</w:t>
      </w:r>
    </w:p>
    <w:bookmarkEnd w:id="151"/>
    <w:p>
      <w:pPr>
        <w:pStyle w:val="BodyText"/>
      </w:pPr>
      <w:r>
        <w:t xml:space="preserve">Запускаю еще раз программу и она выводит правильный ответ 25 (рис. 33)</w:t>
      </w:r>
    </w:p>
    <w:bookmarkStart w:id="155" w:name="fig:033"/>
    <w:p>
      <w:pPr>
        <w:pStyle w:val="CaptionedFigure"/>
      </w:pPr>
      <w:r>
        <w:drawing>
          <wp:inline>
            <wp:extent cx="3733800" cy="2259688"/>
            <wp:effectExtent b="0" l="0" r="0" t="0"/>
            <wp:docPr descr="Рис. 33: Вывод правильного ответа" title="" id="153" name="Picture"/>
            <a:graphic>
              <a:graphicData uri="http://schemas.openxmlformats.org/drawingml/2006/picture">
                <pic:pic>
                  <pic:nvPicPr>
                    <pic:cNvPr descr="image/33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Вывод правильного ответа</w:t>
      </w:r>
    </w:p>
    <w:bookmarkEnd w:id="155"/>
    <w:bookmarkEnd w:id="156"/>
    <w:bookmarkEnd w:id="157"/>
    <w:bookmarkStart w:id="15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 навыки написания программ с использованием подпрограмм и познакомился с методами отладки при помощи GDB и его основными возможностями.</w:t>
      </w:r>
    </w:p>
    <w:bookmarkEnd w:id="1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30" Target="media/rId30.jp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Морошан Матвей Корнелиович</dc:creator>
  <dc:language>ru-RU</dc:language>
  <cp:keywords/>
  <dcterms:created xsi:type="dcterms:W3CDTF">2024-12-06T15:41:00Z</dcterms:created>
  <dcterms:modified xsi:type="dcterms:W3CDTF">2024-12-06T15:41:00Z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onofont">
    <vt:lpwstr>IBM Plex Mono</vt:lpwstr>
  </property>
  <property fmtid="{D5CDD505-2E9C-101B-9397-08002B2CF9AE}" pid="60" name="monofontoptions">
    <vt:lpwstr>Scale=MatchLowercase,Scale=0.94,FakeStretch=0.9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IBM Plex Serif</vt:lpwstr>
  </property>
  <property fmtid="{D5CDD505-2E9C-101B-9397-08002B2CF9AE}" pid="71" name="romanfontoptions">
    <vt:lpwstr>Ligatures=Common,Ligatures=TeX,Scale=0.94</vt:lpwstr>
  </property>
  <property fmtid="{D5CDD505-2E9C-101B-9397-08002B2CF9AE}" pid="72" name="sansfont">
    <vt:lpwstr>IBM Plex Sans</vt:lpwstr>
  </property>
  <property fmtid="{D5CDD505-2E9C-101B-9397-08002B2CF9AE}" pid="73" name="sansfontoptions">
    <vt:lpwstr>Ligatures=Common,Ligatures=TeX,Scale=MatchLowercase,Scale=0.94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Архитектура компьютера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