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2"/>
        </w:rPr>
        <w:t>VeeWash LLC</w:t>
      </w:r>
    </w:p>
    <w:p>
      <w:pPr>
        <w:jc w:val="center"/>
      </w:pPr>
      <w:r>
        <w:rPr>
          <w:rFonts w:ascii="Aptos" w:hAnsi="Aptos"/>
          <w:sz w:val="19"/>
        </w:rPr>
        <w:t>603 E 137th St, Bronx, NY 10454</w:t>
      </w:r>
    </w:p>
    <w:p>
      <w:pPr>
        <w:jc w:val="center"/>
      </w:pPr>
      <w:r>
        <w:rPr>
          <w:rFonts w:ascii="Aptos" w:hAnsi="Aptos"/>
          <w:b/>
          <w:color w:val="5F5F5F"/>
          <w:sz w:val="17"/>
        </w:rPr>
        <w:t>C-102 (EN)</w:t>
      </w:r>
    </w:p>
    <w:p>
      <w:pPr>
        <w:jc w:val="center"/>
      </w:pPr>
      <w:r>
        <w:rPr>
          <w:rFonts w:ascii="Aptos" w:hAnsi="Aptos"/>
          <w:b/>
          <w:sz w:val="28"/>
        </w:rPr>
        <w:t>Independent Contractor / Service Agreement</w:t>
      </w:r>
    </w:p>
    <w:p>
      <w:pPr>
        <w:jc w:val="center"/>
      </w:pPr>
      <w:r>
        <w:rPr>
          <w:rFonts w:ascii="Aptos" w:hAnsi="Aptos"/>
          <w:i/>
          <w:sz w:val="18"/>
        </w:rPr>
        <w:t>Draft for VeeWash LLC contractor, temp, and agency service relationships</w:t>
      </w:r>
    </w:p>
    <w:tbl>
      <w:tblPr>
        <w:tblW w:type="auto" w:w="0"/>
        <w:jc w:val="center"/>
        <w:tblLayout w:type="fixed"/>
        <w:tblLook w:firstColumn="1" w:firstRow="1" w:lastColumn="0" w:lastRow="0" w:noHBand="0" w:noVBand="1" w:val="04A0"/>
      </w:tblPr>
      <w:tblGrid>
        <w:gridCol w:w="9792"/>
      </w:tblGrid>
      <w:tr>
        <w:tc>
          <w:tcPr>
            <w:tcW w:type="dxa" w:w="10368"/>
            <w:shd w:fill="F6F8FA"/>
            <w:tcBorders>
              <w:left w:val="single" w:sz="8" w:color="D9DEE5"/>
              <w:top w:val="single" w:sz="8" w:color="D9DEE5"/>
              <w:right w:val="single" w:sz="8" w:color="D9DEE5"/>
              <w:bottom w:val="single" w:sz="8" w:color="D9DEE5"/>
            </w:tcBorders>
            <w:vAlign w:val="center"/>
          </w:tcPr>
          <w:p>
            <w:pPr>
              <w:pStyle w:val="SmallText"/>
              <w:jc w:val="left"/>
            </w:pPr>
            <w:r>
              <w:rPr>
                <w:rFonts w:ascii="Aptos" w:hAnsi="Aptos"/>
                <w:sz w:val="17"/>
              </w:rPr>
              <w:t>This draft is designed to keep role, standards, service expectations, and payment terms in one agreement so onboarding stays lean. Review with New York counsel before rollout, especially if the same worker may be treated as W-2 in other situations.</w:t>
            </w:r>
          </w:p>
        </w:tc>
      </w:tr>
    </w:tbl>
    <w:p/>
    <w:p>
      <w:pPr>
        <w:pStyle w:val="BodyTextCustom"/>
        <w:spacing w:after="80"/>
      </w:pPr>
      <w:r>
        <w:t>This Independent Contractor / Service Agreement (“Agreement”) is entered into as of ____________________ (“Effective Date”) by and between VeeWash LLC, a New York limited liability company (“Company”), and ____________________ (“Contractor”).</w:t>
      </w:r>
    </w:p>
    <w:p>
      <w:pPr>
        <w:pStyle w:val="BodyTextCustom"/>
        <w:spacing w:after="80"/>
      </w:pPr>
      <w:r>
        <w:t>The parties agree as follows:</w:t>
      </w:r>
    </w:p>
    <w:p>
      <w:pPr>
        <w:pStyle w:val="BodyTextCustom"/>
        <w:spacing w:after="80"/>
      </w:pPr>
      <w:r>
        <w:rPr>
          <w:b/>
        </w:rPr>
        <w:t xml:space="preserve">1. Services and Assignment. </w:t>
      </w:r>
      <w:r>
        <w:t>Contractor will provide the services described in Schedule A and any related operating services agreed in writing. Contractor acknowledges that Company may assign service locations, service windows, and output requirements consistent with customer demand and Schedule B.</w:t>
      </w:r>
    </w:p>
    <w:p>
      <w:pPr>
        <w:pStyle w:val="BodyTextCustom"/>
        <w:spacing w:after="80"/>
      </w:pPr>
      <w:r>
        <w:rPr>
          <w:b/>
        </w:rPr>
        <w:t xml:space="preserve">2. Independent Contractor Status. </w:t>
      </w:r>
      <w:r>
        <w:t>Contractor is engaged as an independent contractor and not as an employee, partner, agent, or joint venturer of Company. Contractor is solely responsible for the manner and hours of performance, subject to the service standards, facility rules, and result requirements in this Agreement. Contractor is not eligible for employee benefits, workers’ compensation, unemployment insurance, paid leave, or any other employee benefit through Company.</w:t>
      </w:r>
    </w:p>
    <w:p>
      <w:pPr>
        <w:pStyle w:val="BodyTextCustom"/>
        <w:spacing w:after="80"/>
      </w:pPr>
      <w:r>
        <w:rPr>
          <w:b/>
        </w:rPr>
        <w:t xml:space="preserve">3. Taxes and Compliance. </w:t>
      </w:r>
      <w:r>
        <w:t>Contractor is responsible for all taxes, filings, licenses, permits, insurance, and other legal obligations arising from compensation paid under this Agreement. Contractor will provide a completed IRS Form W-9 before payment begins and will promptly update Company if tax or business information changes.</w:t>
      </w:r>
    </w:p>
    <w:p>
      <w:pPr>
        <w:pStyle w:val="BodyTextCustom"/>
        <w:spacing w:after="80"/>
      </w:pPr>
      <w:r>
        <w:rPr>
          <w:b/>
        </w:rPr>
        <w:t xml:space="preserve">4. Services, Standards, and Benchmarks. </w:t>
      </w:r>
      <w:r>
        <w:t>Contractor will perform services in a professional and workmanlike manner and in accordance with Schedule A (Role and Service Assignment) and Schedule B (Service Standards and Benchmark Schedule). Schedule B may include quality rules, weighing and tracking requirements, sorting and presentation standards, productivity metrics, gaming or productivity data used for measurement, and any approved incentive or reward structure. Contractor agrees that these standards are material obligations under this Agreement.</w:t>
      </w:r>
    </w:p>
    <w:p>
      <w:pPr>
        <w:pStyle w:val="BodyTextCustom"/>
        <w:spacing w:after="80"/>
      </w:pPr>
      <w:r>
        <w:rPr>
          <w:b/>
        </w:rPr>
        <w:t xml:space="preserve">5. Site Rules, Safety, and Confidentiality. </w:t>
      </w:r>
      <w:r>
        <w:t>Contractor will follow Company site rules, safety requirements, confidentiality obligations, and customer-contact restrictions while on Company premises or while handling Company work. Contractor will not contact Company customers directly, will not misuse customer or order information, and will not remove or disclose Company information except as necessary to perform the services.</w:t>
      </w:r>
    </w:p>
    <w:p>
      <w:pPr>
        <w:pStyle w:val="BodyTextCustom"/>
        <w:spacing w:after="80"/>
      </w:pPr>
      <w:r>
        <w:rPr>
          <w:b/>
        </w:rPr>
        <w:t xml:space="preserve">6. No Unauthorized Subcontracting. </w:t>
      </w:r>
      <w:r>
        <w:t>Contractor may not assign, delegate, subcontract, or transfer the services or any rights under this Agreement without Company’s prior written consent. If Company approves any subcontractor or helper, Contractor remains fully responsible for that person’s acts, omissions, confidentiality compliance, and service quality.</w:t>
      </w:r>
    </w:p>
    <w:p>
      <w:pPr>
        <w:pStyle w:val="BodyTextCustom"/>
        <w:spacing w:after="80"/>
      </w:pPr>
      <w:r>
        <w:rPr>
          <w:b/>
        </w:rPr>
        <w:t xml:space="preserve">7. Payment Terms. </w:t>
      </w:r>
      <w:r>
        <w:t>Compensation will be calculated using the payment basis stated in Schedule A and any approved rate table referenced there. Company may issue a Weekly Contractor Payment Statement and Acknowledgment showing service period, pounds processed, approved rate, any adjustment items, hours worked for the assignment as a reference record, and the net amount due. Contractor will review and sign the weekly statement as acknowledgment of work accepted for payment. Unless otherwise stated in Schedule A, approved weekly statements will be paid within the normal contractor payment cycle used by Company.</w:t>
      </w:r>
    </w:p>
    <w:p>
      <w:pPr>
        <w:pStyle w:val="BodyTextCustom"/>
        <w:spacing w:after="80"/>
      </w:pPr>
      <w:r>
        <w:rPr>
          <w:b/>
        </w:rPr>
        <w:t xml:space="preserve">8. Company Records and Data. </w:t>
      </w:r>
      <w:r>
        <w:t>Contractor agrees that Company may rely on app data, scale data, tickets, bag tracking, quality logs, and other service records to determine accepted production, benchmark performance, service issues, adjustments, and amounts payable. Contractor will cooperate in correcting missing or inconsistent records.</w:t>
      </w:r>
    </w:p>
    <w:p>
      <w:pPr>
        <w:pStyle w:val="BodyTextCustom"/>
        <w:spacing w:after="80"/>
      </w:pPr>
      <w:r>
        <w:rPr>
          <w:b/>
        </w:rPr>
        <w:t xml:space="preserve">9. Non-Compliance and Cure. </w:t>
      </w:r>
      <w:r>
        <w:t>If Contractor fails to meet the standards of this Agreement, Company may issue a Non-Compliance Notice describing the issue and any required corrective action. If the issue is not cured within the period stated in the notice, Company may issue a Cure / Corrective Action Notice, suspend assignments, withhold disputed amounts pending review, or take any other remedy permitted by this Agreement.</w:t>
      </w:r>
    </w:p>
    <w:p>
      <w:pPr>
        <w:pStyle w:val="BodyTextCustom"/>
        <w:spacing w:after="80"/>
      </w:pPr>
      <w:r>
        <w:rPr>
          <w:b/>
        </w:rPr>
        <w:t xml:space="preserve">10. Suspension and Cancellation. </w:t>
      </w:r>
      <w:r>
        <w:t>Company may suspend assignments immediately for material service failures, customer-impacting mistakes, safety issues, confidentiality breaches, refusal to follow approved operating requirements, falsification of records, or repeated failure to meet benchmark or quality standards. Either party may cancel this Agreement upon ____ days’ written notice without cause. Company may cancel immediately for material breach if the breach is not cured within ____ days after written notice, or immediately if the breach is not curable.</w:t>
      </w:r>
    </w:p>
    <w:p>
      <w:pPr>
        <w:pStyle w:val="BodyTextCustom"/>
        <w:spacing w:after="80"/>
      </w:pPr>
      <w:r>
        <w:rPr>
          <w:b/>
        </w:rPr>
        <w:t xml:space="preserve">11. Property, Equipment, and Return Obligations. </w:t>
      </w:r>
      <w:r>
        <w:t>Any Company-owned equipment, tickets, bags, records, app access, credentials, or other property provided to Contractor remain Company property and must be returned or disabled promptly upon request or upon suspension or cancellation of this Agreement.</w:t>
      </w:r>
    </w:p>
    <w:p>
      <w:pPr>
        <w:pStyle w:val="BodyTextCustom"/>
        <w:spacing w:after="80"/>
      </w:pPr>
      <w:r>
        <w:rPr>
          <w:b/>
        </w:rPr>
        <w:t xml:space="preserve">12. Limitation on Relationship and Public Representation. </w:t>
      </w:r>
      <w:r>
        <w:t>Contractor will not represent that Contractor is an employee or authorized representative of Company except to the limited extent necessary to perform approved services. Contractor may not bind Company to any contract or obligation.</w:t>
      </w:r>
    </w:p>
    <w:p>
      <w:pPr>
        <w:pStyle w:val="BodyTextCustom"/>
        <w:spacing w:after="80"/>
      </w:pPr>
      <w:r>
        <w:rPr>
          <w:b/>
        </w:rPr>
        <w:t xml:space="preserve">13. Notices. </w:t>
      </w:r>
      <w:r>
        <w:t>Notices under this Agreement must be in writing and delivered by hand, email, or recognized overnight courier to the addresses listed below or any updated address provided in writing.</w:t>
        <w:br/>
        <w:br/>
        <w:t>Company: VeeWash LLC, 603 E 137th St, Bronx, NY 10454, Attention: Muhammad Kamran Najeeb, Managing Director, Email: ____________________</w:t>
        <w:br/>
        <w:t>Contractor: ________________________________________________</w:t>
      </w:r>
    </w:p>
    <w:p>
      <w:pPr>
        <w:pStyle w:val="BodyTextCustom"/>
        <w:spacing w:after="80"/>
      </w:pPr>
      <w:r>
        <w:rPr>
          <w:b/>
        </w:rPr>
        <w:t xml:space="preserve">14. Governing Law; Entire Agreement; Amendments. </w:t>
      </w:r>
      <w:r>
        <w:t>This Agreement will be governed by the laws of the State of New York. This Agreement, including all attached schedules, is the entire agreement between the parties on this subject and supersedes prior oral or written understandings. Any amendment must be in writing and signed by both parties.</w:t>
      </w:r>
    </w:p>
    <w:tbl>
      <w:tblPr>
        <w:tblW w:type="auto" w:w="0"/>
        <w:jc w:val="center"/>
        <w:tblLayout w:type="fixed"/>
        <w:tblLook w:firstColumn="1" w:firstRow="1" w:lastColumn="0" w:lastRow="0" w:noHBand="0" w:noVBand="1" w:val="04A0"/>
      </w:tblPr>
      <w:tblGrid>
        <w:gridCol w:w="9792"/>
      </w:tblGrid>
      <w:tr>
        <w:tc>
          <w:tcPr>
            <w:tcW w:type="dxa" w:w="10368"/>
            <w:shd w:fill="244062"/>
            <w:tcBorders>
              <w:left w:val="single" w:sz="0" w:color="244062"/>
              <w:top w:val="single" w:sz="0" w:color="244062"/>
              <w:right w:val="single" w:sz="0" w:color="244062"/>
              <w:bottom w:val="single" w:sz="0" w:color="244062"/>
            </w:tcBorders>
          </w:tcPr>
          <w:p>
            <w:pPr>
              <w:pStyle w:val="SectionBand"/>
              <w:jc w:val="left"/>
            </w:pPr>
            <w:r>
              <w:rPr>
                <w:rFonts w:ascii="Aptos" w:hAnsi="Aptos"/>
                <w:b/>
                <w:color w:val="FFFFFF"/>
                <w:sz w:val="21"/>
              </w:rPr>
              <w:t>Schedule A – Role and Service Assignment</w:t>
            </w:r>
          </w:p>
        </w:tc>
      </w:tr>
    </w:tbl>
    <w:tbl>
      <w:tblPr>
        <w:tblW w:type="auto" w:w="0"/>
        <w:jc w:val="center"/>
        <w:tblLayout w:type="fixed"/>
        <w:tblLook w:firstColumn="1" w:firstRow="1" w:lastColumn="0" w:lastRow="0" w:noHBand="0" w:noVBand="1" w:val="04A0"/>
      </w:tblPr>
      <w:tblGrid>
        <w:gridCol w:w="5184"/>
        <w:gridCol w:w="5184"/>
      </w:tblGrid>
      <w:tr>
        <w:tc>
          <w:tcPr>
            <w:tcW w:type="dxa" w:w="4176"/>
            <w:vAlign w:val="center"/>
            <w:tcBorders>
              <w:bottom w:val="single" w:sz="10" w:color="FFFFFF"/>
            </w:tcBorders>
          </w:tcPr>
          <w:p>
            <w:pPr>
              <w:pStyle w:val="FormLabel"/>
              <w:spacing w:after="40"/>
            </w:pPr>
            <w:r>
              <w:rPr>
                <w:rFonts w:ascii="Aptos" w:hAnsi="Aptos"/>
                <w:b/>
                <w:sz w:val="19"/>
              </w:rPr>
              <w:t>Contractor Name</w:t>
            </w:r>
          </w:p>
        </w:tc>
        <w:tc>
          <w:tcPr>
            <w:tcW w:type="dxa" w:w="5616"/>
            <w:vAlign w:val="center"/>
            <w:tcBorders>
              <w:bottom w:val="single" w:sz="10" w:color="5B5B5B"/>
            </w:tcBorders>
          </w:tcPr>
          <w:p>
            <w:pPr>
              <w:pStyle w:val="BodyTextCustom"/>
              <w:spacing w:after="0"/>
            </w:pPr>
          </w:p>
        </w:tc>
      </w:tr>
      <w:tr>
        <w:tc>
          <w:tcPr>
            <w:tcW w:type="dxa" w:w="4176"/>
            <w:vAlign w:val="center"/>
            <w:tcBorders>
              <w:bottom w:val="single" w:sz="10" w:color="FFFFFF"/>
            </w:tcBorders>
          </w:tcPr>
          <w:p>
            <w:pPr>
              <w:pStyle w:val="FormLabel"/>
              <w:spacing w:after="40"/>
            </w:pPr>
            <w:r>
              <w:rPr>
                <w:rFonts w:ascii="Aptos" w:hAnsi="Aptos"/>
                <w:b/>
                <w:sz w:val="19"/>
              </w:rPr>
              <w:t>Service Role</w:t>
            </w:r>
          </w:p>
        </w:tc>
        <w:tc>
          <w:tcPr>
            <w:tcW w:type="dxa" w:w="5616"/>
            <w:vAlign w:val="center"/>
            <w:tcBorders>
              <w:bottom w:val="single" w:sz="10" w:color="5B5B5B"/>
            </w:tcBorders>
          </w:tcPr>
          <w:p>
            <w:pPr>
              <w:pStyle w:val="BodyTextCustom"/>
              <w:spacing w:after="0"/>
            </w:pPr>
          </w:p>
        </w:tc>
      </w:tr>
      <w:tr>
        <w:tc>
          <w:tcPr>
            <w:tcW w:type="dxa" w:w="4176"/>
            <w:vAlign w:val="center"/>
            <w:tcBorders>
              <w:bottom w:val="single" w:sz="10" w:color="FFFFFF"/>
            </w:tcBorders>
          </w:tcPr>
          <w:p>
            <w:pPr>
              <w:pStyle w:val="FormLabel"/>
              <w:spacing w:after="40"/>
            </w:pPr>
            <w:r>
              <w:rPr>
                <w:rFonts w:ascii="Aptos" w:hAnsi="Aptos"/>
                <w:b/>
                <w:sz w:val="19"/>
              </w:rPr>
              <w:t>Primary Service Location</w:t>
            </w:r>
          </w:p>
        </w:tc>
        <w:tc>
          <w:tcPr>
            <w:tcW w:type="dxa" w:w="5616"/>
            <w:vAlign w:val="center"/>
            <w:tcBorders>
              <w:bottom w:val="single" w:sz="10" w:color="5B5B5B"/>
            </w:tcBorders>
          </w:tcPr>
          <w:p>
            <w:pPr>
              <w:pStyle w:val="BodyTextCustom"/>
              <w:spacing w:after="0"/>
            </w:pPr>
          </w:p>
        </w:tc>
      </w:tr>
      <w:tr>
        <w:tc>
          <w:tcPr>
            <w:tcW w:type="dxa" w:w="4176"/>
            <w:vAlign w:val="center"/>
            <w:tcBorders>
              <w:bottom w:val="single" w:sz="10" w:color="FFFFFF"/>
            </w:tcBorders>
          </w:tcPr>
          <w:p>
            <w:pPr>
              <w:pStyle w:val="FormLabel"/>
              <w:spacing w:after="40"/>
            </w:pPr>
            <w:r>
              <w:rPr>
                <w:rFonts w:ascii="Aptos" w:hAnsi="Aptos"/>
                <w:b/>
                <w:sz w:val="19"/>
              </w:rPr>
              <w:t>Service Start Date</w:t>
            </w:r>
          </w:p>
        </w:tc>
        <w:tc>
          <w:tcPr>
            <w:tcW w:type="dxa" w:w="5616"/>
            <w:vAlign w:val="center"/>
            <w:tcBorders>
              <w:bottom w:val="single" w:sz="10" w:color="5B5B5B"/>
            </w:tcBorders>
          </w:tcPr>
          <w:p>
            <w:pPr>
              <w:pStyle w:val="BodyTextCustom"/>
              <w:spacing w:after="0"/>
            </w:pPr>
          </w:p>
        </w:tc>
      </w:tr>
      <w:tr>
        <w:tc>
          <w:tcPr>
            <w:tcW w:type="dxa" w:w="4176"/>
            <w:vAlign w:val="center"/>
            <w:tcBorders>
              <w:bottom w:val="single" w:sz="10" w:color="FFFFFF"/>
            </w:tcBorders>
          </w:tcPr>
          <w:p>
            <w:pPr>
              <w:pStyle w:val="FormLabel"/>
              <w:spacing w:after="40"/>
            </w:pPr>
            <w:r>
              <w:rPr>
                <w:rFonts w:ascii="Aptos" w:hAnsi="Aptos"/>
                <w:b/>
                <w:sz w:val="19"/>
              </w:rPr>
              <w:t>Compensation Basis</w:t>
            </w:r>
          </w:p>
        </w:tc>
        <w:tc>
          <w:tcPr>
            <w:tcW w:type="dxa" w:w="5616"/>
            <w:vAlign w:val="center"/>
            <w:tcBorders>
              <w:bottom w:val="single" w:sz="10" w:color="5B5B5B"/>
            </w:tcBorders>
          </w:tcPr>
          <w:p>
            <w:pPr>
              <w:pStyle w:val="BodyTextCustom"/>
              <w:spacing w:after="0"/>
            </w:pPr>
            <w:r>
              <w:rPr>
                <w:rFonts w:ascii="Aptos" w:hAnsi="Aptos"/>
                <w:sz w:val="21"/>
              </w:rPr>
              <w:t>☐ Per pound   ☐ Per route   ☐ Per order   ☐ Other: __________</w:t>
            </w:r>
          </w:p>
        </w:tc>
      </w:tr>
      <w:tr>
        <w:tc>
          <w:tcPr>
            <w:tcW w:type="dxa" w:w="4176"/>
            <w:vAlign w:val="center"/>
            <w:tcBorders>
              <w:bottom w:val="single" w:sz="10" w:color="FFFFFF"/>
            </w:tcBorders>
          </w:tcPr>
          <w:p>
            <w:pPr>
              <w:pStyle w:val="FormLabel"/>
              <w:spacing w:after="40"/>
            </w:pPr>
            <w:r>
              <w:rPr>
                <w:rFonts w:ascii="Aptos" w:hAnsi="Aptos"/>
                <w:b/>
                <w:sz w:val="19"/>
              </w:rPr>
              <w:t>Approved Rate / Rate Table Reference</w:t>
            </w:r>
          </w:p>
        </w:tc>
        <w:tc>
          <w:tcPr>
            <w:tcW w:type="dxa" w:w="5616"/>
            <w:vAlign w:val="center"/>
            <w:tcBorders>
              <w:bottom w:val="single" w:sz="10" w:color="5B5B5B"/>
            </w:tcBorders>
          </w:tcPr>
          <w:p>
            <w:pPr>
              <w:pStyle w:val="BodyTextCustom"/>
              <w:spacing w:after="0"/>
            </w:pPr>
          </w:p>
        </w:tc>
      </w:tr>
      <w:tr>
        <w:tc>
          <w:tcPr>
            <w:tcW w:type="dxa" w:w="4176"/>
            <w:vAlign w:val="center"/>
            <w:tcBorders>
              <w:bottom w:val="single" w:sz="10" w:color="FFFFFF"/>
            </w:tcBorders>
          </w:tcPr>
          <w:p>
            <w:pPr>
              <w:pStyle w:val="FormLabel"/>
              <w:spacing w:after="40"/>
            </w:pPr>
            <w:r>
              <w:rPr>
                <w:rFonts w:ascii="Aptos" w:hAnsi="Aptos"/>
                <w:b/>
                <w:sz w:val="19"/>
              </w:rPr>
              <w:t>Normal Payment Cycle</w:t>
            </w:r>
          </w:p>
        </w:tc>
        <w:tc>
          <w:tcPr>
            <w:tcW w:type="dxa" w:w="5616"/>
            <w:vAlign w:val="center"/>
            <w:tcBorders>
              <w:bottom w:val="single" w:sz="10" w:color="5B5B5B"/>
            </w:tcBorders>
          </w:tcPr>
          <w:p>
            <w:pPr>
              <w:pStyle w:val="BodyTextCustom"/>
              <w:spacing w:after="0"/>
            </w:pPr>
          </w:p>
        </w:tc>
      </w:tr>
      <w:tr>
        <w:tc>
          <w:tcPr>
            <w:tcW w:type="dxa" w:w="4176"/>
            <w:vAlign w:val="center"/>
            <w:tcBorders>
              <w:bottom w:val="single" w:sz="10" w:color="FFFFFF"/>
            </w:tcBorders>
          </w:tcPr>
          <w:p>
            <w:pPr>
              <w:pStyle w:val="FormLabel"/>
              <w:spacing w:after="40"/>
            </w:pPr>
            <w:r>
              <w:rPr>
                <w:rFonts w:ascii="Aptos" w:hAnsi="Aptos"/>
                <w:b/>
                <w:sz w:val="19"/>
              </w:rPr>
              <w:t>Approved Tools / App / Scale / Tickets / Other</w:t>
            </w:r>
          </w:p>
        </w:tc>
        <w:tc>
          <w:tcPr>
            <w:tcW w:type="dxa" w:w="5616"/>
            <w:vAlign w:val="center"/>
            <w:tcBorders>
              <w:bottom w:val="single" w:sz="10" w:color="5B5B5B"/>
            </w:tcBorders>
          </w:tcPr>
          <w:p>
            <w:pPr>
              <w:pStyle w:val="BodyTextCustom"/>
              <w:spacing w:after="0"/>
            </w:pPr>
          </w:p>
        </w:tc>
      </w:tr>
    </w:tbl>
    <w:p/>
    <w:tbl>
      <w:tblPr>
        <w:tblW w:type="auto" w:w="0"/>
        <w:jc w:val="center"/>
        <w:tblLayout w:type="fixed"/>
        <w:tblLook w:firstColumn="1" w:firstRow="1" w:lastColumn="0" w:lastRow="0" w:noHBand="0" w:noVBand="1" w:val="04A0"/>
      </w:tblPr>
      <w:tblGrid>
        <w:gridCol w:w="9792"/>
      </w:tblGrid>
      <w:tr>
        <w:tc>
          <w:tcPr>
            <w:tcW w:type="dxa" w:w="10368"/>
            <w:shd w:fill="244062"/>
            <w:tcBorders>
              <w:left w:val="single" w:sz="0" w:color="244062"/>
              <w:top w:val="single" w:sz="0" w:color="244062"/>
              <w:right w:val="single" w:sz="0" w:color="244062"/>
              <w:bottom w:val="single" w:sz="0" w:color="244062"/>
            </w:tcBorders>
          </w:tcPr>
          <w:p>
            <w:pPr>
              <w:pStyle w:val="SectionBand"/>
              <w:jc w:val="left"/>
            </w:pPr>
            <w:r>
              <w:rPr>
                <w:rFonts w:ascii="Aptos" w:hAnsi="Aptos"/>
                <w:b/>
                <w:color w:val="FFFFFF"/>
                <w:sz w:val="21"/>
              </w:rPr>
              <w:t>Schedule B – Service Standards and Benchmark Schedule</w:t>
            </w:r>
          </w:p>
        </w:tc>
      </w:tr>
    </w:tbl>
    <w:tbl>
      <w:tblPr>
        <w:tblW w:type="auto" w:w="0"/>
        <w:jc w:val="center"/>
        <w:tblLayout w:type="fixed"/>
        <w:tblLook w:firstColumn="1" w:firstRow="1" w:lastColumn="0" w:lastRow="0" w:noHBand="0" w:noVBand="1" w:val="04A0"/>
      </w:tblPr>
      <w:tblGrid>
        <w:gridCol w:w="9792"/>
      </w:tblGrid>
      <w:tr>
        <w:tc>
          <w:tcPr>
            <w:tcW w:type="dxa" w:w="10368"/>
            <w:shd w:fill="F6F8FA"/>
            <w:tcBorders>
              <w:left w:val="single" w:sz="8" w:color="D9DEE5"/>
              <w:top w:val="single" w:sz="8" w:color="D9DEE5"/>
              <w:right w:val="single" w:sz="8" w:color="D9DEE5"/>
              <w:bottom w:val="single" w:sz="8" w:color="D9DEE5"/>
            </w:tcBorders>
            <w:vAlign w:val="center"/>
          </w:tcPr>
          <w:p>
            <w:pPr>
              <w:pStyle w:val="SmallText"/>
              <w:jc w:val="left"/>
            </w:pPr>
            <w:r>
              <w:rPr>
                <w:rFonts w:ascii="Aptos" w:hAnsi="Aptos"/>
                <w:sz w:val="17"/>
              </w:rPr>
              <w:t>Complete this schedule with the same operational standards used by Rinse / Washpro where applicable. Keep the wording tied to service standards, quality, and accepted results.</w:t>
            </w:r>
          </w:p>
        </w:tc>
      </w:tr>
    </w:tbl>
    <w:p/>
    <w:tbl>
      <w:tblPr>
        <w:tblW w:type="auto" w:w="0"/>
        <w:jc w:val="center"/>
        <w:tblLayout w:type="fixed"/>
        <w:tblLook w:firstColumn="1" w:firstRow="1" w:lastColumn="0" w:lastRow="0" w:noHBand="0" w:noVBand="1" w:val="04A0"/>
      </w:tblPr>
      <w:tblGrid>
        <w:gridCol w:w="5184"/>
        <w:gridCol w:w="5184"/>
      </w:tblGrid>
      <w:tr>
        <w:tc>
          <w:tcPr>
            <w:tcW w:type="dxa" w:w="4464"/>
            <w:vAlign w:val="center"/>
            <w:tcBorders>
              <w:bottom w:val="single" w:sz="10" w:color="FFFFFF"/>
            </w:tcBorders>
          </w:tcPr>
          <w:p>
            <w:pPr>
              <w:pStyle w:val="FormLabel"/>
              <w:spacing w:after="40"/>
            </w:pPr>
            <w:r>
              <w:rPr>
                <w:rFonts w:ascii="Aptos" w:hAnsi="Aptos"/>
                <w:b/>
                <w:sz w:val="19"/>
              </w:rPr>
              <w:t>Required Process / Workflow Steps</w:t>
            </w:r>
          </w:p>
        </w:tc>
        <w:tc>
          <w:tcPr>
            <w:tcW w:type="dxa" w:w="5328"/>
            <w:vAlign w:val="center"/>
            <w:tcBorders>
              <w:bottom w:val="single" w:sz="10" w:color="5B5B5B"/>
            </w:tcBorders>
          </w:tcPr>
          <w:p>
            <w:pPr>
              <w:pStyle w:val="BodyTextCustom"/>
              <w:spacing w:after="0"/>
            </w:pPr>
          </w:p>
        </w:tc>
      </w:tr>
      <w:tr>
        <w:tc>
          <w:tcPr>
            <w:tcW w:type="dxa" w:w="4464"/>
            <w:vAlign w:val="center"/>
            <w:tcBorders>
              <w:bottom w:val="single" w:sz="10" w:color="FFFFFF"/>
            </w:tcBorders>
          </w:tcPr>
          <w:p>
            <w:pPr>
              <w:pStyle w:val="FormLabel"/>
              <w:spacing w:after="40"/>
            </w:pPr>
            <w:r>
              <w:rPr>
                <w:rFonts w:ascii="Aptos" w:hAnsi="Aptos"/>
                <w:b/>
                <w:sz w:val="19"/>
              </w:rPr>
              <w:t>Quality Standards</w:t>
            </w:r>
          </w:p>
        </w:tc>
        <w:tc>
          <w:tcPr>
            <w:tcW w:type="dxa" w:w="5328"/>
            <w:vAlign w:val="center"/>
            <w:tcBorders>
              <w:bottom w:val="single" w:sz="10" w:color="5B5B5B"/>
            </w:tcBorders>
          </w:tcPr>
          <w:p>
            <w:pPr>
              <w:pStyle w:val="BodyTextCustom"/>
              <w:spacing w:after="0"/>
            </w:pPr>
          </w:p>
        </w:tc>
      </w:tr>
      <w:tr>
        <w:tc>
          <w:tcPr>
            <w:tcW w:type="dxa" w:w="4464"/>
            <w:vAlign w:val="center"/>
            <w:tcBorders>
              <w:bottom w:val="single" w:sz="10" w:color="FFFFFF"/>
            </w:tcBorders>
          </w:tcPr>
          <w:p>
            <w:pPr>
              <w:pStyle w:val="FormLabel"/>
              <w:spacing w:after="40"/>
            </w:pPr>
            <w:r>
              <w:rPr>
                <w:rFonts w:ascii="Aptos" w:hAnsi="Aptos"/>
                <w:b/>
                <w:sz w:val="19"/>
              </w:rPr>
              <w:t>Productivity / Benchmark Standards</w:t>
            </w:r>
          </w:p>
        </w:tc>
        <w:tc>
          <w:tcPr>
            <w:tcW w:type="dxa" w:w="5328"/>
            <w:vAlign w:val="center"/>
            <w:tcBorders>
              <w:bottom w:val="single" w:sz="10" w:color="5B5B5B"/>
            </w:tcBorders>
          </w:tcPr>
          <w:p>
            <w:pPr>
              <w:pStyle w:val="BodyTextCustom"/>
              <w:spacing w:after="0"/>
            </w:pPr>
          </w:p>
        </w:tc>
      </w:tr>
      <w:tr>
        <w:tc>
          <w:tcPr>
            <w:tcW w:type="dxa" w:w="4464"/>
            <w:vAlign w:val="center"/>
            <w:tcBorders>
              <w:bottom w:val="single" w:sz="10" w:color="FFFFFF"/>
            </w:tcBorders>
          </w:tcPr>
          <w:p>
            <w:pPr>
              <w:pStyle w:val="FormLabel"/>
              <w:spacing w:after="40"/>
            </w:pPr>
            <w:r>
              <w:rPr>
                <w:rFonts w:ascii="Aptos" w:hAnsi="Aptos"/>
                <w:b/>
                <w:sz w:val="19"/>
              </w:rPr>
              <w:t>Gaming / Productivity Data Used</w:t>
            </w:r>
          </w:p>
        </w:tc>
        <w:tc>
          <w:tcPr>
            <w:tcW w:type="dxa" w:w="5328"/>
            <w:vAlign w:val="center"/>
            <w:tcBorders>
              <w:bottom w:val="single" w:sz="10" w:color="5B5B5B"/>
            </w:tcBorders>
          </w:tcPr>
          <w:p>
            <w:pPr>
              <w:pStyle w:val="BodyTextCustom"/>
              <w:spacing w:after="0"/>
            </w:pPr>
          </w:p>
        </w:tc>
      </w:tr>
      <w:tr>
        <w:tc>
          <w:tcPr>
            <w:tcW w:type="dxa" w:w="4464"/>
            <w:vAlign w:val="center"/>
            <w:tcBorders>
              <w:bottom w:val="single" w:sz="10" w:color="FFFFFF"/>
            </w:tcBorders>
          </w:tcPr>
          <w:p>
            <w:pPr>
              <w:pStyle w:val="FormLabel"/>
              <w:spacing w:after="40"/>
            </w:pPr>
            <w:r>
              <w:rPr>
                <w:rFonts w:ascii="Aptos" w:hAnsi="Aptos"/>
                <w:b/>
                <w:sz w:val="19"/>
              </w:rPr>
              <w:t>Incentive / Reward Rules (if any)</w:t>
            </w:r>
          </w:p>
        </w:tc>
        <w:tc>
          <w:tcPr>
            <w:tcW w:type="dxa" w:w="5328"/>
            <w:vAlign w:val="center"/>
            <w:tcBorders>
              <w:bottom w:val="single" w:sz="10" w:color="5B5B5B"/>
            </w:tcBorders>
          </w:tcPr>
          <w:p>
            <w:pPr>
              <w:pStyle w:val="BodyTextCustom"/>
              <w:spacing w:after="0"/>
            </w:pPr>
          </w:p>
        </w:tc>
      </w:tr>
      <w:tr>
        <w:tc>
          <w:tcPr>
            <w:tcW w:type="dxa" w:w="4464"/>
            <w:vAlign w:val="center"/>
            <w:tcBorders>
              <w:bottom w:val="single" w:sz="10" w:color="FFFFFF"/>
            </w:tcBorders>
          </w:tcPr>
          <w:p>
            <w:pPr>
              <w:pStyle w:val="FormLabel"/>
              <w:spacing w:after="40"/>
            </w:pPr>
            <w:r>
              <w:rPr>
                <w:rFonts w:ascii="Aptos" w:hAnsi="Aptos"/>
                <w:b/>
                <w:sz w:val="19"/>
              </w:rPr>
              <w:t>Adjustment / Recoupment Rules (if any)</w:t>
            </w:r>
          </w:p>
        </w:tc>
        <w:tc>
          <w:tcPr>
            <w:tcW w:type="dxa" w:w="5328"/>
            <w:vAlign w:val="center"/>
            <w:tcBorders>
              <w:bottom w:val="single" w:sz="10" w:color="5B5B5B"/>
            </w:tcBorders>
          </w:tcPr>
          <w:p>
            <w:pPr>
              <w:pStyle w:val="BodyTextCustom"/>
              <w:spacing w:after="0"/>
            </w:pPr>
          </w:p>
        </w:tc>
      </w:tr>
      <w:tr>
        <w:tc>
          <w:tcPr>
            <w:tcW w:type="dxa" w:w="4464"/>
            <w:vAlign w:val="center"/>
            <w:tcBorders>
              <w:bottom w:val="single" w:sz="10" w:color="FFFFFF"/>
            </w:tcBorders>
          </w:tcPr>
          <w:p>
            <w:pPr>
              <w:pStyle w:val="FormLabel"/>
              <w:spacing w:after="40"/>
            </w:pPr>
            <w:r>
              <w:rPr>
                <w:rFonts w:ascii="Aptos" w:hAnsi="Aptos"/>
                <w:b/>
                <w:sz w:val="19"/>
              </w:rPr>
              <w:t>Repeated Non-Compliance Consequences</w:t>
            </w:r>
          </w:p>
        </w:tc>
        <w:tc>
          <w:tcPr>
            <w:tcW w:type="dxa" w:w="5328"/>
            <w:vAlign w:val="center"/>
            <w:tcBorders>
              <w:bottom w:val="single" w:sz="10" w:color="5B5B5B"/>
            </w:tcBorders>
          </w:tcPr>
          <w:p>
            <w:pPr>
              <w:pStyle w:val="BodyTextCustom"/>
              <w:spacing w:after="0"/>
            </w:pPr>
          </w:p>
        </w:tc>
      </w:tr>
    </w:tbl>
    <w:p/>
    <w:tbl>
      <w:tblPr>
        <w:tblW w:type="auto" w:w="0"/>
        <w:jc w:val="center"/>
        <w:tblLayout w:type="fixed"/>
        <w:tblLook w:firstColumn="1" w:firstRow="1" w:lastColumn="0" w:lastRow="0" w:noHBand="0" w:noVBand="1" w:val="04A0"/>
      </w:tblPr>
      <w:tblGrid>
        <w:gridCol w:w="9792"/>
      </w:tblGrid>
      <w:tr>
        <w:tc>
          <w:tcPr>
            <w:tcW w:type="dxa" w:w="10368"/>
            <w:shd w:fill="244062"/>
            <w:tcBorders>
              <w:left w:val="single" w:sz="0" w:color="244062"/>
              <w:top w:val="single" w:sz="0" w:color="244062"/>
              <w:right w:val="single" w:sz="0" w:color="244062"/>
              <w:bottom w:val="single" w:sz="0" w:color="244062"/>
            </w:tcBorders>
          </w:tcPr>
          <w:p>
            <w:pPr>
              <w:pStyle w:val="SectionBand"/>
              <w:jc w:val="left"/>
            </w:pPr>
            <w:r>
              <w:rPr>
                <w:rFonts w:ascii="Aptos" w:hAnsi="Aptos"/>
                <w:b/>
                <w:color w:val="FFFFFF"/>
                <w:sz w:val="21"/>
              </w:rPr>
              <w:t>Signatures</w:t>
            </w:r>
          </w:p>
        </w:tc>
      </w:tr>
    </w:tbl>
    <w:p>
      <w:pPr>
        <w:pStyle w:val="BodyTextCustom"/>
      </w:pPr>
      <w:r>
        <w:t>The undersigned agree to this Agreement and its schedules.</w:t>
      </w:r>
    </w:p>
    <w:tbl>
      <w:tblPr>
        <w:tblW w:type="auto" w:w="0"/>
        <w:jc w:val="center"/>
        <w:tblLayout w:type="fixed"/>
        <w:tblLook w:firstColumn="1" w:firstRow="1" w:lastColumn="0" w:lastRow="0" w:noHBand="0" w:noVBand="1" w:val="04A0"/>
      </w:tblPr>
      <w:tblGrid>
        <w:gridCol w:w="5184"/>
        <w:gridCol w:w="5184"/>
      </w:tblGrid>
      <w:tr>
        <w:tc>
          <w:tcPr>
            <w:tcW w:type="dxa" w:w="4824"/>
            <w:tcBorders>
              <w:bottom w:val="single" w:sz="12" w:color="5B5B5B"/>
            </w:tcBorders>
          </w:tcPr>
          <w:p/>
        </w:tc>
        <w:tc>
          <w:tcPr>
            <w:tcW w:type="dxa" w:w="4824"/>
            <w:tcBorders>
              <w:bottom w:val="single" w:sz="12" w:color="5B5B5B"/>
            </w:tcBorders>
          </w:tcPr>
          <w:p/>
        </w:tc>
      </w:tr>
      <w:tr>
        <w:tc>
          <w:tcPr>
            <w:tcW w:type="dxa" w:w="4824"/>
          </w:tcPr>
          <w:p>
            <w:pPr>
              <w:pStyle w:val="SmallText"/>
            </w:pPr>
            <w:r>
              <w:t>Contractor Signature / Name / Date</w:t>
            </w:r>
          </w:p>
        </w:tc>
        <w:tc>
          <w:tcPr>
            <w:tcW w:type="dxa" w:w="4824"/>
          </w:tcPr>
          <w:p>
            <w:pPr>
              <w:pStyle w:val="SmallText"/>
            </w:pPr>
            <w:r>
              <w:t>VeeWash LLC Signature / Name / Date</w:t>
            </w:r>
          </w:p>
        </w:tc>
      </w:tr>
    </w:tbl>
    <w:p/>
    <w:p>
      <w:pPr>
        <w:pStyle w:val="SmallText"/>
      </w:pPr>
      <w:r>
        <w:t>VeeWash LLC signatory: Muhammad Kamran Najeeb, Managing Director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rPr>
      <w:rFonts w:ascii="Aptos" w:hAnsi="Aptos"/>
      <w:sz w:val="21"/>
    </w:rPr>
  </w:style>
  <w:style w:type="paragraph" w:customStyle="1" w:styleId="FormLabel">
    <w:name w:val="FormLabel"/>
    <w:rPr>
      <w:rFonts w:ascii="Aptos" w:hAnsi="Aptos"/>
      <w:b/>
      <w:sz w:val="19"/>
    </w:rPr>
  </w:style>
  <w:style w:type="paragraph" w:customStyle="1" w:styleId="SmallText">
    <w:name w:val="SmallText"/>
    <w:rPr>
      <w:rFonts w:ascii="Aptos" w:hAnsi="Aptos"/>
      <w:sz w:val="17"/>
    </w:rPr>
  </w:style>
  <w:style w:type="paragraph" w:customStyle="1" w:styleId="SectionBand">
    <w:name w:val="SectionBand"/>
    <w:rPr>
      <w:rFonts w:ascii="Aptos" w:hAnsi="Aptos"/>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