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2"/>
        </w:rPr>
        <w:t>VeeWash LLC</w:t>
      </w:r>
    </w:p>
    <w:p>
      <w:pPr>
        <w:jc w:val="center"/>
      </w:pPr>
      <w:r>
        <w:rPr>
          <w:rFonts w:ascii="Aptos" w:hAnsi="Aptos"/>
          <w:sz w:val="19"/>
        </w:rPr>
        <w:t>603 E 137th St, Bronx, NY 10454</w:t>
      </w:r>
    </w:p>
    <w:p>
      <w:pPr>
        <w:jc w:val="center"/>
      </w:pPr>
      <w:r>
        <w:rPr>
          <w:rFonts w:ascii="Aptos" w:hAnsi="Aptos"/>
          <w:b/>
          <w:color w:val="5F5F5F"/>
          <w:sz w:val="17"/>
        </w:rPr>
        <w:t>C-102 (ES)</w:t>
      </w:r>
    </w:p>
    <w:p>
      <w:pPr>
        <w:jc w:val="center"/>
      </w:pPr>
      <w:r>
        <w:rPr>
          <w:rFonts w:ascii="Aptos" w:hAnsi="Aptos"/>
          <w:b/>
          <w:sz w:val="28"/>
        </w:rPr>
        <w:t>Acuerdo de Contratista Independiente / Servicios</w:t>
      </w:r>
    </w:p>
    <w:p>
      <w:pPr>
        <w:jc w:val="center"/>
      </w:pPr>
      <w:r>
        <w:rPr>
          <w:rFonts w:ascii="Aptos" w:hAnsi="Aptos"/>
          <w:i/>
          <w:sz w:val="18"/>
        </w:rPr>
        <w:t>Borrador para relaciones de servicio con contratistas, temporales y agencias de VeeWash LLC</w:t>
      </w:r>
    </w:p>
    <w:tbl>
      <w:tblPr>
        <w:tblW w:type="auto" w:w="0"/>
        <w:jc w:val="center"/>
        <w:tblLayout w:type="fixed"/>
        <w:tblLook w:firstColumn="1" w:firstRow="1" w:lastColumn="0" w:lastRow="0" w:noHBand="0" w:noVBand="1" w:val="04A0"/>
      </w:tblPr>
      <w:tblGrid>
        <w:gridCol w:w="9792"/>
      </w:tblGrid>
      <w:tr>
        <w:tc>
          <w:tcPr>
            <w:tcW w:type="dxa" w:w="10368"/>
            <w:shd w:fill="F6F8FA"/>
            <w:tcBorders>
              <w:left w:val="single" w:sz="8" w:color="D9DEE5"/>
              <w:top w:val="single" w:sz="8" w:color="D9DEE5"/>
              <w:right w:val="single" w:sz="8" w:color="D9DEE5"/>
              <w:bottom w:val="single" w:sz="8" w:color="D9DEE5"/>
            </w:tcBorders>
            <w:vAlign w:val="center"/>
          </w:tcPr>
          <w:p>
            <w:pPr>
              <w:pStyle w:val="SmallText"/>
              <w:jc w:val="left"/>
            </w:pPr>
            <w:r>
              <w:rPr>
                <w:rFonts w:ascii="Aptos" w:hAnsi="Aptos"/>
                <w:sz w:val="17"/>
              </w:rPr>
              <w:t>Este borrador está diseñado para mantener en un solo acuerdo el rol, los estándares, las expectativas de servicio y las condiciones de pago, para que el proceso de incorporación sea ágil. Revíselo con un abogado de Nueva York antes de implementarlo, especialmente si el mismo trabajador en otras situaciones puede ser tratado como empleado W-2.</w:t>
            </w:r>
          </w:p>
        </w:tc>
      </w:tr>
    </w:tbl>
    <w:p/>
    <w:p>
      <w:pPr>
        <w:pStyle w:val="BodyTextCustom"/>
        <w:spacing w:after="80"/>
      </w:pPr>
      <w:r>
        <w:t>Este Acuerdo de Contratista Independiente / Servicios (“Acuerdo”) se celebra a partir de ____________________ (“Fecha de Vigencia”) entre VeeWash LLC, una sociedad de responsabilidad limitada del Estado de Nueva York (“Compañía”), y ____________________ (“Contratista”).</w:t>
      </w:r>
    </w:p>
    <w:p>
      <w:pPr>
        <w:pStyle w:val="BodyTextCustom"/>
        <w:spacing w:after="80"/>
      </w:pPr>
      <w:r>
        <w:t>Las partes acuerdan lo siguiente:</w:t>
      </w:r>
    </w:p>
    <w:p>
      <w:pPr>
        <w:pStyle w:val="BodyTextCustom"/>
        <w:spacing w:after="80"/>
      </w:pPr>
      <w:r>
        <w:rPr>
          <w:b/>
        </w:rPr>
        <w:t xml:space="preserve">1. Servicios y Asignación. </w:t>
      </w:r>
      <w:r>
        <w:t>El Contratista prestará los servicios descritos en el Anexo A y cualquier otro servicio operativo relacionado que se acuerde por escrito. El Contratista reconoce que la Compañía podrá asignar lugares de servicio, franjas de trabajo y niveles de producción de acuerdo con la demanda del cliente y con el Anexo B.</w:t>
      </w:r>
    </w:p>
    <w:p>
      <w:pPr>
        <w:pStyle w:val="BodyTextCustom"/>
        <w:spacing w:after="80"/>
      </w:pPr>
      <w:r>
        <w:rPr>
          <w:b/>
        </w:rPr>
        <w:t xml:space="preserve">2. Condición de Contratista Independiente. </w:t>
      </w:r>
      <w:r>
        <w:t>El Contratista es contratado como contratista independiente y no como empleado, socio, agente ni participante en una empresa conjunta de la Compañía. El Contratista es el único responsable de la manera y del horario en que ejecuta los servicios, sujeto a los estándares de servicio, reglas del sitio y requisitos de resultado establecidos en este Acuerdo. El Contratista no tiene derecho a beneficios de empleados, compensación laboral, seguro de desempleo, licencias pagadas ni a ningún otro beneficio de empleado de la Compañía.</w:t>
      </w:r>
    </w:p>
    <w:p>
      <w:pPr>
        <w:pStyle w:val="BodyTextCustom"/>
        <w:spacing w:after="80"/>
      </w:pPr>
      <w:r>
        <w:rPr>
          <w:b/>
        </w:rPr>
        <w:t xml:space="preserve">3. Impuestos y Cumplimiento. </w:t>
      </w:r>
      <w:r>
        <w:t>El Contratista es responsable de todos los impuestos, declaraciones, licencias, permisos, seguros y demás obligaciones legales derivadas de la compensación pagada conforme a este Acuerdo. El Contratista entregará un Formulario W-9 del IRS debidamente completado antes de iniciar pagos y actualizará de inmediato cualquier cambio en su información fiscal o comercial.</w:t>
      </w:r>
    </w:p>
    <w:p>
      <w:pPr>
        <w:pStyle w:val="BodyTextCustom"/>
        <w:spacing w:after="80"/>
      </w:pPr>
      <w:r>
        <w:rPr>
          <w:b/>
        </w:rPr>
        <w:t xml:space="preserve">4. Servicios, Estándares y Benchmarks. </w:t>
      </w:r>
      <w:r>
        <w:t>El Contratista prestará los servicios de manera profesional y competente y de conformidad con el Anexo A (Rol y Asignación de Servicios) y el Anexo B (Programa de Estándares de Servicio y Benchmarks). El Anexo B podrá incluir reglas de calidad, requisitos de pesaje y trazabilidad, estándares de clasificación y presentación, métricas de productividad, datos de gaming o productividad usados para medición y cualquier estructura de incentivo o recompensa aprobada. El Contratista acepta que dichos estándares son obligaciones materiales de este Acuerdo.</w:t>
      </w:r>
    </w:p>
    <w:p>
      <w:pPr>
        <w:pStyle w:val="BodyTextCustom"/>
        <w:spacing w:after="80"/>
      </w:pPr>
      <w:r>
        <w:rPr>
          <w:b/>
        </w:rPr>
        <w:t xml:space="preserve">5. Reglas del Sitio, Seguridad y Confidencialidad. </w:t>
      </w:r>
      <w:r>
        <w:t>El Contratista cumplirá las reglas del sitio, requisitos de seguridad, obligaciones de confidencialidad y restricciones de contacto con clientes mientras se encuentre en las instalaciones de la Compañía o mientras maneje trabajo de la Compañía. El Contratista no contactará directamente a los clientes de la Compañía, no hará uso indebido de información de clientes u órdenes, y no retirará ni divulgará información de la Compañía salvo en lo necesario para prestar los servicios.</w:t>
      </w:r>
    </w:p>
    <w:p>
      <w:pPr>
        <w:pStyle w:val="BodyTextCustom"/>
        <w:spacing w:after="80"/>
      </w:pPr>
      <w:r>
        <w:rPr>
          <w:b/>
        </w:rPr>
        <w:t xml:space="preserve">6. Prohibición de Subcontratar sin Autorización. </w:t>
      </w:r>
      <w:r>
        <w:t>El Contratista no podrá ceder, delegar, subcontratar ni transferir los servicios o cualquier derecho bajo este Acuerdo sin el consentimiento previo y por escrito de la Compañía. Si la Compañía aprueba un ayudante o subcontratista, el Contratista seguirá siendo totalmente responsable por los actos, omisiones, cumplimiento de confidencialidad y calidad del servicio de dicha persona.</w:t>
      </w:r>
    </w:p>
    <w:p>
      <w:pPr>
        <w:pStyle w:val="BodyTextCustom"/>
        <w:spacing w:after="80"/>
      </w:pPr>
      <w:r>
        <w:rPr>
          <w:b/>
        </w:rPr>
        <w:t xml:space="preserve">7. Condiciones de Pago. </w:t>
      </w:r>
      <w:r>
        <w:t>La compensación se calculará conforme a la base de pago indicada en el Anexo A y cualquier tabla de tarifas aprobada allí referenciada. La Compañía podrá emitir una Declaración Semanal de Pago y Reconocimiento del Contratista que muestre el período de servicio, las libras procesadas, la tarifa aprobada, cualquier ajuste, las horas trabajadas para la asignación como dato de referencia y el monto neto a pagar. El Contratista revisará y firmará la declaración semanal como constancia del trabajo aceptado para pago. Salvo disposición distinta en el Anexo A, las declaraciones semanales aprobadas se pagarán dentro del ciclo normal de pago a contratistas utilizado por la Compañía.</w:t>
      </w:r>
    </w:p>
    <w:p>
      <w:pPr>
        <w:pStyle w:val="BodyTextCustom"/>
        <w:spacing w:after="80"/>
      </w:pPr>
      <w:r>
        <w:rPr>
          <w:b/>
        </w:rPr>
        <w:t xml:space="preserve">8. Registros y Datos de la Compañía. </w:t>
      </w:r>
      <w:r>
        <w:t>El Contratista acepta que la Compañía podrá basarse en los datos de la aplicación, datos de la báscula, tickets, trazabilidad de bolsas, registros de calidad y demás registros del servicio para determinar la producción aceptada, el desempeño frente a benchmarks, incidentes de servicio, ajustes y montos pagaderos. El Contratista cooperará para corregir registros faltantes o inconsistentes.</w:t>
      </w:r>
    </w:p>
    <w:p>
      <w:pPr>
        <w:pStyle w:val="BodyTextCustom"/>
        <w:spacing w:after="80"/>
      </w:pPr>
      <w:r>
        <w:rPr>
          <w:b/>
        </w:rPr>
        <w:t xml:space="preserve">9. Incumplimiento y Subsanación. </w:t>
      </w:r>
      <w:r>
        <w:t>Si el Contratista incumple los estándares de este Acuerdo, la Compañía podrá emitir una Notificación de Incumplimiento describiendo el problema y las acciones correctivas requeridas. Si el problema no se corrige dentro del plazo indicado en la notificación, la Compañía podrá emitir una Notificación de Subsanación / Acción Correctiva, suspender asignaciones, retener montos en disputa mientras se revisan o ejercer cualquier otro remedio permitido por este Acuerdo.</w:t>
      </w:r>
    </w:p>
    <w:p>
      <w:pPr>
        <w:pStyle w:val="BodyTextCustom"/>
        <w:spacing w:after="80"/>
      </w:pPr>
      <w:r>
        <w:rPr>
          <w:b/>
        </w:rPr>
        <w:t xml:space="preserve">10. Suspensión y Cancelación. </w:t>
      </w:r>
      <w:r>
        <w:t>La Compañía podrá suspender asignaciones de inmediato por fallas materiales de servicio, errores que afecten al cliente, problemas de seguridad, incumplimientos de confidencialidad, negativa a seguir requisitos operativos aprobados, falsificación de registros o incumplimiento reiterado de benchmarks o estándares de calidad. Cualquiera de las partes podrá cancelar este Acuerdo con ____ días de aviso escrito sin causa. La Compañía podrá cancelar de inmediato por incumplimiento material si dicho incumplimiento no se subsana dentro de ____ días tras el aviso escrito, o de inmediato si el incumplimiento no es subsanable.</w:t>
      </w:r>
    </w:p>
    <w:p>
      <w:pPr>
        <w:pStyle w:val="BodyTextCustom"/>
        <w:spacing w:after="80"/>
      </w:pPr>
      <w:r>
        <w:rPr>
          <w:b/>
        </w:rPr>
        <w:t xml:space="preserve">11. Propiedad, Equipo y Devolución. </w:t>
      </w:r>
      <w:r>
        <w:t>Cualquier equipo, ticket, bolsa, registro, acceso a la aplicación, credencial u otra propiedad de la Compañía proporcionada al Contratista seguirá siendo propiedad de la Compañía y deberá ser devuelta o deshabilitada de inmediato cuando se solicite o al suspenderse o cancelarse este Acuerdo.</w:t>
      </w:r>
    </w:p>
    <w:p>
      <w:pPr>
        <w:pStyle w:val="BodyTextCustom"/>
        <w:spacing w:after="80"/>
      </w:pPr>
      <w:r>
        <w:rPr>
          <w:b/>
        </w:rPr>
        <w:t xml:space="preserve">12. Limitación de la Relación y Representación Pública. </w:t>
      </w:r>
      <w:r>
        <w:t>El Contratista no representará que es empleado o representante autorizado de la Compañía salvo en la medida limitada necesaria para prestar servicios aprobados. El Contratista no podrá obligar a la Compañía mediante contrato u obligación alguna.</w:t>
      </w:r>
    </w:p>
    <w:p>
      <w:pPr>
        <w:pStyle w:val="BodyTextCustom"/>
        <w:spacing w:after="80"/>
      </w:pPr>
      <w:r>
        <w:rPr>
          <w:b/>
        </w:rPr>
        <w:t xml:space="preserve">13. Notificaciones. </w:t>
      </w:r>
      <w:r>
        <w:t>Las notificaciones bajo este Acuerdo deberán hacerse por escrito y entregarse en mano, por correo electrónico o por servicio de mensajería reconocido a las direcciones indicadas a continuación o a cualquier dirección actualizada proporcionada por escrito.</w:t>
        <w:br/>
        <w:br/>
        <w:t>Compañía: VeeWash LLC, 603 E 137th St, Bronx, NY 10454, Atención: Muhammad Kamran Najeeb, Managing Director, Correo electrónico: ____________________</w:t>
        <w:br/>
        <w:t>Contratista: ________________________________________________</w:t>
      </w:r>
    </w:p>
    <w:p>
      <w:pPr>
        <w:pStyle w:val="BodyTextCustom"/>
        <w:spacing w:after="80"/>
      </w:pPr>
      <w:r>
        <w:rPr>
          <w:b/>
        </w:rPr>
        <w:t xml:space="preserve">14. Ley Aplicable; Acuerdo Completo; Modificaciones. </w:t>
      </w:r>
      <w:r>
        <w:t>Este Acuerdo se regirá por las leyes del Estado de Nueva York. Este Acuerdo, incluyendo todos sus anexos, constituye el acuerdo completo entre las partes respecto de este asunto y sustituye cualquier entendimiento previo, oral o escrito. Toda modificación deberá constar por escrito y estar firmada por ambas partes.</w:t>
      </w:r>
    </w:p>
    <w:tbl>
      <w:tblPr>
        <w:tblW w:type="auto" w:w="0"/>
        <w:jc w:val="center"/>
        <w:tblLayout w:type="fixed"/>
        <w:tblLook w:firstColumn="1" w:firstRow="1" w:lastColumn="0" w:lastRow="0" w:noHBand="0" w:noVBand="1" w:val="04A0"/>
      </w:tblPr>
      <w:tblGrid>
        <w:gridCol w:w="9792"/>
      </w:tblGrid>
      <w:tr>
        <w:tc>
          <w:tcPr>
            <w:tcW w:type="dxa" w:w="10368"/>
            <w:shd w:fill="244062"/>
            <w:tcBorders>
              <w:left w:val="single" w:sz="0" w:color="244062"/>
              <w:top w:val="single" w:sz="0" w:color="244062"/>
              <w:right w:val="single" w:sz="0" w:color="244062"/>
              <w:bottom w:val="single" w:sz="0" w:color="244062"/>
            </w:tcBorders>
          </w:tcPr>
          <w:p>
            <w:pPr>
              <w:pStyle w:val="SectionBand"/>
              <w:jc w:val="left"/>
            </w:pPr>
            <w:r>
              <w:rPr>
                <w:rFonts w:ascii="Aptos" w:hAnsi="Aptos"/>
                <w:b/>
                <w:color w:val="FFFFFF"/>
                <w:sz w:val="21"/>
              </w:rPr>
              <w:t>Anexo A – Rol y Asignación de Servicios</w:t>
            </w:r>
          </w:p>
        </w:tc>
      </w:tr>
    </w:tbl>
    <w:tbl>
      <w:tblPr>
        <w:tblW w:type="auto" w:w="0"/>
        <w:jc w:val="center"/>
        <w:tblLayout w:type="fixed"/>
        <w:tblLook w:firstColumn="1" w:firstRow="1" w:lastColumn="0" w:lastRow="0" w:noHBand="0" w:noVBand="1" w:val="04A0"/>
      </w:tblPr>
      <w:tblGrid>
        <w:gridCol w:w="5184"/>
        <w:gridCol w:w="5184"/>
      </w:tblGrid>
      <w:tr>
        <w:tc>
          <w:tcPr>
            <w:tcW w:type="dxa" w:w="4320"/>
            <w:vAlign w:val="center"/>
            <w:tcBorders>
              <w:bottom w:val="single" w:sz="10" w:color="FFFFFF"/>
            </w:tcBorders>
          </w:tcPr>
          <w:p>
            <w:pPr>
              <w:pStyle w:val="FormLabel"/>
              <w:spacing w:after="40"/>
            </w:pPr>
            <w:r>
              <w:rPr>
                <w:rFonts w:ascii="Aptos" w:hAnsi="Aptos"/>
                <w:b/>
                <w:sz w:val="19"/>
              </w:rPr>
              <w:t>Nombre del contratista</w:t>
            </w:r>
          </w:p>
        </w:tc>
        <w:tc>
          <w:tcPr>
            <w:tcW w:type="dxa" w:w="5472"/>
            <w:vAlign w:val="center"/>
            <w:tcBorders>
              <w:bottom w:val="single" w:sz="10" w:color="5B5B5B"/>
            </w:tcBorders>
          </w:tcPr>
          <w:p>
            <w:pPr>
              <w:pStyle w:val="BodyTextCustom"/>
              <w:spacing w:after="0"/>
            </w:pPr>
          </w:p>
        </w:tc>
      </w:tr>
      <w:tr>
        <w:tc>
          <w:tcPr>
            <w:tcW w:type="dxa" w:w="4320"/>
            <w:vAlign w:val="center"/>
            <w:tcBorders>
              <w:bottom w:val="single" w:sz="10" w:color="FFFFFF"/>
            </w:tcBorders>
          </w:tcPr>
          <w:p>
            <w:pPr>
              <w:pStyle w:val="FormLabel"/>
              <w:spacing w:after="40"/>
            </w:pPr>
            <w:r>
              <w:rPr>
                <w:rFonts w:ascii="Aptos" w:hAnsi="Aptos"/>
                <w:b/>
                <w:sz w:val="19"/>
              </w:rPr>
              <w:t>Rol de servicio</w:t>
            </w:r>
          </w:p>
        </w:tc>
        <w:tc>
          <w:tcPr>
            <w:tcW w:type="dxa" w:w="5472"/>
            <w:vAlign w:val="center"/>
            <w:tcBorders>
              <w:bottom w:val="single" w:sz="10" w:color="5B5B5B"/>
            </w:tcBorders>
          </w:tcPr>
          <w:p>
            <w:pPr>
              <w:pStyle w:val="BodyTextCustom"/>
              <w:spacing w:after="0"/>
            </w:pPr>
          </w:p>
        </w:tc>
      </w:tr>
      <w:tr>
        <w:tc>
          <w:tcPr>
            <w:tcW w:type="dxa" w:w="4320"/>
            <w:vAlign w:val="center"/>
            <w:tcBorders>
              <w:bottom w:val="single" w:sz="10" w:color="FFFFFF"/>
            </w:tcBorders>
          </w:tcPr>
          <w:p>
            <w:pPr>
              <w:pStyle w:val="FormLabel"/>
              <w:spacing w:after="40"/>
            </w:pPr>
            <w:r>
              <w:rPr>
                <w:rFonts w:ascii="Aptos" w:hAnsi="Aptos"/>
                <w:b/>
                <w:sz w:val="19"/>
              </w:rPr>
              <w:t>Lugar principal de servicio</w:t>
            </w:r>
          </w:p>
        </w:tc>
        <w:tc>
          <w:tcPr>
            <w:tcW w:type="dxa" w:w="5472"/>
            <w:vAlign w:val="center"/>
            <w:tcBorders>
              <w:bottom w:val="single" w:sz="10" w:color="5B5B5B"/>
            </w:tcBorders>
          </w:tcPr>
          <w:p>
            <w:pPr>
              <w:pStyle w:val="BodyTextCustom"/>
              <w:spacing w:after="0"/>
            </w:pPr>
          </w:p>
        </w:tc>
      </w:tr>
      <w:tr>
        <w:tc>
          <w:tcPr>
            <w:tcW w:type="dxa" w:w="4320"/>
            <w:vAlign w:val="center"/>
            <w:tcBorders>
              <w:bottom w:val="single" w:sz="10" w:color="FFFFFF"/>
            </w:tcBorders>
          </w:tcPr>
          <w:p>
            <w:pPr>
              <w:pStyle w:val="FormLabel"/>
              <w:spacing w:after="40"/>
            </w:pPr>
            <w:r>
              <w:rPr>
                <w:rFonts w:ascii="Aptos" w:hAnsi="Aptos"/>
                <w:b/>
                <w:sz w:val="19"/>
              </w:rPr>
              <w:t>Fecha de inicio del servicio</w:t>
            </w:r>
          </w:p>
        </w:tc>
        <w:tc>
          <w:tcPr>
            <w:tcW w:type="dxa" w:w="5472"/>
            <w:vAlign w:val="center"/>
            <w:tcBorders>
              <w:bottom w:val="single" w:sz="10" w:color="5B5B5B"/>
            </w:tcBorders>
          </w:tcPr>
          <w:p>
            <w:pPr>
              <w:pStyle w:val="BodyTextCustom"/>
              <w:spacing w:after="0"/>
            </w:pPr>
          </w:p>
        </w:tc>
      </w:tr>
      <w:tr>
        <w:tc>
          <w:tcPr>
            <w:tcW w:type="dxa" w:w="4320"/>
            <w:vAlign w:val="center"/>
            <w:tcBorders>
              <w:bottom w:val="single" w:sz="10" w:color="FFFFFF"/>
            </w:tcBorders>
          </w:tcPr>
          <w:p>
            <w:pPr>
              <w:pStyle w:val="FormLabel"/>
              <w:spacing w:after="40"/>
            </w:pPr>
            <w:r>
              <w:rPr>
                <w:rFonts w:ascii="Aptos" w:hAnsi="Aptos"/>
                <w:b/>
                <w:sz w:val="19"/>
              </w:rPr>
              <w:t>Base de compensación</w:t>
            </w:r>
          </w:p>
        </w:tc>
        <w:tc>
          <w:tcPr>
            <w:tcW w:type="dxa" w:w="5472"/>
            <w:vAlign w:val="center"/>
            <w:tcBorders>
              <w:bottom w:val="single" w:sz="10" w:color="5B5B5B"/>
            </w:tcBorders>
          </w:tcPr>
          <w:p>
            <w:pPr>
              <w:pStyle w:val="BodyTextCustom"/>
              <w:spacing w:after="0"/>
            </w:pPr>
            <w:r>
              <w:rPr>
                <w:rFonts w:ascii="Aptos" w:hAnsi="Aptos"/>
                <w:sz w:val="21"/>
              </w:rPr>
              <w:t>☐ Por libra   ☐ Por ruta   ☐ Por orden   ☐ Otro: __________</w:t>
            </w:r>
          </w:p>
        </w:tc>
      </w:tr>
      <w:tr>
        <w:tc>
          <w:tcPr>
            <w:tcW w:type="dxa" w:w="4320"/>
            <w:vAlign w:val="center"/>
            <w:tcBorders>
              <w:bottom w:val="single" w:sz="10" w:color="FFFFFF"/>
            </w:tcBorders>
          </w:tcPr>
          <w:p>
            <w:pPr>
              <w:pStyle w:val="FormLabel"/>
              <w:spacing w:after="40"/>
            </w:pPr>
            <w:r>
              <w:rPr>
                <w:rFonts w:ascii="Aptos" w:hAnsi="Aptos"/>
                <w:b/>
                <w:sz w:val="19"/>
              </w:rPr>
              <w:t>Tarifa aprobada / referencia a tabla de tarifas</w:t>
            </w:r>
          </w:p>
        </w:tc>
        <w:tc>
          <w:tcPr>
            <w:tcW w:type="dxa" w:w="5472"/>
            <w:vAlign w:val="center"/>
            <w:tcBorders>
              <w:bottom w:val="single" w:sz="10" w:color="5B5B5B"/>
            </w:tcBorders>
          </w:tcPr>
          <w:p>
            <w:pPr>
              <w:pStyle w:val="BodyTextCustom"/>
              <w:spacing w:after="0"/>
            </w:pPr>
          </w:p>
        </w:tc>
      </w:tr>
      <w:tr>
        <w:tc>
          <w:tcPr>
            <w:tcW w:type="dxa" w:w="4320"/>
            <w:vAlign w:val="center"/>
            <w:tcBorders>
              <w:bottom w:val="single" w:sz="10" w:color="FFFFFF"/>
            </w:tcBorders>
          </w:tcPr>
          <w:p>
            <w:pPr>
              <w:pStyle w:val="FormLabel"/>
              <w:spacing w:after="40"/>
            </w:pPr>
            <w:r>
              <w:rPr>
                <w:rFonts w:ascii="Aptos" w:hAnsi="Aptos"/>
                <w:b/>
                <w:sz w:val="19"/>
              </w:rPr>
              <w:t>Ciclo normal de pago</w:t>
            </w:r>
          </w:p>
        </w:tc>
        <w:tc>
          <w:tcPr>
            <w:tcW w:type="dxa" w:w="5472"/>
            <w:vAlign w:val="center"/>
            <w:tcBorders>
              <w:bottom w:val="single" w:sz="10" w:color="5B5B5B"/>
            </w:tcBorders>
          </w:tcPr>
          <w:p>
            <w:pPr>
              <w:pStyle w:val="BodyTextCustom"/>
              <w:spacing w:after="0"/>
            </w:pPr>
          </w:p>
        </w:tc>
      </w:tr>
      <w:tr>
        <w:tc>
          <w:tcPr>
            <w:tcW w:type="dxa" w:w="4320"/>
            <w:vAlign w:val="center"/>
            <w:tcBorders>
              <w:bottom w:val="single" w:sz="10" w:color="FFFFFF"/>
            </w:tcBorders>
          </w:tcPr>
          <w:p>
            <w:pPr>
              <w:pStyle w:val="FormLabel"/>
              <w:spacing w:after="40"/>
            </w:pPr>
            <w:r>
              <w:rPr>
                <w:rFonts w:ascii="Aptos" w:hAnsi="Aptos"/>
                <w:b/>
                <w:sz w:val="19"/>
              </w:rPr>
              <w:t>Herramientas aprobadas / aplicación / báscula / tickets / otros</w:t>
            </w:r>
          </w:p>
        </w:tc>
        <w:tc>
          <w:tcPr>
            <w:tcW w:type="dxa" w:w="5472"/>
            <w:vAlign w:val="center"/>
            <w:tcBorders>
              <w:bottom w:val="single" w:sz="10" w:color="5B5B5B"/>
            </w:tcBorders>
          </w:tcPr>
          <w:p>
            <w:pPr>
              <w:pStyle w:val="BodyTextCustom"/>
              <w:spacing w:after="0"/>
            </w:pPr>
          </w:p>
        </w:tc>
      </w:tr>
    </w:tbl>
    <w:p/>
    <w:tbl>
      <w:tblPr>
        <w:tblW w:type="auto" w:w="0"/>
        <w:jc w:val="center"/>
        <w:tblLayout w:type="fixed"/>
        <w:tblLook w:firstColumn="1" w:firstRow="1" w:lastColumn="0" w:lastRow="0" w:noHBand="0" w:noVBand="1" w:val="04A0"/>
      </w:tblPr>
      <w:tblGrid>
        <w:gridCol w:w="9792"/>
      </w:tblGrid>
      <w:tr>
        <w:tc>
          <w:tcPr>
            <w:tcW w:type="dxa" w:w="10368"/>
            <w:shd w:fill="244062"/>
            <w:tcBorders>
              <w:left w:val="single" w:sz="0" w:color="244062"/>
              <w:top w:val="single" w:sz="0" w:color="244062"/>
              <w:right w:val="single" w:sz="0" w:color="244062"/>
              <w:bottom w:val="single" w:sz="0" w:color="244062"/>
            </w:tcBorders>
          </w:tcPr>
          <w:p>
            <w:pPr>
              <w:pStyle w:val="SectionBand"/>
              <w:jc w:val="left"/>
            </w:pPr>
            <w:r>
              <w:rPr>
                <w:rFonts w:ascii="Aptos" w:hAnsi="Aptos"/>
                <w:b/>
                <w:color w:val="FFFFFF"/>
                <w:sz w:val="21"/>
              </w:rPr>
              <w:t>Anexo B – Programa de Estándares de Servicio y Benchmarks</w:t>
            </w:r>
          </w:p>
        </w:tc>
      </w:tr>
    </w:tbl>
    <w:tbl>
      <w:tblPr>
        <w:tblW w:type="auto" w:w="0"/>
        <w:jc w:val="center"/>
        <w:tblLayout w:type="fixed"/>
        <w:tblLook w:firstColumn="1" w:firstRow="1" w:lastColumn="0" w:lastRow="0" w:noHBand="0" w:noVBand="1" w:val="04A0"/>
      </w:tblPr>
      <w:tblGrid>
        <w:gridCol w:w="9792"/>
      </w:tblGrid>
      <w:tr>
        <w:tc>
          <w:tcPr>
            <w:tcW w:type="dxa" w:w="10368"/>
            <w:shd w:fill="F6F8FA"/>
            <w:tcBorders>
              <w:left w:val="single" w:sz="8" w:color="D9DEE5"/>
              <w:top w:val="single" w:sz="8" w:color="D9DEE5"/>
              <w:right w:val="single" w:sz="8" w:color="D9DEE5"/>
              <w:bottom w:val="single" w:sz="8" w:color="D9DEE5"/>
            </w:tcBorders>
            <w:vAlign w:val="center"/>
          </w:tcPr>
          <w:p>
            <w:pPr>
              <w:pStyle w:val="SmallText"/>
              <w:jc w:val="left"/>
            </w:pPr>
            <w:r>
              <w:rPr>
                <w:rFonts w:ascii="Aptos" w:hAnsi="Aptos"/>
                <w:sz w:val="17"/>
              </w:rPr>
              <w:t>Complete este anexo con los mismos estándares operativos que usa Rinse / Washpro cuando corresponda. Mantenga la redacción ligada a estándares de servicio, calidad y resultados aceptados.</w:t>
            </w:r>
          </w:p>
        </w:tc>
      </w:tr>
    </w:tbl>
    <w:p/>
    <w:tbl>
      <w:tblPr>
        <w:tblW w:type="auto" w:w="0"/>
        <w:jc w:val="center"/>
        <w:tblLayout w:type="fixed"/>
        <w:tblLook w:firstColumn="1" w:firstRow="1" w:lastColumn="0" w:lastRow="0" w:noHBand="0" w:noVBand="1" w:val="04A0"/>
      </w:tblPr>
      <w:tblGrid>
        <w:gridCol w:w="5184"/>
        <w:gridCol w:w="5184"/>
      </w:tblGrid>
      <w:tr>
        <w:tc>
          <w:tcPr>
            <w:tcW w:type="dxa" w:w="4608"/>
            <w:vAlign w:val="center"/>
            <w:tcBorders>
              <w:bottom w:val="single" w:sz="10" w:color="FFFFFF"/>
            </w:tcBorders>
          </w:tcPr>
          <w:p>
            <w:pPr>
              <w:pStyle w:val="FormLabel"/>
              <w:spacing w:after="40"/>
            </w:pPr>
            <w:r>
              <w:rPr>
                <w:rFonts w:ascii="Aptos" w:hAnsi="Aptos"/>
                <w:b/>
                <w:sz w:val="19"/>
              </w:rPr>
              <w:t>Pasos requeridos del proceso / flujo</w:t>
            </w:r>
          </w:p>
        </w:tc>
        <w:tc>
          <w:tcPr>
            <w:tcW w:type="dxa" w:w="5184"/>
            <w:vAlign w:val="center"/>
            <w:tcBorders>
              <w:bottom w:val="single" w:sz="10" w:color="5B5B5B"/>
            </w:tcBorders>
          </w:tcPr>
          <w:p>
            <w:pPr>
              <w:pStyle w:val="BodyTextCustom"/>
              <w:spacing w:after="0"/>
            </w:pPr>
          </w:p>
        </w:tc>
      </w:tr>
      <w:tr>
        <w:tc>
          <w:tcPr>
            <w:tcW w:type="dxa" w:w="4608"/>
            <w:vAlign w:val="center"/>
            <w:tcBorders>
              <w:bottom w:val="single" w:sz="10" w:color="FFFFFF"/>
            </w:tcBorders>
          </w:tcPr>
          <w:p>
            <w:pPr>
              <w:pStyle w:val="FormLabel"/>
              <w:spacing w:after="40"/>
            </w:pPr>
            <w:r>
              <w:rPr>
                <w:rFonts w:ascii="Aptos" w:hAnsi="Aptos"/>
                <w:b/>
                <w:sz w:val="19"/>
              </w:rPr>
              <w:t>Estándares de calidad</w:t>
            </w:r>
          </w:p>
        </w:tc>
        <w:tc>
          <w:tcPr>
            <w:tcW w:type="dxa" w:w="5184"/>
            <w:vAlign w:val="center"/>
            <w:tcBorders>
              <w:bottom w:val="single" w:sz="10" w:color="5B5B5B"/>
            </w:tcBorders>
          </w:tcPr>
          <w:p>
            <w:pPr>
              <w:pStyle w:val="BodyTextCustom"/>
              <w:spacing w:after="0"/>
            </w:pPr>
          </w:p>
        </w:tc>
      </w:tr>
      <w:tr>
        <w:tc>
          <w:tcPr>
            <w:tcW w:type="dxa" w:w="4608"/>
            <w:vAlign w:val="center"/>
            <w:tcBorders>
              <w:bottom w:val="single" w:sz="10" w:color="FFFFFF"/>
            </w:tcBorders>
          </w:tcPr>
          <w:p>
            <w:pPr>
              <w:pStyle w:val="FormLabel"/>
              <w:spacing w:after="40"/>
            </w:pPr>
            <w:r>
              <w:rPr>
                <w:rFonts w:ascii="Aptos" w:hAnsi="Aptos"/>
                <w:b/>
                <w:sz w:val="19"/>
              </w:rPr>
              <w:t>Estándares de productividad / benchmarks</w:t>
            </w:r>
          </w:p>
        </w:tc>
        <w:tc>
          <w:tcPr>
            <w:tcW w:type="dxa" w:w="5184"/>
            <w:vAlign w:val="center"/>
            <w:tcBorders>
              <w:bottom w:val="single" w:sz="10" w:color="5B5B5B"/>
            </w:tcBorders>
          </w:tcPr>
          <w:p>
            <w:pPr>
              <w:pStyle w:val="BodyTextCustom"/>
              <w:spacing w:after="0"/>
            </w:pPr>
          </w:p>
        </w:tc>
      </w:tr>
      <w:tr>
        <w:tc>
          <w:tcPr>
            <w:tcW w:type="dxa" w:w="4608"/>
            <w:vAlign w:val="center"/>
            <w:tcBorders>
              <w:bottom w:val="single" w:sz="10" w:color="FFFFFF"/>
            </w:tcBorders>
          </w:tcPr>
          <w:p>
            <w:pPr>
              <w:pStyle w:val="FormLabel"/>
              <w:spacing w:after="40"/>
            </w:pPr>
            <w:r>
              <w:rPr>
                <w:rFonts w:ascii="Aptos" w:hAnsi="Aptos"/>
                <w:b/>
                <w:sz w:val="19"/>
              </w:rPr>
              <w:t>Datos de gaming / productividad utilizados</w:t>
            </w:r>
          </w:p>
        </w:tc>
        <w:tc>
          <w:tcPr>
            <w:tcW w:type="dxa" w:w="5184"/>
            <w:vAlign w:val="center"/>
            <w:tcBorders>
              <w:bottom w:val="single" w:sz="10" w:color="5B5B5B"/>
            </w:tcBorders>
          </w:tcPr>
          <w:p>
            <w:pPr>
              <w:pStyle w:val="BodyTextCustom"/>
              <w:spacing w:after="0"/>
            </w:pPr>
          </w:p>
        </w:tc>
      </w:tr>
      <w:tr>
        <w:tc>
          <w:tcPr>
            <w:tcW w:type="dxa" w:w="4608"/>
            <w:vAlign w:val="center"/>
            <w:tcBorders>
              <w:bottom w:val="single" w:sz="10" w:color="FFFFFF"/>
            </w:tcBorders>
          </w:tcPr>
          <w:p>
            <w:pPr>
              <w:pStyle w:val="FormLabel"/>
              <w:spacing w:after="40"/>
            </w:pPr>
            <w:r>
              <w:rPr>
                <w:rFonts w:ascii="Aptos" w:hAnsi="Aptos"/>
                <w:b/>
                <w:sz w:val="19"/>
              </w:rPr>
              <w:t>Reglas de incentivo / recompensa (si aplica)</w:t>
            </w:r>
          </w:p>
        </w:tc>
        <w:tc>
          <w:tcPr>
            <w:tcW w:type="dxa" w:w="5184"/>
            <w:vAlign w:val="center"/>
            <w:tcBorders>
              <w:bottom w:val="single" w:sz="10" w:color="5B5B5B"/>
            </w:tcBorders>
          </w:tcPr>
          <w:p>
            <w:pPr>
              <w:pStyle w:val="BodyTextCustom"/>
              <w:spacing w:after="0"/>
            </w:pPr>
          </w:p>
        </w:tc>
      </w:tr>
      <w:tr>
        <w:tc>
          <w:tcPr>
            <w:tcW w:type="dxa" w:w="4608"/>
            <w:vAlign w:val="center"/>
            <w:tcBorders>
              <w:bottom w:val="single" w:sz="10" w:color="FFFFFF"/>
            </w:tcBorders>
          </w:tcPr>
          <w:p>
            <w:pPr>
              <w:pStyle w:val="FormLabel"/>
              <w:spacing w:after="40"/>
            </w:pPr>
            <w:r>
              <w:rPr>
                <w:rFonts w:ascii="Aptos" w:hAnsi="Aptos"/>
                <w:b/>
                <w:sz w:val="19"/>
              </w:rPr>
              <w:t>Reglas de ajuste / recobro (si aplica)</w:t>
            </w:r>
          </w:p>
        </w:tc>
        <w:tc>
          <w:tcPr>
            <w:tcW w:type="dxa" w:w="5184"/>
            <w:vAlign w:val="center"/>
            <w:tcBorders>
              <w:bottom w:val="single" w:sz="10" w:color="5B5B5B"/>
            </w:tcBorders>
          </w:tcPr>
          <w:p>
            <w:pPr>
              <w:pStyle w:val="BodyTextCustom"/>
              <w:spacing w:after="0"/>
            </w:pPr>
          </w:p>
        </w:tc>
      </w:tr>
      <w:tr>
        <w:tc>
          <w:tcPr>
            <w:tcW w:type="dxa" w:w="4608"/>
            <w:vAlign w:val="center"/>
            <w:tcBorders>
              <w:bottom w:val="single" w:sz="10" w:color="FFFFFF"/>
            </w:tcBorders>
          </w:tcPr>
          <w:p>
            <w:pPr>
              <w:pStyle w:val="FormLabel"/>
              <w:spacing w:after="40"/>
            </w:pPr>
            <w:r>
              <w:rPr>
                <w:rFonts w:ascii="Aptos" w:hAnsi="Aptos"/>
                <w:b/>
                <w:sz w:val="19"/>
              </w:rPr>
              <w:t>Consecuencias por incumplimiento reiterado</w:t>
            </w:r>
          </w:p>
        </w:tc>
        <w:tc>
          <w:tcPr>
            <w:tcW w:type="dxa" w:w="5184"/>
            <w:vAlign w:val="center"/>
            <w:tcBorders>
              <w:bottom w:val="single" w:sz="10" w:color="5B5B5B"/>
            </w:tcBorders>
          </w:tcPr>
          <w:p>
            <w:pPr>
              <w:pStyle w:val="BodyTextCustom"/>
              <w:spacing w:after="0"/>
            </w:pPr>
          </w:p>
        </w:tc>
      </w:tr>
    </w:tbl>
    <w:p/>
    <w:tbl>
      <w:tblPr>
        <w:tblW w:type="auto" w:w="0"/>
        <w:jc w:val="center"/>
        <w:tblLayout w:type="fixed"/>
        <w:tblLook w:firstColumn="1" w:firstRow="1" w:lastColumn="0" w:lastRow="0" w:noHBand="0" w:noVBand="1" w:val="04A0"/>
      </w:tblPr>
      <w:tblGrid>
        <w:gridCol w:w="9792"/>
      </w:tblGrid>
      <w:tr>
        <w:tc>
          <w:tcPr>
            <w:tcW w:type="dxa" w:w="10368"/>
            <w:shd w:fill="244062"/>
            <w:tcBorders>
              <w:left w:val="single" w:sz="0" w:color="244062"/>
              <w:top w:val="single" w:sz="0" w:color="244062"/>
              <w:right w:val="single" w:sz="0" w:color="244062"/>
              <w:bottom w:val="single" w:sz="0" w:color="244062"/>
            </w:tcBorders>
          </w:tcPr>
          <w:p>
            <w:pPr>
              <w:pStyle w:val="SectionBand"/>
              <w:jc w:val="left"/>
            </w:pPr>
            <w:r>
              <w:rPr>
                <w:rFonts w:ascii="Aptos" w:hAnsi="Aptos"/>
                <w:b/>
                <w:color w:val="FFFFFF"/>
                <w:sz w:val="21"/>
              </w:rPr>
              <w:t>Firmas</w:t>
            </w:r>
          </w:p>
        </w:tc>
      </w:tr>
    </w:tbl>
    <w:p>
      <w:pPr>
        <w:pStyle w:val="BodyTextCustom"/>
      </w:pPr>
      <w:r>
        <w:t>Las partes abajo firmantes aceptan este Acuerdo y sus anexos.</w:t>
      </w:r>
    </w:p>
    <w:tbl>
      <w:tblPr>
        <w:tblW w:type="auto" w:w="0"/>
        <w:jc w:val="center"/>
        <w:tblLayout w:type="fixed"/>
        <w:tblLook w:firstColumn="1" w:firstRow="1" w:lastColumn="0" w:lastRow="0" w:noHBand="0" w:noVBand="1" w:val="04A0"/>
      </w:tblPr>
      <w:tblGrid>
        <w:gridCol w:w="5184"/>
        <w:gridCol w:w="5184"/>
      </w:tblGrid>
      <w:tr>
        <w:tc>
          <w:tcPr>
            <w:tcW w:type="dxa" w:w="4824"/>
            <w:tcBorders>
              <w:bottom w:val="single" w:sz="12" w:color="5B5B5B"/>
            </w:tcBorders>
          </w:tcPr>
          <w:p/>
        </w:tc>
        <w:tc>
          <w:tcPr>
            <w:tcW w:type="dxa" w:w="4824"/>
            <w:tcBorders>
              <w:bottom w:val="single" w:sz="12" w:color="5B5B5B"/>
            </w:tcBorders>
          </w:tcPr>
          <w:p/>
        </w:tc>
      </w:tr>
      <w:tr>
        <w:tc>
          <w:tcPr>
            <w:tcW w:type="dxa" w:w="4824"/>
          </w:tcPr>
          <w:p>
            <w:pPr>
              <w:pStyle w:val="SmallText"/>
            </w:pPr>
            <w:r>
              <w:t>Firma / nombre / fecha del contratista</w:t>
            </w:r>
          </w:p>
        </w:tc>
        <w:tc>
          <w:tcPr>
            <w:tcW w:type="dxa" w:w="4824"/>
          </w:tcPr>
          <w:p>
            <w:pPr>
              <w:pStyle w:val="SmallText"/>
            </w:pPr>
            <w:r>
              <w:t>Firma / nombre / fecha de VeeWash LLC</w:t>
            </w:r>
          </w:p>
        </w:tc>
      </w:tr>
    </w:tbl>
    <w:p/>
    <w:p>
      <w:pPr>
        <w:pStyle w:val="SmallText"/>
      </w:pPr>
      <w:r>
        <w:t>Firmante de VeeWash LLC: Muhammad Kamran Najeeb, Managing Director</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rPr>
      <w:rFonts w:ascii="Aptos" w:hAnsi="Aptos"/>
      <w:sz w:val="21"/>
    </w:rPr>
  </w:style>
  <w:style w:type="paragraph" w:customStyle="1" w:styleId="FormLabel">
    <w:name w:val="FormLabel"/>
    <w:rPr>
      <w:rFonts w:ascii="Aptos" w:hAnsi="Aptos"/>
      <w:b/>
      <w:sz w:val="19"/>
    </w:rPr>
  </w:style>
  <w:style w:type="paragraph" w:customStyle="1" w:styleId="SmallText">
    <w:name w:val="SmallText"/>
    <w:rPr>
      <w:rFonts w:ascii="Aptos" w:hAnsi="Aptos"/>
      <w:sz w:val="17"/>
    </w:rPr>
  </w:style>
  <w:style w:type="paragraph" w:customStyle="1" w:styleId="SectionBand">
    <w:name w:val="SectionBand"/>
    <w:rPr>
      <w:rFonts w:ascii="Aptos" w:hAnsi="Aptos"/>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