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C-106 (EN)</w:t>
      </w:r>
    </w:p>
    <w:p>
      <w:pPr>
        <w:jc w:val="center"/>
      </w:pPr>
      <w:r>
        <w:rPr>
          <w:rFonts w:ascii="Aptos" w:hAnsi="Aptos"/>
          <w:b/>
          <w:sz w:val="28"/>
        </w:rPr>
        <w:t>Contract Suspension / Cancellation Notice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Notice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Contractor Name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Date of Notice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Role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Period / Order Range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Primary Work Location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Issued by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Prior Notice Reference (if any)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/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Type of action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  <w:r>
              <w:rPr>
                <w:rFonts w:ascii="Aptos" w:hAnsi="Aptos"/>
                <w:sz w:val="21"/>
              </w:rPr>
              <w:t>☐ Suspension   ☐ Cancellation</w:t>
            </w: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Effective date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Reason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Return of company property / access required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Final payment or offset notes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Acknowledgment</w:t>
            </w:r>
          </w:p>
        </w:tc>
      </w:tr>
    </w:tbl>
    <w:p>
      <w:pPr>
        <w:pStyle w:val="BodyTextCustom"/>
      </w:pPr>
      <w:r>
        <w:t>Receipt of this notice is acknowledged. Signature confirms receipt only and does not necessarily mean agreement.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Contractor Signature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Issued by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