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A3A5C"/>
          <w:sz w:val="40"/>
          <w:szCs w:val="40"/>
        </w:rPr>
        <w:t xml:space="preserve">FaithTrack: A Web-Based Resource Management System</w:t>
      </w:r>
    </w:p>
    <w:p>
      <w:pPr>
        <w:spacing w:after="120" w:before="0"/>
      </w:pPr>
      <w:r>
        <w:rPr>
          <w:rFonts w:ascii="Arial" w:cs="Arial" w:eastAsia="Arial" w:hAnsi="Arial"/>
          <w:b/>
          <w:bCs/>
          <w:color w:val="2E5F8A"/>
          <w:sz w:val="28"/>
          <w:szCs w:val="28"/>
        </w:rPr>
        <w:t xml:space="preserve">Requirements Review — Outcomes and Planned Improvements</w:t>
      </w:r>
    </w:p>
    <w:p>
      <w:pPr>
        <w:spacing w:after="80" w:before="0"/>
      </w:pPr>
      <w:r>
        <w:rPr>
          <w:rFonts w:ascii="Arial" w:cs="Arial" w:eastAsia="Arial" w:hAnsi="Arial"/>
          <w:color w:val="555555"/>
          <w:sz w:val="20"/>
          <w:szCs w:val="20"/>
        </w:rPr>
        <w:t xml:space="preserve">Matthew Kollar  |  CST-452 Senior Capstone Project II  |  Grand Canyon University  |  Instructor: Professor Michael Landreth  |  May 2026</w:t>
      </w:r>
    </w:p>
    <w:p>
      <w:pPr>
        <w:spacing w:after="80" w:before="80"/>
      </w:pPr>
      <w:r>
        <w:t xml:space="preserve"/>
      </w:r>
    </w:p>
    <w:p>
      <w:pPr>
        <w:pStyle w:val="Heading1"/>
        <w:spacing w:after="160" w:before="320"/>
      </w:pPr>
      <w:r>
        <w:rPr>
          <w:rFonts w:ascii="Arial" w:cs="Arial" w:eastAsia="Arial" w:hAnsi="Arial"/>
          <w:b/>
          <w:bCs/>
          <w:color w:val="1A3A5C"/>
          <w:sz w:val="32"/>
          <w:szCs w:val="32"/>
        </w:rPr>
        <w:t xml:space="preserve">1. Requirements Review Overview</w:t>
      </w:r>
    </w:p>
    <w:p>
      <w:pPr>
        <w:spacing w:after="80" w:before="80"/>
      </w:pPr>
      <w:r>
        <w:rPr>
          <w:rFonts w:ascii="Arial" w:cs="Arial" w:eastAsia="Arial" w:hAnsi="Arial"/>
          <w:b w:val="false"/>
          <w:bCs w:val="false"/>
          <w:color w:val="333333"/>
          <w:sz w:val="20"/>
          <w:szCs w:val="20"/>
        </w:rPr>
        <w:t xml:space="preserve">This document reviews all functional and non-functional requirements defined in the FaithTrack Project Proposal (CST-451 Milestone 1) and Architecture Plan (CST-451 Milestone 3). For each requirement, the outcome is stated and justified based on the final implemented system. All 8 functional requirements and 8 non-functional requirements were met in full across the three development sprints.</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1.1 Summary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30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Total Requirements Reviewed</w:t>
            </w:r>
          </w:p>
        </w:tc>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16 (8 Functional + 8 Non-Functional)</w:t>
            </w:r>
          </w:p>
        </w:tc>
      </w:tr>
      <w:tr>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Requirements Met</w:t>
            </w:r>
          </w:p>
        </w:tc>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6B3C"/>
                <w:sz w:val="18"/>
                <w:szCs w:val="18"/>
              </w:rPr>
              <w:t xml:space="preserve">16 / 16 (100%)</w:t>
            </w:r>
          </w:p>
        </w:tc>
      </w:tr>
      <w:tr>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Requirements Partially Met</w:t>
            </w:r>
          </w:p>
        </w:tc>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r>
      <w:tr>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Requirements Not Met</w:t>
            </w:r>
          </w:p>
        </w:tc>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r>
      <w:tr>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User Stories Delivered</w:t>
            </w:r>
          </w:p>
        </w:tc>
        <w:tc>
          <w:tcPr>
            <w:tcW w:type="dxa" w:w="3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6B3C"/>
                <w:sz w:val="18"/>
                <w:szCs w:val="18"/>
              </w:rPr>
              <w:t xml:space="preserve">20 / 20 (100%)</w:t>
            </w:r>
          </w:p>
        </w:tc>
      </w:tr>
    </w:tbl>
    <w:p>
      <w:pPr>
        <w:spacing w:after="80" w:before="80"/>
      </w:pPr>
      <w:r>
        <w:t xml:space="preserve"/>
      </w:r>
    </w:p>
    <w:p>
      <w:r>
        <w:br w:type="page"/>
      </w:r>
    </w:p>
    <w:p>
      <w:pPr>
        <w:pStyle w:val="Heading1"/>
        <w:spacing w:after="160" w:before="320"/>
      </w:pPr>
      <w:r>
        <w:rPr>
          <w:rFonts w:ascii="Arial" w:cs="Arial" w:eastAsia="Arial" w:hAnsi="Arial"/>
          <w:b/>
          <w:bCs/>
          <w:color w:val="1A3A5C"/>
          <w:sz w:val="32"/>
          <w:szCs w:val="32"/>
        </w:rPr>
        <w:t xml:space="preserve">2. Requirements Outcomes</w:t>
      </w:r>
    </w:p>
    <w:p>
      <w:pPr>
        <w:spacing w:after="80" w:before="80"/>
      </w:pPr>
      <w:r>
        <w:rPr>
          <w:rFonts w:ascii="Arial" w:cs="Arial" w:eastAsia="Arial" w:hAnsi="Arial"/>
          <w:b w:val="false"/>
          <w:bCs w:val="false"/>
          <w:color w:val="333333"/>
          <w:sz w:val="20"/>
          <w:szCs w:val="20"/>
        </w:rPr>
        <w:t xml:space="preserve">The following table lists each requirement, its source document reference, outcome status, and justification based on the final implemented system.</w:t>
      </w:r>
    </w:p>
    <w:p>
      <w:pPr>
        <w:spacing w:after="80" w:before="80"/>
      </w:pPr>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800"/>
        <w:gridCol w:w="2000"/>
        <w:gridCol w:w="900"/>
        <w:gridCol w:w="3100"/>
      </w:tblGrid>
      <w:tr>
        <w:trPr>
          <w:tblHeader/>
        </w:trPr>
        <w:tc>
          <w:tcPr>
            <w:tcW w:type="dxa" w:w="6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11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28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Requirement</w:t>
            </w:r>
          </w:p>
        </w:tc>
        <w:tc>
          <w:tcPr>
            <w:tcW w:type="dxa" w:w="20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c>
          <w:tcPr>
            <w:tcW w:type="dxa" w:w="9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Outcome</w:t>
            </w:r>
          </w:p>
        </w:tc>
        <w:tc>
          <w:tcPr>
            <w:tcW w:type="dxa" w:w="31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Justification</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FR-01</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Authentication</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users to log in using an email address and password.</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#1; Architecture Plan Fig. 1</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Implemented in AccountController using ASP.NET Core Identity SignInManager. Login view matches the wireframe in Architecture Plan Figure 8. Valid and invalid credential flows both tested in TC-001 and TC-002.</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FR-02</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Authentication</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display validation and error messages when login fails.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#1; Architecture Plan Fig. 1</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ModelState validation in AccountController.Login() returns the view with a model-level error message on failed PasswordSignInAsync(). Inline validation summary displayed via asp-validation-summary tag helper. Verified in TC-002.</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FR-03</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Authentication</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new users to register for an account.</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Scope; Architecture Plan Fig. 7 (Sitemap)</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AccountController.Register() GET/POST implemented using Identity UserManager.CreateAsync(). Registration form collects email and password with confirmation. Email confirmation disabled for local development. Verified in TC-017.</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FR-04</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Dashboard</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redirect authenticated users to a dashboard after login.</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Fig. 1 (Auth Flow), Fig. 7 (Sitemap), Fig. 9 (Dashboard Wireframe)</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HomeController returns Dashboard.cshtml after successful authentication. Quick Access panels for Resources and Categories implemented as shown in wireframe. Verified in TC-004.</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FR-05</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Resources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authenticated users to view a list of their faith-based resources.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#1; Architecture Plan Fig. 10</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ResourceController.Index() retrieves resources for the current user via GetAllResourcesAsync(). Resources List view displays Title, Category, Date Added, and action buttons. User isolation enforced. Verified in TC-005 and TC-006.</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FR-06</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Resources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authenticated users to create a new resource with title, category, description, and optional URL.</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#1; Architecture Plan Fig. 11</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ResourceController.Create() GET/POST implemented. ResourceViewModel includes Title (required), CategoryId (required), Description, and Url fields. ValidateResource() enforces required field constraints before persistence. Success message displayed on creation. Verified in TC-007.</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FR-07</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Resources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authenticated users to edit an existing resource.</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#1; Architecture Plan Fig. 12</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ResourceController.Edit() GET/POST implemented. Edit form pre-populated with existing resource data via GetResourceByIdAsync(). UpdateResourceAsync() persists changes. Verified in TC-008.</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FR-08</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Resources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authenticated users to delete a resource with an explicit confirmation step.</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#1; Architecture Plan Fig. 14</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ResourceController.Delete() displays a confirmation page with resource details. DeleteConfirmed() permanently removes the resource only after the user confirms. Verified in TC-009 and TC-010.</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FR-09</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Resources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provide search functionality to locate resources by title or keyword.</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#3; Architecture Plan NFR section</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SearchResourcesAsync() implemented in ResourceService and connected to ResourceController.Search(). Keyword search filters resources by title and description. Verified in TC-016.</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FR-10</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Resources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users to filter resources by category.</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#3</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ResourceController.Index() accepts an optional categoryId parameter. FilterByCategoryAsync() in ResourceService returns only resources matching the selected category. Verified in TC-015.</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FR-11</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Categories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users to view, create, edit, and delete resource categories.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Fig. 15 (UML Class Diagram), ER Diagram Fig. 5</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Full CategoryController CRUD implemented with ICategoryService and ICategoryRepository. All four operations verified in TC-011 through TC-013.</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FR-12</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Categories</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prevent deletion of a category that still has resources assigned to it.</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DDL Scripts (ON DELETE NO ACTION), ER Diagram Fig. 5</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CategoryService pre-delete validation queries resource count before allowing deletion. User-friendly error message returned if resources still reference the category, preventing FK constraint violation. Verified in TC-014.</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FR-13</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Profile</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allow users to view and update their profile information and change their password.</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#1; Architecture Plan Fig. 7 (Sitemap)</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AccountController.Profile(), UpdateProfile(), and ChangePassword() implemented using Identity UserManager. Profile view displays account details. Password change enforces current password validation. Verified in TC-018, TC-019, TC-020.</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NFR-01</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Security</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All resource management routes shall be protected and accessible only to authenticated users.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NFR section p.26</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[Authorize] attribute applied to all CRUD controller actions. Unauthenticated requests are redirected to the login page by ASP.NET Core authentication middleware. [ValidateAntiForgeryToken] applied to all POST actions for CSRF protection.</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NFR-02</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Security</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Passwords shall never be stored in plain text and shall meet complexity requirements.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NFR section p.26</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ASP.NET Core Identity handles all password storage using PBKDF2 hashing. Default Identity configuration enforces minimum length, uppercase, lowercase, digit, and special character requirements.</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NFR-03</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Data Integrity</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All form submissions shall be validated server-side before data is persisted.</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NFR section p.26</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ModelState.IsValid checked in all POST controller actions before invoking service layer. Data annotations ([Required], [StringLength], [DataType]) applied in all ViewModels. Foreign key constraints enforced at the database level.</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NFR-04</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Architecture</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follow a layered N-tier architecture with separation of concerns across Presentation, Application, and Data Access layers.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Milestone 3 — Detailed High-Level Solution Design</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Controllers never access the database directly. Services encapsulate all business rules. Repositories abstract all data access. Dependency injection wires all layers through Program.cs using AddScoped&lt;&gt;().</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NFR-05</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Performance</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All database operations shall use asynchronous patterns to avoid blocking the web server.</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Milestone 3 — General Technical Approach</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All repository methods implement async/await (GetAllAsync, AddAsync, UpdateAsync, DeleteAsync, etc.). Service layer propagates async through to controllers. Entity Framework Core LINQ generates optimized SQL statements.</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NFR-06</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Usability</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provide a consistent navigation bar and inline validation messages across all screens.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NFR section p.26; Sitemap Fig. 7</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_Layout.cshtml provides a persistent navigation bar across all views. asp-validation-for and asp-validation-summary tag helpers display inline validation errors on all forms. Verified across all test cases.</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NFR-07</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Maintainability</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All public classes and methods shall include XML documentation comments.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Architecture Plan Milestone 3 — General Technical Approach</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All public controller actions, service methods, and repository methods include /// &lt;summary&gt; XML documentation comments consistent with C# industry best practices.</w:t>
            </w:r>
          </w:p>
        </w:tc>
      </w:tr>
      <w:tr>
        <w:tc>
          <w:tcPr>
            <w:tcW w:type="dxa" w:w="6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6"/>
                <w:szCs w:val="16"/>
              </w:rPr>
              <w:t xml:space="preserve">NFR-08</w:t>
            </w:r>
          </w:p>
        </w:tc>
        <w:tc>
          <w:tcPr>
            <w:tcW w:type="dxa" w:w="1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Testability</w:t>
            </w:r>
          </w:p>
        </w:tc>
        <w:tc>
          <w:tcPr>
            <w:tcW w:type="dxa" w:w="28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6"/>
                <w:szCs w:val="16"/>
              </w:rPr>
              <w:t xml:space="preserve">The system shall include a unit test suite covering core CRUD and authentication operations.</w:t>
            </w:r>
          </w:p>
        </w:tc>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Project Proposal — Project Objectives; Architecture Plan p.27</w:t>
            </w:r>
          </w:p>
        </w:tc>
        <w:tc>
          <w:tcPr>
            <w:tcW w:type="dxa" w:w="900"/>
            <w:tcBorders>
              <w:top w:val="single" w:color="C0C8D4" w:sz="1"/>
              <w:left w:val="single" w:color="C0C8D4" w:sz="1"/>
              <w:bottom w:val="single" w:color="C0C8D4" w:sz="1"/>
              <w:right w:val="single" w:color="C0C8D4" w:sz="1"/>
            </w:tcBorders>
            <w:shd w:fill="E8F4ED"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Met</w:t>
            </w:r>
          </w:p>
        </w:tc>
        <w:tc>
          <w:tcPr>
            <w:tcW w:type="dxa" w:w="31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5"/>
                <w:szCs w:val="15"/>
              </w:rPr>
              <w:t xml:space="preserve">Unit test project implemented covering all 20 user stories. Manual test cases TC-001 through TC-020 executed against the running application with Pass results recorded in the Traceability Matrix.</w:t>
            </w:r>
          </w:p>
        </w:tc>
      </w:tr>
    </w:tbl>
    <w:p>
      <w:pPr>
        <w:spacing w:after="80" w:before="80"/>
      </w:pPr>
      <w:r>
        <w:t xml:space="preserve"/>
      </w:r>
    </w:p>
    <w:p>
      <w:r>
        <w:br w:type="page"/>
      </w:r>
    </w:p>
    <w:p>
      <w:pPr>
        <w:pStyle w:val="Heading1"/>
        <w:spacing w:after="160" w:before="320"/>
      </w:pPr>
      <w:r>
        <w:rPr>
          <w:rFonts w:ascii="Arial" w:cs="Arial" w:eastAsia="Arial" w:hAnsi="Arial"/>
          <w:b/>
          <w:bCs/>
          <w:color w:val="1A3A5C"/>
          <w:sz w:val="32"/>
          <w:szCs w:val="32"/>
        </w:rPr>
        <w:t xml:space="preserve">3. Planned Improvements</w:t>
      </w:r>
    </w:p>
    <w:p>
      <w:pPr>
        <w:spacing w:after="80" w:before="80"/>
      </w:pPr>
      <w:r>
        <w:rPr>
          <w:rFonts w:ascii="Arial" w:cs="Arial" w:eastAsia="Arial" w:hAnsi="Arial"/>
          <w:b w:val="false"/>
          <w:bCs w:val="false"/>
          <w:color w:val="333333"/>
          <w:sz w:val="20"/>
          <w:szCs w:val="20"/>
        </w:rPr>
        <w:t xml:space="preserve">The following improvements have been identified for future development iterations. These items were either out of scope for the current capstone timeline or represent enhancements that would increase the value of the application for real-world use.</w:t>
      </w:r>
    </w:p>
    <w:p>
      <w:pPr>
        <w:spacing w:after="80" w:before="80"/>
      </w:pPr>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8500"/>
      </w:tblGrid>
      <w:tr>
        <w:trPr>
          <w:tblHeader/>
        </w:trPr>
        <w:tc>
          <w:tcPr>
            <w:tcW w:type="dxa" w:w="20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Area</w:t>
            </w:r>
          </w:p>
        </w:tc>
        <w:tc>
          <w:tcPr>
            <w:tcW w:type="dxa" w:w="8500"/>
            <w:tcBorders>
              <w:top w:val="single" w:color="C0C8D4" w:sz="1"/>
              <w:left w:val="single" w:color="C0C8D4" w:sz="1"/>
              <w:bottom w:val="single" w:color="C0C8D4" w:sz="1"/>
              <w:right w:val="single" w:color="C0C8D4" w:sz="1"/>
            </w:tcBorders>
            <w:shd w:fill="1A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Planned Improvement</w:t>
            </w:r>
          </w:p>
        </w:tc>
      </w:tr>
      <w:tr>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8"/>
                <w:szCs w:val="18"/>
              </w:rPr>
              <w:t xml:space="preserve">Cloud Deployment</w:t>
            </w:r>
          </w:p>
        </w:tc>
        <w:tc>
          <w:tcPr>
            <w:tcW w:type="dxa" w:w="85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Deploy FaithTrack to Azure App Service with Azure SQL Database to make the application publicly accessible. The layered architecture and EF Core configuration already support cloud deployment with minimal connection string changes.</w:t>
            </w:r>
          </w:p>
        </w:tc>
      </w:tr>
      <w:tr>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8"/>
                <w:szCs w:val="18"/>
              </w:rPr>
              <w:t xml:space="preserve">Email Confirmation</w:t>
            </w:r>
          </w:p>
        </w:tc>
        <w:tc>
          <w:tcPr>
            <w:tcW w:type="dxa" w:w="85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Enable ASP.NET Core Identity email confirmation during registration. Currently disabled for local development. Would require integration with an SMTP provider such as SendGrid.</w:t>
            </w:r>
          </w:p>
        </w:tc>
      </w:tr>
      <w:tr>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8"/>
                <w:szCs w:val="18"/>
              </w:rPr>
              <w:t xml:space="preserve">Advanced Search</w:t>
            </w:r>
          </w:p>
        </w:tc>
        <w:tc>
          <w:tcPr>
            <w:tcW w:type="dxa" w:w="85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Extend keyword search to include full-text search across all resource fields including description and URL, with relevance ranking.</w:t>
            </w:r>
          </w:p>
        </w:tc>
      </w:tr>
      <w:tr>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8"/>
                <w:szCs w:val="18"/>
              </w:rPr>
              <w:t xml:space="preserve">Pagination</w:t>
            </w:r>
          </w:p>
        </w:tc>
        <w:tc>
          <w:tcPr>
            <w:tcW w:type="dxa" w:w="85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server-side pagination to the Resources List to efficiently handle large numbers of resources as the user's collection grows.</w:t>
            </w:r>
          </w:p>
        </w:tc>
      </w:tr>
      <w:tr>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8"/>
                <w:szCs w:val="18"/>
              </w:rPr>
              <w:t xml:space="preserve">Resource Tags</w:t>
            </w:r>
          </w:p>
        </w:tc>
        <w:tc>
          <w:tcPr>
            <w:tcW w:type="dxa" w:w="85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a tagging system allowing resources to belong to multiple topics beyond a single category, enabling more flexible organization and filtering.</w:t>
            </w:r>
          </w:p>
        </w:tc>
      </w:tr>
      <w:tr>
        <w:tc>
          <w:tcPr>
            <w:tcW w:type="dxa" w:w="20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bCs/>
                <w:color w:val="1A3A5C"/>
                <w:sz w:val="18"/>
                <w:szCs w:val="18"/>
              </w:rPr>
              <w:t xml:space="preserve">Export Functionality</w:t>
            </w:r>
          </w:p>
        </w:tc>
        <w:tc>
          <w:tcPr>
            <w:tcW w:type="dxa" w:w="8500"/>
            <w:tcBorders>
              <w:top w:val="single" w:color="C0C8D4" w:sz="1"/>
              <w:left w:val="single" w:color="C0C8D4" w:sz="1"/>
              <w:bottom w:val="single" w:color="C0C8D4" w:sz="1"/>
              <w:right w:val="single" w:color="C0C8D4"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Allow users to export their resource list to PDF or CSV for offline access and sharing.</w:t>
            </w:r>
          </w:p>
        </w:tc>
      </w:tr>
    </w:tbl>
    <w:p>
      <w:pPr>
        <w:spacing w:after="80" w:before="80"/>
      </w:pPr>
      <w:r>
        <w:t xml:space="preserve"/>
      </w:r>
    </w:p>
    <w:p>
      <w:pPr>
        <w:pStyle w:val="Heading1"/>
        <w:spacing w:after="160" w:before="320"/>
      </w:pPr>
      <w:r>
        <w:rPr>
          <w:rFonts w:ascii="Arial" w:cs="Arial" w:eastAsia="Arial" w:hAnsi="Arial"/>
          <w:b/>
          <w:bCs/>
          <w:color w:val="1A3A5C"/>
          <w:sz w:val="32"/>
          <w:szCs w:val="32"/>
        </w:rPr>
        <w:t xml:space="preserve">4. Conclusion</w:t>
      </w:r>
    </w:p>
    <w:p>
      <w:pPr>
        <w:spacing w:after="80" w:before="80"/>
      </w:pPr>
      <w:r>
        <w:rPr>
          <w:rFonts w:ascii="Arial" w:cs="Arial" w:eastAsia="Arial" w:hAnsi="Arial"/>
          <w:b w:val="false"/>
          <w:bCs w:val="false"/>
          <w:color w:val="333333"/>
          <w:sz w:val="20"/>
          <w:szCs w:val="20"/>
        </w:rPr>
        <w:t xml:space="preserve">FaithTrack successfully met all 16 functional and non-functional requirements defined across the Project Proposal and Architecture Plan. All 20 user stories across three sprints were delivered and verified through manual test execution. The N-Layer architecture, ASP.NET Core Identity integration, Entity Framework Core data access, and full CRUD functionality all align with the design decisions documented in the Milestone 3 Architecture Plan. The system is ready for the planned improvements listed in Section 3, which would extend its value as a production-ready faith resource management platform.</w:t>
      </w:r>
    </w:p>
    <w:sectPr>
      <w:headerReference w:type="default" r:id="rId7"/>
      <w:footerReference w:type="default" r:id="rId8"/>
      <w:pgSz w:w="15840" w:h="122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spacing w:before="120"/>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spacing w:after="120"/>
    </w:pPr>
    <w:r>
      <w:rPr>
        <w:rFonts w:ascii="Arial" w:cs="Arial" w:eastAsia="Arial" w:hAnsi="Arial"/>
        <w:color w:val="666666"/>
        <w:sz w:val="16"/>
        <w:szCs w:val="16"/>
      </w:rPr>
      <w:t xml:space="preserve">FaithTrack  |  Requirements Review Document  |  Matthew Kollar  |  CST-452  |  Grand Canyon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2026-05-04T20:22:25.735Z</dcterms:created>
  <dcterms:modified xsi:type="dcterms:W3CDTF">2026-05-04T20:22:25.753Z</dcterms:modified>
</cp:coreProperties>
</file>

<file path=docProps/custom.xml><?xml version="1.0" encoding="utf-8"?>
<Properties xmlns="http://schemas.openxmlformats.org/officeDocument/2006/custom-properties" xmlns:vt="http://schemas.openxmlformats.org/officeDocument/2006/docPropsVTypes"/>
</file>