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OKE THE SECOND SON OF NGIDI</w:t>
      </w:r>
    </w:p>
    <w:p w:rsidR="00000000" w:rsidDel="00000000" w:rsidP="00000000" w:rsidRDefault="00000000" w:rsidRPr="00000000" w14:paraId="00000002">
      <w:pPr>
        <w:rPr/>
      </w:pPr>
      <w:r w:rsidDel="00000000" w:rsidR="00000000" w:rsidRPr="00000000">
        <w:rPr>
          <w:rtl w:val="0"/>
        </w:rPr>
        <w:t xml:space="preserve">The narrative of Oke in the tradition you reference is brief but significant: he is identified as the second son of Ngidi (after Igbo, the firstborn, and before Eshi/Eri).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According to the oral history recorded from Amaigbo, after Ngidi’s death the first son inherited the father’s dwellings. Oke, the second son, settled at Aro and multiplied there. This same tradition explicitly states that Oke is known today as the founder of Ndi Aro (the Aro people).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this version of the story, Oke’s role is therefore that of a progenitor who branched off from the main Ngidi lineage and established the ancestral stock of the Aro community, while his brothers Igbo and Eshi (Nri) went on to define other major Igbo lineages.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