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after="240"/>
      </w:pPr>
      <w:r>
        <w:rPr>
          <w:rFonts w:ascii="Meiryo UI" w:eastAsia="Meiryo UI" w:hAnsi="Meiryo UI" w:cs="Meiryo UI"/>
          <w:b/>
          <w:bCs/>
          <w:sz w:val="24"/>
          <w:szCs w:val="24"/>
        </w:rPr>
        <w:t>投資１０月 月次会議 TODO</w:t>
      </w:r>
    </w:p>
    <w:p>
      <w:pPr>
        <w:spacing w:before="240" w:after="120"/>
      </w:pPr>
      <w:r>
        <w:rPr>
          <w:rFonts w:ascii="Meiryo UI" w:eastAsia="Meiryo UI" w:hAnsi="Meiryo UI" w:cs="Meiryo UI"/>
          <w:b/>
          <w:bCs/>
          <w:sz w:val="22"/>
          <w:szCs w:val="22"/>
        </w:rPr>
        <w:t>人的資本戦略会議</w:t>
      </w:r>
    </w:p>
    <w:p>
      <w:pPr>
        <w:pStyle w:val="a4"/>
        <w:numPr>
          <w:ilvl w:val="0"/>
          <w:numId w:val="2"/>
        </w:numPr>
        <w:spacing w:after="80"/>
      </w:pPr>
      <w:r>
        <w:rPr>
          <w:rFonts w:ascii="Meiryo UI" w:eastAsia="Meiryo UI" w:hAnsi="Meiryo UI" w:cs="Meiryo UI"/>
        </w:rPr>
        <w:t>28卒新卒採用計画を再設定する（全体160〜170名程度、部門別は30〜40名枠を目安とし、部門間スライドを前提とする）</w:t>
      </w:r>
    </w:p>
    <w:p>
      <w:pPr>
        <w:pStyle w:val="a4"/>
        <w:numPr>
          <w:ilvl w:val="0"/>
          <w:numId w:val="2"/>
        </w:numPr>
        <w:spacing w:after="80"/>
      </w:pPr>
      <w:r>
        <w:rPr>
          <w:rFonts w:ascii="Meiryo UI" w:eastAsia="Meiryo UI" w:hAnsi="Meiryo UI" w:cs="Meiryo UI"/>
        </w:rPr>
        <w:t>2030年事業計画に連動した要員モデル（必要人数）を作成し、新卒・中途採用計画の根拠として提示する</w:t>
      </w:r>
    </w:p>
    <w:p>
      <w:pPr>
        <w:pStyle w:val="a4"/>
        <w:numPr>
          <w:ilvl w:val="0"/>
          <w:numId w:val="2"/>
        </w:numPr>
        <w:spacing w:after="80"/>
      </w:pPr>
      <w:r>
        <w:rPr>
          <w:rFonts w:ascii="Meiryo UI" w:eastAsia="Meiryo UI" w:hAnsi="Meiryo UI" w:cs="Meiryo UI"/>
        </w:rPr>
        <w:t>中途採用費の予算超過（約3,461万円見込み）に対し、Dr・リファラルへの切替を進める（直接採用比率30〜35%、1人当たり採用単価300万円程度）。チャネル別の実績・費用をブレイクダウンして報告する</w:t>
      </w:r>
    </w:p>
    <w:p>
      <w:pPr>
        <w:pStyle w:val="a4"/>
        <w:numPr>
          <w:ilvl w:val="0"/>
          <w:numId w:val="2"/>
        </w:numPr>
        <w:spacing w:after="80"/>
      </w:pPr>
      <w:r>
        <w:rPr>
          <w:rFonts w:ascii="Meiryo UI" w:eastAsia="Meiryo UI" w:hAnsi="Meiryo UI" w:cs="Meiryo UI"/>
        </w:rPr>
        <w:t>新卒ROI分析はHDと各事業会社の算定基準を統一し、28卒以降の採用要件見直し・早期戦力化策とあわせて林さんへ別途報告する</w:t>
      </w:r>
    </w:p>
    <w:p>
      <w:pPr>
        <w:pStyle w:val="a4"/>
        <w:numPr>
          <w:ilvl w:val="0"/>
          <w:numId w:val="2"/>
        </w:numPr>
        <w:spacing w:after="80"/>
      </w:pPr>
      <w:r>
        <w:rPr>
          <w:rFonts w:ascii="Meiryo UI" w:eastAsia="Meiryo UI" w:hAnsi="Meiryo UI" w:cs="Meiryo UI"/>
        </w:rPr>
        <w:t>離職率（約18%）低減の具体策（採用時の見極め強化、入替コスト分析）を策定し報告する。A/B評価以上の退職意向者には、意思決定前にグループ他社ポジションを紹介する</w:t>
      </w:r>
    </w:p>
    <w:p>
      <w:pPr>
        <w:pStyle w:val="a4"/>
        <w:numPr>
          <w:ilvl w:val="0"/>
          <w:numId w:val="2"/>
        </w:numPr>
        <w:spacing w:after="80"/>
      </w:pPr>
      <w:r>
        <w:rPr>
          <w:rFonts w:ascii="Meiryo UI" w:eastAsia="Meiryo UI" w:hAnsi="Meiryo UI" w:cs="Meiryo UI"/>
        </w:rPr>
        <w:t>ハイレイヤー採用は杉村さんと連携して選考プロセスを体系化する</w:t>
      </w:r>
    </w:p>
    <w:p/>
    <w:p>
      <w:pPr>
        <w:spacing w:before="240" w:after="120"/>
      </w:pPr>
      <w:r>
        <w:rPr>
          <w:rFonts w:ascii="Meiryo UI" w:eastAsia="Meiryo UI" w:hAnsi="Meiryo UI" w:cs="Meiryo UI"/>
          <w:b/>
          <w:bCs/>
          <w:sz w:val="22"/>
          <w:szCs w:val="22"/>
        </w:rPr>
        <w:t>マーケティング戦略会議</w:t>
      </w:r>
    </w:p>
    <w:p>
      <w:pPr>
        <w:pStyle w:val="a4"/>
        <w:numPr>
          <w:ilvl w:val="0"/>
          <w:numId w:val="2"/>
        </w:numPr>
        <w:spacing w:after="80"/>
      </w:pPr>
      <w:r>
        <w:rPr>
          <w:rFonts w:ascii="Meiryo UI" w:eastAsia="Meiryo UI" w:hAnsi="Meiryo UI" w:cs="Meiryo UI"/>
        </w:rPr>
        <w:t>宮崎CIOイベントは招待企業を売上規模で足切りし、招待基準のガバナンスを徹底する</w:t>
      </w:r>
    </w:p>
    <w:p>
      <w:pPr>
        <w:pStyle w:val="a4"/>
        <w:numPr>
          <w:ilvl w:val="0"/>
          <w:numId w:val="2"/>
        </w:numPr>
        <w:spacing w:after="80"/>
      </w:pPr>
      <w:r>
        <w:rPr>
          <w:rFonts w:ascii="Meiryo UI" w:eastAsia="Meiryo UI" w:hAnsi="Meiryo UI" w:cs="Meiryo UI"/>
        </w:rPr>
        <w:t>宮崎CIOイベントの当社参加者（現17名）を削減し、ゴルフ・会食の組み合わせとあわせて10/28に報告する</w:t>
      </w:r>
    </w:p>
    <w:p>
      <w:pPr>
        <w:pStyle w:val="a4"/>
        <w:numPr>
          <w:ilvl w:val="0"/>
          <w:numId w:val="2"/>
        </w:numPr>
        <w:spacing w:after="80"/>
      </w:pPr>
      <w:r>
        <w:rPr>
          <w:rFonts w:ascii="Meiryo UI" w:eastAsia="Meiryo UI" w:hAnsi="Meiryo UI" w:cs="Meiryo UI"/>
        </w:rPr>
        <w:t>イベント・セミナー内容をレポート記事化（ビズインサイツ等）し、コーポレートPR・コンテンツマーケティングに二次利用する（登壇者・参加者の名前掲載は許諾を取得）</w:t>
      </w:r>
    </w:p>
    <w:p>
      <w:pPr>
        <w:pStyle w:val="a4"/>
        <w:numPr>
          <w:ilvl w:val="0"/>
          <w:numId w:val="2"/>
        </w:numPr>
        <w:spacing w:after="80"/>
      </w:pPr>
      <w:r>
        <w:rPr>
          <w:rFonts w:ascii="Meiryo UI" w:eastAsia="Meiryo UI" w:hAnsi="Meiryo UI" w:cs="Meiryo UI"/>
        </w:rPr>
        <w:t>コーポレートサイトは業界別に事例・エキスパート・オファリングへ直接到達できる構成とし、リリース前に構成の確認を受ける</w:t>
      </w:r>
    </w:p>
    <w:p>
      <w:pPr>
        <w:pStyle w:val="a4"/>
        <w:numPr>
          <w:ilvl w:val="0"/>
          <w:numId w:val="2"/>
        </w:numPr>
        <w:spacing w:after="80"/>
      </w:pPr>
      <w:r>
        <w:rPr>
          <w:rFonts w:ascii="Meiryo UI" w:eastAsia="Meiryo UI" w:hAnsi="Meiryo UI" w:cs="Meiryo UI"/>
        </w:rPr>
        <w:t>INTLOOPブランドの浸透不足を踏まえ、グループの入口・ブランド訴求を根本から見直す。セミナーはペルソナに合う企業を集客できる企画とする</w:t>
      </w:r>
    </w:p>
    <w:p>
      <w:pPr>
        <w:pStyle w:val="a4"/>
        <w:numPr>
          <w:ilvl w:val="0"/>
          <w:numId w:val="2"/>
        </w:numPr>
        <w:spacing w:after="80"/>
      </w:pPr>
      <w:r>
        <w:rPr>
          <w:rFonts w:ascii="Meiryo UI" w:eastAsia="Meiryo UI" w:hAnsi="Meiryo UI" w:cs="Meiryo UI"/>
        </w:rPr>
        <w:t>沖縄ゴルフイベント中止に伴う獲得目標の代替策を検討する</w:t>
      </w:r>
    </w:p>
    <w:p/>
    <w:p>
      <w:pPr>
        <w:spacing w:before="240" w:after="120"/>
      </w:pPr>
      <w:r>
        <w:rPr>
          <w:rFonts w:ascii="Meiryo UI" w:eastAsia="Meiryo UI" w:hAnsi="Meiryo UI" w:cs="Meiryo UI"/>
          <w:b/>
          <w:bCs/>
          <w:sz w:val="22"/>
          <w:szCs w:val="22"/>
        </w:rPr>
        <w:t>IT/AI投資</w:t>
      </w:r>
    </w:p>
    <w:p>
      <w:pPr>
        <w:pStyle w:val="a4"/>
        <w:numPr>
          <w:ilvl w:val="0"/>
          <w:numId w:val="2"/>
        </w:numPr>
        <w:spacing w:after="80"/>
      </w:pPr>
      <w:r>
        <w:rPr>
          <w:rFonts w:ascii="Meiryo UI" w:eastAsia="Meiryo UI" w:hAnsi="Meiryo UI" w:cs="Meiryo UI"/>
        </w:rPr>
        <w:t>AIDXは11月の初回リリースを確実に実施し、リリース直後に当初To-Be（生産性50%改善・1人当たり売上目標）との乖離を検証する検討会を開催する。要件変更は承認ゲートを設ける</w:t>
      </w:r>
    </w:p>
    <w:p>
      <w:pPr>
        <w:pStyle w:val="a4"/>
        <w:numPr>
          <w:ilvl w:val="0"/>
          <w:numId w:val="2"/>
        </w:numPr>
        <w:spacing w:after="80"/>
      </w:pPr>
      <w:r>
        <w:rPr>
          <w:rFonts w:ascii="Meiryo UI" w:eastAsia="Meiryo UI" w:hAnsi="Meiryo UI" w:cs="Meiryo UI"/>
        </w:rPr>
        <w:t>全IT関連費用（SAP、ライセンス、トークン、PC等）の投資台帳を整備し、累計投資額・生産性向上・売上寄与を金額で可視化する。ファイナンスチームの検証を経て来月完成させる</w:t>
      </w:r>
    </w:p>
    <w:p>
      <w:pPr>
        <w:pStyle w:val="a4"/>
        <w:numPr>
          <w:ilvl w:val="0"/>
          <w:numId w:val="2"/>
        </w:numPr>
        <w:spacing w:after="80"/>
      </w:pPr>
      <w:r>
        <w:rPr>
          <w:rFonts w:ascii="Meiryo UI" w:eastAsia="Meiryo UI" w:hAnsi="Meiryo UI" w:cs="Meiryo UI"/>
        </w:rPr>
        <w:t>AIDXの効果測定として、営業の打席数（顧客接点時間）など運営に直結するKPIをファイナンスチームと設定し、人員計画の判断に活用する</w:t>
      </w:r>
    </w:p>
    <w:p>
      <w:pPr>
        <w:pStyle w:val="a4"/>
        <w:numPr>
          <w:ilvl w:val="0"/>
          <w:numId w:val="2"/>
        </w:numPr>
        <w:spacing w:after="80"/>
      </w:pPr>
      <w:r>
        <w:rPr>
          <w:rFonts w:ascii="Meiryo UI" w:eastAsia="Meiryo UI" w:hAnsi="Meiryo UI" w:cs="Meiryo UI"/>
        </w:rPr>
        <w:t>個人情報のマスキング・隔離環境（限定チームのみ接続するネット遮断環境）を検討し、セキュリティ対策を強化する</w:t>
      </w:r>
    </w:p>
    <w:p>
      <w:pPr>
        <w:pStyle w:val="a4"/>
        <w:numPr>
          <w:ilvl w:val="0"/>
          <w:numId w:val="2"/>
        </w:numPr>
        <w:spacing w:after="80"/>
      </w:pPr>
      <w:r>
        <w:rPr>
          <w:rFonts w:ascii="Meiryo UI" w:eastAsia="Meiryo UI" w:hAnsi="Meiryo UI" w:cs="Meiryo UI"/>
        </w:rPr>
        <w:t>JC手数料のマーケティング費用をHD共通費として運営する案を、内野さん・脇さんと協議する</w:t>
      </w:r>
    </w:p>
    <w:p/>
    <w:p>
      <w:pPr>
        <w:spacing w:before="240" w:after="120"/>
      </w:pPr>
      <w:r>
        <w:rPr>
          <w:rFonts w:ascii="Meiryo UI" w:eastAsia="Meiryo UI" w:hAnsi="Meiryo UI" w:cs="Meiryo UI"/>
          <w:b/>
          <w:bCs/>
          <w:sz w:val="22"/>
          <w:szCs w:val="22"/>
        </w:rPr>
        <w:t>1000億事業計画（2030年）</w:t>
      </w:r>
    </w:p>
    <w:p>
      <w:pPr>
        <w:pStyle w:val="a4"/>
        <w:numPr>
          <w:ilvl w:val="0"/>
          <w:numId w:val="2"/>
        </w:numPr>
        <w:spacing w:after="80"/>
      </w:pPr>
      <w:r>
        <w:rPr>
          <w:rFonts w:ascii="Meiryo UI" w:eastAsia="Meiryo UI" w:hAnsi="Meiryo UI" w:cs="Meiryo UI"/>
        </w:rPr>
        <w:t>単体900億円を前提に再モデル化する（プロの単価CAGR10%、稼働人数は緩やかな増加、1人当たり売上6,000万円）。プロの具体化は脇さんへ宿題とする</w:t>
      </w:r>
    </w:p>
    <w:p>
      <w:pPr>
        <w:pStyle w:val="a4"/>
        <w:numPr>
          <w:ilvl w:val="0"/>
          <w:numId w:val="2"/>
        </w:numPr>
        <w:spacing w:after="80"/>
      </w:pPr>
      <w:r>
        <w:rPr>
          <w:rFonts w:ascii="Meiryo UI" w:eastAsia="Meiryo UI" w:hAnsi="Meiryo UI" w:cs="Meiryo UI"/>
        </w:rPr>
        <w:t>部門別目標（PM300〜500億円、ストラテジー・T2各100億円）を設定し、強気プランと標準プランの2通りを作成する。1か月後・12月に経過報告する</w:t>
      </w:r>
    </w:p>
    <w:sectPr w:rsidR="0029533F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52B084" w14:textId="77777777" w:rsidR="00537BBE" w:rsidRDefault="00537BBE" w:rsidP="0027143F">
      <w:r>
        <w:separator/>
      </w:r>
    </w:p>
  </w:endnote>
  <w:endnote w:type="continuationSeparator" w:id="0">
    <w:p w14:paraId="06243D4E" w14:textId="77777777" w:rsidR="00537BBE" w:rsidRDefault="00537BBE" w:rsidP="002714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002818" w14:textId="77777777" w:rsidR="00537BBE" w:rsidRDefault="00537BBE" w:rsidP="0027143F">
      <w:r>
        <w:separator/>
      </w:r>
    </w:p>
  </w:footnote>
  <w:footnote w:type="continuationSeparator" w:id="0">
    <w:p w14:paraId="493E7436" w14:textId="77777777" w:rsidR="00537BBE" w:rsidRDefault="00537BBE" w:rsidP="0027143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D625F2"/>
    <w:multiLevelType w:val="hybridMultilevel"/>
    <w:tmpl w:val="EC7AA984"/>
    <w:lvl w:ilvl="0" w:tplc="D142657C">
      <w:start w:val="1"/>
      <w:numFmt w:val="bullet"/>
      <w:lvlText w:val="•"/>
      <w:lvlJc w:val="left"/>
      <w:pPr>
        <w:ind w:left="360" w:hanging="360"/>
      </w:pPr>
      <w:rPr>
        <w:rFonts w:ascii="Meiryo UI" w:eastAsia="Meiryo UI" w:hAnsi="Meiryo UI" w:cs="Meiryo UI"/>
        <w:sz w:val="20"/>
        <w:szCs w:val="20"/>
      </w:rPr>
    </w:lvl>
    <w:lvl w:ilvl="1" w:tplc="BD4A49FE">
      <w:numFmt w:val="decimal"/>
      <w:lvlText w:val=""/>
      <w:lvlJc w:val="left"/>
    </w:lvl>
    <w:lvl w:ilvl="2" w:tplc="E8127AA4">
      <w:numFmt w:val="decimal"/>
      <w:lvlText w:val=""/>
      <w:lvlJc w:val="left"/>
    </w:lvl>
    <w:lvl w:ilvl="3" w:tplc="7164AD4A">
      <w:numFmt w:val="decimal"/>
      <w:lvlText w:val=""/>
      <w:lvlJc w:val="left"/>
    </w:lvl>
    <w:lvl w:ilvl="4" w:tplc="5F48A9D2">
      <w:numFmt w:val="decimal"/>
      <w:lvlText w:val=""/>
      <w:lvlJc w:val="left"/>
    </w:lvl>
    <w:lvl w:ilvl="5" w:tplc="89F63CC8">
      <w:numFmt w:val="decimal"/>
      <w:lvlText w:val=""/>
      <w:lvlJc w:val="left"/>
    </w:lvl>
    <w:lvl w:ilvl="6" w:tplc="41BE8E2E">
      <w:numFmt w:val="decimal"/>
      <w:lvlText w:val=""/>
      <w:lvlJc w:val="left"/>
    </w:lvl>
    <w:lvl w:ilvl="7" w:tplc="229E480A">
      <w:numFmt w:val="decimal"/>
      <w:lvlText w:val=""/>
      <w:lvlJc w:val="left"/>
    </w:lvl>
    <w:lvl w:ilvl="8" w:tplc="F4E492CA">
      <w:numFmt w:val="decimal"/>
      <w:lvlText w:val=""/>
      <w:lvlJc w:val="left"/>
    </w:lvl>
  </w:abstractNum>
  <w:abstractNum w:abstractNumId="1" w15:restartNumberingAfterBreak="0">
    <w:nsid w:val="27174C17"/>
    <w:multiLevelType w:val="hybridMultilevel"/>
    <w:tmpl w:val="8D22FB52"/>
    <w:lvl w:ilvl="0" w:tplc="27D0D22C">
      <w:start w:val="1"/>
      <w:numFmt w:val="bullet"/>
      <w:lvlText w:val="●"/>
      <w:lvlJc w:val="left"/>
      <w:pPr>
        <w:ind w:left="720" w:hanging="360"/>
      </w:pPr>
    </w:lvl>
    <w:lvl w:ilvl="1" w:tplc="62665384">
      <w:start w:val="1"/>
      <w:numFmt w:val="bullet"/>
      <w:lvlText w:val="○"/>
      <w:lvlJc w:val="left"/>
      <w:pPr>
        <w:ind w:left="1440" w:hanging="360"/>
      </w:pPr>
    </w:lvl>
    <w:lvl w:ilvl="2" w:tplc="8586E914">
      <w:start w:val="1"/>
      <w:numFmt w:val="bullet"/>
      <w:lvlText w:val="■"/>
      <w:lvlJc w:val="left"/>
      <w:pPr>
        <w:ind w:left="2160" w:hanging="360"/>
      </w:pPr>
    </w:lvl>
    <w:lvl w:ilvl="3" w:tplc="599E9896">
      <w:start w:val="1"/>
      <w:numFmt w:val="bullet"/>
      <w:lvlText w:val="●"/>
      <w:lvlJc w:val="left"/>
      <w:pPr>
        <w:ind w:left="2880" w:hanging="360"/>
      </w:pPr>
    </w:lvl>
    <w:lvl w:ilvl="4" w:tplc="60AAD48C">
      <w:start w:val="1"/>
      <w:numFmt w:val="bullet"/>
      <w:lvlText w:val="○"/>
      <w:lvlJc w:val="left"/>
      <w:pPr>
        <w:ind w:left="3600" w:hanging="360"/>
      </w:pPr>
    </w:lvl>
    <w:lvl w:ilvl="5" w:tplc="77C07CA0">
      <w:start w:val="1"/>
      <w:numFmt w:val="bullet"/>
      <w:lvlText w:val="■"/>
      <w:lvlJc w:val="left"/>
      <w:pPr>
        <w:ind w:left="4320" w:hanging="360"/>
      </w:pPr>
    </w:lvl>
    <w:lvl w:ilvl="6" w:tplc="8010535A">
      <w:start w:val="1"/>
      <w:numFmt w:val="bullet"/>
      <w:lvlText w:val="●"/>
      <w:lvlJc w:val="left"/>
      <w:pPr>
        <w:ind w:left="5040" w:hanging="360"/>
      </w:pPr>
    </w:lvl>
    <w:lvl w:ilvl="7" w:tplc="0D74A0DE">
      <w:start w:val="1"/>
      <w:numFmt w:val="bullet"/>
      <w:lvlText w:val="●"/>
      <w:lvlJc w:val="left"/>
      <w:pPr>
        <w:ind w:left="5760" w:hanging="360"/>
      </w:pPr>
    </w:lvl>
    <w:lvl w:ilvl="8" w:tplc="0758306A">
      <w:start w:val="1"/>
      <w:numFmt w:val="bullet"/>
      <w:lvlText w:val="●"/>
      <w:lvlJc w:val="left"/>
      <w:pPr>
        <w:ind w:left="6480" w:hanging="360"/>
      </w:pPr>
    </w:lvl>
  </w:abstractNum>
  <w:num w:numId="1" w16cid:durableId="219176855">
    <w:abstractNumId w:val="1"/>
    <w:lvlOverride w:ilvl="0">
      <w:startOverride w:val="1"/>
    </w:lvlOverride>
  </w:num>
  <w:num w:numId="2" w16cid:durableId="171666162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isplayBackgroundShape/>
  <w:bordersDoNotSurroundHeader/>
  <w:bordersDoNotSurroundFooter/>
  <w:proofState w:spelling="clean" w:grammar="dirty"/>
  <w:defaultTabStop w:val="840"/>
  <w:characterSpacingControl w:val="doNotCompress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533F"/>
    <w:rsid w:val="00006744"/>
    <w:rsid w:val="00047342"/>
    <w:rsid w:val="00140D29"/>
    <w:rsid w:val="001A2965"/>
    <w:rsid w:val="00247D98"/>
    <w:rsid w:val="002609D6"/>
    <w:rsid w:val="0027143F"/>
    <w:rsid w:val="0029533F"/>
    <w:rsid w:val="003C20D7"/>
    <w:rsid w:val="0042474C"/>
    <w:rsid w:val="00487EB7"/>
    <w:rsid w:val="004D3D29"/>
    <w:rsid w:val="00506F91"/>
    <w:rsid w:val="0051024C"/>
    <w:rsid w:val="00537BBE"/>
    <w:rsid w:val="005436EE"/>
    <w:rsid w:val="00567D40"/>
    <w:rsid w:val="00617133"/>
    <w:rsid w:val="00645A96"/>
    <w:rsid w:val="006A727E"/>
    <w:rsid w:val="007B0426"/>
    <w:rsid w:val="00863C52"/>
    <w:rsid w:val="009F2F3D"/>
    <w:rsid w:val="00A21814"/>
    <w:rsid w:val="00B81761"/>
    <w:rsid w:val="00B94544"/>
    <w:rsid w:val="00BA6889"/>
    <w:rsid w:val="00C01825"/>
    <w:rsid w:val="00C534ED"/>
    <w:rsid w:val="00DB598D"/>
    <w:rsid w:val="00EA6643"/>
    <w:rsid w:val="00F525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4E798606"/>
  <w15:docId w15:val="{BEB39C69-7C66-4C09-9F6C-2128134776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太字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脚注文字列 (文字)"/>
    <w:link w:val="a7"/>
    <w:uiPriority w:val="99"/>
    <w:semiHidden/>
    <w:unhideWhenUsed/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文末脚注文字列 (文字)"/>
    <w:link w:val="aa"/>
    <w:uiPriority w:val="99"/>
    <w:semiHidden/>
    <w:unhideWhenUsed/>
  </w:style>
  <w:style w:type="paragraph" w:styleId="ac">
    <w:name w:val="header"/>
    <w:basedOn w:val="a"/>
    <w:link w:val="ad"/>
    <w:uiPriority w:val="99"/>
    <w:unhideWhenUsed/>
    <w:rsid w:val="0027143F"/>
    <w:pPr>
      <w:tabs>
        <w:tab w:val="center" w:pos="4252"/>
        <w:tab w:val="right" w:pos="8504"/>
      </w:tabs>
      <w:snapToGrid w:val="0"/>
    </w:pPr>
  </w:style>
  <w:style w:type="character" w:customStyle="1" w:styleId="ad">
    <w:name w:val="ヘッダー (文字)"/>
    <w:basedOn w:val="a0"/>
    <w:link w:val="ac"/>
    <w:uiPriority w:val="99"/>
    <w:rsid w:val="0027143F"/>
  </w:style>
  <w:style w:type="paragraph" w:styleId="ae">
    <w:name w:val="footer"/>
    <w:basedOn w:val="a"/>
    <w:link w:val="af"/>
    <w:uiPriority w:val="99"/>
    <w:unhideWhenUsed/>
    <w:rsid w:val="0027143F"/>
    <w:pPr>
      <w:tabs>
        <w:tab w:val="center" w:pos="4252"/>
        <w:tab w:val="right" w:pos="8504"/>
      </w:tabs>
      <w:snapToGrid w:val="0"/>
    </w:pPr>
  </w:style>
  <w:style w:type="character" w:customStyle="1" w:styleId="af">
    <w:name w:val="フッター (文字)"/>
    <w:basedOn w:val="a0"/>
    <w:link w:val="ae"/>
    <w:uiPriority w:val="99"/>
    <w:rsid w:val="0027143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382010BD85E5F14C8FB463E574287D3A" ma:contentTypeVersion="12" ma:contentTypeDescription="新しいドキュメントを作成します。" ma:contentTypeScope="" ma:versionID="eb573a6a6623fc03dbc50a823a8c9f65">
  <xsd:schema xmlns:xsd="http://www.w3.org/2001/XMLSchema" xmlns:xs="http://www.w3.org/2001/XMLSchema" xmlns:p="http://schemas.microsoft.com/office/2006/metadata/properties" xmlns:ns2="09e4370b-02e8-4186-a848-bc979d8223b9" xmlns:ns3="8e9f487b-6ed7-492e-b710-3fe1a5a7c1b8" targetNamespace="http://schemas.microsoft.com/office/2006/metadata/properties" ma:root="true" ma:fieldsID="e3899c7c20f12ac1c7c4da5eb28f914a" ns2:_="" ns3:_="">
    <xsd:import namespace="09e4370b-02e8-4186-a848-bc979d8223b9"/>
    <xsd:import namespace="8e9f487b-6ed7-492e-b710-3fe1a5a7c1b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9e4370b-02e8-4186-a848-bc979d8223b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画像タグ" ma:readOnly="false" ma:fieldId="{5cf76f15-5ced-4ddc-b409-7134ff3c332f}" ma:taxonomyMulti="true" ma:sspId="3a51758a-f41d-49cd-b39d-03773b5dfc9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19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e9f487b-6ed7-492e-b710-3fe1a5a7c1b8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93375d80-7f4b-4767-b5ed-08d96c030009}" ma:internalName="TaxCatchAll" ma:showField="CatchAllData" ma:web="8e9f487b-6ed7-492e-b710-3fe1a5a7c1b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e9f487b-6ed7-492e-b710-3fe1a5a7c1b8" xsi:nil="true"/>
    <lcf76f155ced4ddcb4097134ff3c332f xmlns="09e4370b-02e8-4186-a848-bc979d8223b9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11AE4A33-266B-4719-9664-EE498DDBE22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9e4370b-02e8-4186-a848-bc979d8223b9"/>
    <ds:schemaRef ds:uri="8e9f487b-6ed7-492e-b710-3fe1a5a7c1b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013A12F-1AA5-4059-A36C-6E0E351F9D4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B0D08A9-ABED-44CD-A846-FC5A4FC24AB1}">
  <ds:schemaRefs>
    <ds:schemaRef ds:uri="http://schemas.microsoft.com/office/2006/metadata/properties"/>
    <ds:schemaRef ds:uri="http://schemas.microsoft.com/office/infopath/2007/PartnerControls"/>
    <ds:schemaRef ds:uri="8e9f487b-6ed7-492e-b710-3fe1a5a7c1b8"/>
    <ds:schemaRef ds:uri="09e4370b-02e8-4186-a848-bc979d8223b9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1</Pages>
  <Words>135</Words>
  <Characters>771</Characters>
  <Application>Microsoft Office Word</Application>
  <DocSecurity>0</DocSecurity>
  <Lines>6</Lines>
  <Paragraphs>1</Paragraphs>
  <ScaleCrop>false</ScaleCrop>
  <Company/>
  <LinksUpToDate>false</LinksUpToDate>
  <CharactersWithSpaces>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PC1954</cp:lastModifiedBy>
  <cp:revision>22</cp:revision>
  <dcterms:created xsi:type="dcterms:W3CDTF">2026-10-02T11:15:00Z</dcterms:created>
  <dcterms:modified xsi:type="dcterms:W3CDTF">2026-10-13T06:01:00Z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0x010100382010BD85E5F14C8FB463E574287D3A</vt:lpwstr>
  </property>
  <property fmtid="{D5CDD505-2E9C-101B-9397-08002B2CF9AE}" pid="3" name="MediaServiceImageTags">
    <vt:lpwstr/>
  </property>
</Properties>
</file>