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w:t>
      </w:r>
      <w:r w:rsidR="0053581F" w:rsidRPr="0053581F">
        <w:rPr>
          <w:b/>
          <w:lang w:val="en-US"/>
        </w:rPr>
        <w:t>yield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lastRenderedPageBreak/>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 xml:space="preserve">al length of the IEnumerable </w:t>
      </w:r>
      <w:r w:rsidR="00886CA8">
        <w:rPr>
          <w:lang w:val="en-US"/>
        </w:rPr>
        <w:lastRenderedPageBreak/>
        <w:t>could</w:t>
      </w:r>
      <w:r w:rsidR="009C5B9A">
        <w:rPr>
          <w:lang w:val="en-US"/>
        </w:rPr>
        <w:t xml:space="preserve">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lastRenderedPageBreak/>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 xml:space="preserve">which </w:t>
      </w:r>
      <w:r w:rsidR="004C0A67">
        <w:rPr>
          <w:lang w:val="en-US"/>
        </w:rPr>
        <w:lastRenderedPageBreak/>
        <w:t>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lastRenderedPageBreak/>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on the fist use</w:t>
      </w:r>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(data structures)</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 xml:space="preserve">s of object properties they </w:t>
      </w:r>
      <w:r w:rsidR="00895ED3">
        <w:lastRenderedPageBreak/>
        <w:t>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r w:rsidRPr="00C62075">
        <w:rPr>
          <w:lang w:val="en-US"/>
        </w:rPr>
        <w:t>Measure(node)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r w:rsidRPr="00C62075">
        <w:rPr>
          <w:lang w:val="en-US"/>
        </w:rPr>
        <w:t>Measure(child)</w:t>
      </w:r>
    </w:p>
    <w:p w:rsidR="00A735B1" w:rsidRPr="00C62075" w:rsidRDefault="00A735B1" w:rsidP="00A735B1">
      <w:pPr>
        <w:ind w:firstLine="708"/>
        <w:rPr>
          <w:lang w:val="en-US"/>
        </w:rPr>
      </w:pPr>
      <w:r>
        <w:rPr>
          <w:lang w:val="en-US"/>
        </w:rPr>
        <w:t>subtreeW</w:t>
      </w:r>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node.treeW = max(node.ownW,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r w:rsidRPr="00C62075">
        <w:rPr>
          <w:lang w:val="en-US"/>
        </w:rPr>
        <w:t>Arrange(node, position)</w:t>
      </w:r>
      <w:r w:rsidRPr="00C62075">
        <w:rPr>
          <w:lang w:val="en-US"/>
        </w:rPr>
        <w:tab/>
      </w:r>
    </w:p>
    <w:p w:rsidR="00A735B1" w:rsidRDefault="00A735B1" w:rsidP="00A735B1">
      <w:pPr>
        <w:rPr>
          <w:lang w:val="en-US"/>
        </w:rPr>
      </w:pPr>
      <w:r>
        <w:rPr>
          <w:lang w:val="en-US"/>
        </w:rPr>
        <w:tab/>
        <w:t>subtreeW</w:t>
      </w:r>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node.Pos = CenterHorizontally</w:t>
      </w:r>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r>
        <w:rPr>
          <w:lang w:val="en-US"/>
        </w:rPr>
        <w:t>currentC</w:t>
      </w:r>
      <w:r w:rsidRPr="00C62075">
        <w:rPr>
          <w:lang w:val="en-US"/>
        </w:rPr>
        <w:t>hild</w:t>
      </w:r>
      <w:r>
        <w:rPr>
          <w:lang w:val="en-US"/>
        </w:rPr>
        <w:t>Pos</w:t>
      </w:r>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t xml:space="preserve">Arrange(node,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follows: in the beginning, Traverse(root)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r w:rsidRPr="00C62075">
        <w:rPr>
          <w:lang w:val="en-US"/>
        </w:rPr>
        <w:lastRenderedPageBreak/>
        <w:t>Traverse(node):</w:t>
      </w:r>
    </w:p>
    <w:p w:rsidR="00E85A9C" w:rsidRPr="00C62075" w:rsidRDefault="00521930" w:rsidP="00E85A9C">
      <w:pPr>
        <w:rPr>
          <w:lang w:val="en-US"/>
        </w:rPr>
      </w:pPr>
      <w:r>
        <w:rPr>
          <w:lang w:val="en-US"/>
        </w:rPr>
        <w:tab/>
        <w:t>n</w:t>
      </w:r>
      <w:r w:rsidR="00E85A9C" w:rsidRPr="00C62075">
        <w:rPr>
          <w:lang w:val="en-US"/>
        </w:rPr>
        <w:t>odeAlreadySeen[node]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r w:rsidR="00521930">
        <w:rPr>
          <w:lang w:val="en-US"/>
        </w:rPr>
        <w:t>n</w:t>
      </w:r>
      <w:r w:rsidRPr="00C62075">
        <w:rPr>
          <w:lang w:val="en-US"/>
        </w:rPr>
        <w:t>odeAlreadySeen[edge.target]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t>Traverse(edge.t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t>Screenshot</w:t>
      </w:r>
    </w:p>
    <w:p w:rsidR="007B35ED" w:rsidRDefault="0098404B" w:rsidP="00E85A9C">
      <w:pPr>
        <w:rPr>
          <w:lang w:val="en-US"/>
        </w:rPr>
      </w:pPr>
      <w:r>
        <w:lastRenderedPageBreak/>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ok?</w:t>
      </w:r>
      <w:r>
        <w:rPr>
          <w:lang w:val="en-US"/>
        </w:rPr>
        <w:t xml:space="preserve"> vs.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both the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find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i</w:t>
      </w:r>
      <w:r w:rsidR="000F5332" w:rsidRPr="00CB16E4">
        <w:rPr>
          <w:rFonts w:ascii="Courier New" w:hAnsi="Courier New" w:cs="Courier New"/>
          <w:lang w:val="en-US"/>
        </w:rPr>
        <w:t xml:space="preserve">f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i</w:t>
      </w:r>
      <w:r w:rsidR="00753A68">
        <w:rPr>
          <w:rFonts w:ascii="Courier New" w:hAnsi="Courier New" w:cs="Courier New"/>
          <w:lang w:val="en-US"/>
        </w:rPr>
        <w:t>f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are 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w:t>
      </w:r>
      <w:r w:rsidR="0015576C">
        <w:rPr>
          <w:lang w:val="en-US"/>
        </w:rPr>
        <w:lastRenderedPageBreak/>
        <w:t>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3"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r w:rsidR="00A527FA">
        <w:rPr>
          <w:highlight w:val="yellow"/>
          <w:lang w:val="en-US"/>
        </w:rPr>
        <w:t>for</w:t>
      </w:r>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bookmarkStart w:id="0" w:name="_GoBack"/>
      <w:bookmarkEnd w:id="0"/>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lastRenderedPageBreak/>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lastRenderedPageBreak/>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EFE" w:rsidRDefault="00E26EFE" w:rsidP="00A23A7A">
      <w:pPr>
        <w:spacing w:after="0" w:line="240" w:lineRule="auto"/>
      </w:pPr>
      <w:r>
        <w:separator/>
      </w:r>
    </w:p>
  </w:endnote>
  <w:endnote w:type="continuationSeparator" w:id="0">
    <w:p w:rsidR="00E26EFE" w:rsidRDefault="00E26EFE"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EFE" w:rsidRDefault="00E26EFE" w:rsidP="00A23A7A">
      <w:pPr>
        <w:spacing w:after="0" w:line="240" w:lineRule="auto"/>
      </w:pPr>
      <w:r>
        <w:separator/>
      </w:r>
    </w:p>
  </w:footnote>
  <w:footnote w:type="continuationSeparator" w:id="0">
    <w:p w:rsidR="00E26EFE" w:rsidRDefault="00E26EFE"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96F"/>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38AE"/>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0AB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D32"/>
    <w:rsid w:val="00313EDB"/>
    <w:rsid w:val="00313F9A"/>
    <w:rsid w:val="0031464F"/>
    <w:rsid w:val="00314978"/>
    <w:rsid w:val="003149BA"/>
    <w:rsid w:val="00314ADB"/>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909"/>
    <w:rsid w:val="00382C85"/>
    <w:rsid w:val="00382F8E"/>
    <w:rsid w:val="00383C5F"/>
    <w:rsid w:val="003854A8"/>
    <w:rsid w:val="0038584B"/>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872A4"/>
    <w:rsid w:val="00490029"/>
    <w:rsid w:val="00490508"/>
    <w:rsid w:val="00490831"/>
    <w:rsid w:val="00491431"/>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1F67"/>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3415"/>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6B0"/>
    <w:rsid w:val="006E5574"/>
    <w:rsid w:val="006E5673"/>
    <w:rsid w:val="006E5C50"/>
    <w:rsid w:val="006E6F29"/>
    <w:rsid w:val="006E7751"/>
    <w:rsid w:val="006E7823"/>
    <w:rsid w:val="006E7A26"/>
    <w:rsid w:val="006F000A"/>
    <w:rsid w:val="006F09DA"/>
    <w:rsid w:val="006F0C30"/>
    <w:rsid w:val="006F1285"/>
    <w:rsid w:val="006F1D06"/>
    <w:rsid w:val="006F1D9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D9B"/>
    <w:rsid w:val="00741EEA"/>
    <w:rsid w:val="00742660"/>
    <w:rsid w:val="007436FD"/>
    <w:rsid w:val="00745F8D"/>
    <w:rsid w:val="00746572"/>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C1"/>
    <w:rsid w:val="00883FC3"/>
    <w:rsid w:val="00885820"/>
    <w:rsid w:val="00885A68"/>
    <w:rsid w:val="00885C1D"/>
    <w:rsid w:val="00885DD8"/>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1DA0"/>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32"/>
    <w:rsid w:val="00B23AD4"/>
    <w:rsid w:val="00B2423B"/>
    <w:rsid w:val="00B242C1"/>
    <w:rsid w:val="00B24315"/>
    <w:rsid w:val="00B2458B"/>
    <w:rsid w:val="00B255A0"/>
    <w:rsid w:val="00B255BD"/>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679"/>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9F"/>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7020"/>
    <w:rsid w:val="00D77853"/>
    <w:rsid w:val="00D8000A"/>
    <w:rsid w:val="00D80688"/>
    <w:rsid w:val="00D811AE"/>
    <w:rsid w:val="00D81556"/>
    <w:rsid w:val="00D819D9"/>
    <w:rsid w:val="00D81D3E"/>
    <w:rsid w:val="00D82F76"/>
    <w:rsid w:val="00D833FE"/>
    <w:rsid w:val="00D84D4C"/>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6EFE"/>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354"/>
    <w:rsid w:val="00E4137D"/>
    <w:rsid w:val="00E41785"/>
    <w:rsid w:val="00E41985"/>
    <w:rsid w:val="00E41AC4"/>
    <w:rsid w:val="00E42099"/>
    <w:rsid w:val="00E4333E"/>
    <w:rsid w:val="00E43C5F"/>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70D5"/>
    <w:rsid w:val="00EC7448"/>
    <w:rsid w:val="00EC7735"/>
    <w:rsid w:val="00EC7FCC"/>
    <w:rsid w:val="00ED04AB"/>
    <w:rsid w:val="00ED12B4"/>
    <w:rsid w:val="00ED17E2"/>
    <w:rsid w:val="00ED198E"/>
    <w:rsid w:val="00ED2090"/>
    <w:rsid w:val="00ED2669"/>
    <w:rsid w:val="00ED4013"/>
    <w:rsid w:val="00ED4421"/>
    <w:rsid w:val="00ED45D1"/>
    <w:rsid w:val="00ED55EA"/>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CD0"/>
    <w:rsid w:val="00F76EF8"/>
    <w:rsid w:val="00F76F79"/>
    <w:rsid w:val="00F77164"/>
    <w:rsid w:val="00F774A2"/>
    <w:rsid w:val="00F774C8"/>
    <w:rsid w:val="00F81546"/>
    <w:rsid w:val="00F81A97"/>
    <w:rsid w:val="00F81AD6"/>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347"/>
    <w:rsid w:val="00FF4894"/>
    <w:rsid w:val="00FF681B"/>
    <w:rsid w:val="00FF6BFD"/>
    <w:rsid w:val="00FF6C60"/>
    <w:rsid w:val="00FF6F04"/>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vidhayden.com/blog/dave/archive/2005/12/26/2645.aspx"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2A118-BE5B-4B79-A673-EDAF3236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62985</TotalTime>
  <Pages>59</Pages>
  <Words>18805</Words>
  <Characters>110951</Characters>
  <Application>Microsoft Office Word</Application>
  <DocSecurity>0</DocSecurity>
  <Lines>924</Lines>
  <Paragraphs>258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4430</cp:revision>
  <dcterms:created xsi:type="dcterms:W3CDTF">2010-02-07T19:53:00Z</dcterms:created>
  <dcterms:modified xsi:type="dcterms:W3CDTF">2011-04-02T15:26:00Z</dcterms:modified>
</cp:coreProperties>
</file>