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8"/>
          <w:sz w:val="36"/>
          <w:szCs w:val="36"/>
        </w:rPr>
        <w:t xml:space="preserve">Trading Strategy Lab — Vocabulary Reference</w:t>
      </w:r>
    </w:p>
    <w:p>
      <w:pPr>
        <w:spacing w:after="400"/>
        <w:jc w:val="center"/>
      </w:pPr>
      <w:r>
        <w:rPr>
          <w:rFonts w:ascii="Calibri" w:cs="Calibri" w:eastAsia="Calibri" w:hAnsi="Calibri"/>
          <w:i/>
          <w:iCs/>
          <w:color w:val="666666"/>
          <w:sz w:val="18"/>
          <w:szCs w:val="18"/>
        </w:rPr>
        <w:t xml:space="preserve">Terms and definitions used throughout the Trading Strategy Lab project.</w:t>
      </w:r>
    </w:p>
    <w:p>
      <w:pPr>
        <w:pStyle w:val="Heading1"/>
        <w:shd w:fill="1F4E78" w:val="clear"/>
        <w:spacing w:after="120" w:before="320"/>
        <w:rPr>
          <w:rFonts w:ascii="Calibri" w:cs="Calibri" w:eastAsia="Calibri" w:hAnsi="Calibri"/>
          <w:b/>
          <w:bCs/>
          <w:color w:val="FFFFFF"/>
          <w:sz w:val="26"/>
          <w:szCs w:val="26"/>
        </w:rPr>
      </w:pPr>
      <w:r>
        <w:t xml:space="preserve">Core Performance Metrics</w:t>
      </w:r>
    </w:p>
    <w:p>
      <w:pPr>
        <w:spacing w:after="80"/>
      </w:pPr>
    </w:p>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Expectancy (R)</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average result you expect per trade, expressed in R-multiples. Calculated as (Win Rate × Avg Win R) − (Loss Rate × Avg Loss R). A positive number means the strategy made money on average across the sample.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R-Multiple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A unit of risk. If you risk $100 on a trade, a 2R win means you made $200. Expressing results in R-multiples lets you compare strategies regardless of position size.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Profit Factor (PF)</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Gross winning trades divided by gross losing trades. Above 1.0 means profitable; most professionals target 1.5 or higher.</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Win Rate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percentage of trades that close as winners. A high win rate does not guarantee profitability — a strategy can win 70% of trades and still lose money if the average loss is much larger than the average win.</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Sharpe Ratio</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return of a strategy divided by its volatility, measured against a risk-free rate (e.g. T-bills). A negative Sharpe means the strategy lost money relative to doing nothing and holding cash. Above 0.5 is generally considered acceptable; above 1.0 is good.</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Alpha</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Return earned above what a passive benchmark (e.g. buying and holding SPY) would have returned over the same period. Negative alpha means the strategy underperformed simply holding the market.</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Beta</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How much a strategy's returns move with the overall market. Beta near zero means the strategy barely deploys capital relative to the market, which is often a symptom of mean-reversion strategies that enter and exit quickly.</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Sortino Ratio</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Like the Sharpe ratio but only penalizes downside volatility, not upside. Useful when a strategy has large winners that inflate standard deviation.</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Max Drawdown</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largest peak-to-trough decline in account value during the backtest. A strategy can have positive expectancy but an unacceptably large drawdown that makes it unliveable in practice.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CAGR</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Compound Annual Growth Rate. The year-over-year growth rate that would take your starting balance to your ending balance. The real-world measure of how fast money compounds.</w:t>
            </w:r>
          </w:p>
        </w:tc>
      </w:tr>
    </w:tbl>
    <w:p>
      <w:pPr>
        <w:spacing w:after="200"/>
      </w:pPr>
    </w:p>
    <w:p>
      <w:pPr>
        <w:pStyle w:val="Heading1"/>
        <w:shd w:fill="1F4E78" w:val="clear"/>
        <w:spacing w:after="120" w:before="320"/>
        <w:rPr>
          <w:rFonts w:ascii="Calibri" w:cs="Calibri" w:eastAsia="Calibri" w:hAnsi="Calibri"/>
          <w:b/>
          <w:bCs/>
          <w:color w:val="FFFFFF"/>
          <w:sz w:val="26"/>
          <w:szCs w:val="26"/>
        </w:rPr>
      </w:pPr>
      <w:r>
        <w:t xml:space="preserve">Backtesting Methodology</w:t>
      </w:r>
    </w:p>
    <w:p>
      <w:pPr>
        <w:spacing w:after="80"/>
      </w:pPr>
    </w:p>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Backtest</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Running a strategy's rules against historical price data to see how it would have performed. A necessary but not sufficient step — a good backtest result does not guarantee live profitability.</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Look-Ahead Bias</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Using information in a backtest that would not have been available at the time the decision was made. The most common way backtests produce falsely optimistic results.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Survivorship Bias</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Testing only on assets that still exist today, ignoring those that went bankrupt or were delisted. Produces falsely optimistic results because you are implicitly selecting winners.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Point-in-Time Universe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A symbol list defined as of the start of the backtest period, not curated with hindsight. Prevents survivorship bias.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Out-of-Sample Testing</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Evaluating a strategy on data that was not used during development. The only real test of whether a strategy generalizes.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Held-Out Validation Split</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A portion of historical data deliberately set aside and not looked at during strategy development. Confirmed once, at the end, to test the final strategy. Peeking at it during development defeats the purpose.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Overfitting (Curve-Fitting)</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Tuning a strategy's parameters so precisely to historical data that it captures noise rather than signal. Looks great in backtests; fails in live trading.</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Multiple Comparisons Problem</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Testing enough strategy variants will produce one that looks good by pure chance. The more strategies you test on the same data, the higher the probability that a good-looking result is a false positive.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Deflated Sharpe Ratio</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Sharpe ratio adjusted downward to account for the number of strategies tested. Corrects for the multiple comparisons problem.</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Parameter Sweep / Sensitivity Analysis</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Running a strategy across a range of parameter values (e.g. RSI threshold from 5 to 30) to see how sensitive results are to the choice. A strategy whose results only look good at one specific parameter value is likely overfit.</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Walk-Forward Testing</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Repeatedly re-optimizing a strategy on a rolling window of past data and testing on the next period. More realistic than a single in-sample/out-of-sample split.</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Paper Trading</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Simulating trades in real time without using real money. Used to forward-test a strategy after backtesting, before committing capital.</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Forward Test</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Running a strategy on live or real-time data after the backtest is complete, to confirm the edge persists outside the historical window.</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Fill Assumption</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price assumed in a backtest for order execution. Common sources of over-optimism: assuming fills at the signal bar's close rather than the next bar's open, or ignoring slippage.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Slippage</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difference between the expected fill price and the actual fill price in live trading. Backtests that ignore slippage overstate real-world performance.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Cost Model</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How a backtest accounts for transaction costs — commissions, bid-ask spread, and slippage. A realistic cost model is essential; a flat 10bps assumption on large-caps is approximately 75x too wide for liquid names like SPY.</w:t>
            </w:r>
          </w:p>
        </w:tc>
      </w:tr>
    </w:tbl>
    <w:p>
      <w:pPr>
        <w:spacing w:after="200"/>
      </w:pPr>
    </w:p>
    <w:p>
      <w:pPr>
        <w:pStyle w:val="Heading1"/>
        <w:shd w:fill="1F4E78" w:val="clear"/>
        <w:spacing w:after="120" w:before="320"/>
        <w:rPr>
          <w:rFonts w:ascii="Calibri" w:cs="Calibri" w:eastAsia="Calibri" w:hAnsi="Calibri"/>
          <w:b/>
          <w:bCs/>
          <w:color w:val="FFFFFF"/>
          <w:sz w:val="26"/>
          <w:szCs w:val="26"/>
        </w:rPr>
      </w:pPr>
      <w:r>
        <w:t xml:space="preserve">Strategy Concepts</w:t>
      </w:r>
    </w:p>
    <w:p>
      <w:pPr>
        <w:spacing w:after="80"/>
      </w:pPr>
    </w:p>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Edge</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statistical advantage: a strategy whose expected value is positive after realistic costs, measured over a sufficient sample, that survives out-of-sample testing.</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Mean Reversion</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tendency of a price that has moved far from its average to move back toward it. Mean-reversion strategies buy weakness and sell strength.</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Momentum / Trend Following</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tendency of assets that have been rising to continue rising (and falling assets to continue falling). Trend-following strategies buy strength and ride the move.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Cross-Sectional Momentum</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Ranking a universe of assets by their recent returns and holding the top performers, rather than predicting the direction of any single asset. A structurally different approach from per-symbol signal strategies.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Dual Momentum</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cross-sectional approach combining relative momentum (rank assets vs. each other) with absolute momentum (only hold if the asset is also positive vs. cash). Developed by Gary Antonacci.</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Market Regime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broad condition of the market — trending/bullish, choppy/neutral, or declining/bearish. Many strategies that work in one regime fail in another. A regime filter gates strategy entries based on current market conditions.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Pairs Trading / Statistical Arbitrage</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Going long one asset and short a correlated partner when their price relationship diverges beyond a historical norm, expecting the spread to revert. Market-neutral by construction.</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Post-Earnings Announcement Drift (PEAD)</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documented tendency for stocks to continue moving in the direction of an earnings surprise for days or weeks after the announcement. One of the most studied anomalies in academic finance.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Opening Range Breakout (ORB)</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day-trading strategy that trades breakouts above or below the price range established in the first 5-30 minutes of the trading session.</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VWAP (Volume-Weighted Average Price)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average price of a security weighted by volume, reset each session. Used as a reference level for institutional orders; retail strategies fade or bounce off it.</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Episodic Pivot</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Qullamaggie's term for a gap-up breakout driven by significant news (earnings beat, FDA approval, contract win) from a flat base, often the start of a major multi-month trend.</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Volatility Contraction Pattern (VCP)</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Minervini's pattern: a series of tightening pullbacks on decreasing volume after a prior advance, culminating in a very tight pivot point that breaks out on volume. The successive contractions indicate selling pressure is exhausting.</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High-Tight Flag</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consolidation of 15-25% or less from the peak after a strong prior advance, with volume contracting during the base. One of the tightest, highest-probability continuation patterns.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Stair-Step Pattern</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Qullamaggie's description of how leading stocks move: a strong advance, a tight orderly consolidation, then another advance. The job of a momentum trader is to buy at the start of each new step.</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Bracket Order</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single order submitted to a broker containing an entry, a stop-loss, and a take-profit target simultaneously. Ensures risk management is enforced at the broker level regardless of what happens to the trading application.</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Position Sizing</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How much capital to allocate to a single trade, typically expressed as a percentage of account equity risked (e.g. risk 1% of account per trade). The most important risk management lever available.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Pyramiding</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Adding to a winning position as it moves in your favor. Minervini uses progressive pyramiding into confirmed winners to maximize exposure to the strongest moves while keeping initial risk small.</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R-Risk Per Trade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dollar amount risked on a single trade (entry price minus stop price, multiplied by share count). All position sizing in this project is expressed as a percentage of equity risked per trade, not a fixed dollar amount.</w:t>
            </w:r>
          </w:p>
        </w:tc>
      </w:tr>
    </w:tbl>
    <w:p>
      <w:pPr>
        <w:spacing w:after="200"/>
      </w:pPr>
    </w:p>
    <w:p>
      <w:pPr>
        <w:pStyle w:val="Heading1"/>
        <w:shd w:fill="1F4E78" w:val="clear"/>
        <w:spacing w:after="120" w:before="320"/>
        <w:rPr>
          <w:rFonts w:ascii="Calibri" w:cs="Calibri" w:eastAsia="Calibri" w:hAnsi="Calibri"/>
          <w:b/>
          <w:bCs/>
          <w:color w:val="FFFFFF"/>
          <w:sz w:val="26"/>
          <w:szCs w:val="26"/>
        </w:rPr>
      </w:pPr>
      <w:r>
        <w:t xml:space="preserve">Filters and Pre-Screens</w:t>
      </w:r>
    </w:p>
    <w:p>
      <w:pPr>
        <w:spacing w:after="80"/>
      </w:pPr>
    </w:p>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Trend Template (Minervini)</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An 8-point technical checklist confirming a stock is in a genuine Stage 2 uptrend before any pattern work is done. If a stock fails any single criterion it is not a buy candidate. The criteria include moving average stack, distance from 52-week high and low, and relative strength vs. SPY.</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Stage 2 Uptrend</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Stan Weinstein's framework: Stage 1 is a base, Stage 2 is a rising trend (the only stage to buy), Stage 3 is a top, Stage 4 is a decline. Minervini's Trend Template is a quantification of Stage 2.</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Relative Strength (RS)</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How a stock's price performance compares to the market (typically SPY) over a trailing period (typically 12 months). An RS rank of 70+ means the stock outperformed 70% of all stocks. A pre-filter for both Qullamaggie and Minervini.</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ADR (Average Daily Range)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average of (high − low) / close over the last N days, expressed as a percentage. A proxy for volatility and tradability. Strategies like the Dividend Hybrid screen for ADR &gt; 2% to ensure the stock moves enough to be worth trading.</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Market Cap Filter</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Screening by company size. Large-cap (&gt;$10B) names are the most efficient and hardest to find edge in. Mid-cap ($500M-$5B) names have less analyst coverage and less institutional crowding.</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Dividend Yield Screen</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&gt; 4% trailing yield used in the Dividend Hybrid strategy as a fundamental pre-filter. High yield can also signal the market expects a dividend cut — a double-edged screen.</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Payout Ratio</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Dividends paid as a percentage of earnings. Above 85% is a warning sign that the dividend may be unsustainable. Used as a fundamental filter in the Dividend Hybrid strategy.</w:t>
            </w:r>
          </w:p>
        </w:tc>
      </w:tr>
    </w:tbl>
    <w:p>
      <w:pPr>
        <w:spacing w:after="200"/>
      </w:pPr>
    </w:p>
    <w:p>
      <w:pPr>
        <w:pStyle w:val="Heading1"/>
        <w:shd w:fill="1F4E78" w:val="clear"/>
        <w:spacing w:after="120" w:before="320"/>
        <w:rPr>
          <w:rFonts w:ascii="Calibri" w:cs="Calibri" w:eastAsia="Calibri" w:hAnsi="Calibri"/>
          <w:b/>
          <w:bCs/>
          <w:color w:val="FFFFFF"/>
          <w:sz w:val="26"/>
          <w:szCs w:val="26"/>
        </w:rPr>
      </w:pPr>
      <w:r>
        <w:t xml:space="preserve">Portfolio and Risk Concepts</w:t>
      </w:r>
    </w:p>
    <w:p>
      <w:pPr>
        <w:spacing w:after="80"/>
      </w:pPr>
    </w:p>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Portfolio Simulator</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An engine that replays per-symbol signals chronologically against one shared pool of capital with a concurrent-position cap, computing realistic portfolio-level metrics rather than aggregating isolated per-symbol results.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Concurrent Position Cap</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A limit on how many open positions the portfolio can hold simultaneously. Forces the simulator to skip signals when capital is fully deployed, reflecting real-world capital constraints.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Capacity Constraint</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maximum number of positions a portfolio can run simultaneously given its capital. A strategy that fires 21,774 signals but a 5-slot portfolio can only act on a fraction of them.</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Correlation</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How closely two assets' returns move together. High correlation (e.g. SPY vs QQQ at 0.95) means adding a second position adds little diversification — the portfolio is making essentially the same bet twice.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Circuit Breaker</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daily loss limit that halts all new entries for the session if hit. A safety mechanism built into the live trading layer to prevent a runaway loss day.</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Kill Switch</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A single command that immediately stops all new order submission and optionally flattens all open positions. Must be reachable even if the main UI is unresponsive.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PDT Rule (Pattern Day Trader)</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FINRA rule requiring a margin account to maintain $25,000 in equity to make more than 3 day trades per rolling 5 business days. Directly constrains which day-trading strategies can be run live on a small account.</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Wash Sale Rule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A US tax rule that disallows a loss deduction if you buy a substantially identical security within 30 days before or after the sale. Common in active trading and affects what losses can be deducted in a given tax year.</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Paper vs Live Environment</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Alpaca and most brokers provide separate paper-trading environments with separate API keys. Paper trading mirrors live execution without real money. Always default to paper; require explicit opt-in for live.</w:t>
            </w:r>
          </w:p>
        </w:tc>
      </w:tr>
    </w:tbl>
    <w:p>
      <w:pPr>
        <w:spacing w:after="200"/>
      </w:pPr>
    </w:p>
    <w:p>
      <w:pPr>
        <w:pStyle w:val="Heading1"/>
        <w:shd w:fill="1F4E78" w:val="clear"/>
        <w:spacing w:after="120" w:before="320"/>
        <w:rPr>
          <w:rFonts w:ascii="Calibri" w:cs="Calibri" w:eastAsia="Calibri" w:hAnsi="Calibri"/>
          <w:b/>
          <w:bCs/>
          <w:color w:val="FFFFFF"/>
          <w:sz w:val="26"/>
          <w:szCs w:val="26"/>
        </w:rPr>
      </w:pPr>
      <w:r>
        <w:t xml:space="preserve">Data and Infrastructure</w:t>
      </w:r>
    </w:p>
    <w:p>
      <w:pPr>
        <w:spacing w:after="80"/>
      </w:pPr>
    </w:p>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OHLCV</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Open, High, Low, Close, Volume — the standard format for historical price data bars. The foundation of all backtesting in this project.</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yfinance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A free Python library for downloading historical OHLCV data from Yahoo Finance. Reliable for daily bars; limited to approximately 60 days of intraday history, which handicapped the day-trading backtests.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Alpaca</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broker with a public REST and WebSocket API, commission-free US stocks and ETFs, and a full paper-trading environment. Chosen for this project as the live/paper execution layer.</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Bracket Order (Alpaca)</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An Alpaca order type combining entry + stop-loss + take-profit as a single submission. Ensures risk management is enforced at the broker even if the application goes offline.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Risk-Free Rate</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return available with zero risk, typically approximated by the 13-week US Treasury bill yield (^IRX). Used as the baseline in Sharpe ratio calculations. Hardcoding it to 0% (a common library default) materially overstates Sharpe ratios in periods when T-bills pay 4-5%.</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^IRX</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ticker for the 13-week US Treasury bill yield on Yahoo Finance. Used as the real-world risk-free rate in all Sharpe/Sortino calculations in this project.</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Fundamental Data Feed</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A data source providing per-company financial metrics (earnings, revenue, dividends, analyst ratings) with accurate historical timestamps. Required for PEAD and the Dividend Hybrid strategy. yfinance's Ticker.info is not point-in-time.</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Point-in-Time Data</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Historical fundamental data reflecting what was actually known on a given date, not restated or revised values. Using today's earnings estimates to make historical decisions is look-ahead bias in the data layer.</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CLAUDE.md</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project's master context file, read by Claude Code at the start of every session. Contains architecture decisions, constraints, build conventions, data sources, strategy definitions, and safety guardrails. The single source of truth for the project.</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Lessons Log</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A running record of methodology mistakes found and fixed during this project — bugs, backtesting errors, incorrect assumptions. Kept in CLAUDE.md so errors are not repeated across sessions.</w:t>
            </w:r>
          </w:p>
        </w:tc>
      </w:tr>
    </w:tbl>
    <w:p>
      <w:pPr>
        <w:spacing w:after="200"/>
      </w:pPr>
    </w:p>
    <w:p>
      <w:pPr>
        <w:pStyle w:val="Heading1"/>
        <w:shd w:fill="1F4E78" w:val="clear"/>
        <w:spacing w:after="120" w:before="320"/>
        <w:rPr>
          <w:rFonts w:ascii="Calibri" w:cs="Calibri" w:eastAsia="Calibri" w:hAnsi="Calibri"/>
          <w:b/>
          <w:bCs/>
          <w:color w:val="FFFFFF"/>
          <w:sz w:val="26"/>
          <w:szCs w:val="26"/>
        </w:rPr>
      </w:pPr>
      <w:r>
        <w:t xml:space="preserve">Market Structure Terms</w:t>
      </w:r>
    </w:p>
    <w:p>
      <w:pPr>
        <w:spacing w:after="80"/>
      </w:pPr>
    </w:p>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Bid-Ask Spread</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difference between the highest price a buyer will pay and the lowest price a seller will accept. The primary transaction cost for liquid equities. Approximately 0.13bps for SPY; wider for mid-caps and small-caps.</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Market Efficiency</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degree to which prices reflect all available information. Highly efficient markets (mega-cap, heavily traded names) leave little room for systematic edge because any anomaly is quickly arbitraged away.</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Institutional Crowding</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When many large funds trade the same strategy on the same assets, eroding the edge for everyone. A reason mid-cap names may retain edge that mega-caps have lost.</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Dollar Volume</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Share volume multiplied by price. A better measure of liquidity than share volume alone, since a $1 stock trading 1M shares and a $100 stock trading 1M shares have very different real-world tradability.</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Pre-Market Gap</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When a stock opens materially above or below the prior session's close due to overnight news. Used as an entry trigger in the Dividend Hybrid strategy (gap up &gt; 1%) and as a signal source in News Fade and PEAD.</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FFFFFF" w:val="clear"/>
            <w:tcMar>
              <w:top w:type="dxa" w:w="80"/>
              <w:left w:type="dxa" w:w="120"/>
              <w:bottom w:type="dxa" w:w="80"/>
              <w:right w:type="dxa" w:w="120"/>
            </w:tcMar>
          </w:tcPr>
          <w:p>
            <w:r>
              <w:rPr>
                <w:rFonts w:ascii="Calibri" w:cs="Calibri" w:eastAsia="Calibri" w:hAnsi="Calibri"/>
                <w:b/>
                <w:bCs/>
                <w:color w:val="1F4E78"/>
                <w:sz w:val="18"/>
                <w:szCs w:val="18"/>
              </w:rPr>
              <w:t xml:space="preserve">Session Boundary</w:t>
            </w:r>
          </w:p>
        </w:tc>
        <w:tc>
          <w:tcPr>
            <w:tcW w:type="dxa" w:w="7200"/>
            <w:shd w:fill="FFFFFF" w:val="clear"/>
            <w:tcMar>
              <w:top w:type="dxa" w:w="80"/>
              <w:left w:type="dxa" w:w="120"/>
              <w:bottom w:type="dxa" w:w="80"/>
              <w:right w:type="dxa" w:w="120"/>
            </w:tcMar>
          </w:tcPr>
          <w:p>
            <w:r>
              <w:rPr>
                <w:rFonts w:ascii="Calibri" w:cs="Calibri" w:eastAsia="Calibri" w:hAnsi="Calibri"/>
                <w:sz w:val="18"/>
                <w:szCs w:val="18"/>
              </w:rPr>
              <w:t xml:space="preserve">The divide between one trading day and the next. Intraday rolling-window calculations (ATR, volume baselines) that cross session boundaries silently mix data from different days — a common engine bug documented in this project's lessons log.</w:t>
            </w:r>
          </w:p>
        </w:tc>
      </w:tr>
    </w:tbl>
    <w:tbl>
      <w:tblPr>
        <w:tblW w:type="dxa" w:w="9360"/>
        <w:tblBorders>
          <w:top w:val="none"/>
          <w:left w:val="none"/>
          <w:bottom w:val="none"/>
          <w:right w:val="none"/>
          <w:insideH w:val="single" w:color="auto" w:sz="4"/>
          <w:insideV w:val="single" w:color="auto" w:sz="4"/>
        </w:tblBorders>
      </w:tblPr>
      <w:tblGrid>
        <w:gridCol w:w="2160"/>
        <w:gridCol w:w="7200"/>
      </w:tblGrid>
      <w:tr>
        <w:tc>
          <w:tcPr>
            <w:tcW w:type="dxa" w:w="2160"/>
            <w:shd w:fill="D9E1F2" w:val="clear"/>
            <w:tcMar>
              <w:top w:type="dxa" w:w="80"/>
              <w:left w:type="dxa" w:w="120"/>
              <w:bottom w:type="dxa" w:w="80"/>
              <w:right w:type="dxa" w:w="120"/>
            </w:tcMar>
          </w:tcPr>
          <w:p>
            <w:r>
              <w:rPr>
                <w:rFonts w:ascii="Calibri" w:cs="Calibri" w:eastAsia="Calibri" w:hAnsi="Calibri"/>
                <w:b/>
                <w:bCs/>
                <w:color w:val="1F4E78"/>
                <w:sz w:val="18"/>
                <w:szCs w:val="18"/>
              </w:rPr>
              <w:t xml:space="preserve">52-Week High / Low</w:t>
            </w:r>
          </w:p>
        </w:tc>
        <w:tc>
          <w:tcPr>
            <w:tcW w:type="dxa" w:w="7200"/>
            <w:shd w:fill="D9E1F2" w:val="clear"/>
            <w:tcMar>
              <w:top w:type="dxa" w:w="80"/>
              <w:left w:type="dxa" w:w="120"/>
              <w:bottom w:type="dxa" w:w="80"/>
              <w:right w:type="dxa" w:w="120"/>
            </w:tcMar>
          </w:tcPr>
          <w:p>
            <w:r>
              <w:rPr>
                <w:rFonts w:ascii="Calibri" w:cs="Calibri" w:eastAsia="Calibri" w:hAnsi="Calibri"/>
                <w:sz w:val="18"/>
                <w:szCs w:val="18"/>
              </w:rPr>
              <w:t xml:space="preserve">The highest and lowest price a security traded at over the past year. Used in Minervini's Trend Template (price must be within 25% of the 52-week high and at least 25% above the 52-week low) and as a momentum signal in academic research.</w:t>
            </w:r>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2026-07-19T01:25:35.801Z</dcterms:created>
  <dcterms:modified xsi:type="dcterms:W3CDTF">2026-07-19T01:25:35.811Z</dcterms:modified>
</cp:coreProperties>
</file>

<file path=docProps/custom.xml><?xml version="1.0" encoding="utf-8"?>
<Properties xmlns="http://schemas.openxmlformats.org/officeDocument/2006/custom-properties" xmlns:vt="http://schemas.openxmlformats.org/officeDocument/2006/docPropsVTypes"/>
</file>