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Poppins" w:cs="Poppins" w:eastAsia="Poppins" w:hAnsi="Poppins"/>
          <w:color w:val="6b6a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widowControl w:val="0"/>
        <w:spacing w:line="240" w:lineRule="auto"/>
        <w:rPr>
          <w:color w:val="efefef"/>
          <w:sz w:val="24"/>
          <w:szCs w:val="24"/>
        </w:rPr>
      </w:pPr>
      <w:bookmarkStart w:colFirst="0" w:colLast="0" w:name="_buix3gjaqsx8" w:id="0"/>
      <w:bookmarkEnd w:id="0"/>
      <w:r w:rsidDel="00000000" w:rsidR="00000000" w:rsidRPr="00000000">
        <w:rPr>
          <w:color w:val="242424"/>
          <w:sz w:val="68"/>
          <w:szCs w:val="68"/>
          <w:rtl w:val="0"/>
        </w:rPr>
        <w:t xml:space="preserve">Michael Kalmykov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Raleway Medium" w:cs="Raleway Medium" w:eastAsia="Raleway Medium" w:hAnsi="Raleway Medium"/>
          <w:color w:val="0000ff"/>
        </w:rPr>
      </w:pPr>
      <w:r w:rsidDel="00000000" w:rsidR="00000000" w:rsidRPr="00000000">
        <w:rPr>
          <w:rFonts w:ascii="Poppins" w:cs="Poppins" w:eastAsia="Poppins" w:hAnsi="Poppins"/>
          <w:color w:val="6b6a6a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6b6a6a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6110288</wp:posOffset>
            </wp:positionH>
            <wp:positionV relativeFrom="page">
              <wp:posOffset>-400049</wp:posOffset>
            </wp:positionV>
            <wp:extent cx="1423988" cy="238098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2380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Poppins" w:cs="Poppins" w:eastAsia="Poppins" w:hAnsi="Poppins"/>
          <w:color w:val="6b6a6a"/>
          <w:rtl w:val="0"/>
        </w:rPr>
        <w:t xml:space="preserve">People-first UX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rPr>
          <w:color w:val="0000ff"/>
          <w:u w:val="single"/>
        </w:rPr>
      </w:pPr>
      <w:r w:rsidDel="00000000" w:rsidR="00000000" w:rsidRPr="00000000">
        <w:rPr>
          <w:rFonts w:ascii="Raleway Medium" w:cs="Raleway Medium" w:eastAsia="Raleway Medium" w:hAnsi="Raleway Medium"/>
          <w:color w:val="0000ff"/>
          <w:rtl w:val="0"/>
        </w:rPr>
        <w:t xml:space="preserve"> </w:t>
      </w:r>
      <w:hyperlink r:id="rId7">
        <w:r w:rsidDel="00000000" w:rsidR="00000000" w:rsidRPr="00000000">
          <w:rPr>
            <w:rFonts w:ascii="Raleway Medium" w:cs="Raleway Medium" w:eastAsia="Raleway Medium" w:hAnsi="Raleway Medium"/>
            <w:color w:val="0000ff"/>
            <w:u w:val="single"/>
            <w:rtl w:val="0"/>
          </w:rPr>
          <w:t xml:space="preserve">http://www.mkalmykov.com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rPr>
          <w:rFonts w:ascii="Raleway Medium" w:cs="Raleway Medium" w:eastAsia="Raleway Medium" w:hAnsi="Raleway Medium"/>
          <w:color w:val="ffffff"/>
          <w:sz w:val="68"/>
          <w:szCs w:val="68"/>
          <w:highlight w:val="white"/>
        </w:rPr>
      </w:pPr>
      <w:hyperlink r:id="rId8">
        <w:r w:rsidDel="00000000" w:rsidR="00000000" w:rsidRPr="00000000">
          <w:rPr>
            <w:rFonts w:ascii="Raleway Medium" w:cs="Raleway Medium" w:eastAsia="Raleway Medium" w:hAnsi="Raleway Medium"/>
            <w:color w:val="ffffff"/>
            <w:sz w:val="24"/>
            <w:szCs w:val="24"/>
            <w:highlight w:val="whit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widowControl w:val="0"/>
        <w:rPr/>
      </w:pPr>
      <w:bookmarkStart w:colFirst="0" w:colLast="0" w:name="_jemr6xliav6n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Poppins" w:cs="Poppins" w:eastAsia="Poppins" w:hAnsi="Poppins"/>
          <w:color w:val="131313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31313"/>
          <w:sz w:val="20"/>
          <w:szCs w:val="20"/>
          <w:rtl w:val="0"/>
        </w:rPr>
        <w:t xml:space="preserve">People-first UX leader who aligns the business's strategic vision with the core values of its users, fostering a deep connection that drives highly profitable and beloved products.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rFonts w:ascii="Poppins" w:cs="Poppins" w:eastAsia="Poppins" w:hAnsi="Poppins"/>
          <w:color w:val="13131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131313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31313"/>
                <w:rtl w:val="0"/>
              </w:rPr>
              <w:t xml:space="preserve">Aggregate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131313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31313"/>
                <w:rtl w:val="0"/>
              </w:rPr>
              <w:t xml:space="preserve">Leadership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131313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31313"/>
                <w:rtl w:val="0"/>
              </w:rPr>
              <w:t xml:space="preserve">Profits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16 years in UX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121 products launched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100M+ users served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51 team members led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100% team retention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32 mentees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200M revenue generated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400% faster time to market</w:t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keepNext w:val="0"/>
        <w:keepLines w:val="0"/>
        <w:widowControl w:val="0"/>
        <w:spacing w:before="480" w:line="276" w:lineRule="auto"/>
        <w:rPr/>
      </w:pPr>
      <w:bookmarkStart w:colFirst="0" w:colLast="0" w:name="_cjjxpt5av2to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5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AVP UX</w:t>
      </w: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 LPL Financial | 2023</w:t>
        <w:tab/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Managed 5 </w:t>
      </w: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initiative</w:t>
      </w: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, 8 head </w:t>
      </w: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portfolio</w:t>
      </w: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; including AI LLM customer chatbot, financial regulatory platform, and internal employee tools, resulting in a $51M Y</w:t>
      </w: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Y EBITA increase on a 10M budget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Led 3-month MVP of a two-decade legacy onboarding system, overcoming 7 years of churn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Reduced customer onboarding time from 6 months to 4 weeks</w:t>
      </w:r>
    </w:p>
    <w:p w:rsidR="00000000" w:rsidDel="00000000" w:rsidP="00000000" w:rsidRDefault="00000000" w:rsidRPr="00000000" w14:paraId="00000019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UX Director | Deveron | 2021 - 2022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Launched employee portal, sales analytics platform, design system, agronomist app, and various soil health and collection tools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$31M increased EBITA on a 4.5M budget</w:t>
      </w: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 and Increased employee retention by 900%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Built and ran a North American remote team of 30 UXers, PMs, and Devs, maintaining 100% retention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Led design thinking workshops to establish career advancement initiatives</w:t>
      </w:r>
    </w:p>
    <w:p w:rsidR="00000000" w:rsidDel="00000000" w:rsidP="00000000" w:rsidRDefault="00000000" w:rsidRPr="00000000" w14:paraId="0000001E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UX Lead | Cox Automotive | 2020 - 2021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Built search, eCommerce, and AI-recommended deals for </w:t>
      </w: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Central Dispatch and Ready Logistics</w:t>
      </w: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; merged platforms, integrated mobile-first design with voice and gesture controls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Hired 2 UXDs, contributed to the design system, and conducted 60 user interviews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Boosted revenue by $12.8M and increased market share from 78% to 93%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Achieved a 40% increase in engagement and an 80% reduction in task completion time</w:t>
      </w:r>
    </w:p>
    <w:p w:rsidR="00000000" w:rsidDel="00000000" w:rsidP="00000000" w:rsidRDefault="00000000" w:rsidRPr="00000000" w14:paraId="00000023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Lead UX Designer | Chick-fil-A | 2020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Led COVID-19 response, ensuring 100% restaurant uptime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Redesigned app checkout and rewards, reducing pickup wait times by 60% and increasing customer engagement by 400%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Conducted heuristic evaluation, journey mapping, wireframes, and user persona development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Managed a team of 5 UXDs and 1 UXR</w:t>
      </w:r>
    </w:p>
    <w:p w:rsidR="00000000" w:rsidDel="00000000" w:rsidP="00000000" w:rsidRDefault="00000000" w:rsidRPr="00000000" w14:paraId="00000028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Senior UX Lead | Kabbage | 2019 - 2020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Implemented design system, saving ~$750,000 and boosting efficiency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Cut design and development time by 40% and 30%, respectively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Designed a small business loan application wizard, cash flow forecasting tool, and payment tracking dashboard</w:t>
      </w:r>
    </w:p>
    <w:p w:rsidR="00000000" w:rsidDel="00000000" w:rsidP="00000000" w:rsidRDefault="00000000" w:rsidRPr="00000000" w14:paraId="0000002C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Lead UX Designer | Live Oak Bank / Apiture | 2015 - 2019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Developed banking SaaS products adopted by major financial institutions including SunTrust, BB&amp;T, and Navy Federal Credit Union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Designed account opening, transaction monitoring, payments, insights dashboard, mobile app, fraud resolution, remote deposit, and third-party integrations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Improved WCAG accessibility from non-compliant to AAA compliance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Achieved an 80% reduction in support tickets</w:t>
      </w: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 and a 25% increase in customer satisfaction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Managed 3 UXD / front-end developer hybrids</w:t>
      </w:r>
    </w:p>
    <w:p w:rsidR="00000000" w:rsidDel="00000000" w:rsidP="00000000" w:rsidRDefault="00000000" w:rsidRPr="00000000" w14:paraId="00000032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UX Designer | Steptoe and Johnson | 2013-2015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Designed and implemented a thought leadership platform for lawyers, increasing online engagement by 50% and generating 30% more client leads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Led redesign for a responsive website of a $100M/year 600-employee company</w:t>
      </w:r>
    </w:p>
    <w:p w:rsidR="00000000" w:rsidDel="00000000" w:rsidP="00000000" w:rsidRDefault="00000000" w:rsidRPr="00000000" w14:paraId="00000035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UX Designer | C-Leveled | 2011 - 2013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Built a custom </w:t>
      </w: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CMS</w:t>
      </w: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, allowing small businesses to create and manage their websites,which increased client online visibility by 40%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Designed and optimized user-centered interfaces, information architectures, and prototypes</w:t>
      </w:r>
    </w:p>
    <w:p w:rsidR="00000000" w:rsidDel="00000000" w:rsidP="00000000" w:rsidRDefault="00000000" w:rsidRPr="00000000" w14:paraId="00000038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UX Designer | Song Whale | 2009 - 2011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Developed text SMS features for customer engagement rewards, including point tracking, instant redemptions, and personalized offers, increasing participation by 35%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Implemented iterative design process with user feedback and A/B testing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Raleway Medium" w:cs="Raleway Medium" w:eastAsia="Raleway Medium" w:hAnsi="Raleway Medium"/>
      <w:color w:val="242424"/>
      <w:sz w:val="68"/>
      <w:szCs w:val="6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Raleway Medium" w:cs="Raleway Medium" w:eastAsia="Raleway Medium" w:hAnsi="Raleway Medium"/>
      <w:color w:val="242424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oppins" w:cs="Poppins" w:eastAsia="Poppins" w:hAnsi="Poppins"/>
      <w:color w:val="6b6a6a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mkalmykov.com/" TargetMode="External"/><Relationship Id="rId8" Type="http://schemas.openxmlformats.org/officeDocument/2006/relationships/hyperlink" Target="https://www.mkalmykov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