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1577FE">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1577FE">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1577FE">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1577FE">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1577FE">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 xml:space="preserve">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Корректировка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1</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Максимальный процент корректировки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Ставка на оплату потерь электрической энергии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Фактические неподконтрольные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 на прибыль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налоговой базы, отнесенная на филиал</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Налоговая база</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ТСО</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Выпадающие доходы по ТП</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неподконтрольные расходы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Дивиденды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Прибыль на развитие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Амортизация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Отчисления на социальные нужды (ЕСН)</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Тепловая энергия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Оплата услуг ПАО "ФСК ЕЭС"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изменения количества активов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Исходные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Коэффициент эластичности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индекс инфляции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эффективности подконтрольных расходов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Неподконтрольные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трансформаторных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воздушных линий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неподконтрольные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Прочие расходы (в т.ч. Членские взносы)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штрафы за бездоговорное потребление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доход от переоценки финансовых вложений,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Ритуальные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Консультационные услуги, экспертиза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Списание дебиторской задолженности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списанию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Убытки от реализации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Невозмещаемый НДС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управление капиталом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Госпошлина, судебные издержки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Спортивно-массовые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Командировочные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Отчисления в профком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услуг ПАО "ФСК ЕЭС"</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Затраты на покупку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по оплате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Потери в сети ЕНЭС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Плата за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на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Заявленная мощность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ТСО</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Дивиденды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по обслуживанию кредитных ресурсов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по регулируемым видам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Налог на прибыль</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Амортизация ОС и нематериальных активов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налогов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Аренда имущества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сторонних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Транспортные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ПАО "Россети"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юридические,  информационные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Ремонт основных фондов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подрядных организаций по ремонту</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Другие прочие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Электроэнергия на хоз. нужды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страхование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подготовку кадров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Материальные затраты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производственного характера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технического надзора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предупреждению несчастных случаев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Вывоз и утилизация промышленных отходов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Экспертиза промышленной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подъемных механизмов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Диагностика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ж/д 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стороннего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ГСМ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материалы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зданий, инвентарь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для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ГОиЧС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на оплату труда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weweqwew</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New Taskiyu</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New Task</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Новая задача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Новая задача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Новая задача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bookmarkStart w:id="27" w:name="_GoBack"/>
      <w:bookmarkEnd w:id="27"/>
    </w:p>
    <w:sectPr w:rsidR="00F41914" w:rsidRPr="00301934"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C2552" w14:textId="77777777" w:rsidR="001577FE" w:rsidRDefault="001577FE" w:rsidP="001335E3">
      <w:r>
        <w:separator/>
      </w:r>
    </w:p>
  </w:endnote>
  <w:endnote w:type="continuationSeparator" w:id="0">
    <w:p w14:paraId="3166679B" w14:textId="77777777" w:rsidR="001577FE" w:rsidRDefault="001577FE"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06B0" w14:textId="77777777" w:rsidR="001577FE" w:rsidRDefault="001577FE" w:rsidP="001335E3">
      <w:r>
        <w:separator/>
      </w:r>
    </w:p>
  </w:footnote>
  <w:footnote w:type="continuationSeparator" w:id="0">
    <w:p w14:paraId="2B5AC549" w14:textId="77777777" w:rsidR="001577FE" w:rsidRDefault="001577FE"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7FE"/>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934"/>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2A19-1591-F44D-8D04-02ABD13D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1629</Words>
  <Characters>9286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2021-04-27T11:16:00Z</dcterms:modified>
</cp:coreProperties>
</file>