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7B6A1A">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7B6A1A">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7B6A1A">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7B6A1A">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7B6A1A">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bookmarkStart w:id="0" w:name="_GoBack"/>
      <w:bookmarkEnd w:id="0"/>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1" w:name="_Toc37350633"/>
      <w:bookmarkStart w:id="2" w:name="_Toc70411196"/>
      <w:r w:rsidRPr="006C2AE2">
        <w:rPr>
          <w:rFonts w:ascii="Myriad Pro" w:hAnsi="Myriad Pro"/>
          <w:b/>
          <w:color w:val="4F6228" w:themeColor="accent3" w:themeShade="80"/>
          <w:sz w:val="28"/>
          <w:szCs w:val="28"/>
        </w:rPr>
        <w:lastRenderedPageBreak/>
        <w:t>Вводная часть</w:t>
      </w:r>
      <w:bookmarkEnd w:id="1"/>
      <w:bookmarkEnd w:id="2"/>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70411197"/>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70411199"/>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70411200"/>
      <w:r>
        <w:rPr>
          <w:rFonts w:ascii="Myriad Pro" w:hAnsi="Myriad Pro"/>
          <w:b/>
          <w:color w:val="4F6228" w:themeColor="accent3" w:themeShade="80"/>
          <w:sz w:val="28"/>
          <w:szCs w:val="28"/>
        </w:rPr>
        <w:t>Цель оказания услуг</w:t>
      </w:r>
      <w:bookmarkEnd w:id="19"/>
      <w:bookmarkEnd w:id="20"/>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70411201"/>
      <w:r>
        <w:rPr>
          <w:rFonts w:ascii="Myriad Pro" w:hAnsi="Myriad Pro"/>
          <w:b/>
          <w:color w:val="4F6228" w:themeColor="accent3" w:themeShade="80"/>
          <w:sz w:val="28"/>
          <w:szCs w:val="28"/>
        </w:rPr>
        <w:lastRenderedPageBreak/>
        <w:t>Нормативно-правовая база</w:t>
      </w:r>
      <w:bookmarkEnd w:id="21"/>
      <w:bookmarkEnd w:id="22"/>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2"/>
      <w:r w:rsidRPr="00F03A31">
        <w:rPr>
          <w:rFonts w:ascii="Myriad Pro" w:hAnsi="Myriad Pro"/>
          <w:b/>
          <w:color w:val="4F6228" w:themeColor="accent3" w:themeShade="80"/>
          <w:sz w:val="28"/>
          <w:szCs w:val="28"/>
        </w:rPr>
        <w:t xml:space="preserve">Корректировка</w:t>
      </w:r>
      <w:bookmarkEnd w:id="23"/>
    </w:p>
    <w:p w14:paraId="7BD899A2"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1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Налог на прибыль</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7"/>
    </w:p>
    <w:p w14:paraId="53571BA5" w14:textId="77777777" w:rsidR="00C12D96" w:rsidRPr="000A1E50" w:rsidRDefault="00C12D96" w:rsidP="00C12D96">
      <w:pPr>
        <w:jc w:val="both"/>
        <w:rPr>
          <w:color w:val="000000" w:themeColor="text1"/>
          <w:sz w:val="28"/>
          <w:szCs w:val="28"/>
          <w:lang w:val="en-US"/>
        </w:rPr>
      </w:pPr>
      <w:r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7"/>
    </w:p>
    <w:p w14:paraId="53571BA5" w14:textId="77777777" w:rsidR="00C12D96" w:rsidRPr="000A1E50" w:rsidRDefault="00C12D96" w:rsidP="00C12D96">
      <w:pPr>
        <w:jc w:val="both"/>
        <w:rPr>
          <w:color w:val="000000" w:themeColor="text1"/>
          <w:sz w:val="28"/>
          <w:szCs w:val="28"/>
          <w:lang w:val="en-US"/>
        </w:rPr>
      </w:pPr>
      <w:r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7"/>
    </w:p>
    <w:p w14:paraId="53571BA5" w14:textId="77777777" w:rsidR="00C12D96" w:rsidRPr="000A1E50" w:rsidRDefault="00C12D96" w:rsidP="00C12D96">
      <w:pPr>
        <w:jc w:val="both"/>
        <w:rPr>
          <w:color w:val="000000" w:themeColor="text1"/>
          <w:sz w:val="28"/>
          <w:szCs w:val="28"/>
          <w:lang w:val="en-US"/>
        </w:rPr>
      </w:pPr>
      <w:r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7"/>
    </w:p>
    <w:p w14:paraId="53571BA5" w14:textId="77777777" w:rsidR="00C12D96" w:rsidRPr="000A1E50" w:rsidRDefault="00C12D96" w:rsidP="00C12D96">
      <w:pPr>
        <w:jc w:val="both"/>
        <w:rPr>
          <w:color w:val="000000" w:themeColor="text1"/>
          <w:sz w:val="28"/>
          <w:szCs w:val="28"/>
          <w:lang w:val="en-US"/>
        </w:rPr>
      </w:pPr>
      <w:r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7"/>
    </w:p>
    <w:p w14:paraId="53571BA5" w14:textId="77777777" w:rsidR="00C12D96" w:rsidRPr="000A1E50" w:rsidRDefault="00C12D96" w:rsidP="00C12D96">
      <w:pPr>
        <w:jc w:val="both"/>
        <w:rPr>
          <w:color w:val="000000" w:themeColor="text1"/>
          <w:sz w:val="28"/>
          <w:szCs w:val="28"/>
          <w:lang w:val="en-US"/>
        </w:rPr>
      </w:pPr>
      <w:r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r w:rsidRPr="00F03A31">
        <w:rPr>
          <w:rFonts w:ascii="Myriad Pro" w:hAnsi="Myriad Pro"/>
          <w:b/>
          <w:color w:val="4F6228" w:themeColor="accent3" w:themeShade="80"/>
          <w:sz w:val="28"/>
          <w:szCs w:val="28"/>
        </w:rPr>
        <w:t xml:space="preserve">Налоговая база</w:t>
      </w:r>
      <w:bookmarkEnd w:id="27"/>
    </w:p>
    <w:p w14:paraId="53571BA5" w14:textId="77777777" w:rsidR="00C12D96" w:rsidRPr="000A1E50" w:rsidRDefault="00C12D96" w:rsidP="00C12D96">
      <w:pPr>
        <w:jc w:val="both"/>
        <w:rPr>
          <w:color w:val="000000" w:themeColor="text1"/>
          <w:sz w:val="28"/>
          <w:szCs w:val="28"/>
          <w:lang w:val="en-US"/>
        </w:rPr>
      </w:pPr>
      <w:r w:rsidRPr="000A1E50">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ТСО</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Выпадающие доходы по ТП</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Прочие неподконтрольные расходы</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Дивиденды</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Прибыль на развитие</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Амортизация</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Отчисления на социальные нужды (ЕСН)</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Налоги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Тепловая энергия</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Оплата услуг ПАО "ФСК ЕЭС"</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Расчетные данные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Индекс изменения количества активов</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Исходные данные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Коэффициент эластичности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Фактический индекс инфляции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2"/>
      <w:r w:rsidRPr="00F03A31">
        <w:rPr>
          <w:rFonts w:ascii="Myriad Pro" w:hAnsi="Myriad Pro"/>
          <w:b/>
          <w:color w:val="4F6228" w:themeColor="accent3" w:themeShade="80"/>
          <w:sz w:val="28"/>
          <w:szCs w:val="28"/>
        </w:rPr>
        <w:t xml:space="preserve">Неподконтрольные расходы</w:t>
      </w:r>
      <w:bookmarkEnd w:id="23"/>
    </w:p>
    <w:p w14:paraId="7BD899A2"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Строительство воздушных линий</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Прочие неподконтрольные расходы</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штрафы за бездоговорное потребление</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Ритуальные расходы</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Невозмещаемый НДС</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Отчисления в профком</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Оплата услуг ПАО "ФСК ЕЭС"</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Потери в сети ЕНЭС</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Заявленная мощность</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Услуги ТСО</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Дивиденды</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Налог на прибыль</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Отчисления на социальные нужды</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Оплата налогов</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Аренда имущества</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Отчисления на социальные нужды</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2"/>
      <w:r w:rsidRPr="00F03A31">
        <w:rPr>
          <w:rFonts w:ascii="Myriad Pro" w:hAnsi="Myriad Pro"/>
          <w:b/>
          <w:color w:val="4F6228" w:themeColor="accent3" w:themeShade="80"/>
          <w:sz w:val="28"/>
          <w:szCs w:val="28"/>
        </w:rPr>
        <w:t xml:space="preserve">Подконтрольные расходы</w:t>
      </w:r>
      <w:bookmarkEnd w:id="23"/>
    </w:p>
    <w:p w14:paraId="7BD899A2"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Прочие расходы</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Прочие услуги сторонних организаций</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Транспортные услуги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Расходы на услуги ПАО "Россети"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Расходы на услуги связи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Материалы на ремонт</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Другие прочие расходы</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Материальные затраты</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технического надзора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Техобслуживание средств РЗА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Диагностика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ж/д транспорта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Услуги стороннего автотранспорта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5"/>
    </w:p>
    <w:p w14:paraId="65B09784"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ГСМ</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Материалы на ремонт</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Прочие материалы</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Материалы для средств РЗА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МТР для службы ГОиЧС</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6"/>
    </w:p>
    <w:p w14:paraId="7F6AB2D1" w14:textId="77777777" w:rsidR="00C12D96" w:rsidRPr="00F03A31" w:rsidRDefault="00C12D96" w:rsidP="00C12D96">
      <w:pPr>
        <w:jc w:val="both"/>
        <w:rPr>
          <w:color w:val="000000" w:themeColor="text1"/>
          <w:sz w:val="28"/>
          <w:szCs w:val="28"/>
        </w:rPr>
      </w:pPr>
      <w:r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r w:rsidRPr="00F03A31">
        <w:rPr>
          <w:rFonts w:ascii="Myriad Pro" w:hAnsi="Myriad Pro"/>
          <w:b/>
          <w:color w:val="4F6228" w:themeColor="accent3" w:themeShade="80"/>
          <w:sz w:val="28"/>
          <w:szCs w:val="28"/>
        </w:rPr>
        <w:t xml:space="preserve">Расходы на оплату труда</w:t>
      </w:r>
      <w:bookmarkEnd w:id="24"/>
    </w:p>
    <w:p w14:paraId="5BDC5F39" w14:textId="77777777" w:rsidR="00C12D96" w:rsidRPr="00D31C86" w:rsidRDefault="00C12D96" w:rsidP="00C12D96">
      <w:pPr>
        <w:jc w:val="both"/>
        <w:rPr>
          <w:color w:val="000000" w:themeColor="text1"/>
          <w:sz w:val="28"/>
          <w:szCs w:val="28"/>
        </w:rPr>
      </w:pPr>
      <w:r w:rsidRPr="00D31C86">
        <w:rPr>
          <w:color w:val="000000" w:themeColor="text1"/>
          <w:sz w:val="28"/>
          <w:szCs w:val="28"/>
        </w:rPr>
        <w:t xml:space="preserve"> </w:t>
      </w:r>
    </w:p>
    <w:p w14:paraId="089A880A" w14:textId="77777777" w:rsidR="00F41914" w:rsidRPr="00C12D96" w:rsidRDefault="00F41914" w:rsidP="00C12D96">
      <w:pPr>
        <w:pStyle w:val="2"/>
        <w:numPr>
          <w:ilvl w:val="0"/>
          <w:numId w:val="0"/>
        </w:numPr>
        <w:ind w:left="1281"/>
        <w:rPr>
          <w:lang w:val="en-US"/>
        </w:rPr>
      </w:pPr>
    </w:p>
    <w:sectPr w:rsidR="00F41914" w:rsidRPr="00C12D96"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3A1F5" w14:textId="77777777" w:rsidR="007B6A1A" w:rsidRDefault="007B6A1A" w:rsidP="001335E3">
      <w:r>
        <w:separator/>
      </w:r>
    </w:p>
  </w:endnote>
  <w:endnote w:type="continuationSeparator" w:id="0">
    <w:p w14:paraId="5B8354CB" w14:textId="77777777" w:rsidR="007B6A1A" w:rsidRDefault="007B6A1A"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23A34" w14:textId="77777777" w:rsidR="007B6A1A" w:rsidRDefault="007B6A1A" w:rsidP="001335E3">
      <w:r>
        <w:separator/>
      </w:r>
    </w:p>
  </w:footnote>
  <w:footnote w:type="continuationSeparator" w:id="0">
    <w:p w14:paraId="696AB653" w14:textId="77777777" w:rsidR="007B6A1A" w:rsidRDefault="007B6A1A"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8545FE-20FD-DA4C-9DF2-B156B0175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1542</Words>
  <Characters>8790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2021-04-27T07:25:00Z</dcterms:modified>
</cp:coreProperties>
</file>