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40785348" w:displacedByCustomXml="next"/>
    <w:sdt>
      <w:sdtPr>
        <w:rPr>
          <w:rFonts w:ascii="Myriad Pro" w:hAnsi="Myriad Pro"/>
          <w:i/>
          <w:color w:val="4F6228" w:themeColor="accent3" w:themeShade="80"/>
          <w:sz w:val="24"/>
          <w:szCs w:val="24"/>
        </w:rPr>
        <w:id w:val="1372342452"/>
        <w:docPartObj>
          <w:docPartGallery w:val="Cover Pages"/>
          <w:docPartUnique/>
        </w:docPartObj>
      </w:sdtPr>
      <w:sdtEndPr/>
      <w:sdtContent>
        <w:p w14:paraId="529039DB" w14:textId="77777777" w:rsidR="002D6C17" w:rsidRPr="0050054B" w:rsidRDefault="002D6C17" w:rsidP="002D6C17">
          <w:pPr>
            <w:rPr>
              <w:rFonts w:ascii="Myriad Pro" w:hAnsi="Myriad Pro"/>
              <w:i/>
              <w:color w:val="4F6228" w:themeColor="accent3" w:themeShade="80"/>
              <w:sz w:val="24"/>
              <w:szCs w:val="24"/>
            </w:rPr>
          </w:pPr>
          <w:r w:rsidRPr="0050054B">
            <w:rPr>
              <w:rFonts w:ascii="Myriad Pro" w:hAnsi="Myriad Pro"/>
              <w:i/>
              <w:noProof/>
              <w:color w:val="4F6228" w:themeColor="accent3" w:themeShade="80"/>
              <w:sz w:val="24"/>
              <w:szCs w:val="24"/>
              <w:lang w:eastAsia="ru-RU"/>
            </w:rPr>
            <mc:AlternateContent>
              <mc:Choice Requires="wpg">
                <w:drawing>
                  <wp:anchor distT="0" distB="0" distL="114300" distR="114300" simplePos="0" relativeHeight="251661312" behindDoc="0" locked="0" layoutInCell="1" allowOverlap="1" wp14:anchorId="1952591B" wp14:editId="0731168A">
                    <wp:simplePos x="0" y="0"/>
                    <wp:positionH relativeFrom="page">
                      <wp:posOffset>4547235</wp:posOffset>
                    </wp:positionH>
                    <wp:positionV relativeFrom="page">
                      <wp:posOffset>0</wp:posOffset>
                    </wp:positionV>
                    <wp:extent cx="3113405" cy="10058400"/>
                    <wp:effectExtent l="0" t="0" r="6350" b="0"/>
                    <wp:wrapNone/>
                    <wp:docPr id="2" name="Группа 2"/>
                    <wp:cNvGraphicFramePr/>
                    <a:graphic xmlns:a="http://schemas.openxmlformats.org/drawingml/2006/main">
                      <a:graphicData uri="http://schemas.microsoft.com/office/word/2010/wordprocessingGroup">
                        <wpg:wgp>
                          <wpg:cNvGrpSpPr/>
                          <wpg:grpSpPr>
                            <a:xfrm>
                              <a:off x="0" y="0"/>
                              <a:ext cx="3113405" cy="10058400"/>
                              <a:chOff x="0" y="0"/>
                              <a:chExt cx="3113670" cy="10058400"/>
                            </a:xfrm>
                          </wpg:grpSpPr>
                          <wps:wsp>
                            <wps:cNvPr id="6" name="Прямоугольник 6" descr="Light vertical"/>
                            <wps:cNvSpPr>
                              <a:spLocks noChangeArrowheads="1"/>
                            </wps:cNvSpPr>
                            <wps:spPr bwMode="auto">
                              <a:xfrm>
                                <a:off x="0" y="0"/>
                                <a:ext cx="138545" cy="10058400"/>
                              </a:xfrm>
                              <a:prstGeom prst="rect">
                                <a:avLst/>
                              </a:prstGeom>
                              <a:no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0B9D6AC1" w14:textId="77777777" w:rsidR="00486403" w:rsidRDefault="00486403" w:rsidP="002D6C17">
                                  <w:pPr>
                                    <w:jc w:val="center"/>
                                  </w:pPr>
                                  <w:r>
                                    <w:t>ё</w:t>
                                  </w:r>
                                </w:p>
                              </w:txbxContent>
                            </wps:txbx>
                            <wps:bodyPr rot="0" vert="horz" wrap="square" lIns="91440" tIns="45720" rIns="91440" bIns="45720" anchor="ctr" anchorCtr="0" upright="1">
                              <a:noAutofit/>
                            </wps:bodyPr>
                          </wps:wsp>
                          <wps:wsp>
                            <wps:cNvPr id="7" name="Прямоугольник 7"/>
                            <wps:cNvSpPr>
                              <a:spLocks noChangeArrowheads="1"/>
                            </wps:cNvSpPr>
                            <wps:spPr bwMode="auto">
                              <a:xfrm>
                                <a:off x="124691" y="0"/>
                                <a:ext cx="2971800" cy="10058400"/>
                              </a:xfrm>
                              <a:prstGeom prst="rect">
                                <a:avLst/>
                              </a:prstGeom>
                              <a:solidFill>
                                <a:schemeClr val="accent3">
                                  <a:lumMod val="5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8" name="Прямоугольник 8"/>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157F4F75" w14:textId="77777777" w:rsidR="00486403" w:rsidRPr="00DC2CC1" w:rsidRDefault="00486403" w:rsidP="002D6C17">
                                  <w:pPr>
                                    <w:pStyle w:val="af2"/>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9" name="Прямоугольник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43378DD6" w14:textId="77777777" w:rsidR="00486403" w:rsidRDefault="00486403" w:rsidP="002D6C17">
                                  <w:pPr>
                                    <w:pStyle w:val="af2"/>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1952591B" id="Группа 2" o:spid="_x0000_s1026" style="position:absolute;margin-left:358.05pt;margin-top:0;width:245.15pt;height:11in;z-index:251661312;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">
                    <v:rect id="Прямоугольник 6"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" filled="f" stroked="f" strokecolor="white" strokeweight="1pt">
                      <v:shadow color="#d8d8d8" offset="3pt,3pt"/>
                      <v:textbox>
                        <w:txbxContent>
                          <w:p w14:paraId="0B9D6AC1" w14:textId="77777777" w:rsidR="00486403" w:rsidRDefault="00486403" w:rsidP="002D6C17">
                            <w:pPr>
                              <w:jc w:val="center"/>
                            </w:pPr>
                            <w:r>
                              <w:t>ё</w:t>
                            </w:r>
                          </w:p>
                        </w:txbxContent>
                      </v:textbox>
                    </v:rect>
                    <v:rect id="Прямоугольник 7"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" fillcolor="#4e6128 [1606]" stroked="f" strokecolor="#d8d8d8"/>
                    <v:rect id="Прямоугольник 8"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" filled="f" stroked="f" strokecolor="white" strokeweight="1pt">
                      <v:fill opacity="52428f"/>
                      <v:shadow color="#d8d8d8" offset="3pt,3pt"/>
                      <v:textbox inset="28.8pt,14.4pt,14.4pt,14.4pt">
                        <w:txbxContent>
                          <w:p w14:paraId="157F4F75" w14:textId="77777777" w:rsidR="00486403" w:rsidRPr="00DC2CC1" w:rsidRDefault="00486403" w:rsidP="002D6C17">
                            <w:pPr>
                              <w:pStyle w:val="af2"/>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" filled="f" stroked="f" strokecolor="white" strokeweight="1pt">
                      <v:fill opacity="52428f"/>
                      <v:shadow color="#d8d8d8" offset="3pt,3pt"/>
                      <v:textbox inset="28.8pt,14.4pt,14.4pt,14.4pt">
                        <w:txbxContent>
                          <w:p w14:paraId="43378DD6" w14:textId="77777777" w:rsidR="00486403" w:rsidRDefault="00486403" w:rsidP="002D6C17">
                            <w:pPr>
                              <w:pStyle w:val="af2"/>
                              <w:spacing w:line="360" w:lineRule="auto"/>
                              <w:rPr>
                                <w:color w:val="FFFFFF" w:themeColor="background1"/>
                              </w:rPr>
                            </w:pPr>
                          </w:p>
                        </w:txbxContent>
                      </v:textbox>
                    </v:rect>
                    <w10:wrap anchorx="page" anchory="page"/>
                  </v:group>
                </w:pict>
              </mc:Fallback>
            </mc:AlternateContent>
          </w:r>
          <w:r w:rsidRPr="0050054B">
            <w:rPr>
              <w:rFonts w:ascii="Myriad Pro" w:hAnsi="Myriad Pro"/>
              <w:i/>
              <w:noProof/>
              <w:color w:val="4F6228" w:themeColor="accent3" w:themeShade="80"/>
              <w:sz w:val="24"/>
              <w:szCs w:val="24"/>
              <w:lang w:eastAsia="ru-RU"/>
            </w:rPr>
            <w:drawing>
              <wp:inline distT="0" distB="0" distL="0" distR="0" wp14:anchorId="013A5952" wp14:editId="36814035">
                <wp:extent cx="2108959" cy="923925"/>
                <wp:effectExtent l="0" t="0" r="571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BEBA8EAE-BF5A-486C-A8C5-ECC9F3942E4B}">
                              <a14:imgProps xmlns:a14="http://schemas.microsoft.com/office/drawing/2010/main">
                                <a14:imgLayer r:embed="rId10">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020873E2" w14:textId="77777777" w:rsidR="002D6C17" w:rsidRPr="0050054B" w:rsidRDefault="002D6C17" w:rsidP="002D6C17">
          <w:pPr>
            <w:rPr>
              <w:rFonts w:ascii="Myriad Pro" w:hAnsi="Myriad Pro"/>
              <w:i/>
              <w:color w:val="4F6228" w:themeColor="accent3" w:themeShade="80"/>
              <w:sz w:val="24"/>
              <w:szCs w:val="24"/>
            </w:rPr>
          </w:pPr>
          <w:r w:rsidRPr="0050054B">
            <w:rPr>
              <w:rFonts w:ascii="Myriad Pro" w:hAnsi="Myriad Pro"/>
              <w:i/>
              <w:noProof/>
              <w:color w:val="4F6228" w:themeColor="accent3" w:themeShade="80"/>
              <w:sz w:val="24"/>
              <w:szCs w:val="24"/>
              <w:lang w:eastAsia="ru-RU"/>
            </w:rPr>
            <mc:AlternateContent>
              <mc:Choice Requires="wps">
                <w:drawing>
                  <wp:anchor distT="0" distB="0" distL="114300" distR="114300" simplePos="0" relativeHeight="251662336" behindDoc="0" locked="0" layoutInCell="0" allowOverlap="1" wp14:anchorId="17890B8C" wp14:editId="7F8CB413">
                    <wp:simplePos x="0" y="0"/>
                    <wp:positionH relativeFrom="page">
                      <wp:align>left</wp:align>
                    </wp:positionH>
                    <wp:positionV relativeFrom="page">
                      <wp:posOffset>2705100</wp:posOffset>
                    </wp:positionV>
                    <wp:extent cx="6730365" cy="4377690"/>
                    <wp:effectExtent l="0" t="0" r="13335" b="22860"/>
                    <wp:wrapNone/>
                    <wp:docPr id="10"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0365" cy="4377690"/>
                            </a:xfrm>
                            <a:prstGeom prst="rect">
                              <a:avLst/>
                            </a:prstGeom>
                            <a:solidFill>
                              <a:schemeClr val="bg2">
                                <a:lumMod val="75000"/>
                              </a:schemeClr>
                            </a:solidFill>
                            <a:ln w="19050">
                              <a:solidFill>
                                <a:schemeClr val="tx1"/>
                              </a:solidFill>
                              <a:miter lim="800000"/>
                              <a:headEnd/>
                              <a:tailEnd/>
                            </a:ln>
                            <a:effectLst>
                              <a:softEdge rad="50800"/>
                            </a:effectLst>
                          </wps:spPr>
                          <wps:txbx>
                            <w:txbxContent>
                              <w:p w14:paraId="2149C299" w14:textId="77777777" w:rsidR="00486403" w:rsidRDefault="00486403" w:rsidP="00486403">
                                <w:pPr>
                                  <w:pStyle w:val="af2"/>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25BB264D" w14:textId="77777777" w:rsidR="00486403" w:rsidRPr="00DD1A1D" w:rsidRDefault="00486403" w:rsidP="00486403">
                                <w:pPr>
                                  <w:pStyle w:val="af2"/>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914080">
                                  <w:rPr>
                                    <w:rFonts w:ascii="Myriad Pro" w:hAnsi="Myriad Pro" w:cs="Times New Roman"/>
                                    <w:b/>
                                    <w:sz w:val="36"/>
                                    <w:szCs w:val="36"/>
                                    <w:shd w:val="clear" w:color="auto" w:fill="C4BC96" w:themeFill="background2" w:themeFillShade="BF"/>
                                  </w:rPr>
                                  <w:t>по результатам анализа принятых регулирующим органом тарифно</w:t>
                                </w:r>
                                <w:r>
                                  <w:rPr>
                                    <w:rFonts w:ascii="Myriad Pro" w:hAnsi="Myriad Pro" w:cs="Times New Roman"/>
                                    <w:b/>
                                    <w:sz w:val="36"/>
                                    <w:szCs w:val="36"/>
                                    <w:shd w:val="clear" w:color="auto" w:fill="C4BC96" w:themeFill="background2" w:themeFillShade="BF"/>
                                  </w:rPr>
                                  <w:t>-балансов</w:t>
                                </w:r>
                                <w:bookmarkStart w:id="1" w:name="_GoBack"/>
                                <w:bookmarkEnd w:id="1"/>
                                <w:r>
                                  <w:rPr>
                                    <w:rFonts w:ascii="Myriad Pro" w:hAnsi="Myriad Pro" w:cs="Times New Roman"/>
                                    <w:b/>
                                    <w:sz w:val="36"/>
                                    <w:szCs w:val="36"/>
                                    <w:shd w:val="clear" w:color="auto" w:fill="C4BC96" w:themeFill="background2" w:themeFillShade="BF"/>
                                  </w:rPr>
                                  <w:t xml:space="preserve">ых решений за 2019 год </w:t>
                                </w:r>
                                <w:r w:rsidRPr="00220E92">
                                  <w:rPr>
                                    <w:rFonts w:ascii="Myriad Pro" w:hAnsi="Myriad Pro" w:cs="Times New Roman"/>
                                    <w:b/>
                                    <w:sz w:val="36"/>
                                    <w:szCs w:val="36"/>
                                    <w:shd w:val="clear" w:color="auto" w:fill="C4BC96" w:themeFill="background2" w:themeFillShade="BF"/>
                                  </w:rPr>
                                  <w:t xml:space="preserve">в отношении </w:t>
                                </w:r>
                                <w:r w:rsidRPr="00DD1A1D">
                                  <w:rPr>
                                    <w:rFonts w:ascii="Myriad Pro" w:hAnsi="Myriad Pro" w:cs="Times New Roman"/>
                                    <w:b/>
                                    <w:sz w:val="36"/>
                                    <w:szCs w:val="36"/>
                                    <w:shd w:val="clear" w:color="auto" w:fill="C4BC96" w:themeFill="background2" w:themeFillShade="BF"/>
                                  </w:rPr>
                                  <w:t>Мурманского филиала ПАО «МРСК Северо-Запада»</w:t>
                                </w:r>
                              </w:p>
                              <w:p w14:paraId="22A94B30" w14:textId="77777777" w:rsidR="00486403" w:rsidRDefault="00486403" w:rsidP="00486403">
                                <w:pPr>
                                  <w:pStyle w:val="af2"/>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p>
                              <w:p w14:paraId="17B90CBA" w14:textId="53B643FB" w:rsidR="00486403" w:rsidRPr="00DD1A1D" w:rsidRDefault="00486403" w:rsidP="00486403">
                                <w:pPr>
                                  <w:pStyle w:val="af2"/>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DD1A1D">
                                  <w:rPr>
                                    <w:rFonts w:ascii="Myriad Pro" w:hAnsi="Myriad Pro" w:cs="Times New Roman"/>
                                    <w:b/>
                                    <w:sz w:val="28"/>
                                    <w:szCs w:val="28"/>
                                    <w:shd w:val="clear" w:color="auto" w:fill="C4BC96" w:themeFill="background2" w:themeFillShade="BF"/>
                                  </w:rPr>
                                  <w:t>по Договору</w:t>
                                </w:r>
                                <w:r>
                                  <w:rPr>
                                    <w:rFonts w:ascii="Myriad Pro" w:hAnsi="Myriad Pro" w:cs="Times New Roman"/>
                                    <w:b/>
                                    <w:sz w:val="28"/>
                                    <w:szCs w:val="28"/>
                                    <w:shd w:val="clear" w:color="auto" w:fill="C4BC96" w:themeFill="background2" w:themeFillShade="BF"/>
                                  </w:rPr>
                                  <w:t xml:space="preserve"> на</w:t>
                                </w:r>
                                <w:r w:rsidRPr="00DD1A1D">
                                  <w:rPr>
                                    <w:rFonts w:ascii="Myriad Pro" w:hAnsi="Myriad Pro" w:cs="Times New Roman"/>
                                    <w:b/>
                                    <w:sz w:val="28"/>
                                    <w:szCs w:val="28"/>
                                    <w:shd w:val="clear" w:color="auto" w:fill="C4BC96" w:themeFill="background2" w:themeFillShade="BF"/>
                                  </w:rPr>
                                  <w:t xml:space="preserve"> оказани</w:t>
                                </w:r>
                                <w:r>
                                  <w:rPr>
                                    <w:rFonts w:ascii="Myriad Pro" w:hAnsi="Myriad Pro" w:cs="Times New Roman"/>
                                    <w:b/>
                                    <w:sz w:val="28"/>
                                    <w:szCs w:val="28"/>
                                    <w:shd w:val="clear" w:color="auto" w:fill="C4BC96" w:themeFill="background2" w:themeFillShade="BF"/>
                                  </w:rPr>
                                  <w:t>е</w:t>
                                </w:r>
                                <w:r w:rsidRPr="00DD1A1D">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DD1A1D">
                                  <w:rPr>
                                    <w:rFonts w:ascii="Myriad Pro" w:hAnsi="Myriad Pro" w:cs="Times New Roman"/>
                                    <w:b/>
                                    <w:sz w:val="28"/>
                                    <w:szCs w:val="28"/>
                                    <w:shd w:val="clear" w:color="auto" w:fill="C4BC96" w:themeFill="background2" w:themeFillShade="BF"/>
                                  </w:rPr>
                                  <w:t>за период 2017-2019</w:t>
                                </w:r>
                                <w:r>
                                  <w:rPr>
                                    <w:rFonts w:ascii="Myriad Pro" w:hAnsi="Myriad Pro" w:cs="Times New Roman"/>
                                    <w:b/>
                                    <w:sz w:val="28"/>
                                    <w:szCs w:val="28"/>
                                    <w:shd w:val="clear" w:color="auto" w:fill="C4BC96" w:themeFill="background2" w:themeFillShade="BF"/>
                                  </w:rPr>
                                  <w:t xml:space="preserve"> </w:t>
                                </w:r>
                                <w:r w:rsidRPr="00DD1A1D">
                                  <w:rPr>
                                    <w:rFonts w:ascii="Myriad Pro" w:hAnsi="Myriad Pro" w:cs="Times New Roman"/>
                                    <w:b/>
                                    <w:sz w:val="28"/>
                                    <w:szCs w:val="28"/>
                                    <w:shd w:val="clear" w:color="auto" w:fill="C4BC96" w:themeFill="background2" w:themeFillShade="BF"/>
                                  </w:rPr>
                                  <w:t>гг.,</w:t>
                                </w:r>
                              </w:p>
                              <w:p w14:paraId="3129EA40" w14:textId="77777777" w:rsidR="00486403" w:rsidRPr="00DD1A1D" w:rsidRDefault="00486403" w:rsidP="00486403">
                                <w:pPr>
                                  <w:pStyle w:val="af2"/>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DD1A1D">
                                  <w:rPr>
                                    <w:rFonts w:ascii="Myriad Pro" w:hAnsi="Myriad Pro" w:cs="Times New Roman"/>
                                    <w:b/>
                                    <w:sz w:val="28"/>
                                    <w:szCs w:val="28"/>
                                    <w:shd w:val="clear" w:color="auto" w:fill="C4BC96" w:themeFill="background2" w:themeFillShade="BF"/>
                                  </w:rPr>
                                  <w:t>№ 59/105/20 от 11.02.2020 года</w:t>
                                </w:r>
                              </w:p>
                              <w:p w14:paraId="300C794F" w14:textId="77777777" w:rsidR="00486403" w:rsidRPr="0050171A" w:rsidRDefault="00486403" w:rsidP="00486403">
                                <w:pPr>
                                  <w:pStyle w:val="af2"/>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DD1A1D">
                                  <w:rPr>
                                    <w:rFonts w:ascii="Myriad Pro" w:hAnsi="Myriad Pro" w:cs="Times New Roman"/>
                                    <w:b/>
                                    <w:sz w:val="36"/>
                                    <w:szCs w:val="36"/>
                                    <w:shd w:val="clear" w:color="auto" w:fill="C4BC96" w:themeFill="background2" w:themeFillShade="BF"/>
                                  </w:rPr>
                                  <w:t>Этап 1.1.1</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7890B8C" id="Прямоугольник 16" o:spid="_x0000_s1031" style="position:absolute;margin-left:0;margin-top:213pt;width:529.95pt;height:344.7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" o:allowincell="f" fillcolor="#c4bc96 [2414]" strokecolor="black [3213]" strokeweight="1.5pt">
                    <v:textbox inset="14.4pt,,14.4pt">
                      <w:txbxContent>
                        <w:p w14:paraId="2149C299" w14:textId="77777777" w:rsidR="00486403" w:rsidRDefault="00486403" w:rsidP="00486403">
                          <w:pPr>
                            <w:pStyle w:val="af2"/>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25BB264D" w14:textId="77777777" w:rsidR="00486403" w:rsidRPr="00DD1A1D" w:rsidRDefault="00486403" w:rsidP="00486403">
                          <w:pPr>
                            <w:pStyle w:val="af2"/>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914080">
                            <w:rPr>
                              <w:rFonts w:ascii="Myriad Pro" w:hAnsi="Myriad Pro" w:cs="Times New Roman"/>
                              <w:b/>
                              <w:sz w:val="36"/>
                              <w:szCs w:val="36"/>
                              <w:shd w:val="clear" w:color="auto" w:fill="C4BC96" w:themeFill="background2" w:themeFillShade="BF"/>
                            </w:rPr>
                            <w:t>по результатам анализа принятых регулирующим органом тарифно</w:t>
                          </w:r>
                          <w:r>
                            <w:rPr>
                              <w:rFonts w:ascii="Myriad Pro" w:hAnsi="Myriad Pro" w:cs="Times New Roman"/>
                              <w:b/>
                              <w:sz w:val="36"/>
                              <w:szCs w:val="36"/>
                              <w:shd w:val="clear" w:color="auto" w:fill="C4BC96" w:themeFill="background2" w:themeFillShade="BF"/>
                            </w:rPr>
                            <w:t>-балансов</w:t>
                          </w:r>
                          <w:bookmarkStart w:id="2" w:name="_GoBack"/>
                          <w:bookmarkEnd w:id="2"/>
                          <w:r>
                            <w:rPr>
                              <w:rFonts w:ascii="Myriad Pro" w:hAnsi="Myriad Pro" w:cs="Times New Roman"/>
                              <w:b/>
                              <w:sz w:val="36"/>
                              <w:szCs w:val="36"/>
                              <w:shd w:val="clear" w:color="auto" w:fill="C4BC96" w:themeFill="background2" w:themeFillShade="BF"/>
                            </w:rPr>
                            <w:t xml:space="preserve">ых решений за 2019 год </w:t>
                          </w:r>
                          <w:r w:rsidRPr="00220E92">
                            <w:rPr>
                              <w:rFonts w:ascii="Myriad Pro" w:hAnsi="Myriad Pro" w:cs="Times New Roman"/>
                              <w:b/>
                              <w:sz w:val="36"/>
                              <w:szCs w:val="36"/>
                              <w:shd w:val="clear" w:color="auto" w:fill="C4BC96" w:themeFill="background2" w:themeFillShade="BF"/>
                            </w:rPr>
                            <w:t xml:space="preserve">в отношении </w:t>
                          </w:r>
                          <w:r w:rsidRPr="00DD1A1D">
                            <w:rPr>
                              <w:rFonts w:ascii="Myriad Pro" w:hAnsi="Myriad Pro" w:cs="Times New Roman"/>
                              <w:b/>
                              <w:sz w:val="36"/>
                              <w:szCs w:val="36"/>
                              <w:shd w:val="clear" w:color="auto" w:fill="C4BC96" w:themeFill="background2" w:themeFillShade="BF"/>
                            </w:rPr>
                            <w:t>Мурманского филиала ПАО «МРСК Северо-Запада»</w:t>
                          </w:r>
                        </w:p>
                        <w:p w14:paraId="22A94B30" w14:textId="77777777" w:rsidR="00486403" w:rsidRDefault="00486403" w:rsidP="00486403">
                          <w:pPr>
                            <w:pStyle w:val="af2"/>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p>
                        <w:p w14:paraId="17B90CBA" w14:textId="53B643FB" w:rsidR="00486403" w:rsidRPr="00DD1A1D" w:rsidRDefault="00486403" w:rsidP="00486403">
                          <w:pPr>
                            <w:pStyle w:val="af2"/>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DD1A1D">
                            <w:rPr>
                              <w:rFonts w:ascii="Myriad Pro" w:hAnsi="Myriad Pro" w:cs="Times New Roman"/>
                              <w:b/>
                              <w:sz w:val="28"/>
                              <w:szCs w:val="28"/>
                              <w:shd w:val="clear" w:color="auto" w:fill="C4BC96" w:themeFill="background2" w:themeFillShade="BF"/>
                            </w:rPr>
                            <w:t>по Договору</w:t>
                          </w:r>
                          <w:r>
                            <w:rPr>
                              <w:rFonts w:ascii="Myriad Pro" w:hAnsi="Myriad Pro" w:cs="Times New Roman"/>
                              <w:b/>
                              <w:sz w:val="28"/>
                              <w:szCs w:val="28"/>
                              <w:shd w:val="clear" w:color="auto" w:fill="C4BC96" w:themeFill="background2" w:themeFillShade="BF"/>
                            </w:rPr>
                            <w:t xml:space="preserve"> на</w:t>
                          </w:r>
                          <w:r w:rsidRPr="00DD1A1D">
                            <w:rPr>
                              <w:rFonts w:ascii="Myriad Pro" w:hAnsi="Myriad Pro" w:cs="Times New Roman"/>
                              <w:b/>
                              <w:sz w:val="28"/>
                              <w:szCs w:val="28"/>
                              <w:shd w:val="clear" w:color="auto" w:fill="C4BC96" w:themeFill="background2" w:themeFillShade="BF"/>
                            </w:rPr>
                            <w:t xml:space="preserve"> оказани</w:t>
                          </w:r>
                          <w:r>
                            <w:rPr>
                              <w:rFonts w:ascii="Myriad Pro" w:hAnsi="Myriad Pro" w:cs="Times New Roman"/>
                              <w:b/>
                              <w:sz w:val="28"/>
                              <w:szCs w:val="28"/>
                              <w:shd w:val="clear" w:color="auto" w:fill="C4BC96" w:themeFill="background2" w:themeFillShade="BF"/>
                            </w:rPr>
                            <w:t>е</w:t>
                          </w:r>
                          <w:r w:rsidRPr="00DD1A1D">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DD1A1D">
                            <w:rPr>
                              <w:rFonts w:ascii="Myriad Pro" w:hAnsi="Myriad Pro" w:cs="Times New Roman"/>
                              <w:b/>
                              <w:sz w:val="28"/>
                              <w:szCs w:val="28"/>
                              <w:shd w:val="clear" w:color="auto" w:fill="C4BC96" w:themeFill="background2" w:themeFillShade="BF"/>
                            </w:rPr>
                            <w:t>за период 2017-2019</w:t>
                          </w:r>
                          <w:r>
                            <w:rPr>
                              <w:rFonts w:ascii="Myriad Pro" w:hAnsi="Myriad Pro" w:cs="Times New Roman"/>
                              <w:b/>
                              <w:sz w:val="28"/>
                              <w:szCs w:val="28"/>
                              <w:shd w:val="clear" w:color="auto" w:fill="C4BC96" w:themeFill="background2" w:themeFillShade="BF"/>
                            </w:rPr>
                            <w:t xml:space="preserve"> </w:t>
                          </w:r>
                          <w:r w:rsidRPr="00DD1A1D">
                            <w:rPr>
                              <w:rFonts w:ascii="Myriad Pro" w:hAnsi="Myriad Pro" w:cs="Times New Roman"/>
                              <w:b/>
                              <w:sz w:val="28"/>
                              <w:szCs w:val="28"/>
                              <w:shd w:val="clear" w:color="auto" w:fill="C4BC96" w:themeFill="background2" w:themeFillShade="BF"/>
                            </w:rPr>
                            <w:t>гг.,</w:t>
                          </w:r>
                        </w:p>
                        <w:p w14:paraId="3129EA40" w14:textId="77777777" w:rsidR="00486403" w:rsidRPr="00DD1A1D" w:rsidRDefault="00486403" w:rsidP="00486403">
                          <w:pPr>
                            <w:pStyle w:val="af2"/>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DD1A1D">
                            <w:rPr>
                              <w:rFonts w:ascii="Myriad Pro" w:hAnsi="Myriad Pro" w:cs="Times New Roman"/>
                              <w:b/>
                              <w:sz w:val="28"/>
                              <w:szCs w:val="28"/>
                              <w:shd w:val="clear" w:color="auto" w:fill="C4BC96" w:themeFill="background2" w:themeFillShade="BF"/>
                            </w:rPr>
                            <w:t>№ 59/105/20 от 11.02.2020 года</w:t>
                          </w:r>
                        </w:p>
                        <w:p w14:paraId="300C794F" w14:textId="77777777" w:rsidR="00486403" w:rsidRPr="0050171A" w:rsidRDefault="00486403" w:rsidP="00486403">
                          <w:pPr>
                            <w:pStyle w:val="af2"/>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DD1A1D">
                            <w:rPr>
                              <w:rFonts w:ascii="Myriad Pro" w:hAnsi="Myriad Pro" w:cs="Times New Roman"/>
                              <w:b/>
                              <w:sz w:val="36"/>
                              <w:szCs w:val="36"/>
                              <w:shd w:val="clear" w:color="auto" w:fill="C4BC96" w:themeFill="background2" w:themeFillShade="BF"/>
                            </w:rPr>
                            <w:t>Этап 1.1.1</w:t>
                          </w:r>
                        </w:p>
                      </w:txbxContent>
                    </v:textbox>
                    <w10:wrap anchorx="page" anchory="page"/>
                  </v:rect>
                </w:pict>
              </mc:Fallback>
            </mc:AlternateContent>
          </w:r>
          <w:r w:rsidRPr="0050054B">
            <w:rPr>
              <w:rFonts w:ascii="Myriad Pro" w:hAnsi="Myriad Pro"/>
              <w:i/>
              <w:color w:val="4F6228" w:themeColor="accent3" w:themeShade="80"/>
              <w:sz w:val="24"/>
              <w:szCs w:val="24"/>
            </w:rPr>
            <w:br w:type="page"/>
          </w:r>
        </w:p>
      </w:sdtContent>
    </w:sdt>
    <w:bookmarkEnd w:id="0" w:displacedByCustomXml="next"/>
    <w:sdt>
      <w:sdtPr>
        <w:rPr>
          <w:rFonts w:ascii="Myriad Pro" w:eastAsiaTheme="minorHAnsi" w:hAnsi="Myriad Pro" w:cstheme="minorBidi"/>
          <w:i/>
          <w:color w:val="4F6228" w:themeColor="accent3" w:themeShade="80"/>
          <w:sz w:val="24"/>
          <w:szCs w:val="24"/>
          <w:lang w:eastAsia="en-US"/>
        </w:rPr>
        <w:id w:val="163989845"/>
        <w:docPartObj>
          <w:docPartGallery w:val="Table of Contents"/>
          <w:docPartUnique/>
        </w:docPartObj>
      </w:sdtPr>
      <w:sdtEndPr>
        <w:rPr>
          <w:i w:val="0"/>
          <w:color w:val="auto"/>
          <w:sz w:val="22"/>
          <w:szCs w:val="22"/>
        </w:rPr>
      </w:sdtEndPr>
      <w:sdtContent>
        <w:p w14:paraId="5137C4E1" w14:textId="77777777" w:rsidR="002D6C17" w:rsidRPr="00FB0A3A" w:rsidRDefault="002D6C17" w:rsidP="002D6C17">
          <w:pPr>
            <w:pStyle w:val="ad"/>
            <w:tabs>
              <w:tab w:val="left" w:pos="1134"/>
            </w:tabs>
            <w:ind w:right="140"/>
            <w:rPr>
              <w:rFonts w:ascii="Myriad Pro" w:hAnsi="Myriad Pro"/>
              <w:i/>
              <w:color w:val="4F6228" w:themeColor="accent3" w:themeShade="80"/>
              <w:sz w:val="24"/>
              <w:szCs w:val="24"/>
            </w:rPr>
          </w:pPr>
          <w:r w:rsidRPr="00FB0A3A">
            <w:rPr>
              <w:rFonts w:ascii="Myriad Pro" w:hAnsi="Myriad Pro"/>
              <w:i/>
              <w:color w:val="4F6228" w:themeColor="accent3" w:themeShade="80"/>
              <w:sz w:val="24"/>
              <w:szCs w:val="24"/>
            </w:rPr>
            <w:t>Оглавление</w:t>
          </w:r>
        </w:p>
        <w:p w14:paraId="4B00CD25" w14:textId="31110E7A" w:rsidR="00CB57A8" w:rsidRPr="008024B0" w:rsidRDefault="002D6C17">
          <w:pPr>
            <w:pStyle w:val="32"/>
            <w:rPr>
              <w:rFonts w:ascii="Myriad Pro" w:eastAsiaTheme="minorEastAsia" w:hAnsi="Myriad Pro"/>
              <w:noProof/>
              <w:lang w:eastAsia="ru-RU"/>
            </w:rPr>
          </w:pPr>
          <w:r w:rsidRPr="008024B0">
            <w:rPr>
              <w:rFonts w:ascii="Myriad Pro" w:hAnsi="Myriad Pro"/>
              <w:i/>
            </w:rPr>
            <w:fldChar w:fldCharType="begin"/>
          </w:r>
          <w:r w:rsidRPr="008024B0">
            <w:rPr>
              <w:rFonts w:ascii="Myriad Pro" w:hAnsi="Myriad Pro"/>
              <w:i/>
            </w:rPr>
            <w:instrText xml:space="preserve"> TOC \o "1-3" \h \z \u </w:instrText>
          </w:r>
          <w:r w:rsidRPr="008024B0">
            <w:rPr>
              <w:rFonts w:ascii="Myriad Pro" w:hAnsi="Myriad Pro"/>
              <w:i/>
            </w:rPr>
            <w:fldChar w:fldCharType="separate"/>
          </w:r>
          <w:hyperlink w:anchor="_Toc40797946" w:history="1">
            <w:r w:rsidR="00CB57A8" w:rsidRPr="008024B0">
              <w:rPr>
                <w:rStyle w:val="ab"/>
                <w:rFonts w:ascii="Myriad Pro" w:hAnsi="Myriad Pro"/>
                <w:b/>
                <w:noProof/>
              </w:rPr>
              <w:t>1.</w:t>
            </w:r>
            <w:r w:rsidR="00CB57A8" w:rsidRPr="008024B0">
              <w:rPr>
                <w:rFonts w:ascii="Myriad Pro" w:eastAsiaTheme="minorEastAsia" w:hAnsi="Myriad Pro"/>
                <w:noProof/>
                <w:lang w:eastAsia="ru-RU"/>
              </w:rPr>
              <w:tab/>
            </w:r>
            <w:r w:rsidR="00CB57A8" w:rsidRPr="008024B0">
              <w:rPr>
                <w:rStyle w:val="ab"/>
                <w:rFonts w:ascii="Myriad Pro" w:hAnsi="Myriad Pro"/>
                <w:b/>
                <w:noProof/>
              </w:rPr>
              <w:t>Вводная часть</w:t>
            </w:r>
            <w:r w:rsidR="00CB57A8" w:rsidRPr="008024B0">
              <w:rPr>
                <w:rFonts w:ascii="Myriad Pro" w:hAnsi="Myriad Pro"/>
                <w:noProof/>
                <w:webHidden/>
              </w:rPr>
              <w:tab/>
            </w:r>
            <w:r w:rsidR="00CB57A8" w:rsidRPr="008024B0">
              <w:rPr>
                <w:rFonts w:ascii="Myriad Pro" w:hAnsi="Myriad Pro"/>
                <w:noProof/>
                <w:webHidden/>
              </w:rPr>
              <w:fldChar w:fldCharType="begin"/>
            </w:r>
            <w:r w:rsidR="00CB57A8" w:rsidRPr="008024B0">
              <w:rPr>
                <w:rFonts w:ascii="Myriad Pro" w:hAnsi="Myriad Pro"/>
                <w:noProof/>
                <w:webHidden/>
              </w:rPr>
              <w:instrText xml:space="preserve"> PAGEREF _Toc40797946 \h </w:instrText>
            </w:r>
            <w:r w:rsidR="00CB57A8" w:rsidRPr="008024B0">
              <w:rPr>
                <w:rFonts w:ascii="Myriad Pro" w:hAnsi="Myriad Pro"/>
                <w:noProof/>
                <w:webHidden/>
              </w:rPr>
            </w:r>
            <w:r w:rsidR="00CB57A8" w:rsidRPr="008024B0">
              <w:rPr>
                <w:rFonts w:ascii="Myriad Pro" w:hAnsi="Myriad Pro"/>
                <w:noProof/>
                <w:webHidden/>
              </w:rPr>
              <w:fldChar w:fldCharType="separate"/>
            </w:r>
            <w:r w:rsidR="00200042">
              <w:rPr>
                <w:rFonts w:ascii="Myriad Pro" w:hAnsi="Myriad Pro"/>
                <w:noProof/>
                <w:webHidden/>
              </w:rPr>
              <w:t>6</w:t>
            </w:r>
            <w:r w:rsidR="00CB57A8" w:rsidRPr="008024B0">
              <w:rPr>
                <w:rFonts w:ascii="Myriad Pro" w:hAnsi="Myriad Pro"/>
                <w:noProof/>
                <w:webHidden/>
              </w:rPr>
              <w:fldChar w:fldCharType="end"/>
            </w:r>
          </w:hyperlink>
        </w:p>
        <w:p w14:paraId="78CADA88" w14:textId="24EEA5A5" w:rsidR="00CB57A8" w:rsidRPr="008024B0" w:rsidRDefault="00200042">
          <w:pPr>
            <w:pStyle w:val="32"/>
            <w:rPr>
              <w:rFonts w:ascii="Myriad Pro" w:eastAsiaTheme="minorEastAsia" w:hAnsi="Myriad Pro"/>
              <w:noProof/>
              <w:lang w:eastAsia="ru-RU"/>
            </w:rPr>
          </w:pPr>
          <w:hyperlink w:anchor="_Toc40797947" w:history="1">
            <w:r w:rsidR="00CB57A8" w:rsidRPr="008024B0">
              <w:rPr>
                <w:rStyle w:val="ab"/>
                <w:rFonts w:ascii="Myriad Pro" w:hAnsi="Myriad Pro"/>
                <w:b/>
                <w:noProof/>
              </w:rPr>
              <w:t>1.1.</w:t>
            </w:r>
            <w:r w:rsidR="00CB57A8" w:rsidRPr="008024B0">
              <w:rPr>
                <w:rFonts w:ascii="Myriad Pro" w:eastAsiaTheme="minorEastAsia" w:hAnsi="Myriad Pro"/>
                <w:noProof/>
                <w:lang w:eastAsia="ru-RU"/>
              </w:rPr>
              <w:tab/>
            </w:r>
            <w:r w:rsidR="00CB57A8" w:rsidRPr="008024B0">
              <w:rPr>
                <w:rStyle w:val="ab"/>
                <w:rFonts w:ascii="Myriad Pro" w:hAnsi="Myriad Pro"/>
                <w:b/>
                <w:noProof/>
              </w:rPr>
              <w:t>Сведения о Заказчике</w:t>
            </w:r>
            <w:r w:rsidR="00CB57A8" w:rsidRPr="008024B0">
              <w:rPr>
                <w:rFonts w:ascii="Myriad Pro" w:hAnsi="Myriad Pro"/>
                <w:noProof/>
                <w:webHidden/>
              </w:rPr>
              <w:tab/>
            </w:r>
            <w:r w:rsidR="00CB57A8" w:rsidRPr="008024B0">
              <w:rPr>
                <w:rFonts w:ascii="Myriad Pro" w:hAnsi="Myriad Pro"/>
                <w:noProof/>
                <w:webHidden/>
              </w:rPr>
              <w:fldChar w:fldCharType="begin"/>
            </w:r>
            <w:r w:rsidR="00CB57A8" w:rsidRPr="008024B0">
              <w:rPr>
                <w:rFonts w:ascii="Myriad Pro" w:hAnsi="Myriad Pro"/>
                <w:noProof/>
                <w:webHidden/>
              </w:rPr>
              <w:instrText xml:space="preserve"> PAGEREF _Toc40797947 \h </w:instrText>
            </w:r>
            <w:r w:rsidR="00CB57A8" w:rsidRPr="008024B0">
              <w:rPr>
                <w:rFonts w:ascii="Myriad Pro" w:hAnsi="Myriad Pro"/>
                <w:noProof/>
                <w:webHidden/>
              </w:rPr>
            </w:r>
            <w:r w:rsidR="00CB57A8" w:rsidRPr="008024B0">
              <w:rPr>
                <w:rFonts w:ascii="Myriad Pro" w:hAnsi="Myriad Pro"/>
                <w:noProof/>
                <w:webHidden/>
              </w:rPr>
              <w:fldChar w:fldCharType="separate"/>
            </w:r>
            <w:r>
              <w:rPr>
                <w:rFonts w:ascii="Myriad Pro" w:hAnsi="Myriad Pro"/>
                <w:noProof/>
                <w:webHidden/>
              </w:rPr>
              <w:t>6</w:t>
            </w:r>
            <w:r w:rsidR="00CB57A8" w:rsidRPr="008024B0">
              <w:rPr>
                <w:rFonts w:ascii="Myriad Pro" w:hAnsi="Myriad Pro"/>
                <w:noProof/>
                <w:webHidden/>
              </w:rPr>
              <w:fldChar w:fldCharType="end"/>
            </w:r>
          </w:hyperlink>
        </w:p>
        <w:p w14:paraId="192E884C" w14:textId="5366DA43" w:rsidR="00CB57A8" w:rsidRPr="008024B0" w:rsidRDefault="00200042">
          <w:pPr>
            <w:pStyle w:val="32"/>
            <w:rPr>
              <w:rFonts w:ascii="Myriad Pro" w:eastAsiaTheme="minorEastAsia" w:hAnsi="Myriad Pro"/>
              <w:noProof/>
              <w:lang w:eastAsia="ru-RU"/>
            </w:rPr>
          </w:pPr>
          <w:hyperlink w:anchor="_Toc40797948" w:history="1">
            <w:r w:rsidR="00CB57A8" w:rsidRPr="008024B0">
              <w:rPr>
                <w:rStyle w:val="ab"/>
                <w:rFonts w:ascii="Myriad Pro" w:hAnsi="Myriad Pro"/>
                <w:b/>
                <w:noProof/>
              </w:rPr>
              <w:t>1.2.</w:t>
            </w:r>
            <w:r w:rsidR="00CB57A8" w:rsidRPr="008024B0">
              <w:rPr>
                <w:rFonts w:ascii="Myriad Pro" w:eastAsiaTheme="minorEastAsia" w:hAnsi="Myriad Pro"/>
                <w:noProof/>
                <w:lang w:eastAsia="ru-RU"/>
              </w:rPr>
              <w:tab/>
            </w:r>
            <w:r w:rsidR="00CB57A8" w:rsidRPr="008024B0">
              <w:rPr>
                <w:rStyle w:val="ab"/>
                <w:rFonts w:ascii="Myriad Pro" w:hAnsi="Myriad Pro"/>
                <w:b/>
                <w:noProof/>
              </w:rPr>
              <w:t>Сведения об Исполнителе</w:t>
            </w:r>
            <w:r w:rsidR="00CB57A8" w:rsidRPr="008024B0">
              <w:rPr>
                <w:rFonts w:ascii="Myriad Pro" w:hAnsi="Myriad Pro"/>
                <w:noProof/>
                <w:webHidden/>
              </w:rPr>
              <w:tab/>
            </w:r>
            <w:r w:rsidR="00CB57A8" w:rsidRPr="008024B0">
              <w:rPr>
                <w:rFonts w:ascii="Myriad Pro" w:hAnsi="Myriad Pro"/>
                <w:noProof/>
                <w:webHidden/>
              </w:rPr>
              <w:fldChar w:fldCharType="begin"/>
            </w:r>
            <w:r w:rsidR="00CB57A8" w:rsidRPr="008024B0">
              <w:rPr>
                <w:rFonts w:ascii="Myriad Pro" w:hAnsi="Myriad Pro"/>
                <w:noProof/>
                <w:webHidden/>
              </w:rPr>
              <w:instrText xml:space="preserve"> PAGEREF _Toc40797948 \h </w:instrText>
            </w:r>
            <w:r w:rsidR="00CB57A8" w:rsidRPr="008024B0">
              <w:rPr>
                <w:rFonts w:ascii="Myriad Pro" w:hAnsi="Myriad Pro"/>
                <w:noProof/>
                <w:webHidden/>
              </w:rPr>
            </w:r>
            <w:r w:rsidR="00CB57A8" w:rsidRPr="008024B0">
              <w:rPr>
                <w:rFonts w:ascii="Myriad Pro" w:hAnsi="Myriad Pro"/>
                <w:noProof/>
                <w:webHidden/>
              </w:rPr>
              <w:fldChar w:fldCharType="separate"/>
            </w:r>
            <w:r>
              <w:rPr>
                <w:rFonts w:ascii="Myriad Pro" w:hAnsi="Myriad Pro"/>
                <w:noProof/>
                <w:webHidden/>
              </w:rPr>
              <w:t>6</w:t>
            </w:r>
            <w:r w:rsidR="00CB57A8" w:rsidRPr="008024B0">
              <w:rPr>
                <w:rFonts w:ascii="Myriad Pro" w:hAnsi="Myriad Pro"/>
                <w:noProof/>
                <w:webHidden/>
              </w:rPr>
              <w:fldChar w:fldCharType="end"/>
            </w:r>
          </w:hyperlink>
        </w:p>
        <w:p w14:paraId="292F8CE0" w14:textId="6A0F2773" w:rsidR="00CB57A8" w:rsidRPr="008024B0" w:rsidRDefault="00200042">
          <w:pPr>
            <w:pStyle w:val="32"/>
            <w:rPr>
              <w:rFonts w:ascii="Myriad Pro" w:eastAsiaTheme="minorEastAsia" w:hAnsi="Myriad Pro"/>
              <w:noProof/>
              <w:lang w:eastAsia="ru-RU"/>
            </w:rPr>
          </w:pPr>
          <w:hyperlink w:anchor="_Toc40797949" w:history="1">
            <w:r w:rsidR="00CB57A8" w:rsidRPr="008024B0">
              <w:rPr>
                <w:rStyle w:val="ab"/>
                <w:rFonts w:ascii="Myriad Pro" w:hAnsi="Myriad Pro"/>
                <w:b/>
                <w:noProof/>
              </w:rPr>
              <w:t>1.3.</w:t>
            </w:r>
            <w:r w:rsidR="00CB57A8" w:rsidRPr="008024B0">
              <w:rPr>
                <w:rFonts w:ascii="Myriad Pro" w:eastAsiaTheme="minorEastAsia" w:hAnsi="Myriad Pro"/>
                <w:noProof/>
                <w:lang w:eastAsia="ru-RU"/>
              </w:rPr>
              <w:tab/>
            </w:r>
            <w:r w:rsidR="00CB57A8" w:rsidRPr="008024B0">
              <w:rPr>
                <w:rStyle w:val="ab"/>
                <w:rFonts w:ascii="Myriad Pro" w:hAnsi="Myriad Pro"/>
                <w:b/>
                <w:noProof/>
              </w:rPr>
              <w:t>Основание для оказания услуг</w:t>
            </w:r>
            <w:r w:rsidR="00CB57A8" w:rsidRPr="008024B0">
              <w:rPr>
                <w:rFonts w:ascii="Myriad Pro" w:hAnsi="Myriad Pro"/>
                <w:noProof/>
                <w:webHidden/>
              </w:rPr>
              <w:tab/>
            </w:r>
            <w:r w:rsidR="00CB57A8" w:rsidRPr="008024B0">
              <w:rPr>
                <w:rFonts w:ascii="Myriad Pro" w:hAnsi="Myriad Pro"/>
                <w:noProof/>
                <w:webHidden/>
              </w:rPr>
              <w:fldChar w:fldCharType="begin"/>
            </w:r>
            <w:r w:rsidR="00CB57A8" w:rsidRPr="008024B0">
              <w:rPr>
                <w:rFonts w:ascii="Myriad Pro" w:hAnsi="Myriad Pro"/>
                <w:noProof/>
                <w:webHidden/>
              </w:rPr>
              <w:instrText xml:space="preserve"> PAGEREF _Toc40797949 \h </w:instrText>
            </w:r>
            <w:r w:rsidR="00CB57A8" w:rsidRPr="008024B0">
              <w:rPr>
                <w:rFonts w:ascii="Myriad Pro" w:hAnsi="Myriad Pro"/>
                <w:noProof/>
                <w:webHidden/>
              </w:rPr>
            </w:r>
            <w:r w:rsidR="00CB57A8" w:rsidRPr="008024B0">
              <w:rPr>
                <w:rFonts w:ascii="Myriad Pro" w:hAnsi="Myriad Pro"/>
                <w:noProof/>
                <w:webHidden/>
              </w:rPr>
              <w:fldChar w:fldCharType="separate"/>
            </w:r>
            <w:r>
              <w:rPr>
                <w:rFonts w:ascii="Myriad Pro" w:hAnsi="Myriad Pro"/>
                <w:noProof/>
                <w:webHidden/>
              </w:rPr>
              <w:t>7</w:t>
            </w:r>
            <w:r w:rsidR="00CB57A8" w:rsidRPr="008024B0">
              <w:rPr>
                <w:rFonts w:ascii="Myriad Pro" w:hAnsi="Myriad Pro"/>
                <w:noProof/>
                <w:webHidden/>
              </w:rPr>
              <w:fldChar w:fldCharType="end"/>
            </w:r>
          </w:hyperlink>
        </w:p>
        <w:p w14:paraId="203C28DF" w14:textId="7C4AEEC6" w:rsidR="00CB57A8" w:rsidRPr="008024B0" w:rsidRDefault="00200042">
          <w:pPr>
            <w:pStyle w:val="32"/>
            <w:rPr>
              <w:rFonts w:ascii="Myriad Pro" w:eastAsiaTheme="minorEastAsia" w:hAnsi="Myriad Pro"/>
              <w:noProof/>
              <w:lang w:eastAsia="ru-RU"/>
            </w:rPr>
          </w:pPr>
          <w:hyperlink w:anchor="_Toc40797950" w:history="1">
            <w:r w:rsidR="00CB57A8" w:rsidRPr="008024B0">
              <w:rPr>
                <w:rStyle w:val="ab"/>
                <w:rFonts w:ascii="Myriad Pro" w:hAnsi="Myriad Pro"/>
                <w:b/>
                <w:noProof/>
              </w:rPr>
              <w:t>1.4.</w:t>
            </w:r>
            <w:r w:rsidR="00CB57A8" w:rsidRPr="008024B0">
              <w:rPr>
                <w:rFonts w:ascii="Myriad Pro" w:eastAsiaTheme="minorEastAsia" w:hAnsi="Myriad Pro"/>
                <w:noProof/>
                <w:lang w:eastAsia="ru-RU"/>
              </w:rPr>
              <w:tab/>
            </w:r>
            <w:r w:rsidR="00CB57A8" w:rsidRPr="008024B0">
              <w:rPr>
                <w:rStyle w:val="ab"/>
                <w:rFonts w:ascii="Myriad Pro" w:hAnsi="Myriad Pro"/>
                <w:b/>
                <w:noProof/>
              </w:rPr>
              <w:t>Цель оказания услуг</w:t>
            </w:r>
            <w:r w:rsidR="00CB57A8" w:rsidRPr="008024B0">
              <w:rPr>
                <w:rFonts w:ascii="Myriad Pro" w:hAnsi="Myriad Pro"/>
                <w:noProof/>
                <w:webHidden/>
              </w:rPr>
              <w:tab/>
            </w:r>
            <w:r w:rsidR="00CB57A8" w:rsidRPr="008024B0">
              <w:rPr>
                <w:rFonts w:ascii="Myriad Pro" w:hAnsi="Myriad Pro"/>
                <w:noProof/>
                <w:webHidden/>
              </w:rPr>
              <w:fldChar w:fldCharType="begin"/>
            </w:r>
            <w:r w:rsidR="00CB57A8" w:rsidRPr="008024B0">
              <w:rPr>
                <w:rFonts w:ascii="Myriad Pro" w:hAnsi="Myriad Pro"/>
                <w:noProof/>
                <w:webHidden/>
              </w:rPr>
              <w:instrText xml:space="preserve"> PAGEREF _Toc40797950 \h </w:instrText>
            </w:r>
            <w:r w:rsidR="00CB57A8" w:rsidRPr="008024B0">
              <w:rPr>
                <w:rFonts w:ascii="Myriad Pro" w:hAnsi="Myriad Pro"/>
                <w:noProof/>
                <w:webHidden/>
              </w:rPr>
            </w:r>
            <w:r w:rsidR="00CB57A8" w:rsidRPr="008024B0">
              <w:rPr>
                <w:rFonts w:ascii="Myriad Pro" w:hAnsi="Myriad Pro"/>
                <w:noProof/>
                <w:webHidden/>
              </w:rPr>
              <w:fldChar w:fldCharType="separate"/>
            </w:r>
            <w:r>
              <w:rPr>
                <w:rFonts w:ascii="Myriad Pro" w:hAnsi="Myriad Pro"/>
                <w:noProof/>
                <w:webHidden/>
              </w:rPr>
              <w:t>7</w:t>
            </w:r>
            <w:r w:rsidR="00CB57A8" w:rsidRPr="008024B0">
              <w:rPr>
                <w:rFonts w:ascii="Myriad Pro" w:hAnsi="Myriad Pro"/>
                <w:noProof/>
                <w:webHidden/>
              </w:rPr>
              <w:fldChar w:fldCharType="end"/>
            </w:r>
          </w:hyperlink>
        </w:p>
        <w:p w14:paraId="3EF8AF08" w14:textId="4680684F" w:rsidR="00CB57A8" w:rsidRPr="008024B0" w:rsidRDefault="00200042">
          <w:pPr>
            <w:pStyle w:val="32"/>
            <w:rPr>
              <w:rFonts w:ascii="Myriad Pro" w:eastAsiaTheme="minorEastAsia" w:hAnsi="Myriad Pro"/>
              <w:noProof/>
              <w:lang w:eastAsia="ru-RU"/>
            </w:rPr>
          </w:pPr>
          <w:hyperlink w:anchor="_Toc40797951" w:history="1">
            <w:r w:rsidR="00CB57A8" w:rsidRPr="008024B0">
              <w:rPr>
                <w:rStyle w:val="ab"/>
                <w:rFonts w:ascii="Myriad Pro" w:hAnsi="Myriad Pro"/>
                <w:b/>
                <w:noProof/>
              </w:rPr>
              <w:t>1.5.</w:t>
            </w:r>
            <w:r w:rsidR="00CB57A8" w:rsidRPr="008024B0">
              <w:rPr>
                <w:rFonts w:ascii="Myriad Pro" w:eastAsiaTheme="minorEastAsia" w:hAnsi="Myriad Pro"/>
                <w:noProof/>
                <w:lang w:eastAsia="ru-RU"/>
              </w:rPr>
              <w:tab/>
            </w:r>
            <w:r w:rsidR="00CB57A8" w:rsidRPr="008024B0">
              <w:rPr>
                <w:rStyle w:val="ab"/>
                <w:rFonts w:ascii="Myriad Pro" w:hAnsi="Myriad Pro"/>
                <w:b/>
                <w:noProof/>
              </w:rPr>
              <w:t>Нормативно-правовая база</w:t>
            </w:r>
            <w:r w:rsidR="00CB57A8" w:rsidRPr="008024B0">
              <w:rPr>
                <w:rFonts w:ascii="Myriad Pro" w:hAnsi="Myriad Pro"/>
                <w:noProof/>
                <w:webHidden/>
              </w:rPr>
              <w:tab/>
            </w:r>
            <w:r w:rsidR="00CB57A8" w:rsidRPr="008024B0">
              <w:rPr>
                <w:rFonts w:ascii="Myriad Pro" w:hAnsi="Myriad Pro"/>
                <w:noProof/>
                <w:webHidden/>
              </w:rPr>
              <w:fldChar w:fldCharType="begin"/>
            </w:r>
            <w:r w:rsidR="00CB57A8" w:rsidRPr="008024B0">
              <w:rPr>
                <w:rFonts w:ascii="Myriad Pro" w:hAnsi="Myriad Pro"/>
                <w:noProof/>
                <w:webHidden/>
              </w:rPr>
              <w:instrText xml:space="preserve"> PAGEREF _Toc40797951 \h </w:instrText>
            </w:r>
            <w:r w:rsidR="00CB57A8" w:rsidRPr="008024B0">
              <w:rPr>
                <w:rFonts w:ascii="Myriad Pro" w:hAnsi="Myriad Pro"/>
                <w:noProof/>
                <w:webHidden/>
              </w:rPr>
            </w:r>
            <w:r w:rsidR="00CB57A8" w:rsidRPr="008024B0">
              <w:rPr>
                <w:rFonts w:ascii="Myriad Pro" w:hAnsi="Myriad Pro"/>
                <w:noProof/>
                <w:webHidden/>
              </w:rPr>
              <w:fldChar w:fldCharType="separate"/>
            </w:r>
            <w:r>
              <w:rPr>
                <w:rFonts w:ascii="Myriad Pro" w:hAnsi="Myriad Pro"/>
                <w:noProof/>
                <w:webHidden/>
              </w:rPr>
              <w:t>9</w:t>
            </w:r>
            <w:r w:rsidR="00CB57A8" w:rsidRPr="008024B0">
              <w:rPr>
                <w:rFonts w:ascii="Myriad Pro" w:hAnsi="Myriad Pro"/>
                <w:noProof/>
                <w:webHidden/>
              </w:rPr>
              <w:fldChar w:fldCharType="end"/>
            </w:r>
          </w:hyperlink>
        </w:p>
        <w:p w14:paraId="655F8C56" w14:textId="5E402761" w:rsidR="00CB57A8" w:rsidRPr="008024B0" w:rsidRDefault="00200042">
          <w:pPr>
            <w:pStyle w:val="32"/>
            <w:rPr>
              <w:rFonts w:ascii="Myriad Pro" w:eastAsiaTheme="minorEastAsia" w:hAnsi="Myriad Pro"/>
              <w:noProof/>
              <w:lang w:eastAsia="ru-RU"/>
            </w:rPr>
          </w:pPr>
          <w:hyperlink w:anchor="_Toc40797952" w:history="1">
            <w:r w:rsidR="00CB57A8" w:rsidRPr="008024B0">
              <w:rPr>
                <w:rStyle w:val="ab"/>
                <w:rFonts w:ascii="Myriad Pro" w:hAnsi="Myriad Pro"/>
                <w:b/>
                <w:noProof/>
              </w:rPr>
              <w:t>1.6.</w:t>
            </w:r>
            <w:r w:rsidR="00CB57A8" w:rsidRPr="008024B0">
              <w:rPr>
                <w:rFonts w:ascii="Myriad Pro" w:eastAsiaTheme="minorEastAsia" w:hAnsi="Myriad Pro"/>
                <w:noProof/>
                <w:lang w:eastAsia="ru-RU"/>
              </w:rPr>
              <w:tab/>
            </w:r>
            <w:r w:rsidR="00CB57A8" w:rsidRPr="008024B0">
              <w:rPr>
                <w:rStyle w:val="ab"/>
                <w:rFonts w:ascii="Myriad Pro" w:hAnsi="Myriad Pro"/>
                <w:b/>
                <w:noProof/>
              </w:rPr>
              <w:t>Общая информация об организации</w:t>
            </w:r>
            <w:r w:rsidR="00CB57A8" w:rsidRPr="008024B0">
              <w:rPr>
                <w:rFonts w:ascii="Myriad Pro" w:hAnsi="Myriad Pro"/>
                <w:noProof/>
                <w:webHidden/>
              </w:rPr>
              <w:tab/>
            </w:r>
            <w:r w:rsidR="00CB57A8" w:rsidRPr="008024B0">
              <w:rPr>
                <w:rFonts w:ascii="Myriad Pro" w:hAnsi="Myriad Pro"/>
                <w:noProof/>
                <w:webHidden/>
              </w:rPr>
              <w:fldChar w:fldCharType="begin"/>
            </w:r>
            <w:r w:rsidR="00CB57A8" w:rsidRPr="008024B0">
              <w:rPr>
                <w:rFonts w:ascii="Myriad Pro" w:hAnsi="Myriad Pro"/>
                <w:noProof/>
                <w:webHidden/>
              </w:rPr>
              <w:instrText xml:space="preserve"> PAGEREF _Toc40797952 \h </w:instrText>
            </w:r>
            <w:r w:rsidR="00CB57A8" w:rsidRPr="008024B0">
              <w:rPr>
                <w:rFonts w:ascii="Myriad Pro" w:hAnsi="Myriad Pro"/>
                <w:noProof/>
                <w:webHidden/>
              </w:rPr>
            </w:r>
            <w:r w:rsidR="00CB57A8" w:rsidRPr="008024B0">
              <w:rPr>
                <w:rFonts w:ascii="Myriad Pro" w:hAnsi="Myriad Pro"/>
                <w:noProof/>
                <w:webHidden/>
              </w:rPr>
              <w:fldChar w:fldCharType="separate"/>
            </w:r>
            <w:r>
              <w:rPr>
                <w:rFonts w:ascii="Myriad Pro" w:hAnsi="Myriad Pro"/>
                <w:noProof/>
                <w:webHidden/>
              </w:rPr>
              <w:t>12</w:t>
            </w:r>
            <w:r w:rsidR="00CB57A8" w:rsidRPr="008024B0">
              <w:rPr>
                <w:rFonts w:ascii="Myriad Pro" w:hAnsi="Myriad Pro"/>
                <w:noProof/>
                <w:webHidden/>
              </w:rPr>
              <w:fldChar w:fldCharType="end"/>
            </w:r>
          </w:hyperlink>
        </w:p>
        <w:p w14:paraId="1D97B58E" w14:textId="7CDB300B" w:rsidR="00CB57A8" w:rsidRPr="008024B0" w:rsidRDefault="00200042">
          <w:pPr>
            <w:pStyle w:val="32"/>
            <w:rPr>
              <w:rFonts w:ascii="Myriad Pro" w:eastAsiaTheme="minorEastAsia" w:hAnsi="Myriad Pro"/>
              <w:noProof/>
              <w:lang w:eastAsia="ru-RU"/>
            </w:rPr>
          </w:pPr>
          <w:hyperlink w:anchor="_Toc40797953" w:history="1">
            <w:r w:rsidR="00CB57A8" w:rsidRPr="008024B0">
              <w:rPr>
                <w:rStyle w:val="ab"/>
                <w:rFonts w:ascii="Myriad Pro" w:hAnsi="Myriad Pro"/>
                <w:b/>
                <w:noProof/>
              </w:rPr>
              <w:t>2.</w:t>
            </w:r>
            <w:r w:rsidR="00CB57A8" w:rsidRPr="008024B0">
              <w:rPr>
                <w:rFonts w:ascii="Myriad Pro" w:eastAsiaTheme="minorEastAsia" w:hAnsi="Myriad Pro"/>
                <w:noProof/>
                <w:lang w:eastAsia="ru-RU"/>
              </w:rPr>
              <w:tab/>
            </w:r>
            <w:r w:rsidR="00CB57A8" w:rsidRPr="008024B0">
              <w:rPr>
                <w:rStyle w:val="ab"/>
                <w:rFonts w:ascii="Myriad Pro" w:hAnsi="Myriad Pro"/>
                <w:b/>
                <w:noProof/>
              </w:rPr>
              <w:t>Анализ документов, предоставленных филиалом ПАО «МРСК Северо-Запада» «Колэнерго» в Комитет по тарифному регулированию Мурманской области в рамках рассмотрения дел об установлении тарифов, на основании которых Комитетом по тарифному регулированию Мурманской области были приняты соответствующие тарифно-балансовые решения на 2019 год</w:t>
            </w:r>
            <w:r w:rsidR="00CB57A8" w:rsidRPr="008024B0">
              <w:rPr>
                <w:rFonts w:ascii="Myriad Pro" w:hAnsi="Myriad Pro"/>
                <w:noProof/>
                <w:webHidden/>
              </w:rPr>
              <w:tab/>
            </w:r>
            <w:r w:rsidR="00CB57A8" w:rsidRPr="008024B0">
              <w:rPr>
                <w:rFonts w:ascii="Myriad Pro" w:hAnsi="Myriad Pro"/>
                <w:noProof/>
                <w:webHidden/>
              </w:rPr>
              <w:fldChar w:fldCharType="begin"/>
            </w:r>
            <w:r w:rsidR="00CB57A8" w:rsidRPr="008024B0">
              <w:rPr>
                <w:rFonts w:ascii="Myriad Pro" w:hAnsi="Myriad Pro"/>
                <w:noProof/>
                <w:webHidden/>
              </w:rPr>
              <w:instrText xml:space="preserve"> PAGEREF _Toc40797953 \h </w:instrText>
            </w:r>
            <w:r w:rsidR="00CB57A8" w:rsidRPr="008024B0">
              <w:rPr>
                <w:rFonts w:ascii="Myriad Pro" w:hAnsi="Myriad Pro"/>
                <w:noProof/>
                <w:webHidden/>
              </w:rPr>
            </w:r>
            <w:r w:rsidR="00CB57A8" w:rsidRPr="008024B0">
              <w:rPr>
                <w:rFonts w:ascii="Myriad Pro" w:hAnsi="Myriad Pro"/>
                <w:noProof/>
                <w:webHidden/>
              </w:rPr>
              <w:fldChar w:fldCharType="separate"/>
            </w:r>
            <w:r>
              <w:rPr>
                <w:rFonts w:ascii="Myriad Pro" w:hAnsi="Myriad Pro"/>
                <w:noProof/>
                <w:webHidden/>
              </w:rPr>
              <w:t>14</w:t>
            </w:r>
            <w:r w:rsidR="00CB57A8" w:rsidRPr="008024B0">
              <w:rPr>
                <w:rFonts w:ascii="Myriad Pro" w:hAnsi="Myriad Pro"/>
                <w:noProof/>
                <w:webHidden/>
              </w:rPr>
              <w:fldChar w:fldCharType="end"/>
            </w:r>
          </w:hyperlink>
        </w:p>
        <w:p w14:paraId="601CDB28" w14:textId="466E1608" w:rsidR="00CB57A8" w:rsidRPr="008024B0" w:rsidRDefault="00200042">
          <w:pPr>
            <w:pStyle w:val="32"/>
            <w:rPr>
              <w:rFonts w:ascii="Myriad Pro" w:eastAsiaTheme="minorEastAsia" w:hAnsi="Myriad Pro"/>
              <w:noProof/>
              <w:lang w:eastAsia="ru-RU"/>
            </w:rPr>
          </w:pPr>
          <w:hyperlink w:anchor="_Toc40797954" w:history="1">
            <w:r w:rsidR="00CB57A8" w:rsidRPr="008024B0">
              <w:rPr>
                <w:rStyle w:val="ab"/>
                <w:rFonts w:ascii="Myriad Pro" w:hAnsi="Myriad Pro"/>
                <w:b/>
                <w:noProof/>
              </w:rPr>
              <w:t>2.1.</w:t>
            </w:r>
            <w:r w:rsidR="00CB57A8" w:rsidRPr="008024B0">
              <w:rPr>
                <w:rFonts w:ascii="Myriad Pro" w:eastAsiaTheme="minorEastAsia" w:hAnsi="Myriad Pro"/>
                <w:noProof/>
                <w:lang w:eastAsia="ru-RU"/>
              </w:rPr>
              <w:tab/>
            </w:r>
            <w:r w:rsidR="00CB57A8" w:rsidRPr="008024B0">
              <w:rPr>
                <w:rStyle w:val="ab"/>
                <w:rFonts w:ascii="Myriad Pro" w:hAnsi="Myriad Pro"/>
                <w:b/>
                <w:noProof/>
              </w:rPr>
              <w:t>Анализ тарифно-балансовых решений Комитета по тарифному регулированию Мурманской области</w:t>
            </w:r>
            <w:r w:rsidR="00CB57A8" w:rsidRPr="008024B0">
              <w:rPr>
                <w:rFonts w:ascii="Myriad Pro" w:hAnsi="Myriad Pro"/>
                <w:noProof/>
                <w:webHidden/>
              </w:rPr>
              <w:tab/>
            </w:r>
            <w:r w:rsidR="00CB57A8" w:rsidRPr="008024B0">
              <w:rPr>
                <w:rFonts w:ascii="Myriad Pro" w:hAnsi="Myriad Pro"/>
                <w:noProof/>
                <w:webHidden/>
              </w:rPr>
              <w:fldChar w:fldCharType="begin"/>
            </w:r>
            <w:r w:rsidR="00CB57A8" w:rsidRPr="008024B0">
              <w:rPr>
                <w:rFonts w:ascii="Myriad Pro" w:hAnsi="Myriad Pro"/>
                <w:noProof/>
                <w:webHidden/>
              </w:rPr>
              <w:instrText xml:space="preserve"> PAGEREF _Toc40797954 \h </w:instrText>
            </w:r>
            <w:r w:rsidR="00CB57A8" w:rsidRPr="008024B0">
              <w:rPr>
                <w:rFonts w:ascii="Myriad Pro" w:hAnsi="Myriad Pro"/>
                <w:noProof/>
                <w:webHidden/>
              </w:rPr>
            </w:r>
            <w:r w:rsidR="00CB57A8" w:rsidRPr="008024B0">
              <w:rPr>
                <w:rFonts w:ascii="Myriad Pro" w:hAnsi="Myriad Pro"/>
                <w:noProof/>
                <w:webHidden/>
              </w:rPr>
              <w:fldChar w:fldCharType="separate"/>
            </w:r>
            <w:r>
              <w:rPr>
                <w:rFonts w:ascii="Myriad Pro" w:hAnsi="Myriad Pro"/>
                <w:noProof/>
                <w:webHidden/>
              </w:rPr>
              <w:t>14</w:t>
            </w:r>
            <w:r w:rsidR="00CB57A8" w:rsidRPr="008024B0">
              <w:rPr>
                <w:rFonts w:ascii="Myriad Pro" w:hAnsi="Myriad Pro"/>
                <w:noProof/>
                <w:webHidden/>
              </w:rPr>
              <w:fldChar w:fldCharType="end"/>
            </w:r>
          </w:hyperlink>
        </w:p>
        <w:p w14:paraId="4E106DD0" w14:textId="0049239E" w:rsidR="00CB57A8" w:rsidRPr="008024B0" w:rsidRDefault="00200042">
          <w:pPr>
            <w:pStyle w:val="32"/>
            <w:rPr>
              <w:rFonts w:ascii="Myriad Pro" w:eastAsiaTheme="minorEastAsia" w:hAnsi="Myriad Pro"/>
              <w:noProof/>
              <w:lang w:eastAsia="ru-RU"/>
            </w:rPr>
          </w:pPr>
          <w:hyperlink w:anchor="_Toc40797955" w:history="1">
            <w:r w:rsidR="00CB57A8" w:rsidRPr="008024B0">
              <w:rPr>
                <w:rStyle w:val="ab"/>
                <w:rFonts w:ascii="Myriad Pro" w:hAnsi="Myriad Pro"/>
                <w:b/>
                <w:noProof/>
              </w:rPr>
              <w:t>2.2.</w:t>
            </w:r>
            <w:r w:rsidR="00CB57A8" w:rsidRPr="008024B0">
              <w:rPr>
                <w:rFonts w:ascii="Myriad Pro" w:eastAsiaTheme="minorEastAsia" w:hAnsi="Myriad Pro"/>
                <w:noProof/>
                <w:lang w:eastAsia="ru-RU"/>
              </w:rPr>
              <w:tab/>
            </w:r>
            <w:r w:rsidR="00CB57A8" w:rsidRPr="008024B0">
              <w:rPr>
                <w:rStyle w:val="ab"/>
                <w:rFonts w:ascii="Myriad Pro" w:hAnsi="Myriad Pro"/>
                <w:b/>
                <w:noProof/>
              </w:rPr>
              <w:t>Анализ документов, предоставленных филиалом ПАО «МРСК Северо-Запада» «Колэнерго» в Комитет по тарифному регулированию Мурманской области в рамках рассмотрения дела об установлении тарифов на 2019 год</w:t>
            </w:r>
            <w:r w:rsidR="00CB57A8" w:rsidRPr="008024B0">
              <w:rPr>
                <w:rFonts w:ascii="Myriad Pro" w:hAnsi="Myriad Pro"/>
                <w:noProof/>
                <w:webHidden/>
              </w:rPr>
              <w:tab/>
            </w:r>
            <w:r w:rsidR="00CB57A8" w:rsidRPr="008024B0">
              <w:rPr>
                <w:rFonts w:ascii="Myriad Pro" w:hAnsi="Myriad Pro"/>
                <w:noProof/>
                <w:webHidden/>
              </w:rPr>
              <w:fldChar w:fldCharType="begin"/>
            </w:r>
            <w:r w:rsidR="00CB57A8" w:rsidRPr="008024B0">
              <w:rPr>
                <w:rFonts w:ascii="Myriad Pro" w:hAnsi="Myriad Pro"/>
                <w:noProof/>
                <w:webHidden/>
              </w:rPr>
              <w:instrText xml:space="preserve"> PAGEREF _Toc40797955 \h </w:instrText>
            </w:r>
            <w:r w:rsidR="00CB57A8" w:rsidRPr="008024B0">
              <w:rPr>
                <w:rFonts w:ascii="Myriad Pro" w:hAnsi="Myriad Pro"/>
                <w:noProof/>
                <w:webHidden/>
              </w:rPr>
            </w:r>
            <w:r w:rsidR="00CB57A8" w:rsidRPr="008024B0">
              <w:rPr>
                <w:rFonts w:ascii="Myriad Pro" w:hAnsi="Myriad Pro"/>
                <w:noProof/>
                <w:webHidden/>
              </w:rPr>
              <w:fldChar w:fldCharType="separate"/>
            </w:r>
            <w:r>
              <w:rPr>
                <w:rFonts w:ascii="Myriad Pro" w:hAnsi="Myriad Pro"/>
                <w:noProof/>
                <w:webHidden/>
              </w:rPr>
              <w:t>19</w:t>
            </w:r>
            <w:r w:rsidR="00CB57A8" w:rsidRPr="008024B0">
              <w:rPr>
                <w:rFonts w:ascii="Myriad Pro" w:hAnsi="Myriad Pro"/>
                <w:noProof/>
                <w:webHidden/>
              </w:rPr>
              <w:fldChar w:fldCharType="end"/>
            </w:r>
          </w:hyperlink>
        </w:p>
        <w:p w14:paraId="6751AE0F" w14:textId="31678F61" w:rsidR="00CB57A8" w:rsidRPr="008024B0" w:rsidRDefault="00200042">
          <w:pPr>
            <w:pStyle w:val="32"/>
            <w:rPr>
              <w:rFonts w:ascii="Myriad Pro" w:eastAsiaTheme="minorEastAsia" w:hAnsi="Myriad Pro"/>
              <w:noProof/>
              <w:lang w:eastAsia="ru-RU"/>
            </w:rPr>
          </w:pPr>
          <w:hyperlink w:anchor="_Toc40797956" w:history="1">
            <w:r w:rsidR="00CB57A8" w:rsidRPr="008024B0">
              <w:rPr>
                <w:rStyle w:val="ab"/>
                <w:rFonts w:ascii="Myriad Pro" w:hAnsi="Myriad Pro"/>
                <w:b/>
                <w:noProof/>
              </w:rPr>
              <w:t>3.</w:t>
            </w:r>
            <w:r w:rsidR="00CB57A8" w:rsidRPr="008024B0">
              <w:rPr>
                <w:rFonts w:ascii="Myriad Pro" w:eastAsiaTheme="minorEastAsia" w:hAnsi="Myriad Pro"/>
                <w:noProof/>
                <w:lang w:eastAsia="ru-RU"/>
              </w:rPr>
              <w:tab/>
            </w:r>
            <w:r w:rsidR="00CB57A8" w:rsidRPr="008024B0">
              <w:rPr>
                <w:rStyle w:val="ab"/>
                <w:rFonts w:ascii="Myriad Pro" w:hAnsi="Myriad Pro"/>
                <w:b/>
                <w:noProof/>
              </w:rPr>
              <w:t>Экспертиза обоснованности принятых Комитетом по тарифному регулированию Мурманской области в расчет тарифов на 2019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r w:rsidR="00CB57A8" w:rsidRPr="008024B0">
              <w:rPr>
                <w:rFonts w:ascii="Myriad Pro" w:hAnsi="Myriad Pro"/>
                <w:noProof/>
                <w:webHidden/>
              </w:rPr>
              <w:tab/>
            </w:r>
            <w:r w:rsidR="00CB57A8" w:rsidRPr="008024B0">
              <w:rPr>
                <w:rFonts w:ascii="Myriad Pro" w:hAnsi="Myriad Pro"/>
                <w:noProof/>
                <w:webHidden/>
              </w:rPr>
              <w:fldChar w:fldCharType="begin"/>
            </w:r>
            <w:r w:rsidR="00CB57A8" w:rsidRPr="008024B0">
              <w:rPr>
                <w:rFonts w:ascii="Myriad Pro" w:hAnsi="Myriad Pro"/>
                <w:noProof/>
                <w:webHidden/>
              </w:rPr>
              <w:instrText xml:space="preserve"> PAGEREF _Toc40797956 \h </w:instrText>
            </w:r>
            <w:r w:rsidR="00CB57A8" w:rsidRPr="008024B0">
              <w:rPr>
                <w:rFonts w:ascii="Myriad Pro" w:hAnsi="Myriad Pro"/>
                <w:noProof/>
                <w:webHidden/>
              </w:rPr>
            </w:r>
            <w:r w:rsidR="00CB57A8" w:rsidRPr="008024B0">
              <w:rPr>
                <w:rFonts w:ascii="Myriad Pro" w:hAnsi="Myriad Pro"/>
                <w:noProof/>
                <w:webHidden/>
              </w:rPr>
              <w:fldChar w:fldCharType="separate"/>
            </w:r>
            <w:r>
              <w:rPr>
                <w:rFonts w:ascii="Myriad Pro" w:hAnsi="Myriad Pro"/>
                <w:noProof/>
                <w:webHidden/>
              </w:rPr>
              <w:t>28</w:t>
            </w:r>
            <w:r w:rsidR="00CB57A8" w:rsidRPr="008024B0">
              <w:rPr>
                <w:rFonts w:ascii="Myriad Pro" w:hAnsi="Myriad Pro"/>
                <w:noProof/>
                <w:webHidden/>
              </w:rPr>
              <w:fldChar w:fldCharType="end"/>
            </w:r>
          </w:hyperlink>
        </w:p>
        <w:p w14:paraId="438F6C10" w14:textId="7331E706" w:rsidR="00CB57A8" w:rsidRPr="008024B0" w:rsidRDefault="00200042">
          <w:pPr>
            <w:pStyle w:val="32"/>
            <w:rPr>
              <w:rFonts w:ascii="Myriad Pro" w:eastAsiaTheme="minorEastAsia" w:hAnsi="Myriad Pro"/>
              <w:noProof/>
              <w:lang w:eastAsia="ru-RU"/>
            </w:rPr>
          </w:pPr>
          <w:hyperlink w:anchor="_Toc40797957" w:history="1">
            <w:r w:rsidR="00CB57A8" w:rsidRPr="008024B0">
              <w:rPr>
                <w:rStyle w:val="ab"/>
                <w:rFonts w:ascii="Myriad Pro" w:hAnsi="Myriad Pro"/>
                <w:b/>
                <w:noProof/>
              </w:rPr>
              <w:t>4.</w:t>
            </w:r>
            <w:r w:rsidR="00CB57A8" w:rsidRPr="008024B0">
              <w:rPr>
                <w:rFonts w:ascii="Myriad Pro" w:eastAsiaTheme="minorEastAsia" w:hAnsi="Myriad Pro"/>
                <w:noProof/>
                <w:lang w:eastAsia="ru-RU"/>
              </w:rPr>
              <w:tab/>
            </w:r>
            <w:r w:rsidR="00CB57A8" w:rsidRPr="008024B0">
              <w:rPr>
                <w:rStyle w:val="ab"/>
                <w:rFonts w:ascii="Myriad Pro" w:hAnsi="Myriad Pro"/>
                <w:b/>
                <w:noProof/>
              </w:rPr>
              <w:t>Экспертиза расчетов подконтрольных расходов, учтенных регулирующим органом в необходимой валовой выручке при установлении тарифов на 2019 год, являющийся первым годом долгосрочного периода регулирования</w:t>
            </w:r>
            <w:r w:rsidR="00CB57A8" w:rsidRPr="008024B0">
              <w:rPr>
                <w:rFonts w:ascii="Myriad Pro" w:hAnsi="Myriad Pro"/>
                <w:noProof/>
                <w:webHidden/>
              </w:rPr>
              <w:tab/>
            </w:r>
            <w:r w:rsidR="00CB57A8" w:rsidRPr="008024B0">
              <w:rPr>
                <w:rFonts w:ascii="Myriad Pro" w:hAnsi="Myriad Pro"/>
                <w:noProof/>
                <w:webHidden/>
              </w:rPr>
              <w:fldChar w:fldCharType="begin"/>
            </w:r>
            <w:r w:rsidR="00CB57A8" w:rsidRPr="008024B0">
              <w:rPr>
                <w:rFonts w:ascii="Myriad Pro" w:hAnsi="Myriad Pro"/>
                <w:noProof/>
                <w:webHidden/>
              </w:rPr>
              <w:instrText xml:space="preserve"> PAGEREF _Toc40797957 \h </w:instrText>
            </w:r>
            <w:r w:rsidR="00CB57A8" w:rsidRPr="008024B0">
              <w:rPr>
                <w:rFonts w:ascii="Myriad Pro" w:hAnsi="Myriad Pro"/>
                <w:noProof/>
                <w:webHidden/>
              </w:rPr>
            </w:r>
            <w:r w:rsidR="00CB57A8" w:rsidRPr="008024B0">
              <w:rPr>
                <w:rFonts w:ascii="Myriad Pro" w:hAnsi="Myriad Pro"/>
                <w:noProof/>
                <w:webHidden/>
              </w:rPr>
              <w:fldChar w:fldCharType="separate"/>
            </w:r>
            <w:r>
              <w:rPr>
                <w:rFonts w:ascii="Myriad Pro" w:hAnsi="Myriad Pro"/>
                <w:noProof/>
                <w:webHidden/>
              </w:rPr>
              <w:t>43</w:t>
            </w:r>
            <w:r w:rsidR="00CB57A8" w:rsidRPr="008024B0">
              <w:rPr>
                <w:rFonts w:ascii="Myriad Pro" w:hAnsi="Myriad Pro"/>
                <w:noProof/>
                <w:webHidden/>
              </w:rPr>
              <w:fldChar w:fldCharType="end"/>
            </w:r>
          </w:hyperlink>
        </w:p>
        <w:p w14:paraId="703169E4" w14:textId="1E791738" w:rsidR="00CB57A8" w:rsidRPr="008024B0" w:rsidRDefault="00200042">
          <w:pPr>
            <w:pStyle w:val="32"/>
            <w:rPr>
              <w:rFonts w:ascii="Myriad Pro" w:eastAsiaTheme="minorEastAsia" w:hAnsi="Myriad Pro"/>
              <w:noProof/>
              <w:lang w:eastAsia="ru-RU"/>
            </w:rPr>
          </w:pPr>
          <w:hyperlink w:anchor="_Toc40797958" w:history="1">
            <w:r w:rsidR="00CB57A8" w:rsidRPr="008024B0">
              <w:rPr>
                <w:rStyle w:val="ab"/>
                <w:rFonts w:ascii="Myriad Pro" w:hAnsi="Myriad Pro"/>
                <w:b/>
                <w:noProof/>
              </w:rPr>
              <w:t>4.1.</w:t>
            </w:r>
            <w:r w:rsidR="00CB57A8" w:rsidRPr="008024B0">
              <w:rPr>
                <w:rFonts w:ascii="Myriad Pro" w:eastAsiaTheme="minorEastAsia" w:hAnsi="Myriad Pro"/>
                <w:noProof/>
                <w:lang w:eastAsia="ru-RU"/>
              </w:rPr>
              <w:tab/>
            </w:r>
            <w:r w:rsidR="00CB57A8" w:rsidRPr="008024B0">
              <w:rPr>
                <w:rStyle w:val="ab"/>
                <w:rFonts w:ascii="Myriad Pro" w:hAnsi="Myriad Pro"/>
                <w:b/>
                <w:noProof/>
              </w:rPr>
              <w:t>Постатейный анализ подконтрольных расходов, принятых в расчет базового уровня подконтрольных расходов</w:t>
            </w:r>
            <w:r w:rsidR="00CB57A8" w:rsidRPr="008024B0">
              <w:rPr>
                <w:rFonts w:ascii="Myriad Pro" w:hAnsi="Myriad Pro"/>
                <w:noProof/>
                <w:webHidden/>
              </w:rPr>
              <w:tab/>
            </w:r>
            <w:r w:rsidR="00CB57A8" w:rsidRPr="008024B0">
              <w:rPr>
                <w:rFonts w:ascii="Myriad Pro" w:hAnsi="Myriad Pro"/>
                <w:noProof/>
                <w:webHidden/>
              </w:rPr>
              <w:fldChar w:fldCharType="begin"/>
            </w:r>
            <w:r w:rsidR="00CB57A8" w:rsidRPr="008024B0">
              <w:rPr>
                <w:rFonts w:ascii="Myriad Pro" w:hAnsi="Myriad Pro"/>
                <w:noProof/>
                <w:webHidden/>
              </w:rPr>
              <w:instrText xml:space="preserve"> PAGEREF _Toc40797958 \h </w:instrText>
            </w:r>
            <w:r w:rsidR="00CB57A8" w:rsidRPr="008024B0">
              <w:rPr>
                <w:rFonts w:ascii="Myriad Pro" w:hAnsi="Myriad Pro"/>
                <w:noProof/>
                <w:webHidden/>
              </w:rPr>
            </w:r>
            <w:r w:rsidR="00CB57A8" w:rsidRPr="008024B0">
              <w:rPr>
                <w:rFonts w:ascii="Myriad Pro" w:hAnsi="Myriad Pro"/>
                <w:noProof/>
                <w:webHidden/>
              </w:rPr>
              <w:fldChar w:fldCharType="separate"/>
            </w:r>
            <w:r>
              <w:rPr>
                <w:rFonts w:ascii="Myriad Pro" w:hAnsi="Myriad Pro"/>
                <w:noProof/>
                <w:webHidden/>
              </w:rPr>
              <w:t>48</w:t>
            </w:r>
            <w:r w:rsidR="00CB57A8" w:rsidRPr="008024B0">
              <w:rPr>
                <w:rFonts w:ascii="Myriad Pro" w:hAnsi="Myriad Pro"/>
                <w:noProof/>
                <w:webHidden/>
              </w:rPr>
              <w:fldChar w:fldCharType="end"/>
            </w:r>
          </w:hyperlink>
        </w:p>
        <w:p w14:paraId="32B845FE" w14:textId="0FF74C55" w:rsidR="00CB57A8" w:rsidRPr="008024B0" w:rsidRDefault="00200042">
          <w:pPr>
            <w:pStyle w:val="32"/>
            <w:rPr>
              <w:rFonts w:ascii="Myriad Pro" w:eastAsiaTheme="minorEastAsia" w:hAnsi="Myriad Pro"/>
              <w:noProof/>
              <w:lang w:eastAsia="ru-RU"/>
            </w:rPr>
          </w:pPr>
          <w:hyperlink w:anchor="_Toc40797959" w:history="1">
            <w:r w:rsidR="00CB57A8" w:rsidRPr="008024B0">
              <w:rPr>
                <w:rStyle w:val="ab"/>
                <w:rFonts w:ascii="Myriad Pro" w:hAnsi="Myriad Pro"/>
                <w:b/>
                <w:noProof/>
              </w:rPr>
              <w:t>5.</w:t>
            </w:r>
            <w:r w:rsidR="00CB57A8" w:rsidRPr="008024B0">
              <w:rPr>
                <w:rFonts w:ascii="Myriad Pro" w:eastAsiaTheme="minorEastAsia" w:hAnsi="Myriad Pro"/>
                <w:noProof/>
                <w:lang w:eastAsia="ru-RU"/>
              </w:rPr>
              <w:tab/>
            </w:r>
            <w:r w:rsidR="00CB57A8" w:rsidRPr="008024B0">
              <w:rPr>
                <w:rStyle w:val="ab"/>
                <w:rFonts w:ascii="Myriad Pro" w:hAnsi="Myriad Pro"/>
                <w:b/>
                <w:noProof/>
              </w:rPr>
              <w:t>Анализ обоснованности принятых Комитетом по тарифному регулированию Мурманской области в расчет тарифов долгосрочных параметров регулирования: индекса эффективности подконтрольных расходов, уровня надежности и качества услуг на 2019 год</w:t>
            </w:r>
            <w:r w:rsidR="00CB57A8" w:rsidRPr="008024B0">
              <w:rPr>
                <w:rFonts w:ascii="Myriad Pro" w:hAnsi="Myriad Pro"/>
                <w:noProof/>
                <w:webHidden/>
              </w:rPr>
              <w:tab/>
            </w:r>
            <w:r w:rsidR="00CB57A8" w:rsidRPr="008024B0">
              <w:rPr>
                <w:rFonts w:ascii="Myriad Pro" w:hAnsi="Myriad Pro"/>
                <w:noProof/>
                <w:webHidden/>
              </w:rPr>
              <w:fldChar w:fldCharType="begin"/>
            </w:r>
            <w:r w:rsidR="00CB57A8" w:rsidRPr="008024B0">
              <w:rPr>
                <w:rFonts w:ascii="Myriad Pro" w:hAnsi="Myriad Pro"/>
                <w:noProof/>
                <w:webHidden/>
              </w:rPr>
              <w:instrText xml:space="preserve"> PAGEREF _Toc40797959 \h </w:instrText>
            </w:r>
            <w:r w:rsidR="00CB57A8" w:rsidRPr="008024B0">
              <w:rPr>
                <w:rFonts w:ascii="Myriad Pro" w:hAnsi="Myriad Pro"/>
                <w:noProof/>
                <w:webHidden/>
              </w:rPr>
            </w:r>
            <w:r w:rsidR="00CB57A8" w:rsidRPr="008024B0">
              <w:rPr>
                <w:rFonts w:ascii="Myriad Pro" w:hAnsi="Myriad Pro"/>
                <w:noProof/>
                <w:webHidden/>
              </w:rPr>
              <w:fldChar w:fldCharType="separate"/>
            </w:r>
            <w:r>
              <w:rPr>
                <w:rFonts w:ascii="Myriad Pro" w:hAnsi="Myriad Pro"/>
                <w:noProof/>
                <w:webHidden/>
              </w:rPr>
              <w:t>148</w:t>
            </w:r>
            <w:r w:rsidR="00CB57A8" w:rsidRPr="008024B0">
              <w:rPr>
                <w:rFonts w:ascii="Myriad Pro" w:hAnsi="Myriad Pro"/>
                <w:noProof/>
                <w:webHidden/>
              </w:rPr>
              <w:fldChar w:fldCharType="end"/>
            </w:r>
          </w:hyperlink>
        </w:p>
        <w:p w14:paraId="6261E5FB" w14:textId="0DFC05AB" w:rsidR="00CB57A8" w:rsidRPr="008024B0" w:rsidRDefault="00200042">
          <w:pPr>
            <w:pStyle w:val="32"/>
            <w:rPr>
              <w:rFonts w:ascii="Myriad Pro" w:eastAsiaTheme="minorEastAsia" w:hAnsi="Myriad Pro"/>
              <w:noProof/>
              <w:lang w:eastAsia="ru-RU"/>
            </w:rPr>
          </w:pPr>
          <w:hyperlink w:anchor="_Toc40797960" w:history="1">
            <w:r w:rsidR="00CB57A8" w:rsidRPr="008024B0">
              <w:rPr>
                <w:rStyle w:val="ab"/>
                <w:rFonts w:ascii="Myriad Pro" w:hAnsi="Myriad Pro"/>
                <w:b/>
                <w:noProof/>
              </w:rPr>
              <w:t>5.1.</w:t>
            </w:r>
            <w:r w:rsidR="00CB57A8" w:rsidRPr="008024B0">
              <w:rPr>
                <w:rFonts w:ascii="Myriad Pro" w:eastAsiaTheme="minorEastAsia" w:hAnsi="Myriad Pro"/>
                <w:noProof/>
                <w:lang w:eastAsia="ru-RU"/>
              </w:rPr>
              <w:tab/>
            </w:r>
            <w:r w:rsidR="00CB57A8" w:rsidRPr="008024B0">
              <w:rPr>
                <w:rStyle w:val="ab"/>
                <w:rFonts w:ascii="Myriad Pro" w:hAnsi="Myriad Pro"/>
                <w:b/>
                <w:noProof/>
              </w:rPr>
              <w:t>Индекс эффективности подконтрольных расходов</w:t>
            </w:r>
            <w:r w:rsidR="00CB57A8" w:rsidRPr="008024B0">
              <w:rPr>
                <w:rFonts w:ascii="Myriad Pro" w:hAnsi="Myriad Pro"/>
                <w:noProof/>
                <w:webHidden/>
              </w:rPr>
              <w:tab/>
            </w:r>
            <w:r w:rsidR="00CB57A8" w:rsidRPr="008024B0">
              <w:rPr>
                <w:rFonts w:ascii="Myriad Pro" w:hAnsi="Myriad Pro"/>
                <w:noProof/>
                <w:webHidden/>
              </w:rPr>
              <w:fldChar w:fldCharType="begin"/>
            </w:r>
            <w:r w:rsidR="00CB57A8" w:rsidRPr="008024B0">
              <w:rPr>
                <w:rFonts w:ascii="Myriad Pro" w:hAnsi="Myriad Pro"/>
                <w:noProof/>
                <w:webHidden/>
              </w:rPr>
              <w:instrText xml:space="preserve"> PAGEREF _Toc40797960 \h </w:instrText>
            </w:r>
            <w:r w:rsidR="00CB57A8" w:rsidRPr="008024B0">
              <w:rPr>
                <w:rFonts w:ascii="Myriad Pro" w:hAnsi="Myriad Pro"/>
                <w:noProof/>
                <w:webHidden/>
              </w:rPr>
            </w:r>
            <w:r w:rsidR="00CB57A8" w:rsidRPr="008024B0">
              <w:rPr>
                <w:rFonts w:ascii="Myriad Pro" w:hAnsi="Myriad Pro"/>
                <w:noProof/>
                <w:webHidden/>
              </w:rPr>
              <w:fldChar w:fldCharType="separate"/>
            </w:r>
            <w:r>
              <w:rPr>
                <w:rFonts w:ascii="Myriad Pro" w:hAnsi="Myriad Pro"/>
                <w:noProof/>
                <w:webHidden/>
              </w:rPr>
              <w:t>151</w:t>
            </w:r>
            <w:r w:rsidR="00CB57A8" w:rsidRPr="008024B0">
              <w:rPr>
                <w:rFonts w:ascii="Myriad Pro" w:hAnsi="Myriad Pro"/>
                <w:noProof/>
                <w:webHidden/>
              </w:rPr>
              <w:fldChar w:fldCharType="end"/>
            </w:r>
          </w:hyperlink>
        </w:p>
        <w:p w14:paraId="60C0BDAD" w14:textId="6F31E4E5" w:rsidR="00CB57A8" w:rsidRPr="008024B0" w:rsidRDefault="00200042">
          <w:pPr>
            <w:pStyle w:val="32"/>
            <w:rPr>
              <w:rFonts w:ascii="Myriad Pro" w:eastAsiaTheme="minorEastAsia" w:hAnsi="Myriad Pro"/>
              <w:noProof/>
              <w:lang w:eastAsia="ru-RU"/>
            </w:rPr>
          </w:pPr>
          <w:hyperlink w:anchor="_Toc40797961" w:history="1">
            <w:r w:rsidR="00CB57A8" w:rsidRPr="008024B0">
              <w:rPr>
                <w:rStyle w:val="ab"/>
                <w:rFonts w:ascii="Myriad Pro" w:hAnsi="Myriad Pro"/>
                <w:b/>
                <w:noProof/>
              </w:rPr>
              <w:t>5.2.</w:t>
            </w:r>
            <w:r w:rsidR="00CB57A8" w:rsidRPr="008024B0">
              <w:rPr>
                <w:rFonts w:ascii="Myriad Pro" w:eastAsiaTheme="minorEastAsia" w:hAnsi="Myriad Pro"/>
                <w:noProof/>
                <w:lang w:eastAsia="ru-RU"/>
              </w:rPr>
              <w:tab/>
            </w:r>
            <w:r w:rsidR="00CB57A8" w:rsidRPr="008024B0">
              <w:rPr>
                <w:rStyle w:val="ab"/>
                <w:rFonts w:ascii="Myriad Pro" w:hAnsi="Myriad Pro"/>
                <w:b/>
                <w:noProof/>
              </w:rPr>
              <w:t>Показатели уровня надежности и качества услуг</w:t>
            </w:r>
            <w:r w:rsidR="00CB57A8" w:rsidRPr="008024B0">
              <w:rPr>
                <w:rFonts w:ascii="Myriad Pro" w:hAnsi="Myriad Pro"/>
                <w:noProof/>
                <w:webHidden/>
              </w:rPr>
              <w:tab/>
            </w:r>
            <w:r w:rsidR="00CB57A8" w:rsidRPr="008024B0">
              <w:rPr>
                <w:rFonts w:ascii="Myriad Pro" w:hAnsi="Myriad Pro"/>
                <w:noProof/>
                <w:webHidden/>
              </w:rPr>
              <w:fldChar w:fldCharType="begin"/>
            </w:r>
            <w:r w:rsidR="00CB57A8" w:rsidRPr="008024B0">
              <w:rPr>
                <w:rFonts w:ascii="Myriad Pro" w:hAnsi="Myriad Pro"/>
                <w:noProof/>
                <w:webHidden/>
              </w:rPr>
              <w:instrText xml:space="preserve"> PAGEREF _Toc40797961 \h </w:instrText>
            </w:r>
            <w:r w:rsidR="00CB57A8" w:rsidRPr="008024B0">
              <w:rPr>
                <w:rFonts w:ascii="Myriad Pro" w:hAnsi="Myriad Pro"/>
                <w:noProof/>
                <w:webHidden/>
              </w:rPr>
            </w:r>
            <w:r w:rsidR="00CB57A8" w:rsidRPr="008024B0">
              <w:rPr>
                <w:rFonts w:ascii="Myriad Pro" w:hAnsi="Myriad Pro"/>
                <w:noProof/>
                <w:webHidden/>
              </w:rPr>
              <w:fldChar w:fldCharType="separate"/>
            </w:r>
            <w:r>
              <w:rPr>
                <w:rFonts w:ascii="Myriad Pro" w:hAnsi="Myriad Pro"/>
                <w:noProof/>
                <w:webHidden/>
              </w:rPr>
              <w:t>162</w:t>
            </w:r>
            <w:r w:rsidR="00CB57A8" w:rsidRPr="008024B0">
              <w:rPr>
                <w:rFonts w:ascii="Myriad Pro" w:hAnsi="Myriad Pro"/>
                <w:noProof/>
                <w:webHidden/>
              </w:rPr>
              <w:fldChar w:fldCharType="end"/>
            </w:r>
          </w:hyperlink>
        </w:p>
        <w:p w14:paraId="5D397A7A" w14:textId="41314119" w:rsidR="00CB57A8" w:rsidRPr="008024B0" w:rsidRDefault="00200042">
          <w:pPr>
            <w:pStyle w:val="32"/>
            <w:rPr>
              <w:rFonts w:ascii="Myriad Pro" w:eastAsiaTheme="minorEastAsia" w:hAnsi="Myriad Pro"/>
              <w:noProof/>
              <w:lang w:eastAsia="ru-RU"/>
            </w:rPr>
          </w:pPr>
          <w:hyperlink w:anchor="_Toc40797962" w:history="1">
            <w:r w:rsidR="00CB57A8" w:rsidRPr="008024B0">
              <w:rPr>
                <w:rStyle w:val="ab"/>
                <w:rFonts w:ascii="Myriad Pro" w:hAnsi="Myriad Pro"/>
                <w:b/>
                <w:noProof/>
              </w:rPr>
              <w:t>6.</w:t>
            </w:r>
            <w:r w:rsidR="00CB57A8" w:rsidRPr="008024B0">
              <w:rPr>
                <w:rFonts w:ascii="Myriad Pro" w:eastAsiaTheme="minorEastAsia" w:hAnsi="Myriad Pro"/>
                <w:noProof/>
                <w:lang w:eastAsia="ru-RU"/>
              </w:rPr>
              <w:tab/>
            </w:r>
            <w:r w:rsidR="00CB57A8" w:rsidRPr="008024B0">
              <w:rPr>
                <w:rStyle w:val="ab"/>
                <w:rFonts w:ascii="Myriad Pro" w:hAnsi="Myriad Pro"/>
                <w:b/>
                <w:noProof/>
              </w:rPr>
              <w:t>Экспертиза обоснованности расчетов регулирующего органа по статьям неподконтрольных расходов на 2019 год</w:t>
            </w:r>
            <w:r w:rsidR="00CB57A8" w:rsidRPr="008024B0">
              <w:rPr>
                <w:rFonts w:ascii="Myriad Pro" w:hAnsi="Myriad Pro"/>
                <w:noProof/>
                <w:webHidden/>
              </w:rPr>
              <w:tab/>
            </w:r>
            <w:r w:rsidR="00CB57A8" w:rsidRPr="008024B0">
              <w:rPr>
                <w:rFonts w:ascii="Myriad Pro" w:hAnsi="Myriad Pro"/>
                <w:noProof/>
                <w:webHidden/>
              </w:rPr>
              <w:fldChar w:fldCharType="begin"/>
            </w:r>
            <w:r w:rsidR="00CB57A8" w:rsidRPr="008024B0">
              <w:rPr>
                <w:rFonts w:ascii="Myriad Pro" w:hAnsi="Myriad Pro"/>
                <w:noProof/>
                <w:webHidden/>
              </w:rPr>
              <w:instrText xml:space="preserve"> PAGEREF _Toc40797962 \h </w:instrText>
            </w:r>
            <w:r w:rsidR="00CB57A8" w:rsidRPr="008024B0">
              <w:rPr>
                <w:rFonts w:ascii="Myriad Pro" w:hAnsi="Myriad Pro"/>
                <w:noProof/>
                <w:webHidden/>
              </w:rPr>
            </w:r>
            <w:r w:rsidR="00CB57A8" w:rsidRPr="008024B0">
              <w:rPr>
                <w:rFonts w:ascii="Myriad Pro" w:hAnsi="Myriad Pro"/>
                <w:noProof/>
                <w:webHidden/>
              </w:rPr>
              <w:fldChar w:fldCharType="separate"/>
            </w:r>
            <w:r>
              <w:rPr>
                <w:rFonts w:ascii="Myriad Pro" w:hAnsi="Myriad Pro"/>
                <w:noProof/>
                <w:webHidden/>
              </w:rPr>
              <w:t>169</w:t>
            </w:r>
            <w:r w:rsidR="00CB57A8" w:rsidRPr="008024B0">
              <w:rPr>
                <w:rFonts w:ascii="Myriad Pro" w:hAnsi="Myriad Pro"/>
                <w:noProof/>
                <w:webHidden/>
              </w:rPr>
              <w:fldChar w:fldCharType="end"/>
            </w:r>
          </w:hyperlink>
        </w:p>
        <w:p w14:paraId="011C71FE" w14:textId="6F3D3543" w:rsidR="00CB57A8" w:rsidRPr="008024B0" w:rsidRDefault="00200042">
          <w:pPr>
            <w:pStyle w:val="32"/>
            <w:rPr>
              <w:rFonts w:ascii="Myriad Pro" w:eastAsiaTheme="minorEastAsia" w:hAnsi="Myriad Pro"/>
              <w:noProof/>
              <w:lang w:eastAsia="ru-RU"/>
            </w:rPr>
          </w:pPr>
          <w:hyperlink w:anchor="_Toc40797963" w:history="1">
            <w:r w:rsidR="00CB57A8" w:rsidRPr="008024B0">
              <w:rPr>
                <w:rStyle w:val="ab"/>
                <w:rFonts w:ascii="Myriad Pro" w:hAnsi="Myriad Pro"/>
                <w:b/>
                <w:noProof/>
              </w:rPr>
              <w:t>6.1.</w:t>
            </w:r>
            <w:r w:rsidR="00CB57A8" w:rsidRPr="008024B0">
              <w:rPr>
                <w:rFonts w:ascii="Myriad Pro" w:eastAsiaTheme="minorEastAsia" w:hAnsi="Myriad Pro"/>
                <w:noProof/>
                <w:lang w:eastAsia="ru-RU"/>
              </w:rPr>
              <w:tab/>
            </w:r>
            <w:r w:rsidR="00CB57A8" w:rsidRPr="008024B0">
              <w:rPr>
                <w:rStyle w:val="ab"/>
                <w:rFonts w:ascii="Myriad Pro" w:hAnsi="Myriad Pro"/>
                <w:b/>
                <w:noProof/>
              </w:rPr>
              <w:t>Оплата услуг ПАО «ФСК ЕЭС»</w:t>
            </w:r>
            <w:r w:rsidR="00CB57A8" w:rsidRPr="008024B0">
              <w:rPr>
                <w:rFonts w:ascii="Myriad Pro" w:hAnsi="Myriad Pro"/>
                <w:noProof/>
                <w:webHidden/>
              </w:rPr>
              <w:tab/>
            </w:r>
            <w:r w:rsidR="00CB57A8" w:rsidRPr="008024B0">
              <w:rPr>
                <w:rFonts w:ascii="Myriad Pro" w:hAnsi="Myriad Pro"/>
                <w:noProof/>
                <w:webHidden/>
              </w:rPr>
              <w:fldChar w:fldCharType="begin"/>
            </w:r>
            <w:r w:rsidR="00CB57A8" w:rsidRPr="008024B0">
              <w:rPr>
                <w:rFonts w:ascii="Myriad Pro" w:hAnsi="Myriad Pro"/>
                <w:noProof/>
                <w:webHidden/>
              </w:rPr>
              <w:instrText xml:space="preserve"> PAGEREF _Toc40797963 \h </w:instrText>
            </w:r>
            <w:r w:rsidR="00CB57A8" w:rsidRPr="008024B0">
              <w:rPr>
                <w:rFonts w:ascii="Myriad Pro" w:hAnsi="Myriad Pro"/>
                <w:noProof/>
                <w:webHidden/>
              </w:rPr>
            </w:r>
            <w:r w:rsidR="00CB57A8" w:rsidRPr="008024B0">
              <w:rPr>
                <w:rFonts w:ascii="Myriad Pro" w:hAnsi="Myriad Pro"/>
                <w:noProof/>
                <w:webHidden/>
              </w:rPr>
              <w:fldChar w:fldCharType="separate"/>
            </w:r>
            <w:r>
              <w:rPr>
                <w:rFonts w:ascii="Myriad Pro" w:hAnsi="Myriad Pro"/>
                <w:noProof/>
                <w:webHidden/>
              </w:rPr>
              <w:t>171</w:t>
            </w:r>
            <w:r w:rsidR="00CB57A8" w:rsidRPr="008024B0">
              <w:rPr>
                <w:rFonts w:ascii="Myriad Pro" w:hAnsi="Myriad Pro"/>
                <w:noProof/>
                <w:webHidden/>
              </w:rPr>
              <w:fldChar w:fldCharType="end"/>
            </w:r>
          </w:hyperlink>
        </w:p>
        <w:p w14:paraId="3B4DBE51" w14:textId="6DE45F6B" w:rsidR="00CB57A8" w:rsidRPr="008024B0" w:rsidRDefault="00200042">
          <w:pPr>
            <w:pStyle w:val="32"/>
            <w:rPr>
              <w:rFonts w:ascii="Myriad Pro" w:eastAsiaTheme="minorEastAsia" w:hAnsi="Myriad Pro"/>
              <w:noProof/>
              <w:lang w:eastAsia="ru-RU"/>
            </w:rPr>
          </w:pPr>
          <w:hyperlink w:anchor="_Toc40797964" w:history="1">
            <w:r w:rsidR="00CB57A8" w:rsidRPr="008024B0">
              <w:rPr>
                <w:rStyle w:val="ab"/>
                <w:rFonts w:ascii="Myriad Pro" w:hAnsi="Myriad Pro"/>
                <w:b/>
                <w:noProof/>
              </w:rPr>
              <w:t>6.2.</w:t>
            </w:r>
            <w:r w:rsidR="00CB57A8" w:rsidRPr="008024B0">
              <w:rPr>
                <w:rFonts w:ascii="Myriad Pro" w:eastAsiaTheme="minorEastAsia" w:hAnsi="Myriad Pro"/>
                <w:noProof/>
                <w:lang w:eastAsia="ru-RU"/>
              </w:rPr>
              <w:tab/>
            </w:r>
            <w:r w:rsidR="00CB57A8" w:rsidRPr="008024B0">
              <w:rPr>
                <w:rStyle w:val="ab"/>
                <w:rFonts w:ascii="Myriad Pro" w:hAnsi="Myriad Pro"/>
                <w:b/>
                <w:noProof/>
              </w:rPr>
              <w:t>Тепловая энергия на хозяйственные нужды</w:t>
            </w:r>
            <w:r w:rsidR="00CB57A8" w:rsidRPr="008024B0">
              <w:rPr>
                <w:rFonts w:ascii="Myriad Pro" w:hAnsi="Myriad Pro"/>
                <w:noProof/>
                <w:webHidden/>
              </w:rPr>
              <w:tab/>
            </w:r>
            <w:r w:rsidR="00CB57A8" w:rsidRPr="008024B0">
              <w:rPr>
                <w:rFonts w:ascii="Myriad Pro" w:hAnsi="Myriad Pro"/>
                <w:noProof/>
                <w:webHidden/>
              </w:rPr>
              <w:fldChar w:fldCharType="begin"/>
            </w:r>
            <w:r w:rsidR="00CB57A8" w:rsidRPr="008024B0">
              <w:rPr>
                <w:rFonts w:ascii="Myriad Pro" w:hAnsi="Myriad Pro"/>
                <w:noProof/>
                <w:webHidden/>
              </w:rPr>
              <w:instrText xml:space="preserve"> PAGEREF _Toc40797964 \h </w:instrText>
            </w:r>
            <w:r w:rsidR="00CB57A8" w:rsidRPr="008024B0">
              <w:rPr>
                <w:rFonts w:ascii="Myriad Pro" w:hAnsi="Myriad Pro"/>
                <w:noProof/>
                <w:webHidden/>
              </w:rPr>
            </w:r>
            <w:r w:rsidR="00CB57A8" w:rsidRPr="008024B0">
              <w:rPr>
                <w:rFonts w:ascii="Myriad Pro" w:hAnsi="Myriad Pro"/>
                <w:noProof/>
                <w:webHidden/>
              </w:rPr>
              <w:fldChar w:fldCharType="separate"/>
            </w:r>
            <w:r>
              <w:rPr>
                <w:rFonts w:ascii="Myriad Pro" w:hAnsi="Myriad Pro"/>
                <w:noProof/>
                <w:webHidden/>
              </w:rPr>
              <w:t>176</w:t>
            </w:r>
            <w:r w:rsidR="00CB57A8" w:rsidRPr="008024B0">
              <w:rPr>
                <w:rFonts w:ascii="Myriad Pro" w:hAnsi="Myriad Pro"/>
                <w:noProof/>
                <w:webHidden/>
              </w:rPr>
              <w:fldChar w:fldCharType="end"/>
            </w:r>
          </w:hyperlink>
        </w:p>
        <w:p w14:paraId="308B073D" w14:textId="0635B44F" w:rsidR="00CB57A8" w:rsidRPr="008024B0" w:rsidRDefault="00200042">
          <w:pPr>
            <w:pStyle w:val="32"/>
            <w:rPr>
              <w:rFonts w:ascii="Myriad Pro" w:eastAsiaTheme="minorEastAsia" w:hAnsi="Myriad Pro"/>
              <w:noProof/>
              <w:lang w:eastAsia="ru-RU"/>
            </w:rPr>
          </w:pPr>
          <w:hyperlink w:anchor="_Toc40797965" w:history="1">
            <w:r w:rsidR="00CB57A8" w:rsidRPr="008024B0">
              <w:rPr>
                <w:rStyle w:val="ab"/>
                <w:rFonts w:ascii="Myriad Pro" w:hAnsi="Myriad Pro"/>
                <w:b/>
                <w:noProof/>
              </w:rPr>
              <w:t>6.3.</w:t>
            </w:r>
            <w:r w:rsidR="00CB57A8" w:rsidRPr="008024B0">
              <w:rPr>
                <w:rFonts w:ascii="Myriad Pro" w:eastAsiaTheme="minorEastAsia" w:hAnsi="Myriad Pro"/>
                <w:noProof/>
                <w:lang w:eastAsia="ru-RU"/>
              </w:rPr>
              <w:tab/>
            </w:r>
            <w:r w:rsidR="00CB57A8" w:rsidRPr="008024B0">
              <w:rPr>
                <w:rStyle w:val="ab"/>
                <w:rFonts w:ascii="Myriad Pro" w:hAnsi="Myriad Pro"/>
                <w:b/>
                <w:noProof/>
              </w:rPr>
              <w:t>Отчисления на социальные нужды</w:t>
            </w:r>
            <w:r w:rsidR="00CB57A8" w:rsidRPr="008024B0">
              <w:rPr>
                <w:rFonts w:ascii="Myriad Pro" w:hAnsi="Myriad Pro"/>
                <w:noProof/>
                <w:webHidden/>
              </w:rPr>
              <w:tab/>
            </w:r>
            <w:r w:rsidR="00CB57A8" w:rsidRPr="008024B0">
              <w:rPr>
                <w:rFonts w:ascii="Myriad Pro" w:hAnsi="Myriad Pro"/>
                <w:noProof/>
                <w:webHidden/>
              </w:rPr>
              <w:fldChar w:fldCharType="begin"/>
            </w:r>
            <w:r w:rsidR="00CB57A8" w:rsidRPr="008024B0">
              <w:rPr>
                <w:rFonts w:ascii="Myriad Pro" w:hAnsi="Myriad Pro"/>
                <w:noProof/>
                <w:webHidden/>
              </w:rPr>
              <w:instrText xml:space="preserve"> PAGEREF _Toc40797965 \h </w:instrText>
            </w:r>
            <w:r w:rsidR="00CB57A8" w:rsidRPr="008024B0">
              <w:rPr>
                <w:rFonts w:ascii="Myriad Pro" w:hAnsi="Myriad Pro"/>
                <w:noProof/>
                <w:webHidden/>
              </w:rPr>
            </w:r>
            <w:r w:rsidR="00CB57A8" w:rsidRPr="008024B0">
              <w:rPr>
                <w:rFonts w:ascii="Myriad Pro" w:hAnsi="Myriad Pro"/>
                <w:noProof/>
                <w:webHidden/>
              </w:rPr>
              <w:fldChar w:fldCharType="separate"/>
            </w:r>
            <w:r>
              <w:rPr>
                <w:rFonts w:ascii="Myriad Pro" w:hAnsi="Myriad Pro"/>
                <w:noProof/>
                <w:webHidden/>
              </w:rPr>
              <w:t>179</w:t>
            </w:r>
            <w:r w:rsidR="00CB57A8" w:rsidRPr="008024B0">
              <w:rPr>
                <w:rFonts w:ascii="Myriad Pro" w:hAnsi="Myriad Pro"/>
                <w:noProof/>
                <w:webHidden/>
              </w:rPr>
              <w:fldChar w:fldCharType="end"/>
            </w:r>
          </w:hyperlink>
        </w:p>
        <w:p w14:paraId="60A17DFC" w14:textId="676B9E55" w:rsidR="00CB57A8" w:rsidRPr="008024B0" w:rsidRDefault="00200042">
          <w:pPr>
            <w:pStyle w:val="32"/>
            <w:rPr>
              <w:rFonts w:ascii="Myriad Pro" w:eastAsiaTheme="minorEastAsia" w:hAnsi="Myriad Pro"/>
              <w:noProof/>
              <w:lang w:eastAsia="ru-RU"/>
            </w:rPr>
          </w:pPr>
          <w:hyperlink w:anchor="_Toc40797966" w:history="1">
            <w:r w:rsidR="00CB57A8" w:rsidRPr="008024B0">
              <w:rPr>
                <w:rStyle w:val="ab"/>
                <w:rFonts w:ascii="Myriad Pro" w:hAnsi="Myriad Pro"/>
                <w:b/>
                <w:noProof/>
              </w:rPr>
              <w:t>6.4.</w:t>
            </w:r>
            <w:r w:rsidR="00CB57A8" w:rsidRPr="008024B0">
              <w:rPr>
                <w:rFonts w:ascii="Myriad Pro" w:eastAsiaTheme="minorEastAsia" w:hAnsi="Myriad Pro"/>
                <w:noProof/>
                <w:lang w:eastAsia="ru-RU"/>
              </w:rPr>
              <w:tab/>
            </w:r>
            <w:r w:rsidR="00CB57A8" w:rsidRPr="008024B0">
              <w:rPr>
                <w:rStyle w:val="ab"/>
                <w:rFonts w:ascii="Myriad Pro" w:hAnsi="Myriad Pro"/>
                <w:b/>
                <w:noProof/>
              </w:rPr>
              <w:t>Арендная плата</w:t>
            </w:r>
            <w:r w:rsidR="00CB57A8" w:rsidRPr="008024B0">
              <w:rPr>
                <w:rFonts w:ascii="Myriad Pro" w:hAnsi="Myriad Pro"/>
                <w:noProof/>
                <w:webHidden/>
              </w:rPr>
              <w:tab/>
            </w:r>
            <w:r w:rsidR="00CB57A8" w:rsidRPr="008024B0">
              <w:rPr>
                <w:rFonts w:ascii="Myriad Pro" w:hAnsi="Myriad Pro"/>
                <w:noProof/>
                <w:webHidden/>
              </w:rPr>
              <w:fldChar w:fldCharType="begin"/>
            </w:r>
            <w:r w:rsidR="00CB57A8" w:rsidRPr="008024B0">
              <w:rPr>
                <w:rFonts w:ascii="Myriad Pro" w:hAnsi="Myriad Pro"/>
                <w:noProof/>
                <w:webHidden/>
              </w:rPr>
              <w:instrText xml:space="preserve"> PAGEREF _Toc40797966 \h </w:instrText>
            </w:r>
            <w:r w:rsidR="00CB57A8" w:rsidRPr="008024B0">
              <w:rPr>
                <w:rFonts w:ascii="Myriad Pro" w:hAnsi="Myriad Pro"/>
                <w:noProof/>
                <w:webHidden/>
              </w:rPr>
            </w:r>
            <w:r w:rsidR="00CB57A8" w:rsidRPr="008024B0">
              <w:rPr>
                <w:rFonts w:ascii="Myriad Pro" w:hAnsi="Myriad Pro"/>
                <w:noProof/>
                <w:webHidden/>
              </w:rPr>
              <w:fldChar w:fldCharType="separate"/>
            </w:r>
            <w:r>
              <w:rPr>
                <w:rFonts w:ascii="Myriad Pro" w:hAnsi="Myriad Pro"/>
                <w:noProof/>
                <w:webHidden/>
              </w:rPr>
              <w:t>181</w:t>
            </w:r>
            <w:r w:rsidR="00CB57A8" w:rsidRPr="008024B0">
              <w:rPr>
                <w:rFonts w:ascii="Myriad Pro" w:hAnsi="Myriad Pro"/>
                <w:noProof/>
                <w:webHidden/>
              </w:rPr>
              <w:fldChar w:fldCharType="end"/>
            </w:r>
          </w:hyperlink>
        </w:p>
        <w:p w14:paraId="2E6B09AF" w14:textId="49EB245C" w:rsidR="00CB57A8" w:rsidRPr="008024B0" w:rsidRDefault="00200042">
          <w:pPr>
            <w:pStyle w:val="32"/>
            <w:rPr>
              <w:rFonts w:ascii="Myriad Pro" w:eastAsiaTheme="minorEastAsia" w:hAnsi="Myriad Pro"/>
              <w:noProof/>
              <w:lang w:eastAsia="ru-RU"/>
            </w:rPr>
          </w:pPr>
          <w:hyperlink w:anchor="_Toc40797967" w:history="1">
            <w:r w:rsidR="00CB57A8" w:rsidRPr="008024B0">
              <w:rPr>
                <w:rStyle w:val="ab"/>
                <w:rFonts w:ascii="Myriad Pro" w:hAnsi="Myriad Pro"/>
                <w:b/>
                <w:noProof/>
              </w:rPr>
              <w:t>6.5.</w:t>
            </w:r>
            <w:r w:rsidR="00CB57A8" w:rsidRPr="008024B0">
              <w:rPr>
                <w:rFonts w:ascii="Myriad Pro" w:eastAsiaTheme="minorEastAsia" w:hAnsi="Myriad Pro"/>
                <w:noProof/>
                <w:lang w:eastAsia="ru-RU"/>
              </w:rPr>
              <w:tab/>
            </w:r>
            <w:r w:rsidR="00CB57A8" w:rsidRPr="008024B0">
              <w:rPr>
                <w:rStyle w:val="ab"/>
                <w:rFonts w:ascii="Myriad Pro" w:hAnsi="Myriad Pro"/>
                <w:b/>
                <w:noProof/>
              </w:rPr>
              <w:t>Налоги</w:t>
            </w:r>
            <w:r w:rsidR="00CB57A8" w:rsidRPr="008024B0">
              <w:rPr>
                <w:rFonts w:ascii="Myriad Pro" w:hAnsi="Myriad Pro"/>
                <w:noProof/>
                <w:webHidden/>
              </w:rPr>
              <w:tab/>
            </w:r>
            <w:r w:rsidR="00CB57A8" w:rsidRPr="008024B0">
              <w:rPr>
                <w:rFonts w:ascii="Myriad Pro" w:hAnsi="Myriad Pro"/>
                <w:noProof/>
                <w:webHidden/>
              </w:rPr>
              <w:fldChar w:fldCharType="begin"/>
            </w:r>
            <w:r w:rsidR="00CB57A8" w:rsidRPr="008024B0">
              <w:rPr>
                <w:rFonts w:ascii="Myriad Pro" w:hAnsi="Myriad Pro"/>
                <w:noProof/>
                <w:webHidden/>
              </w:rPr>
              <w:instrText xml:space="preserve"> PAGEREF _Toc40797967 \h </w:instrText>
            </w:r>
            <w:r w:rsidR="00CB57A8" w:rsidRPr="008024B0">
              <w:rPr>
                <w:rFonts w:ascii="Myriad Pro" w:hAnsi="Myriad Pro"/>
                <w:noProof/>
                <w:webHidden/>
              </w:rPr>
            </w:r>
            <w:r w:rsidR="00CB57A8" w:rsidRPr="008024B0">
              <w:rPr>
                <w:rFonts w:ascii="Myriad Pro" w:hAnsi="Myriad Pro"/>
                <w:noProof/>
                <w:webHidden/>
              </w:rPr>
              <w:fldChar w:fldCharType="separate"/>
            </w:r>
            <w:r>
              <w:rPr>
                <w:rFonts w:ascii="Myriad Pro" w:hAnsi="Myriad Pro"/>
                <w:noProof/>
                <w:webHidden/>
              </w:rPr>
              <w:t>185</w:t>
            </w:r>
            <w:r w:rsidR="00CB57A8" w:rsidRPr="008024B0">
              <w:rPr>
                <w:rFonts w:ascii="Myriad Pro" w:hAnsi="Myriad Pro"/>
                <w:noProof/>
                <w:webHidden/>
              </w:rPr>
              <w:fldChar w:fldCharType="end"/>
            </w:r>
          </w:hyperlink>
        </w:p>
        <w:p w14:paraId="5B5F4FF2" w14:textId="66885E40" w:rsidR="00CB57A8" w:rsidRPr="008024B0" w:rsidRDefault="00200042">
          <w:pPr>
            <w:pStyle w:val="32"/>
            <w:rPr>
              <w:rFonts w:ascii="Myriad Pro" w:eastAsiaTheme="minorEastAsia" w:hAnsi="Myriad Pro"/>
              <w:noProof/>
              <w:lang w:eastAsia="ru-RU"/>
            </w:rPr>
          </w:pPr>
          <w:hyperlink w:anchor="_Toc40797968" w:history="1">
            <w:r w:rsidR="00CB57A8" w:rsidRPr="008024B0">
              <w:rPr>
                <w:rStyle w:val="ab"/>
                <w:rFonts w:ascii="Myriad Pro" w:hAnsi="Myriad Pro"/>
                <w:b/>
                <w:noProof/>
              </w:rPr>
              <w:t>6.6.</w:t>
            </w:r>
            <w:r w:rsidR="00CB57A8" w:rsidRPr="008024B0">
              <w:rPr>
                <w:rFonts w:ascii="Myriad Pro" w:eastAsiaTheme="minorEastAsia" w:hAnsi="Myriad Pro"/>
                <w:noProof/>
                <w:lang w:eastAsia="ru-RU"/>
              </w:rPr>
              <w:tab/>
            </w:r>
            <w:r w:rsidR="00CB57A8" w:rsidRPr="008024B0">
              <w:rPr>
                <w:rStyle w:val="ab"/>
                <w:rFonts w:ascii="Myriad Pro" w:hAnsi="Myriad Pro"/>
                <w:b/>
                <w:noProof/>
              </w:rPr>
              <w:t>Амортизация</w:t>
            </w:r>
            <w:r w:rsidR="00CB57A8" w:rsidRPr="008024B0">
              <w:rPr>
                <w:rFonts w:ascii="Myriad Pro" w:hAnsi="Myriad Pro"/>
                <w:noProof/>
                <w:webHidden/>
              </w:rPr>
              <w:tab/>
            </w:r>
            <w:r w:rsidR="00CB57A8" w:rsidRPr="008024B0">
              <w:rPr>
                <w:rFonts w:ascii="Myriad Pro" w:hAnsi="Myriad Pro"/>
                <w:noProof/>
                <w:webHidden/>
              </w:rPr>
              <w:fldChar w:fldCharType="begin"/>
            </w:r>
            <w:r w:rsidR="00CB57A8" w:rsidRPr="008024B0">
              <w:rPr>
                <w:rFonts w:ascii="Myriad Pro" w:hAnsi="Myriad Pro"/>
                <w:noProof/>
                <w:webHidden/>
              </w:rPr>
              <w:instrText xml:space="preserve"> PAGEREF _Toc40797968 \h </w:instrText>
            </w:r>
            <w:r w:rsidR="00CB57A8" w:rsidRPr="008024B0">
              <w:rPr>
                <w:rFonts w:ascii="Myriad Pro" w:hAnsi="Myriad Pro"/>
                <w:noProof/>
                <w:webHidden/>
              </w:rPr>
            </w:r>
            <w:r w:rsidR="00CB57A8" w:rsidRPr="008024B0">
              <w:rPr>
                <w:rFonts w:ascii="Myriad Pro" w:hAnsi="Myriad Pro"/>
                <w:noProof/>
                <w:webHidden/>
              </w:rPr>
              <w:fldChar w:fldCharType="separate"/>
            </w:r>
            <w:r>
              <w:rPr>
                <w:rFonts w:ascii="Myriad Pro" w:hAnsi="Myriad Pro"/>
                <w:noProof/>
                <w:webHidden/>
              </w:rPr>
              <w:t>193</w:t>
            </w:r>
            <w:r w:rsidR="00CB57A8" w:rsidRPr="008024B0">
              <w:rPr>
                <w:rFonts w:ascii="Myriad Pro" w:hAnsi="Myriad Pro"/>
                <w:noProof/>
                <w:webHidden/>
              </w:rPr>
              <w:fldChar w:fldCharType="end"/>
            </w:r>
          </w:hyperlink>
        </w:p>
        <w:p w14:paraId="728ADACA" w14:textId="1D3A9C8E" w:rsidR="00CB57A8" w:rsidRPr="008024B0" w:rsidRDefault="00200042">
          <w:pPr>
            <w:pStyle w:val="32"/>
            <w:rPr>
              <w:rFonts w:ascii="Myriad Pro" w:eastAsiaTheme="minorEastAsia" w:hAnsi="Myriad Pro"/>
              <w:noProof/>
              <w:lang w:eastAsia="ru-RU"/>
            </w:rPr>
          </w:pPr>
          <w:hyperlink w:anchor="_Toc40797969" w:history="1">
            <w:r w:rsidR="00CB57A8" w:rsidRPr="008024B0">
              <w:rPr>
                <w:rStyle w:val="ab"/>
                <w:rFonts w:ascii="Myriad Pro" w:hAnsi="Myriad Pro"/>
                <w:b/>
                <w:noProof/>
              </w:rPr>
              <w:t>6.7.</w:t>
            </w:r>
            <w:r w:rsidR="00CB57A8" w:rsidRPr="008024B0">
              <w:rPr>
                <w:rFonts w:ascii="Myriad Pro" w:eastAsiaTheme="minorEastAsia" w:hAnsi="Myriad Pro"/>
                <w:noProof/>
                <w:lang w:eastAsia="ru-RU"/>
              </w:rPr>
              <w:tab/>
            </w:r>
            <w:r w:rsidR="00CB57A8" w:rsidRPr="008024B0">
              <w:rPr>
                <w:rStyle w:val="ab"/>
                <w:rFonts w:ascii="Myriad Pro" w:hAnsi="Myriad Pro"/>
                <w:b/>
                <w:noProof/>
              </w:rPr>
              <w:t>Налог на прибыль</w:t>
            </w:r>
            <w:r w:rsidR="00CB57A8" w:rsidRPr="008024B0">
              <w:rPr>
                <w:rFonts w:ascii="Myriad Pro" w:hAnsi="Myriad Pro"/>
                <w:noProof/>
                <w:webHidden/>
              </w:rPr>
              <w:tab/>
            </w:r>
            <w:r w:rsidR="00CB57A8" w:rsidRPr="008024B0">
              <w:rPr>
                <w:rFonts w:ascii="Myriad Pro" w:hAnsi="Myriad Pro"/>
                <w:noProof/>
                <w:webHidden/>
              </w:rPr>
              <w:fldChar w:fldCharType="begin"/>
            </w:r>
            <w:r w:rsidR="00CB57A8" w:rsidRPr="008024B0">
              <w:rPr>
                <w:rFonts w:ascii="Myriad Pro" w:hAnsi="Myriad Pro"/>
                <w:noProof/>
                <w:webHidden/>
              </w:rPr>
              <w:instrText xml:space="preserve"> PAGEREF _Toc40797969 \h </w:instrText>
            </w:r>
            <w:r w:rsidR="00CB57A8" w:rsidRPr="008024B0">
              <w:rPr>
                <w:rFonts w:ascii="Myriad Pro" w:hAnsi="Myriad Pro"/>
                <w:noProof/>
                <w:webHidden/>
              </w:rPr>
            </w:r>
            <w:r w:rsidR="00CB57A8" w:rsidRPr="008024B0">
              <w:rPr>
                <w:rFonts w:ascii="Myriad Pro" w:hAnsi="Myriad Pro"/>
                <w:noProof/>
                <w:webHidden/>
              </w:rPr>
              <w:fldChar w:fldCharType="separate"/>
            </w:r>
            <w:r>
              <w:rPr>
                <w:rFonts w:ascii="Myriad Pro" w:hAnsi="Myriad Pro"/>
                <w:noProof/>
                <w:webHidden/>
              </w:rPr>
              <w:t>197</w:t>
            </w:r>
            <w:r w:rsidR="00CB57A8" w:rsidRPr="008024B0">
              <w:rPr>
                <w:rFonts w:ascii="Myriad Pro" w:hAnsi="Myriad Pro"/>
                <w:noProof/>
                <w:webHidden/>
              </w:rPr>
              <w:fldChar w:fldCharType="end"/>
            </w:r>
          </w:hyperlink>
        </w:p>
        <w:p w14:paraId="53F87C74" w14:textId="224C2F46" w:rsidR="00CB57A8" w:rsidRPr="008024B0" w:rsidRDefault="00200042">
          <w:pPr>
            <w:pStyle w:val="32"/>
            <w:rPr>
              <w:rFonts w:ascii="Myriad Pro" w:eastAsiaTheme="minorEastAsia" w:hAnsi="Myriad Pro"/>
              <w:noProof/>
              <w:lang w:eastAsia="ru-RU"/>
            </w:rPr>
          </w:pPr>
          <w:hyperlink w:anchor="_Toc40797970" w:history="1">
            <w:r w:rsidR="00CB57A8" w:rsidRPr="008024B0">
              <w:rPr>
                <w:rStyle w:val="ab"/>
                <w:rFonts w:ascii="Myriad Pro" w:hAnsi="Myriad Pro"/>
                <w:b/>
                <w:noProof/>
              </w:rPr>
              <w:t>6.8.</w:t>
            </w:r>
            <w:r w:rsidR="00CB57A8" w:rsidRPr="008024B0">
              <w:rPr>
                <w:rFonts w:ascii="Myriad Pro" w:eastAsiaTheme="minorEastAsia" w:hAnsi="Myriad Pro"/>
                <w:noProof/>
                <w:lang w:eastAsia="ru-RU"/>
              </w:rPr>
              <w:tab/>
            </w:r>
            <w:r w:rsidR="00CB57A8" w:rsidRPr="008024B0">
              <w:rPr>
                <w:rStyle w:val="ab"/>
                <w:rFonts w:ascii="Myriad Pro" w:hAnsi="Myriad Pro"/>
                <w:b/>
                <w:noProof/>
              </w:rPr>
              <w:t>Выпадающие доходы от льготного ТП (п. 87 Основ ценообразования)</w:t>
            </w:r>
            <w:r w:rsidR="00CB57A8" w:rsidRPr="008024B0">
              <w:rPr>
                <w:rFonts w:ascii="Myriad Pro" w:hAnsi="Myriad Pro"/>
                <w:noProof/>
                <w:webHidden/>
              </w:rPr>
              <w:tab/>
            </w:r>
            <w:r w:rsidR="00CB57A8" w:rsidRPr="008024B0">
              <w:rPr>
                <w:rFonts w:ascii="Myriad Pro" w:hAnsi="Myriad Pro"/>
                <w:noProof/>
                <w:webHidden/>
              </w:rPr>
              <w:fldChar w:fldCharType="begin"/>
            </w:r>
            <w:r w:rsidR="00CB57A8" w:rsidRPr="008024B0">
              <w:rPr>
                <w:rFonts w:ascii="Myriad Pro" w:hAnsi="Myriad Pro"/>
                <w:noProof/>
                <w:webHidden/>
              </w:rPr>
              <w:instrText xml:space="preserve"> PAGEREF _Toc40797970 \h </w:instrText>
            </w:r>
            <w:r w:rsidR="00CB57A8" w:rsidRPr="008024B0">
              <w:rPr>
                <w:rFonts w:ascii="Myriad Pro" w:hAnsi="Myriad Pro"/>
                <w:noProof/>
                <w:webHidden/>
              </w:rPr>
            </w:r>
            <w:r w:rsidR="00CB57A8" w:rsidRPr="008024B0">
              <w:rPr>
                <w:rFonts w:ascii="Myriad Pro" w:hAnsi="Myriad Pro"/>
                <w:noProof/>
                <w:webHidden/>
              </w:rPr>
              <w:fldChar w:fldCharType="separate"/>
            </w:r>
            <w:r>
              <w:rPr>
                <w:rFonts w:ascii="Myriad Pro" w:hAnsi="Myriad Pro"/>
                <w:noProof/>
                <w:webHidden/>
              </w:rPr>
              <w:t>201</w:t>
            </w:r>
            <w:r w:rsidR="00CB57A8" w:rsidRPr="008024B0">
              <w:rPr>
                <w:rFonts w:ascii="Myriad Pro" w:hAnsi="Myriad Pro"/>
                <w:noProof/>
                <w:webHidden/>
              </w:rPr>
              <w:fldChar w:fldCharType="end"/>
            </w:r>
          </w:hyperlink>
        </w:p>
        <w:p w14:paraId="7ECB5EC1" w14:textId="23DACEF4" w:rsidR="00CB57A8" w:rsidRPr="008024B0" w:rsidRDefault="00200042">
          <w:pPr>
            <w:pStyle w:val="32"/>
            <w:rPr>
              <w:rFonts w:ascii="Myriad Pro" w:eastAsiaTheme="minorEastAsia" w:hAnsi="Myriad Pro"/>
              <w:noProof/>
              <w:lang w:eastAsia="ru-RU"/>
            </w:rPr>
          </w:pPr>
          <w:hyperlink w:anchor="_Toc40797971" w:history="1">
            <w:r w:rsidR="00CB57A8" w:rsidRPr="008024B0">
              <w:rPr>
                <w:rStyle w:val="ab"/>
                <w:rFonts w:ascii="Myriad Pro" w:hAnsi="Myriad Pro"/>
                <w:b/>
                <w:noProof/>
              </w:rPr>
              <w:t>6.9.</w:t>
            </w:r>
            <w:r w:rsidR="00CB57A8" w:rsidRPr="008024B0">
              <w:rPr>
                <w:rFonts w:ascii="Myriad Pro" w:eastAsiaTheme="minorEastAsia" w:hAnsi="Myriad Pro"/>
                <w:noProof/>
                <w:lang w:eastAsia="ru-RU"/>
              </w:rPr>
              <w:tab/>
            </w:r>
            <w:r w:rsidR="00CB57A8" w:rsidRPr="008024B0">
              <w:rPr>
                <w:rStyle w:val="ab"/>
                <w:rFonts w:ascii="Myriad Pro" w:hAnsi="Myriad Pro"/>
                <w:b/>
                <w:noProof/>
              </w:rPr>
              <w:t>Расходы на обслуживание кредитных ресурсов (проценты к уплате)</w:t>
            </w:r>
            <w:r w:rsidR="00CB57A8" w:rsidRPr="008024B0">
              <w:rPr>
                <w:rFonts w:ascii="Myriad Pro" w:hAnsi="Myriad Pro"/>
                <w:noProof/>
                <w:webHidden/>
              </w:rPr>
              <w:tab/>
            </w:r>
            <w:r w:rsidR="00CB57A8" w:rsidRPr="008024B0">
              <w:rPr>
                <w:rFonts w:ascii="Myriad Pro" w:hAnsi="Myriad Pro"/>
                <w:noProof/>
                <w:webHidden/>
              </w:rPr>
              <w:fldChar w:fldCharType="begin"/>
            </w:r>
            <w:r w:rsidR="00CB57A8" w:rsidRPr="008024B0">
              <w:rPr>
                <w:rFonts w:ascii="Myriad Pro" w:hAnsi="Myriad Pro"/>
                <w:noProof/>
                <w:webHidden/>
              </w:rPr>
              <w:instrText xml:space="preserve"> PAGEREF _Toc40797971 \h </w:instrText>
            </w:r>
            <w:r w:rsidR="00CB57A8" w:rsidRPr="008024B0">
              <w:rPr>
                <w:rFonts w:ascii="Myriad Pro" w:hAnsi="Myriad Pro"/>
                <w:noProof/>
                <w:webHidden/>
              </w:rPr>
            </w:r>
            <w:r w:rsidR="00CB57A8" w:rsidRPr="008024B0">
              <w:rPr>
                <w:rFonts w:ascii="Myriad Pro" w:hAnsi="Myriad Pro"/>
                <w:noProof/>
                <w:webHidden/>
              </w:rPr>
              <w:fldChar w:fldCharType="separate"/>
            </w:r>
            <w:r>
              <w:rPr>
                <w:rFonts w:ascii="Myriad Pro" w:hAnsi="Myriad Pro"/>
                <w:noProof/>
                <w:webHidden/>
              </w:rPr>
              <w:t>217</w:t>
            </w:r>
            <w:r w:rsidR="00CB57A8" w:rsidRPr="008024B0">
              <w:rPr>
                <w:rFonts w:ascii="Myriad Pro" w:hAnsi="Myriad Pro"/>
                <w:noProof/>
                <w:webHidden/>
              </w:rPr>
              <w:fldChar w:fldCharType="end"/>
            </w:r>
          </w:hyperlink>
        </w:p>
        <w:p w14:paraId="5AFF128A" w14:textId="2F527E2D" w:rsidR="00CB57A8" w:rsidRPr="008024B0" w:rsidRDefault="00200042">
          <w:pPr>
            <w:pStyle w:val="32"/>
            <w:rPr>
              <w:rFonts w:ascii="Myriad Pro" w:eastAsiaTheme="minorEastAsia" w:hAnsi="Myriad Pro"/>
              <w:noProof/>
              <w:lang w:eastAsia="ru-RU"/>
            </w:rPr>
          </w:pPr>
          <w:hyperlink w:anchor="_Toc40797972" w:history="1">
            <w:r w:rsidR="00CB57A8" w:rsidRPr="008024B0">
              <w:rPr>
                <w:rStyle w:val="ab"/>
                <w:rFonts w:ascii="Myriad Pro" w:hAnsi="Myriad Pro"/>
                <w:b/>
                <w:noProof/>
              </w:rPr>
              <w:t>6.10.</w:t>
            </w:r>
            <w:r w:rsidR="00CB57A8" w:rsidRPr="008024B0">
              <w:rPr>
                <w:rFonts w:ascii="Myriad Pro" w:eastAsiaTheme="minorEastAsia" w:hAnsi="Myriad Pro"/>
                <w:noProof/>
                <w:lang w:eastAsia="ru-RU"/>
              </w:rPr>
              <w:tab/>
            </w:r>
            <w:r w:rsidR="00CB57A8" w:rsidRPr="008024B0">
              <w:rPr>
                <w:rStyle w:val="ab"/>
                <w:rFonts w:ascii="Myriad Pro" w:hAnsi="Myriad Pro"/>
                <w:b/>
                <w:noProof/>
              </w:rPr>
              <w:t>Резерв по сомнительным долгам</w:t>
            </w:r>
            <w:r w:rsidR="00CB57A8" w:rsidRPr="008024B0">
              <w:rPr>
                <w:rFonts w:ascii="Myriad Pro" w:hAnsi="Myriad Pro"/>
                <w:noProof/>
                <w:webHidden/>
              </w:rPr>
              <w:tab/>
            </w:r>
            <w:r w:rsidR="00CB57A8" w:rsidRPr="008024B0">
              <w:rPr>
                <w:rFonts w:ascii="Myriad Pro" w:hAnsi="Myriad Pro"/>
                <w:noProof/>
                <w:webHidden/>
              </w:rPr>
              <w:fldChar w:fldCharType="begin"/>
            </w:r>
            <w:r w:rsidR="00CB57A8" w:rsidRPr="008024B0">
              <w:rPr>
                <w:rFonts w:ascii="Myriad Pro" w:hAnsi="Myriad Pro"/>
                <w:noProof/>
                <w:webHidden/>
              </w:rPr>
              <w:instrText xml:space="preserve"> PAGEREF _Toc40797972 \h </w:instrText>
            </w:r>
            <w:r w:rsidR="00CB57A8" w:rsidRPr="008024B0">
              <w:rPr>
                <w:rFonts w:ascii="Myriad Pro" w:hAnsi="Myriad Pro"/>
                <w:noProof/>
                <w:webHidden/>
              </w:rPr>
            </w:r>
            <w:r w:rsidR="00CB57A8" w:rsidRPr="008024B0">
              <w:rPr>
                <w:rFonts w:ascii="Myriad Pro" w:hAnsi="Myriad Pro"/>
                <w:noProof/>
                <w:webHidden/>
              </w:rPr>
              <w:fldChar w:fldCharType="separate"/>
            </w:r>
            <w:r>
              <w:rPr>
                <w:rFonts w:ascii="Myriad Pro" w:hAnsi="Myriad Pro"/>
                <w:noProof/>
                <w:webHidden/>
              </w:rPr>
              <w:t>224</w:t>
            </w:r>
            <w:r w:rsidR="00CB57A8" w:rsidRPr="008024B0">
              <w:rPr>
                <w:rFonts w:ascii="Myriad Pro" w:hAnsi="Myriad Pro"/>
                <w:noProof/>
                <w:webHidden/>
              </w:rPr>
              <w:fldChar w:fldCharType="end"/>
            </w:r>
          </w:hyperlink>
        </w:p>
        <w:p w14:paraId="06771EDD" w14:textId="66BBD514" w:rsidR="00CB57A8" w:rsidRPr="008024B0" w:rsidRDefault="00200042">
          <w:pPr>
            <w:pStyle w:val="32"/>
            <w:rPr>
              <w:rFonts w:ascii="Myriad Pro" w:eastAsiaTheme="minorEastAsia" w:hAnsi="Myriad Pro"/>
              <w:noProof/>
              <w:lang w:eastAsia="ru-RU"/>
            </w:rPr>
          </w:pPr>
          <w:hyperlink w:anchor="_Toc40797973" w:history="1">
            <w:r w:rsidR="00CB57A8" w:rsidRPr="008024B0">
              <w:rPr>
                <w:rStyle w:val="ab"/>
                <w:rFonts w:ascii="Myriad Pro" w:hAnsi="Myriad Pro"/>
                <w:b/>
                <w:noProof/>
              </w:rPr>
              <w:t>7.</w:t>
            </w:r>
            <w:r w:rsidR="00CB57A8" w:rsidRPr="008024B0">
              <w:rPr>
                <w:rFonts w:ascii="Myriad Pro" w:eastAsiaTheme="minorEastAsia" w:hAnsi="Myriad Pro"/>
                <w:noProof/>
                <w:lang w:eastAsia="ru-RU"/>
              </w:rPr>
              <w:tab/>
            </w:r>
            <w:r w:rsidR="00CB57A8" w:rsidRPr="008024B0">
              <w:rPr>
                <w:rStyle w:val="ab"/>
                <w:rFonts w:ascii="Myriad Pro" w:hAnsi="Myriad Pro"/>
                <w:b/>
                <w:noProof/>
              </w:rPr>
              <w:t>Экспертиза обоснованности расходов на компенсацию потерь, учтенных регулирующим органом в необходимой валовой выручке на 2019 год</w:t>
            </w:r>
            <w:r w:rsidR="00CB57A8" w:rsidRPr="008024B0">
              <w:rPr>
                <w:rFonts w:ascii="Myriad Pro" w:hAnsi="Myriad Pro"/>
                <w:noProof/>
                <w:webHidden/>
              </w:rPr>
              <w:tab/>
            </w:r>
            <w:r w:rsidR="00CB57A8" w:rsidRPr="008024B0">
              <w:rPr>
                <w:rFonts w:ascii="Myriad Pro" w:hAnsi="Myriad Pro"/>
                <w:noProof/>
                <w:webHidden/>
              </w:rPr>
              <w:fldChar w:fldCharType="begin"/>
            </w:r>
            <w:r w:rsidR="00CB57A8" w:rsidRPr="008024B0">
              <w:rPr>
                <w:rFonts w:ascii="Myriad Pro" w:hAnsi="Myriad Pro"/>
                <w:noProof/>
                <w:webHidden/>
              </w:rPr>
              <w:instrText xml:space="preserve"> PAGEREF _Toc40797973 \h </w:instrText>
            </w:r>
            <w:r w:rsidR="00CB57A8" w:rsidRPr="008024B0">
              <w:rPr>
                <w:rFonts w:ascii="Myriad Pro" w:hAnsi="Myriad Pro"/>
                <w:noProof/>
                <w:webHidden/>
              </w:rPr>
            </w:r>
            <w:r w:rsidR="00CB57A8" w:rsidRPr="008024B0">
              <w:rPr>
                <w:rFonts w:ascii="Myriad Pro" w:hAnsi="Myriad Pro"/>
                <w:noProof/>
                <w:webHidden/>
              </w:rPr>
              <w:fldChar w:fldCharType="separate"/>
            </w:r>
            <w:r>
              <w:rPr>
                <w:rFonts w:ascii="Myriad Pro" w:hAnsi="Myriad Pro"/>
                <w:noProof/>
                <w:webHidden/>
              </w:rPr>
              <w:t>239</w:t>
            </w:r>
            <w:r w:rsidR="00CB57A8" w:rsidRPr="008024B0">
              <w:rPr>
                <w:rFonts w:ascii="Myriad Pro" w:hAnsi="Myriad Pro"/>
                <w:noProof/>
                <w:webHidden/>
              </w:rPr>
              <w:fldChar w:fldCharType="end"/>
            </w:r>
          </w:hyperlink>
        </w:p>
        <w:p w14:paraId="5C4B1B33" w14:textId="22E7B8E3" w:rsidR="002D6C17" w:rsidRPr="002D6C17" w:rsidRDefault="002D6C17" w:rsidP="002D6C17">
          <w:pPr>
            <w:pStyle w:val="32"/>
            <w:rPr>
              <w:rFonts w:ascii="Myriad Pro" w:hAnsi="Myriad Pro"/>
            </w:rPr>
          </w:pPr>
          <w:r w:rsidRPr="008024B0">
            <w:rPr>
              <w:rFonts w:ascii="Myriad Pro" w:hAnsi="Myriad Pro"/>
            </w:rPr>
            <w:fldChar w:fldCharType="end"/>
          </w:r>
        </w:p>
      </w:sdtContent>
    </w:sdt>
    <w:p w14:paraId="778EF119" w14:textId="77777777" w:rsidR="002D6C17" w:rsidRDefault="002D6C17" w:rsidP="002D6C17">
      <w:pPr>
        <w:pStyle w:val="3"/>
        <w:tabs>
          <w:tab w:val="left" w:pos="1134"/>
        </w:tabs>
        <w:spacing w:before="0" w:line="360" w:lineRule="auto"/>
        <w:jc w:val="both"/>
        <w:rPr>
          <w:rFonts w:ascii="Myriad Pro" w:hAnsi="Myriad Pro"/>
          <w:b/>
          <w:color w:val="auto"/>
          <w:sz w:val="28"/>
          <w:szCs w:val="28"/>
        </w:rPr>
        <w:sectPr w:rsidR="002D6C17" w:rsidSect="008C7EA4">
          <w:headerReference w:type="default" r:id="rId11"/>
          <w:footerReference w:type="default" r:id="rId12"/>
          <w:pgSz w:w="11906" w:h="16838"/>
          <w:pgMar w:top="1134" w:right="851" w:bottom="1134" w:left="1701" w:header="708" w:footer="708" w:gutter="0"/>
          <w:cols w:space="708"/>
          <w:titlePg/>
          <w:docGrid w:linePitch="360"/>
        </w:sectPr>
      </w:pPr>
    </w:p>
    <w:p w14:paraId="1F06486E" w14:textId="35D40B0F" w:rsidR="002D6C17" w:rsidRPr="0055525D" w:rsidRDefault="002D6C17" w:rsidP="002D6C17">
      <w:pPr>
        <w:shd w:val="clear" w:color="auto" w:fill="FFFFFF"/>
        <w:spacing w:after="0" w:line="360" w:lineRule="auto"/>
        <w:ind w:firstLine="567"/>
        <w:contextualSpacing/>
        <w:jc w:val="both"/>
        <w:rPr>
          <w:rFonts w:ascii="Myriad Pro" w:hAnsi="Myriad Pro"/>
          <w:sz w:val="26"/>
          <w:szCs w:val="26"/>
        </w:rPr>
      </w:pPr>
      <w:r>
        <w:rPr>
          <w:rFonts w:ascii="Myriad Pro" w:hAnsi="Myriad Pro"/>
          <w:sz w:val="26"/>
          <w:szCs w:val="26"/>
        </w:rPr>
        <w:lastRenderedPageBreak/>
        <w:t>Настоящий</w:t>
      </w:r>
      <w:r w:rsidRPr="00282B4C">
        <w:rPr>
          <w:rFonts w:ascii="Myriad Pro" w:hAnsi="Myriad Pro"/>
          <w:sz w:val="26"/>
          <w:szCs w:val="26"/>
        </w:rPr>
        <w:t xml:space="preserve"> </w:t>
      </w:r>
      <w:r>
        <w:rPr>
          <w:rFonts w:ascii="Myriad Pro" w:hAnsi="Myriad Pro"/>
          <w:sz w:val="26"/>
          <w:szCs w:val="26"/>
        </w:rPr>
        <w:t>Отчет</w:t>
      </w:r>
      <w:r w:rsidRPr="00282B4C">
        <w:rPr>
          <w:rFonts w:ascii="Myriad Pro" w:hAnsi="Myriad Pro"/>
          <w:sz w:val="26"/>
          <w:szCs w:val="26"/>
        </w:rPr>
        <w:t xml:space="preserve"> </w:t>
      </w:r>
      <w:r w:rsidRPr="006F0CB0">
        <w:rPr>
          <w:rFonts w:ascii="Myriad Pro" w:hAnsi="Myriad Pro"/>
          <w:sz w:val="26"/>
          <w:szCs w:val="26"/>
        </w:rPr>
        <w:t>по результат</w:t>
      </w:r>
      <w:r>
        <w:rPr>
          <w:rFonts w:ascii="Myriad Pro" w:hAnsi="Myriad Pro"/>
          <w:sz w:val="26"/>
          <w:szCs w:val="26"/>
        </w:rPr>
        <w:t>ам анализа принятых</w:t>
      </w:r>
      <w:r w:rsidRPr="006F0CB0">
        <w:rPr>
          <w:rFonts w:ascii="Myriad Pro" w:hAnsi="Myriad Pro"/>
          <w:sz w:val="26"/>
          <w:szCs w:val="26"/>
        </w:rPr>
        <w:t xml:space="preserve"> регулиру</w:t>
      </w:r>
      <w:r>
        <w:rPr>
          <w:rFonts w:ascii="Myriad Pro" w:hAnsi="Myriad Pro"/>
          <w:sz w:val="26"/>
          <w:szCs w:val="26"/>
        </w:rPr>
        <w:t>ющим органом тарифно-балансовых решений</w:t>
      </w:r>
      <w:r w:rsidRPr="006F0CB0">
        <w:rPr>
          <w:rFonts w:ascii="Myriad Pro" w:hAnsi="Myriad Pro"/>
          <w:sz w:val="26"/>
          <w:szCs w:val="26"/>
        </w:rPr>
        <w:t xml:space="preserve"> за 2019 год </w:t>
      </w:r>
      <w:r>
        <w:rPr>
          <w:rFonts w:ascii="Myriad Pro" w:hAnsi="Myriad Pro"/>
          <w:sz w:val="26"/>
          <w:szCs w:val="26"/>
        </w:rPr>
        <w:t xml:space="preserve">в отношении </w:t>
      </w:r>
      <w:r w:rsidRPr="0055525D">
        <w:rPr>
          <w:rFonts w:ascii="Myriad Pro" w:hAnsi="Myriad Pro"/>
          <w:sz w:val="26"/>
          <w:szCs w:val="26"/>
        </w:rPr>
        <w:t xml:space="preserve">ПАО «МРСК Северо-Запада» (далее – Заказчик) составлен ООО «Экспертная компания ЭПАР» (далее – Исполнитель) на основании экспертизы тарифно-балансовых решений (далее – ТБР), принятых регулирующим органом в отношении Мурманского филиала ПАО «МРСК Северо-Запада» (далее – регулируемая организация, филиал </w:t>
      </w:r>
      <w:r w:rsidR="008C7EA4">
        <w:rPr>
          <w:rFonts w:ascii="Myriad Pro" w:hAnsi="Myriad Pro"/>
          <w:sz w:val="26"/>
          <w:szCs w:val="26"/>
        </w:rPr>
        <w:br/>
        <w:t xml:space="preserve">ПАО «МРСК Северо-Запада» </w:t>
      </w:r>
      <w:r w:rsidRPr="0055525D">
        <w:rPr>
          <w:rFonts w:ascii="Myriad Pro" w:hAnsi="Myriad Pro"/>
          <w:sz w:val="26"/>
          <w:szCs w:val="26"/>
        </w:rPr>
        <w:t>«Колэнерго») при установлении регулируемых тарифов на услуги по передаче электрической энергии</w:t>
      </w:r>
      <w:r w:rsidR="00296C71">
        <w:rPr>
          <w:rFonts w:ascii="Myriad Pro" w:hAnsi="Myriad Pro"/>
          <w:sz w:val="26"/>
          <w:szCs w:val="26"/>
        </w:rPr>
        <w:t xml:space="preserve"> с применением</w:t>
      </w:r>
      <w:r w:rsidRPr="0055525D">
        <w:rPr>
          <w:rFonts w:ascii="Myriad Pro" w:hAnsi="Myriad Pro"/>
          <w:sz w:val="26"/>
          <w:szCs w:val="26"/>
        </w:rPr>
        <w:t xml:space="preserve"> метод</w:t>
      </w:r>
      <w:r w:rsidR="00296C71">
        <w:rPr>
          <w:rFonts w:ascii="Myriad Pro" w:hAnsi="Myriad Pro"/>
          <w:sz w:val="26"/>
          <w:szCs w:val="26"/>
        </w:rPr>
        <w:t>а</w:t>
      </w:r>
      <w:r w:rsidRPr="0055525D">
        <w:rPr>
          <w:rFonts w:ascii="Myriad Pro" w:hAnsi="Myriad Pro"/>
          <w:sz w:val="26"/>
          <w:szCs w:val="26"/>
        </w:rPr>
        <w:t xml:space="preserve"> долгосрочной индексации необходимой валовой выручки на 2019 год на территории Мурманской области, экспертизы обосновывающих материалов, предоставленных Мурманским филиалом ПАО «МРСК Северо-Запада» в регулирующий орган – Комитет по тарифному регулированию Мурманской области </w:t>
      </w:r>
      <w:bookmarkStart w:id="3" w:name="_Hlk40793695"/>
      <w:r w:rsidRPr="0055525D">
        <w:rPr>
          <w:rFonts w:ascii="Myriad Pro" w:hAnsi="Myriad Pro"/>
          <w:sz w:val="26"/>
          <w:szCs w:val="26"/>
        </w:rPr>
        <w:t>(далее – регулирующий орган,</w:t>
      </w:r>
      <w:r w:rsidR="0055525D" w:rsidRPr="0055525D">
        <w:rPr>
          <w:rFonts w:ascii="Myriad Pro" w:hAnsi="Myriad Pro"/>
          <w:sz w:val="26"/>
          <w:szCs w:val="26"/>
        </w:rPr>
        <w:t xml:space="preserve"> </w:t>
      </w:r>
      <w:r w:rsidR="0055525D" w:rsidRPr="0055525D">
        <w:rPr>
          <w:rFonts w:ascii="Myriad Pro" w:eastAsia="Calibri" w:hAnsi="Myriad Pro" w:cs="Times New Roman"/>
          <w:sz w:val="26"/>
          <w:szCs w:val="26"/>
        </w:rPr>
        <w:t>Комитет</w:t>
      </w:r>
      <w:r w:rsidRPr="0055525D">
        <w:rPr>
          <w:rFonts w:ascii="Myriad Pro" w:hAnsi="Myriad Pro"/>
          <w:sz w:val="26"/>
          <w:szCs w:val="26"/>
        </w:rPr>
        <w:t xml:space="preserve">) </w:t>
      </w:r>
      <w:bookmarkEnd w:id="3"/>
      <w:r w:rsidRPr="0055525D">
        <w:rPr>
          <w:rFonts w:ascii="Myriad Pro" w:hAnsi="Myriad Pro"/>
          <w:sz w:val="26"/>
          <w:szCs w:val="26"/>
        </w:rPr>
        <w:t>в рамках рассмотрения дел об установлении тарифов на услуги по передаче электрической энергии, экспертизы обоснованности решений, принятых регулирующим органом при определении необходимой валовой выручки (далее – НВВ) Мурманского филиала ПАО «МРСК Северо-Запада» при установлении тарифов на услуги по передаче электрической энергии, а именно:</w:t>
      </w:r>
    </w:p>
    <w:p w14:paraId="4F155EB4" w14:textId="77777777" w:rsidR="002D6C17" w:rsidRPr="0055525D" w:rsidRDefault="002D6C17" w:rsidP="002D6C17">
      <w:pPr>
        <w:pStyle w:val="a4"/>
        <w:numPr>
          <w:ilvl w:val="1"/>
          <w:numId w:val="66"/>
        </w:numPr>
        <w:shd w:val="clear" w:color="auto" w:fill="FFFFFF"/>
        <w:spacing w:after="0" w:line="360" w:lineRule="auto"/>
        <w:ind w:left="0" w:firstLine="567"/>
        <w:jc w:val="both"/>
        <w:rPr>
          <w:rFonts w:ascii="Myriad Pro" w:hAnsi="Myriad Pro"/>
          <w:sz w:val="26"/>
          <w:szCs w:val="26"/>
        </w:rPr>
      </w:pPr>
      <w:r w:rsidRPr="0055525D">
        <w:rPr>
          <w:rFonts w:ascii="Myriad Pro" w:hAnsi="Myriad Pro"/>
          <w:sz w:val="26"/>
          <w:szCs w:val="26"/>
        </w:rPr>
        <w:t>Анализа документов, предоставленных Мурманским филиалом ПАО «МРСК Северо-Запада» в Комитет по тарифному регулированию Мурманской области в рамках рассмотрения дела об установлении тарифов, на основании которых Комитетом по тарифному регулированию Мурманской области были приняты соответствующие тарифно-балансовые решения на 2019 год.</w:t>
      </w:r>
    </w:p>
    <w:p w14:paraId="01DF08D2" w14:textId="77777777" w:rsidR="002D6C17" w:rsidRPr="0055525D" w:rsidRDefault="002D6C17" w:rsidP="002D6C17">
      <w:pPr>
        <w:pStyle w:val="a4"/>
        <w:numPr>
          <w:ilvl w:val="1"/>
          <w:numId w:val="66"/>
        </w:numPr>
        <w:shd w:val="clear" w:color="auto" w:fill="FFFFFF"/>
        <w:spacing w:after="0" w:line="360" w:lineRule="auto"/>
        <w:ind w:left="0" w:firstLine="567"/>
        <w:jc w:val="both"/>
        <w:rPr>
          <w:rFonts w:ascii="Myriad Pro" w:hAnsi="Myriad Pro"/>
          <w:sz w:val="26"/>
          <w:szCs w:val="26"/>
        </w:rPr>
      </w:pPr>
      <w:r w:rsidRPr="0055525D">
        <w:rPr>
          <w:rFonts w:ascii="Myriad Pro" w:hAnsi="Myriad Pro"/>
          <w:sz w:val="26"/>
          <w:szCs w:val="26"/>
        </w:rPr>
        <w:t>Экспертизы обоснованности принятых Комитетом по тарифному регулированию Мурманской области в расчет тарифов на 2019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p>
    <w:p w14:paraId="1F21D476" w14:textId="5157EADB" w:rsidR="002D6C17" w:rsidRPr="0055525D" w:rsidRDefault="002D6C17" w:rsidP="002D6C17">
      <w:pPr>
        <w:pStyle w:val="a4"/>
        <w:numPr>
          <w:ilvl w:val="1"/>
          <w:numId w:val="66"/>
        </w:numPr>
        <w:shd w:val="clear" w:color="auto" w:fill="FFFFFF"/>
        <w:spacing w:after="0" w:line="360" w:lineRule="auto"/>
        <w:ind w:left="0" w:firstLine="567"/>
        <w:jc w:val="both"/>
        <w:rPr>
          <w:rFonts w:ascii="Myriad Pro" w:hAnsi="Myriad Pro"/>
          <w:sz w:val="26"/>
          <w:szCs w:val="26"/>
        </w:rPr>
      </w:pPr>
      <w:r w:rsidRPr="0055525D">
        <w:rPr>
          <w:rFonts w:ascii="Myriad Pro" w:hAnsi="Myriad Pro"/>
          <w:sz w:val="26"/>
          <w:szCs w:val="26"/>
        </w:rPr>
        <w:t xml:space="preserve">Экспертизы расчетов подконтрольных расходов, учтенных Комитетом по тарифному регулированию Мурманской области в необходимой </w:t>
      </w:r>
      <w:r w:rsidRPr="0055525D">
        <w:rPr>
          <w:rFonts w:ascii="Myriad Pro" w:hAnsi="Myriad Pro"/>
          <w:sz w:val="26"/>
          <w:szCs w:val="26"/>
        </w:rPr>
        <w:lastRenderedPageBreak/>
        <w:t>валовой выручке при установлении тарифов на 2019 год, являющийся первым годом долгосрочного периода регулирования.</w:t>
      </w:r>
    </w:p>
    <w:p w14:paraId="6FE072EE" w14:textId="77777777" w:rsidR="002D6C17" w:rsidRPr="0055525D" w:rsidRDefault="002D6C17" w:rsidP="002D6C17">
      <w:pPr>
        <w:pStyle w:val="a4"/>
        <w:numPr>
          <w:ilvl w:val="1"/>
          <w:numId w:val="66"/>
        </w:numPr>
        <w:shd w:val="clear" w:color="auto" w:fill="FFFFFF"/>
        <w:spacing w:after="0" w:line="360" w:lineRule="auto"/>
        <w:ind w:left="0" w:firstLine="567"/>
        <w:jc w:val="both"/>
        <w:rPr>
          <w:rFonts w:ascii="Myriad Pro" w:hAnsi="Myriad Pro"/>
          <w:sz w:val="26"/>
          <w:szCs w:val="26"/>
        </w:rPr>
      </w:pPr>
      <w:r w:rsidRPr="0055525D">
        <w:rPr>
          <w:rFonts w:ascii="Myriad Pro" w:hAnsi="Myriad Pro"/>
          <w:sz w:val="26"/>
          <w:szCs w:val="26"/>
        </w:rPr>
        <w:t>Анализа обоснованности принятых Комитетом по тарифному регулированию Мурманской области в расчет тарифов долгосрочных параметров регулирования: индекса эффективности подконтрольных расходов, уровня надежности и качества услуг на 2019 год.</w:t>
      </w:r>
    </w:p>
    <w:p w14:paraId="10A5F9EB" w14:textId="77777777" w:rsidR="002D6C17" w:rsidRPr="0055525D" w:rsidRDefault="002D6C17" w:rsidP="002D6C17">
      <w:pPr>
        <w:pStyle w:val="a4"/>
        <w:numPr>
          <w:ilvl w:val="1"/>
          <w:numId w:val="66"/>
        </w:numPr>
        <w:shd w:val="clear" w:color="auto" w:fill="FFFFFF"/>
        <w:spacing w:after="0" w:line="360" w:lineRule="auto"/>
        <w:ind w:left="0" w:firstLine="567"/>
        <w:jc w:val="both"/>
        <w:rPr>
          <w:rFonts w:ascii="Myriad Pro" w:hAnsi="Myriad Pro"/>
          <w:sz w:val="26"/>
          <w:szCs w:val="26"/>
        </w:rPr>
      </w:pPr>
      <w:r w:rsidRPr="0055525D">
        <w:rPr>
          <w:rFonts w:ascii="Myriad Pro" w:hAnsi="Myriad Pro"/>
          <w:sz w:val="26"/>
          <w:szCs w:val="26"/>
        </w:rPr>
        <w:t>Экспертизы обоснованности расчетов Комитета по тарифному регулированию Мурманской области по статьям неподконтрольных расходов на 2019 год.</w:t>
      </w:r>
    </w:p>
    <w:p w14:paraId="4A715DC0" w14:textId="77777777" w:rsidR="002D6C17" w:rsidRPr="0055525D" w:rsidRDefault="002D6C17" w:rsidP="002D6C17">
      <w:pPr>
        <w:pStyle w:val="a4"/>
        <w:numPr>
          <w:ilvl w:val="1"/>
          <w:numId w:val="66"/>
        </w:numPr>
        <w:shd w:val="clear" w:color="auto" w:fill="FFFFFF"/>
        <w:spacing w:after="0" w:line="360" w:lineRule="auto"/>
        <w:ind w:left="0" w:firstLine="567"/>
        <w:jc w:val="both"/>
        <w:rPr>
          <w:rFonts w:ascii="Myriad Pro" w:hAnsi="Myriad Pro"/>
          <w:sz w:val="26"/>
          <w:szCs w:val="26"/>
        </w:rPr>
      </w:pPr>
      <w:r w:rsidRPr="0055525D">
        <w:rPr>
          <w:rFonts w:ascii="Myriad Pro" w:hAnsi="Myriad Pro"/>
          <w:sz w:val="26"/>
          <w:szCs w:val="26"/>
        </w:rPr>
        <w:t>Экспертизы обоснованности расходов на компенсацию потерь, учтенных Комитетом по тарифному регулированию Мурманской области в необходимой валовой выручке на 2019 год.</w:t>
      </w:r>
    </w:p>
    <w:p w14:paraId="7A265D1F" w14:textId="77777777" w:rsidR="002D6C17" w:rsidRDefault="002D6C17" w:rsidP="002D6C17">
      <w:pPr>
        <w:shd w:val="clear" w:color="auto" w:fill="FFFFFF"/>
        <w:spacing w:after="0" w:line="360" w:lineRule="auto"/>
        <w:ind w:firstLine="567"/>
        <w:jc w:val="both"/>
        <w:rPr>
          <w:rFonts w:ascii="Myriad Pro" w:hAnsi="Myriad Pro"/>
          <w:sz w:val="26"/>
          <w:szCs w:val="26"/>
        </w:rPr>
      </w:pPr>
      <w:r w:rsidRPr="0055525D">
        <w:rPr>
          <w:rFonts w:ascii="Myriad Pro" w:hAnsi="Myriad Pro"/>
          <w:sz w:val="26"/>
          <w:szCs w:val="26"/>
        </w:rPr>
        <w:t>Исполнителем рассматривались и принимались во внимание все представленные документы, имеющие значение для оценки обоснованности принятых Комитетом по тарифному регулированию Мурманской области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2CCF6E51" w14:textId="77777777" w:rsidR="002D6C17" w:rsidRPr="00282B4C" w:rsidRDefault="002D6C17" w:rsidP="002D6C17">
      <w:pPr>
        <w:shd w:val="clear" w:color="auto" w:fill="FFFFFF"/>
        <w:spacing w:before="100" w:beforeAutospacing="1" w:after="100" w:afterAutospacing="1" w:line="360" w:lineRule="auto"/>
        <w:jc w:val="both"/>
        <w:rPr>
          <w:rFonts w:ascii="Myriad Pro" w:hAnsi="Myriad Pro"/>
          <w:sz w:val="26"/>
          <w:szCs w:val="26"/>
        </w:rPr>
      </w:pPr>
    </w:p>
    <w:p w14:paraId="2CC7DD3D" w14:textId="77777777" w:rsidR="002D6C17" w:rsidRPr="00282B4C" w:rsidRDefault="002D6C17" w:rsidP="002D6C17">
      <w:pPr>
        <w:shd w:val="clear" w:color="auto" w:fill="FFFFFF"/>
        <w:spacing w:before="100" w:beforeAutospacing="1" w:after="100" w:afterAutospacing="1" w:line="360" w:lineRule="auto"/>
        <w:jc w:val="center"/>
        <w:rPr>
          <w:rFonts w:ascii="Myriad Pro" w:hAnsi="Myriad Pro"/>
          <w:sz w:val="26"/>
          <w:szCs w:val="26"/>
        </w:rPr>
      </w:pPr>
      <w:r w:rsidRPr="00282B4C">
        <w:rPr>
          <w:rFonts w:ascii="Myriad Pro" w:hAnsi="Myriad Pro"/>
          <w:sz w:val="26"/>
          <w:szCs w:val="26"/>
        </w:rPr>
        <w:t xml:space="preserve">Генеральный директор ООО </w:t>
      </w:r>
      <w:r>
        <w:rPr>
          <w:rFonts w:ascii="Myriad Pro" w:hAnsi="Myriad Pro"/>
          <w:sz w:val="26"/>
          <w:szCs w:val="26"/>
        </w:rPr>
        <w:t>«ЭК ЭПАР»</w:t>
      </w:r>
      <w:r>
        <w:rPr>
          <w:rFonts w:ascii="Myriad Pro" w:hAnsi="Myriad Pro"/>
          <w:sz w:val="26"/>
          <w:szCs w:val="26"/>
        </w:rPr>
        <w:tab/>
        <w:t>_______________</w:t>
      </w:r>
      <w:r w:rsidRPr="00282B4C">
        <w:rPr>
          <w:rFonts w:ascii="Myriad Pro" w:hAnsi="Myriad Pro"/>
          <w:sz w:val="26"/>
          <w:szCs w:val="26"/>
        </w:rPr>
        <w:t>В. Н. Логинов</w:t>
      </w:r>
    </w:p>
    <w:p w14:paraId="0A7F2F66" w14:textId="77777777" w:rsidR="002D6C17" w:rsidRDefault="002D6C17" w:rsidP="002D6C17">
      <w:pPr>
        <w:shd w:val="clear" w:color="auto" w:fill="FFFFFF"/>
        <w:spacing w:before="100" w:beforeAutospacing="1" w:after="100" w:afterAutospacing="1" w:line="360" w:lineRule="auto"/>
        <w:jc w:val="both"/>
        <w:rPr>
          <w:rFonts w:ascii="Myriad Pro" w:hAnsi="Myriad Pro"/>
          <w:sz w:val="25"/>
          <w:szCs w:val="25"/>
        </w:rPr>
      </w:pPr>
      <w:r>
        <w:rPr>
          <w:rFonts w:ascii="Myriad Pro" w:hAnsi="Myriad Pro"/>
          <w:sz w:val="25"/>
          <w:szCs w:val="25"/>
        </w:rPr>
        <w:br w:type="page"/>
      </w:r>
    </w:p>
    <w:p w14:paraId="6A870968" w14:textId="77777777" w:rsidR="002D6C17" w:rsidRDefault="002D6C17" w:rsidP="002D6C17">
      <w:pPr>
        <w:pStyle w:val="3"/>
        <w:numPr>
          <w:ilvl w:val="0"/>
          <w:numId w:val="67"/>
        </w:numPr>
        <w:spacing w:line="360" w:lineRule="auto"/>
        <w:rPr>
          <w:rFonts w:ascii="Myriad Pro" w:hAnsi="Myriad Pro"/>
          <w:b/>
          <w:color w:val="4F6228" w:themeColor="accent3" w:themeShade="80"/>
          <w:sz w:val="28"/>
          <w:szCs w:val="28"/>
        </w:rPr>
      </w:pPr>
      <w:bookmarkStart w:id="4" w:name="_Toc33287983"/>
      <w:bookmarkStart w:id="5" w:name="_Toc40797946"/>
      <w:r w:rsidRPr="006C2AE2">
        <w:rPr>
          <w:rFonts w:ascii="Myriad Pro" w:hAnsi="Myriad Pro"/>
          <w:b/>
          <w:color w:val="4F6228" w:themeColor="accent3" w:themeShade="80"/>
          <w:sz w:val="28"/>
          <w:szCs w:val="28"/>
        </w:rPr>
        <w:lastRenderedPageBreak/>
        <w:t>Вводная часть</w:t>
      </w:r>
      <w:bookmarkEnd w:id="4"/>
      <w:bookmarkEnd w:id="5"/>
    </w:p>
    <w:p w14:paraId="5980CDA5" w14:textId="77777777" w:rsidR="002D6C17" w:rsidRPr="0029734F" w:rsidRDefault="002D6C17" w:rsidP="002D6C17">
      <w:pPr>
        <w:pStyle w:val="3"/>
        <w:numPr>
          <w:ilvl w:val="1"/>
          <w:numId w:val="68"/>
        </w:numPr>
        <w:tabs>
          <w:tab w:val="left" w:pos="567"/>
        </w:tabs>
        <w:spacing w:line="360" w:lineRule="auto"/>
        <w:ind w:left="1134" w:hanging="1134"/>
        <w:rPr>
          <w:rFonts w:ascii="Myriad Pro" w:hAnsi="Myriad Pro"/>
          <w:b/>
          <w:color w:val="4F6228" w:themeColor="accent3" w:themeShade="80"/>
          <w:sz w:val="28"/>
          <w:szCs w:val="28"/>
        </w:rPr>
      </w:pPr>
      <w:bookmarkStart w:id="6" w:name="_Toc248812124"/>
      <w:bookmarkStart w:id="7" w:name="_Toc251080790"/>
      <w:bookmarkStart w:id="8" w:name="_Toc251081231"/>
      <w:bookmarkStart w:id="9" w:name="_Toc254262910"/>
      <w:bookmarkStart w:id="10" w:name="_Toc255981063"/>
      <w:bookmarkStart w:id="11" w:name="_Toc255983162"/>
      <w:bookmarkStart w:id="12" w:name="_Toc414542858"/>
      <w:bookmarkStart w:id="13" w:name="_Toc437621356"/>
      <w:bookmarkStart w:id="14" w:name="_Toc33287984"/>
      <w:bookmarkStart w:id="15" w:name="_Toc40797947"/>
      <w:r w:rsidRPr="0029734F">
        <w:rPr>
          <w:rFonts w:ascii="Myriad Pro" w:hAnsi="Myriad Pro"/>
          <w:b/>
          <w:color w:val="4F6228" w:themeColor="accent3" w:themeShade="80"/>
          <w:sz w:val="28"/>
          <w:szCs w:val="28"/>
        </w:rPr>
        <w:t>Сведения о Заказчике</w:t>
      </w:r>
      <w:bookmarkEnd w:id="6"/>
      <w:bookmarkEnd w:id="7"/>
      <w:bookmarkEnd w:id="8"/>
      <w:bookmarkEnd w:id="9"/>
      <w:bookmarkEnd w:id="10"/>
      <w:bookmarkEnd w:id="11"/>
      <w:bookmarkEnd w:id="12"/>
      <w:bookmarkEnd w:id="13"/>
      <w:bookmarkEnd w:id="14"/>
      <w:bookmarkEnd w:id="15"/>
    </w:p>
    <w:tbl>
      <w:tblPr>
        <w:tblStyle w:val="16"/>
        <w:tblW w:w="9242" w:type="dxa"/>
        <w:tblInd w:w="-5" w:type="dxa"/>
        <w:tblLayout w:type="fixed"/>
        <w:tblLook w:val="01E0" w:firstRow="1" w:lastRow="1" w:firstColumn="1" w:lastColumn="1" w:noHBand="0" w:noVBand="0"/>
      </w:tblPr>
      <w:tblGrid>
        <w:gridCol w:w="3402"/>
        <w:gridCol w:w="5840"/>
      </w:tblGrid>
      <w:tr w:rsidR="002D6C17" w:rsidRPr="004E59DD" w14:paraId="436A9E6E" w14:textId="77777777" w:rsidTr="00A308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3D5E1E3D" w14:textId="77777777" w:rsidR="002D6C17" w:rsidRPr="004E59DD" w:rsidRDefault="002D6C17" w:rsidP="00A308AB">
            <w:pPr>
              <w:pStyle w:val="a9"/>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5EBAE832" w14:textId="77777777" w:rsidR="002D6C17" w:rsidRPr="004E59DD" w:rsidRDefault="002D6C17" w:rsidP="00A308AB">
            <w:pPr>
              <w:pStyle w:val="a9"/>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2D6C17" w:rsidRPr="000F37A0" w14:paraId="1BD38F5D" w14:textId="77777777" w:rsidTr="00A308AB">
        <w:tc>
          <w:tcPr>
            <w:cnfStyle w:val="001000000000" w:firstRow="0" w:lastRow="0" w:firstColumn="1" w:lastColumn="0" w:oddVBand="0" w:evenVBand="0" w:oddHBand="0" w:evenHBand="0" w:firstRowFirstColumn="0" w:firstRowLastColumn="0" w:lastRowFirstColumn="0" w:lastRowLastColumn="0"/>
            <w:tcW w:w="3402" w:type="dxa"/>
          </w:tcPr>
          <w:p w14:paraId="6C4CBAC0" w14:textId="77777777" w:rsidR="002D6C17" w:rsidRPr="000F37A0" w:rsidRDefault="002D6C17" w:rsidP="00A308AB">
            <w:pPr>
              <w:pStyle w:val="a9"/>
              <w:spacing w:before="0" w:after="0"/>
              <w:contextualSpacing/>
              <w:rPr>
                <w:rFonts w:ascii="Myriad Pro" w:hAnsi="Myriad Pro"/>
                <w:i w:val="0"/>
                <w:sz w:val="26"/>
                <w:szCs w:val="26"/>
              </w:rPr>
            </w:pPr>
            <w:r w:rsidRPr="000F37A0">
              <w:rPr>
                <w:rFonts w:ascii="Myriad Pro" w:hAnsi="Myriad Pro"/>
                <w:i w:val="0"/>
                <w:sz w:val="26"/>
                <w:szCs w:val="26"/>
              </w:rPr>
              <w:t>Организационно-правовая форма и полное наименование Заказчика</w:t>
            </w:r>
          </w:p>
        </w:tc>
        <w:tc>
          <w:tcPr>
            <w:tcW w:w="5840" w:type="dxa"/>
          </w:tcPr>
          <w:p w14:paraId="56A53AF4" w14:textId="7A90DB80" w:rsidR="002D6C17" w:rsidRPr="000F37A0" w:rsidRDefault="002B194B" w:rsidP="00A308AB">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2B194B">
              <w:rPr>
                <w:rFonts w:ascii="Myriad Pro" w:hAnsi="Myriad Pro"/>
                <w:i w:val="0"/>
                <w:sz w:val="26"/>
                <w:szCs w:val="26"/>
              </w:rPr>
              <w:t>Публичное акционерное общество «Межрегиональная распределительная сетевая компания Северо-Запада»</w:t>
            </w:r>
          </w:p>
        </w:tc>
      </w:tr>
      <w:tr w:rsidR="002D6C17" w:rsidRPr="000F37A0" w14:paraId="370EB51A" w14:textId="77777777" w:rsidTr="00A308AB">
        <w:tc>
          <w:tcPr>
            <w:cnfStyle w:val="001000000000" w:firstRow="0" w:lastRow="0" w:firstColumn="1" w:lastColumn="0" w:oddVBand="0" w:evenVBand="0" w:oddHBand="0" w:evenHBand="0" w:firstRowFirstColumn="0" w:firstRowLastColumn="0" w:lastRowFirstColumn="0" w:lastRowLastColumn="0"/>
            <w:tcW w:w="3402" w:type="dxa"/>
          </w:tcPr>
          <w:p w14:paraId="1E2FABC5" w14:textId="77777777" w:rsidR="002D6C17" w:rsidRPr="000F37A0" w:rsidRDefault="002D6C17" w:rsidP="00A308AB">
            <w:pPr>
              <w:pStyle w:val="a9"/>
              <w:spacing w:before="0" w:after="0"/>
              <w:contextualSpacing/>
              <w:rPr>
                <w:rFonts w:ascii="Myriad Pro" w:hAnsi="Myriad Pro"/>
                <w:i w:val="0"/>
                <w:sz w:val="26"/>
                <w:szCs w:val="26"/>
              </w:rPr>
            </w:pPr>
            <w:r w:rsidRPr="000F37A0">
              <w:rPr>
                <w:rFonts w:ascii="Myriad Pro" w:hAnsi="Myriad Pro"/>
                <w:i w:val="0"/>
                <w:sz w:val="26"/>
                <w:szCs w:val="26"/>
              </w:rPr>
              <w:t>Краткое наименование Заказчика</w:t>
            </w:r>
          </w:p>
        </w:tc>
        <w:tc>
          <w:tcPr>
            <w:tcW w:w="5840" w:type="dxa"/>
          </w:tcPr>
          <w:p w14:paraId="25DD54E6" w14:textId="77777777" w:rsidR="002D6C17" w:rsidRPr="000F37A0" w:rsidRDefault="002D6C17" w:rsidP="00A308AB">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0F37A0">
              <w:rPr>
                <w:rFonts w:ascii="Myriad Pro" w:hAnsi="Myriad Pro"/>
                <w:i w:val="0"/>
                <w:sz w:val="26"/>
                <w:szCs w:val="26"/>
              </w:rPr>
              <w:t>ПАО «МРСК Северо-Запада»</w:t>
            </w:r>
          </w:p>
        </w:tc>
      </w:tr>
      <w:tr w:rsidR="002D6C17" w:rsidRPr="000F37A0" w14:paraId="10F2472F" w14:textId="77777777" w:rsidTr="00A308AB">
        <w:tc>
          <w:tcPr>
            <w:cnfStyle w:val="001000000000" w:firstRow="0" w:lastRow="0" w:firstColumn="1" w:lastColumn="0" w:oddVBand="0" w:evenVBand="0" w:oddHBand="0" w:evenHBand="0" w:firstRowFirstColumn="0" w:firstRowLastColumn="0" w:lastRowFirstColumn="0" w:lastRowLastColumn="0"/>
            <w:tcW w:w="3402" w:type="dxa"/>
          </w:tcPr>
          <w:p w14:paraId="4A466D1A" w14:textId="77777777" w:rsidR="002D6C17" w:rsidRPr="000F37A0" w:rsidRDefault="002D6C17" w:rsidP="00A308AB">
            <w:pPr>
              <w:pStyle w:val="a9"/>
              <w:spacing w:before="0" w:after="0"/>
              <w:contextualSpacing/>
              <w:rPr>
                <w:rFonts w:ascii="Myriad Pro" w:hAnsi="Myriad Pro"/>
                <w:i w:val="0"/>
                <w:sz w:val="26"/>
                <w:szCs w:val="26"/>
              </w:rPr>
            </w:pPr>
            <w:r w:rsidRPr="000F37A0">
              <w:rPr>
                <w:rFonts w:ascii="Myriad Pro" w:hAnsi="Myriad Pro"/>
                <w:i w:val="0"/>
                <w:sz w:val="26"/>
                <w:szCs w:val="26"/>
              </w:rPr>
              <w:t>ОГРН</w:t>
            </w:r>
          </w:p>
        </w:tc>
        <w:tc>
          <w:tcPr>
            <w:tcW w:w="5840" w:type="dxa"/>
          </w:tcPr>
          <w:p w14:paraId="0AD4634D" w14:textId="77777777" w:rsidR="002D6C17" w:rsidRPr="000F37A0" w:rsidRDefault="002D6C17" w:rsidP="00A308AB">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lang w:val="en-US"/>
              </w:rPr>
            </w:pPr>
            <w:r w:rsidRPr="000F37A0">
              <w:rPr>
                <w:rFonts w:ascii="Myriad Pro" w:hAnsi="Myriad Pro"/>
                <w:i w:val="0"/>
                <w:sz w:val="26"/>
                <w:szCs w:val="26"/>
              </w:rPr>
              <w:t>1047855175785</w:t>
            </w:r>
          </w:p>
        </w:tc>
      </w:tr>
      <w:tr w:rsidR="002D6C17" w:rsidRPr="000F37A0" w14:paraId="3B316C8A" w14:textId="77777777" w:rsidTr="00A308AB">
        <w:tc>
          <w:tcPr>
            <w:cnfStyle w:val="001000000000" w:firstRow="0" w:lastRow="0" w:firstColumn="1" w:lastColumn="0" w:oddVBand="0" w:evenVBand="0" w:oddHBand="0" w:evenHBand="0" w:firstRowFirstColumn="0" w:firstRowLastColumn="0" w:lastRowFirstColumn="0" w:lastRowLastColumn="0"/>
            <w:tcW w:w="3402" w:type="dxa"/>
          </w:tcPr>
          <w:p w14:paraId="39A1911E" w14:textId="77777777" w:rsidR="002D6C17" w:rsidRPr="000F37A0" w:rsidRDefault="002D6C17" w:rsidP="00A308AB">
            <w:pPr>
              <w:pStyle w:val="a9"/>
              <w:spacing w:before="0" w:after="0"/>
              <w:contextualSpacing/>
              <w:rPr>
                <w:rFonts w:ascii="Myriad Pro" w:hAnsi="Myriad Pro"/>
                <w:i w:val="0"/>
                <w:sz w:val="26"/>
                <w:szCs w:val="26"/>
              </w:rPr>
            </w:pPr>
            <w:r w:rsidRPr="000F37A0">
              <w:rPr>
                <w:rFonts w:ascii="Myriad Pro" w:hAnsi="Myriad Pro"/>
                <w:i w:val="0"/>
                <w:sz w:val="26"/>
                <w:szCs w:val="26"/>
              </w:rPr>
              <w:t>ИНН / КПП</w:t>
            </w:r>
          </w:p>
        </w:tc>
        <w:tc>
          <w:tcPr>
            <w:tcW w:w="5840" w:type="dxa"/>
          </w:tcPr>
          <w:p w14:paraId="06490AD6" w14:textId="77777777" w:rsidR="002D6C17" w:rsidRPr="000F37A0" w:rsidRDefault="002D6C17" w:rsidP="00A308AB">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0F37A0">
              <w:rPr>
                <w:rFonts w:ascii="Myriad Pro" w:hAnsi="Myriad Pro"/>
                <w:i w:val="0"/>
                <w:sz w:val="26"/>
                <w:szCs w:val="26"/>
              </w:rPr>
              <w:t>7802312751/781001001</w:t>
            </w:r>
          </w:p>
        </w:tc>
      </w:tr>
      <w:tr w:rsidR="002D6C17" w:rsidRPr="000F37A0" w14:paraId="341A3E17" w14:textId="77777777" w:rsidTr="00A308AB">
        <w:tc>
          <w:tcPr>
            <w:cnfStyle w:val="001000000000" w:firstRow="0" w:lastRow="0" w:firstColumn="1" w:lastColumn="0" w:oddVBand="0" w:evenVBand="0" w:oddHBand="0" w:evenHBand="0" w:firstRowFirstColumn="0" w:firstRowLastColumn="0" w:lastRowFirstColumn="0" w:lastRowLastColumn="0"/>
            <w:tcW w:w="3402" w:type="dxa"/>
          </w:tcPr>
          <w:p w14:paraId="721DB7D5" w14:textId="77777777" w:rsidR="002D6C17" w:rsidRPr="000F37A0" w:rsidRDefault="002D6C17" w:rsidP="00A308AB">
            <w:pPr>
              <w:pStyle w:val="a9"/>
              <w:spacing w:before="0" w:after="0"/>
              <w:contextualSpacing/>
              <w:rPr>
                <w:rFonts w:ascii="Myriad Pro" w:hAnsi="Myriad Pro"/>
                <w:i w:val="0"/>
                <w:sz w:val="26"/>
                <w:szCs w:val="26"/>
              </w:rPr>
            </w:pPr>
            <w:r w:rsidRPr="000F37A0">
              <w:rPr>
                <w:rFonts w:ascii="Myriad Pro" w:hAnsi="Myriad Pro"/>
                <w:i w:val="0"/>
                <w:sz w:val="26"/>
                <w:szCs w:val="26"/>
              </w:rPr>
              <w:t>Юридический адрес Заказчика</w:t>
            </w:r>
          </w:p>
        </w:tc>
        <w:tc>
          <w:tcPr>
            <w:tcW w:w="5840" w:type="dxa"/>
          </w:tcPr>
          <w:p w14:paraId="79224E14" w14:textId="77777777" w:rsidR="002D6C17" w:rsidRPr="000F37A0" w:rsidRDefault="002D6C17" w:rsidP="00A308AB">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0F37A0">
              <w:rPr>
                <w:rFonts w:ascii="Myriad Pro" w:hAnsi="Myriad Pro"/>
                <w:i w:val="0"/>
                <w:sz w:val="26"/>
                <w:szCs w:val="26"/>
              </w:rPr>
              <w:t>196 247, г. Санкт-Петербург, площадь Конституции, дом 3, литер А, помещение 16Н</w:t>
            </w:r>
          </w:p>
        </w:tc>
      </w:tr>
      <w:tr w:rsidR="002D6C17" w:rsidRPr="000F37A0" w14:paraId="68A351B8" w14:textId="77777777" w:rsidTr="00A308AB">
        <w:tc>
          <w:tcPr>
            <w:cnfStyle w:val="001000000000" w:firstRow="0" w:lastRow="0" w:firstColumn="1" w:lastColumn="0" w:oddVBand="0" w:evenVBand="0" w:oddHBand="0" w:evenHBand="0" w:firstRowFirstColumn="0" w:firstRowLastColumn="0" w:lastRowFirstColumn="0" w:lastRowLastColumn="0"/>
            <w:tcW w:w="3402" w:type="dxa"/>
          </w:tcPr>
          <w:p w14:paraId="6DCCD6B0" w14:textId="77777777" w:rsidR="002D6C17" w:rsidRPr="000F37A0" w:rsidRDefault="002D6C17" w:rsidP="00A308AB">
            <w:pPr>
              <w:pStyle w:val="a9"/>
              <w:spacing w:before="0" w:after="0"/>
              <w:contextualSpacing/>
              <w:rPr>
                <w:rFonts w:ascii="Myriad Pro" w:hAnsi="Myriad Pro"/>
                <w:i w:val="0"/>
                <w:sz w:val="26"/>
                <w:szCs w:val="26"/>
              </w:rPr>
            </w:pPr>
            <w:r w:rsidRPr="000F37A0">
              <w:rPr>
                <w:rFonts w:ascii="Myriad Pro" w:hAnsi="Myriad Pro"/>
                <w:i w:val="0"/>
                <w:sz w:val="26"/>
                <w:szCs w:val="26"/>
              </w:rPr>
              <w:t>Место нахождения Заказчика</w:t>
            </w:r>
          </w:p>
        </w:tc>
        <w:tc>
          <w:tcPr>
            <w:tcW w:w="5840" w:type="dxa"/>
          </w:tcPr>
          <w:p w14:paraId="66551213" w14:textId="77777777" w:rsidR="002D6C17" w:rsidRPr="000F37A0" w:rsidRDefault="002D6C17" w:rsidP="00A308AB">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0F37A0">
              <w:rPr>
                <w:rFonts w:ascii="Myriad Pro" w:hAnsi="Myriad Pro"/>
                <w:i w:val="0"/>
                <w:sz w:val="26"/>
                <w:szCs w:val="26"/>
              </w:rPr>
              <w:t>196 247, г. Санкт-Петербург, площадь Конституции, дом 3, литер А, помещение 16Н</w:t>
            </w:r>
          </w:p>
        </w:tc>
      </w:tr>
      <w:tr w:rsidR="002D6C17" w:rsidRPr="000F37A0" w14:paraId="1A8961EC" w14:textId="77777777" w:rsidTr="00A308AB">
        <w:tc>
          <w:tcPr>
            <w:cnfStyle w:val="001000000000" w:firstRow="0" w:lastRow="0" w:firstColumn="1" w:lastColumn="0" w:oddVBand="0" w:evenVBand="0" w:oddHBand="0" w:evenHBand="0" w:firstRowFirstColumn="0" w:firstRowLastColumn="0" w:lastRowFirstColumn="0" w:lastRowLastColumn="0"/>
            <w:tcW w:w="3402" w:type="dxa"/>
          </w:tcPr>
          <w:p w14:paraId="5C82F27C" w14:textId="77777777" w:rsidR="002D6C17" w:rsidRPr="000F37A0" w:rsidRDefault="002D6C17" w:rsidP="00A308AB">
            <w:pPr>
              <w:pStyle w:val="a9"/>
              <w:spacing w:before="0" w:after="0"/>
              <w:contextualSpacing/>
              <w:rPr>
                <w:rFonts w:ascii="Myriad Pro" w:hAnsi="Myriad Pro"/>
                <w:i w:val="0"/>
                <w:sz w:val="26"/>
                <w:szCs w:val="26"/>
              </w:rPr>
            </w:pPr>
            <w:r w:rsidRPr="000F37A0">
              <w:rPr>
                <w:rFonts w:ascii="Myriad Pro" w:hAnsi="Myriad Pro"/>
                <w:i w:val="0"/>
                <w:sz w:val="26"/>
                <w:szCs w:val="26"/>
              </w:rPr>
              <w:t>Реквизиты Заказчика</w:t>
            </w:r>
          </w:p>
        </w:tc>
        <w:tc>
          <w:tcPr>
            <w:tcW w:w="5840" w:type="dxa"/>
          </w:tcPr>
          <w:p w14:paraId="269D5571" w14:textId="77777777" w:rsidR="002D6C17" w:rsidRPr="000F37A0" w:rsidRDefault="002D6C17" w:rsidP="00A308AB">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0F37A0">
              <w:rPr>
                <w:sz w:val="26"/>
                <w:szCs w:val="26"/>
              </w:rPr>
              <w:t>Ф. ОПЕРУ Банка ВТБ (ПАО) в Санкт-Петербурге г. Санкт-Петербург</w:t>
            </w:r>
          </w:p>
          <w:p w14:paraId="7CE39415" w14:textId="77777777" w:rsidR="002D6C17" w:rsidRPr="000F37A0" w:rsidRDefault="002D6C17" w:rsidP="00A308AB">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0F37A0">
              <w:rPr>
                <w:sz w:val="26"/>
                <w:szCs w:val="26"/>
              </w:rPr>
              <w:t>р/сч 40702810539000005887</w:t>
            </w:r>
          </w:p>
          <w:p w14:paraId="41B4E722" w14:textId="77777777" w:rsidR="002D6C17" w:rsidRPr="000F37A0" w:rsidRDefault="002D6C17" w:rsidP="00A308AB">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0F37A0">
              <w:rPr>
                <w:sz w:val="26"/>
                <w:szCs w:val="26"/>
              </w:rPr>
              <w:t>БИК 044030704</w:t>
            </w:r>
          </w:p>
          <w:p w14:paraId="5413E6C8" w14:textId="77777777" w:rsidR="002D6C17" w:rsidRPr="000F37A0" w:rsidRDefault="002D6C17" w:rsidP="00A308AB">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0F37A0">
              <w:rPr>
                <w:sz w:val="26"/>
                <w:szCs w:val="26"/>
              </w:rPr>
              <w:t>к/с 30101810200000000704 в ГРКЦ ГУ Банка России по г. Санкт-Петербургу</w:t>
            </w:r>
          </w:p>
        </w:tc>
      </w:tr>
      <w:tr w:rsidR="002D6C17" w:rsidRPr="000F37A0" w14:paraId="699649EE" w14:textId="77777777" w:rsidTr="00A308AB">
        <w:tc>
          <w:tcPr>
            <w:cnfStyle w:val="001000000000" w:firstRow="0" w:lastRow="0" w:firstColumn="1" w:lastColumn="0" w:oddVBand="0" w:evenVBand="0" w:oddHBand="0" w:evenHBand="0" w:firstRowFirstColumn="0" w:firstRowLastColumn="0" w:lastRowFirstColumn="0" w:lastRowLastColumn="0"/>
            <w:tcW w:w="3402" w:type="dxa"/>
          </w:tcPr>
          <w:p w14:paraId="237E575A" w14:textId="77777777" w:rsidR="002D6C17" w:rsidRPr="000F37A0" w:rsidRDefault="002D6C17" w:rsidP="00A308AB">
            <w:pPr>
              <w:pStyle w:val="a9"/>
              <w:spacing w:before="0" w:after="0"/>
              <w:contextualSpacing/>
              <w:rPr>
                <w:rFonts w:ascii="Myriad Pro" w:hAnsi="Myriad Pro"/>
                <w:i w:val="0"/>
                <w:sz w:val="26"/>
                <w:szCs w:val="26"/>
              </w:rPr>
            </w:pPr>
            <w:r w:rsidRPr="000F37A0">
              <w:rPr>
                <w:rFonts w:ascii="Myriad Pro" w:hAnsi="Myriad Pro"/>
                <w:i w:val="0"/>
                <w:sz w:val="26"/>
                <w:szCs w:val="26"/>
              </w:rPr>
              <w:t xml:space="preserve">Получатель услуги </w:t>
            </w:r>
          </w:p>
        </w:tc>
        <w:tc>
          <w:tcPr>
            <w:tcW w:w="5840" w:type="dxa"/>
          </w:tcPr>
          <w:p w14:paraId="40E9EF83" w14:textId="77777777" w:rsidR="002D6C17" w:rsidRPr="000F37A0" w:rsidRDefault="002D6C17" w:rsidP="00A308AB">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0F37A0">
              <w:rPr>
                <w:sz w:val="26"/>
                <w:szCs w:val="26"/>
              </w:rPr>
              <w:t>Мурманский филиал ПАО «МРСК Северо-Запада»</w:t>
            </w:r>
          </w:p>
        </w:tc>
      </w:tr>
      <w:tr w:rsidR="002D6C17" w:rsidRPr="004E59DD" w14:paraId="5A29E795" w14:textId="77777777" w:rsidTr="00A308AB">
        <w:tc>
          <w:tcPr>
            <w:cnfStyle w:val="001000000000" w:firstRow="0" w:lastRow="0" w:firstColumn="1" w:lastColumn="0" w:oddVBand="0" w:evenVBand="0" w:oddHBand="0" w:evenHBand="0" w:firstRowFirstColumn="0" w:firstRowLastColumn="0" w:lastRowFirstColumn="0" w:lastRowLastColumn="0"/>
            <w:tcW w:w="3402" w:type="dxa"/>
          </w:tcPr>
          <w:p w14:paraId="459F2B64" w14:textId="77777777" w:rsidR="002D6C17" w:rsidRPr="000F37A0" w:rsidRDefault="002D6C17" w:rsidP="00A308AB">
            <w:pPr>
              <w:pStyle w:val="a9"/>
              <w:spacing w:before="0" w:after="0"/>
              <w:contextualSpacing/>
              <w:rPr>
                <w:rFonts w:ascii="Myriad Pro" w:hAnsi="Myriad Pro"/>
                <w:i w:val="0"/>
                <w:sz w:val="26"/>
                <w:szCs w:val="26"/>
              </w:rPr>
            </w:pPr>
            <w:r w:rsidRPr="000F37A0">
              <w:rPr>
                <w:rFonts w:ascii="Myriad Pro" w:hAnsi="Myriad Pro"/>
                <w:i w:val="0"/>
                <w:sz w:val="26"/>
                <w:szCs w:val="26"/>
              </w:rPr>
              <w:t>Юридический и почтовый адрес</w:t>
            </w:r>
          </w:p>
        </w:tc>
        <w:tc>
          <w:tcPr>
            <w:tcW w:w="5840" w:type="dxa"/>
          </w:tcPr>
          <w:p w14:paraId="065085CE" w14:textId="77777777" w:rsidR="002D6C17" w:rsidRPr="000F37A0" w:rsidRDefault="002D6C17" w:rsidP="00A308AB">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0F37A0">
              <w:rPr>
                <w:sz w:val="26"/>
                <w:szCs w:val="26"/>
              </w:rPr>
              <w:t>184 355, Мурманская область, Кольский район, пгт Мурмаши, ул. Кирова, д. 2.</w:t>
            </w:r>
          </w:p>
        </w:tc>
      </w:tr>
    </w:tbl>
    <w:p w14:paraId="14A61E5E" w14:textId="77777777" w:rsidR="002D6C17" w:rsidRPr="0029734F" w:rsidRDefault="002D6C17" w:rsidP="002D6C17">
      <w:pPr>
        <w:pStyle w:val="3"/>
        <w:numPr>
          <w:ilvl w:val="1"/>
          <w:numId w:val="68"/>
        </w:numPr>
        <w:tabs>
          <w:tab w:val="left" w:pos="567"/>
        </w:tabs>
        <w:spacing w:line="360" w:lineRule="auto"/>
        <w:ind w:left="1134" w:hanging="1134"/>
        <w:rPr>
          <w:rFonts w:ascii="Myriad Pro" w:hAnsi="Myriad Pro"/>
          <w:b/>
          <w:color w:val="4F6228" w:themeColor="accent3" w:themeShade="80"/>
          <w:sz w:val="28"/>
          <w:szCs w:val="28"/>
        </w:rPr>
      </w:pPr>
      <w:bookmarkStart w:id="16" w:name="_Toc437621357"/>
      <w:bookmarkStart w:id="17" w:name="_Toc33287985"/>
      <w:bookmarkStart w:id="18" w:name="_Toc40797948"/>
      <w:r w:rsidRPr="0029734F">
        <w:rPr>
          <w:rFonts w:ascii="Myriad Pro" w:hAnsi="Myriad Pro"/>
          <w:b/>
          <w:color w:val="4F6228" w:themeColor="accent3" w:themeShade="80"/>
          <w:sz w:val="28"/>
          <w:szCs w:val="28"/>
        </w:rPr>
        <w:t xml:space="preserve">Сведения об </w:t>
      </w:r>
      <w:r w:rsidRPr="00301EDF">
        <w:rPr>
          <w:rFonts w:ascii="Myriad Pro" w:hAnsi="Myriad Pro"/>
          <w:b/>
          <w:color w:val="4F6228" w:themeColor="accent3" w:themeShade="80"/>
          <w:sz w:val="28"/>
          <w:szCs w:val="28"/>
        </w:rPr>
        <w:t>Исполнителе</w:t>
      </w:r>
      <w:bookmarkEnd w:id="16"/>
      <w:bookmarkEnd w:id="17"/>
      <w:bookmarkEnd w:id="18"/>
    </w:p>
    <w:tbl>
      <w:tblPr>
        <w:tblStyle w:val="16"/>
        <w:tblW w:w="9242" w:type="dxa"/>
        <w:tblInd w:w="-5" w:type="dxa"/>
        <w:tblLayout w:type="fixed"/>
        <w:tblLook w:val="01E0" w:firstRow="1" w:lastRow="1" w:firstColumn="1" w:lastColumn="1" w:noHBand="0" w:noVBand="0"/>
      </w:tblPr>
      <w:tblGrid>
        <w:gridCol w:w="3402"/>
        <w:gridCol w:w="5840"/>
      </w:tblGrid>
      <w:tr w:rsidR="002D6C17" w:rsidRPr="004E59DD" w14:paraId="22CC070C" w14:textId="77777777" w:rsidTr="00A308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43E7AA74" w14:textId="77777777" w:rsidR="002D6C17" w:rsidRPr="004E59DD" w:rsidRDefault="002D6C17" w:rsidP="00A308AB">
            <w:pPr>
              <w:pStyle w:val="a9"/>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298307B9" w14:textId="77777777" w:rsidR="002D6C17" w:rsidRPr="004E59DD" w:rsidRDefault="002D6C17" w:rsidP="00A308AB">
            <w:pPr>
              <w:pStyle w:val="a9"/>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2D6C17" w:rsidRPr="004E59DD" w14:paraId="5B030395" w14:textId="77777777" w:rsidTr="00A308AB">
        <w:tc>
          <w:tcPr>
            <w:cnfStyle w:val="001000000000" w:firstRow="0" w:lastRow="0" w:firstColumn="1" w:lastColumn="0" w:oddVBand="0" w:evenVBand="0" w:oddHBand="0" w:evenHBand="0" w:firstRowFirstColumn="0" w:firstRowLastColumn="0" w:lastRowFirstColumn="0" w:lastRowLastColumn="0"/>
            <w:tcW w:w="3402" w:type="dxa"/>
          </w:tcPr>
          <w:p w14:paraId="08370BBD" w14:textId="77777777" w:rsidR="002D6C17" w:rsidRPr="004E59DD" w:rsidRDefault="002D6C17" w:rsidP="00A308AB">
            <w:pPr>
              <w:pStyle w:val="a9"/>
              <w:spacing w:before="0" w:after="0"/>
              <w:contextualSpacing/>
              <w:rPr>
                <w:rFonts w:ascii="Myriad Pro" w:hAnsi="Myriad Pro"/>
                <w:i w:val="0"/>
                <w:sz w:val="26"/>
                <w:szCs w:val="26"/>
              </w:rPr>
            </w:pPr>
            <w:r w:rsidRPr="004E59DD">
              <w:rPr>
                <w:rFonts w:ascii="Myriad Pro" w:hAnsi="Myriad Pro"/>
                <w:i w:val="0"/>
                <w:sz w:val="26"/>
                <w:szCs w:val="26"/>
              </w:rPr>
              <w:t>Организационно-правовая форма и полное наименование Исполнителя</w:t>
            </w:r>
          </w:p>
        </w:tc>
        <w:tc>
          <w:tcPr>
            <w:tcW w:w="5840" w:type="dxa"/>
          </w:tcPr>
          <w:p w14:paraId="42CA03DD" w14:textId="77777777" w:rsidR="002D6C17" w:rsidRPr="004E59DD" w:rsidRDefault="002D6C17" w:rsidP="00A308AB">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Общество с ограниченной ответственностью «Экспертная компания ЭПАР» </w:t>
            </w:r>
          </w:p>
        </w:tc>
      </w:tr>
      <w:tr w:rsidR="002D6C17" w:rsidRPr="004E59DD" w14:paraId="7C8547FF" w14:textId="77777777" w:rsidTr="00A308AB">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1DAD6437" w14:textId="77777777" w:rsidR="002D6C17" w:rsidRPr="004E59DD" w:rsidRDefault="002D6C17" w:rsidP="00A308AB">
            <w:pPr>
              <w:pStyle w:val="a9"/>
              <w:spacing w:before="0" w:after="0"/>
              <w:contextualSpacing/>
              <w:rPr>
                <w:rFonts w:ascii="Myriad Pro" w:hAnsi="Myriad Pro"/>
                <w:i w:val="0"/>
                <w:sz w:val="26"/>
                <w:szCs w:val="26"/>
              </w:rPr>
            </w:pPr>
            <w:r w:rsidRPr="004E59DD">
              <w:rPr>
                <w:rFonts w:ascii="Myriad Pro" w:hAnsi="Myriad Pro"/>
                <w:i w:val="0"/>
                <w:sz w:val="26"/>
                <w:szCs w:val="26"/>
              </w:rPr>
              <w:t>Краткое наименование Исполнителя</w:t>
            </w:r>
          </w:p>
        </w:tc>
        <w:tc>
          <w:tcPr>
            <w:tcW w:w="5840" w:type="dxa"/>
          </w:tcPr>
          <w:p w14:paraId="1FEA59D7" w14:textId="77777777" w:rsidR="002D6C17" w:rsidRPr="004E59DD" w:rsidRDefault="002D6C17" w:rsidP="00A308AB">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ООО «ЭК ЭПАР»</w:t>
            </w:r>
          </w:p>
        </w:tc>
      </w:tr>
      <w:tr w:rsidR="002D6C17" w:rsidRPr="004E59DD" w14:paraId="5C90CA74" w14:textId="77777777" w:rsidTr="00A308AB">
        <w:tc>
          <w:tcPr>
            <w:cnfStyle w:val="001000000000" w:firstRow="0" w:lastRow="0" w:firstColumn="1" w:lastColumn="0" w:oddVBand="0" w:evenVBand="0" w:oddHBand="0" w:evenHBand="0" w:firstRowFirstColumn="0" w:firstRowLastColumn="0" w:lastRowFirstColumn="0" w:lastRowLastColumn="0"/>
            <w:tcW w:w="3402" w:type="dxa"/>
          </w:tcPr>
          <w:p w14:paraId="2027F900" w14:textId="77777777" w:rsidR="002D6C17" w:rsidRPr="004E59DD" w:rsidRDefault="002D6C17" w:rsidP="00A308AB">
            <w:pPr>
              <w:pStyle w:val="a9"/>
              <w:spacing w:before="0" w:after="0"/>
              <w:contextualSpacing/>
              <w:rPr>
                <w:rFonts w:ascii="Myriad Pro" w:hAnsi="Myriad Pro"/>
                <w:i w:val="0"/>
                <w:sz w:val="26"/>
                <w:szCs w:val="26"/>
              </w:rPr>
            </w:pPr>
            <w:r w:rsidRPr="004E59DD">
              <w:rPr>
                <w:rFonts w:ascii="Myriad Pro" w:hAnsi="Myriad Pro"/>
                <w:i w:val="0"/>
                <w:sz w:val="26"/>
                <w:szCs w:val="26"/>
              </w:rPr>
              <w:t>ОГРН</w:t>
            </w:r>
          </w:p>
        </w:tc>
        <w:tc>
          <w:tcPr>
            <w:tcW w:w="5840" w:type="dxa"/>
          </w:tcPr>
          <w:p w14:paraId="3888361D" w14:textId="77777777" w:rsidR="002D6C17" w:rsidRPr="004E59DD" w:rsidRDefault="002D6C17" w:rsidP="00A308AB">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1027700164304</w:t>
            </w:r>
          </w:p>
        </w:tc>
      </w:tr>
      <w:tr w:rsidR="002D6C17" w:rsidRPr="004E59DD" w14:paraId="025F8D76" w14:textId="77777777" w:rsidTr="00A308AB">
        <w:tc>
          <w:tcPr>
            <w:cnfStyle w:val="001000000000" w:firstRow="0" w:lastRow="0" w:firstColumn="1" w:lastColumn="0" w:oddVBand="0" w:evenVBand="0" w:oddHBand="0" w:evenHBand="0" w:firstRowFirstColumn="0" w:firstRowLastColumn="0" w:lastRowFirstColumn="0" w:lastRowLastColumn="0"/>
            <w:tcW w:w="3402" w:type="dxa"/>
          </w:tcPr>
          <w:p w14:paraId="39B3AEC4" w14:textId="77777777" w:rsidR="002D6C17" w:rsidRPr="004E59DD" w:rsidRDefault="002D6C17" w:rsidP="00A308AB">
            <w:pPr>
              <w:pStyle w:val="a9"/>
              <w:spacing w:before="0" w:after="0"/>
              <w:contextualSpacing/>
              <w:rPr>
                <w:rFonts w:ascii="Myriad Pro" w:hAnsi="Myriad Pro"/>
                <w:i w:val="0"/>
                <w:sz w:val="26"/>
                <w:szCs w:val="26"/>
              </w:rPr>
            </w:pPr>
            <w:r w:rsidRPr="004E59DD">
              <w:rPr>
                <w:rFonts w:ascii="Myriad Pro" w:hAnsi="Myriad Pro"/>
                <w:i w:val="0"/>
                <w:sz w:val="26"/>
                <w:szCs w:val="26"/>
              </w:rPr>
              <w:t>ИНН / КПП</w:t>
            </w:r>
          </w:p>
        </w:tc>
        <w:tc>
          <w:tcPr>
            <w:tcW w:w="5840" w:type="dxa"/>
          </w:tcPr>
          <w:p w14:paraId="3D445AE3" w14:textId="77777777" w:rsidR="002D6C17" w:rsidRPr="004E59DD" w:rsidRDefault="002D6C17" w:rsidP="00A308AB">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7722184448 / 770401001</w:t>
            </w:r>
          </w:p>
        </w:tc>
      </w:tr>
      <w:tr w:rsidR="002D6C17" w:rsidRPr="004E59DD" w14:paraId="25BE2C6C" w14:textId="77777777" w:rsidTr="00A308AB">
        <w:tc>
          <w:tcPr>
            <w:cnfStyle w:val="001000000000" w:firstRow="0" w:lastRow="0" w:firstColumn="1" w:lastColumn="0" w:oddVBand="0" w:evenVBand="0" w:oddHBand="0" w:evenHBand="0" w:firstRowFirstColumn="0" w:firstRowLastColumn="0" w:lastRowFirstColumn="0" w:lastRowLastColumn="0"/>
            <w:tcW w:w="3402" w:type="dxa"/>
          </w:tcPr>
          <w:p w14:paraId="26C296ED" w14:textId="77777777" w:rsidR="002D6C17" w:rsidRPr="004E59DD" w:rsidRDefault="002D6C17" w:rsidP="00A308AB">
            <w:pPr>
              <w:pStyle w:val="a9"/>
              <w:spacing w:before="0" w:after="0"/>
              <w:contextualSpacing/>
              <w:rPr>
                <w:rFonts w:ascii="Myriad Pro" w:hAnsi="Myriad Pro"/>
                <w:i w:val="0"/>
                <w:sz w:val="26"/>
                <w:szCs w:val="26"/>
              </w:rPr>
            </w:pPr>
            <w:r w:rsidRPr="004E59DD">
              <w:rPr>
                <w:rFonts w:ascii="Myriad Pro" w:hAnsi="Myriad Pro"/>
                <w:i w:val="0"/>
                <w:sz w:val="26"/>
                <w:szCs w:val="26"/>
              </w:rPr>
              <w:t>Юридический адрес Исполнителя</w:t>
            </w:r>
          </w:p>
        </w:tc>
        <w:tc>
          <w:tcPr>
            <w:tcW w:w="5840" w:type="dxa"/>
          </w:tcPr>
          <w:p w14:paraId="1224B847" w14:textId="77777777" w:rsidR="002D6C17" w:rsidRPr="004E59DD" w:rsidRDefault="002D6C17" w:rsidP="00A308AB">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Pr>
                <w:rFonts w:ascii="Myriad Pro" w:hAnsi="Myriad Pro" w:cs="Arial"/>
                <w:i w:val="0"/>
                <w:color w:val="000000"/>
                <w:sz w:val="26"/>
                <w:szCs w:val="26"/>
                <w:shd w:val="clear" w:color="auto" w:fill="FFFFFF"/>
                <w:lang w:eastAsia="ar-SA"/>
              </w:rPr>
              <w:t xml:space="preserve">119 121, г. Москва, 1-й пер. Тружеников, д. 14, стр. 2, помещение № </w:t>
            </w:r>
            <w:r>
              <w:rPr>
                <w:rFonts w:ascii="Myriad Pro" w:hAnsi="Myriad Pro" w:cs="Arial"/>
                <w:i w:val="0"/>
                <w:color w:val="000000"/>
                <w:sz w:val="26"/>
                <w:szCs w:val="26"/>
                <w:shd w:val="clear" w:color="auto" w:fill="FFFFFF"/>
                <w:lang w:val="en-US" w:eastAsia="ar-SA"/>
              </w:rPr>
              <w:t>I</w:t>
            </w:r>
            <w:r>
              <w:rPr>
                <w:rFonts w:ascii="Myriad Pro" w:hAnsi="Myriad Pro" w:cs="Arial"/>
                <w:i w:val="0"/>
                <w:color w:val="000000"/>
                <w:sz w:val="26"/>
                <w:szCs w:val="26"/>
                <w:shd w:val="clear" w:color="auto" w:fill="FFFFFF"/>
                <w:lang w:eastAsia="ar-SA"/>
              </w:rPr>
              <w:t>, этаж – П, комната 8</w:t>
            </w:r>
          </w:p>
        </w:tc>
      </w:tr>
      <w:tr w:rsidR="002D6C17" w:rsidRPr="004E59DD" w14:paraId="5C5D283E" w14:textId="77777777" w:rsidTr="00A308AB">
        <w:tc>
          <w:tcPr>
            <w:cnfStyle w:val="001000000000" w:firstRow="0" w:lastRow="0" w:firstColumn="1" w:lastColumn="0" w:oddVBand="0" w:evenVBand="0" w:oddHBand="0" w:evenHBand="0" w:firstRowFirstColumn="0" w:firstRowLastColumn="0" w:lastRowFirstColumn="0" w:lastRowLastColumn="0"/>
            <w:tcW w:w="3402" w:type="dxa"/>
          </w:tcPr>
          <w:p w14:paraId="0BBB00A8" w14:textId="77777777" w:rsidR="002D6C17" w:rsidRPr="004E59DD" w:rsidRDefault="002D6C17" w:rsidP="00A308AB">
            <w:pPr>
              <w:pStyle w:val="a9"/>
              <w:spacing w:before="0" w:after="0"/>
              <w:contextualSpacing/>
              <w:rPr>
                <w:rFonts w:ascii="Myriad Pro" w:hAnsi="Myriad Pro"/>
                <w:i w:val="0"/>
                <w:sz w:val="26"/>
                <w:szCs w:val="26"/>
              </w:rPr>
            </w:pPr>
            <w:r w:rsidRPr="004E59DD">
              <w:rPr>
                <w:rFonts w:ascii="Myriad Pro" w:hAnsi="Myriad Pro"/>
                <w:i w:val="0"/>
                <w:sz w:val="26"/>
                <w:szCs w:val="26"/>
              </w:rPr>
              <w:t>Место нахождения Исполнителя</w:t>
            </w:r>
          </w:p>
        </w:tc>
        <w:tc>
          <w:tcPr>
            <w:tcW w:w="5840" w:type="dxa"/>
          </w:tcPr>
          <w:p w14:paraId="2014E335" w14:textId="77777777" w:rsidR="002D6C17" w:rsidRPr="004E59DD" w:rsidRDefault="002D6C17" w:rsidP="00A308AB">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123</w:t>
            </w:r>
            <w:r>
              <w:rPr>
                <w:rFonts w:ascii="Myriad Pro" w:hAnsi="Myriad Pro"/>
                <w:i w:val="0"/>
                <w:sz w:val="26"/>
                <w:szCs w:val="26"/>
              </w:rPr>
              <w:t> </w:t>
            </w:r>
            <w:r w:rsidRPr="004E59DD">
              <w:rPr>
                <w:rFonts w:ascii="Myriad Pro" w:hAnsi="Myriad Pro"/>
                <w:i w:val="0"/>
                <w:sz w:val="26"/>
                <w:szCs w:val="26"/>
              </w:rPr>
              <w:t>557, г. Москва, Средний Тишинский переулок, д. 28</w:t>
            </w:r>
          </w:p>
        </w:tc>
      </w:tr>
      <w:tr w:rsidR="002D6C17" w:rsidRPr="004E59DD" w14:paraId="2E4CADFD" w14:textId="77777777" w:rsidTr="00A308AB">
        <w:tc>
          <w:tcPr>
            <w:cnfStyle w:val="001000000000" w:firstRow="0" w:lastRow="0" w:firstColumn="1" w:lastColumn="0" w:oddVBand="0" w:evenVBand="0" w:oddHBand="0" w:evenHBand="0" w:firstRowFirstColumn="0" w:firstRowLastColumn="0" w:lastRowFirstColumn="0" w:lastRowLastColumn="0"/>
            <w:tcW w:w="3402" w:type="dxa"/>
          </w:tcPr>
          <w:p w14:paraId="7CDDB101" w14:textId="77777777" w:rsidR="002D6C17" w:rsidRPr="004E59DD" w:rsidRDefault="002D6C17" w:rsidP="00A308AB">
            <w:pPr>
              <w:pStyle w:val="a9"/>
              <w:spacing w:before="0" w:after="0"/>
              <w:contextualSpacing/>
              <w:rPr>
                <w:rFonts w:ascii="Myriad Pro" w:hAnsi="Myriad Pro"/>
                <w:i w:val="0"/>
                <w:sz w:val="26"/>
                <w:szCs w:val="26"/>
              </w:rPr>
            </w:pPr>
            <w:r w:rsidRPr="004E59DD">
              <w:rPr>
                <w:rFonts w:ascii="Myriad Pro" w:hAnsi="Myriad Pro"/>
                <w:i w:val="0"/>
                <w:sz w:val="26"/>
                <w:szCs w:val="26"/>
              </w:rPr>
              <w:t>Реквизиты</w:t>
            </w:r>
          </w:p>
        </w:tc>
        <w:tc>
          <w:tcPr>
            <w:tcW w:w="5840" w:type="dxa"/>
          </w:tcPr>
          <w:p w14:paraId="5FDC7570" w14:textId="77777777" w:rsidR="002D6C17" w:rsidRPr="004E59DD" w:rsidRDefault="002D6C17" w:rsidP="00A308AB">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р/с </w:t>
            </w:r>
            <w:r w:rsidRPr="004E59DD">
              <w:rPr>
                <w:rFonts w:ascii="Myriad Pro" w:hAnsi="Myriad Pro" w:cs="Arial"/>
                <w:i w:val="0"/>
                <w:color w:val="000000"/>
                <w:sz w:val="26"/>
                <w:szCs w:val="26"/>
                <w:shd w:val="clear" w:color="auto" w:fill="FFFFFF"/>
              </w:rPr>
              <w:t>40702810287060000071</w:t>
            </w:r>
            <w:r w:rsidRPr="004E59DD">
              <w:rPr>
                <w:rFonts w:ascii="Myriad Pro" w:hAnsi="Myriad Pro"/>
                <w:i w:val="0"/>
                <w:sz w:val="26"/>
                <w:szCs w:val="26"/>
              </w:rPr>
              <w:br/>
              <w:t>ПАО РОСБАНК</w:t>
            </w:r>
            <w:r w:rsidRPr="004E59DD">
              <w:rPr>
                <w:rFonts w:ascii="Myriad Pro" w:hAnsi="Myriad Pro"/>
                <w:i w:val="0"/>
                <w:sz w:val="26"/>
                <w:szCs w:val="26"/>
              </w:rPr>
              <w:br/>
              <w:t>к/с 30101810000000000256</w:t>
            </w:r>
          </w:p>
          <w:p w14:paraId="2792301E" w14:textId="77777777" w:rsidR="002D6C17" w:rsidRPr="004E59DD" w:rsidRDefault="002D6C17" w:rsidP="00A308AB">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БИК 044525256</w:t>
            </w:r>
          </w:p>
        </w:tc>
      </w:tr>
    </w:tbl>
    <w:p w14:paraId="4EBB9A80" w14:textId="77777777" w:rsidR="002D6C17" w:rsidRDefault="002D6C17" w:rsidP="002D6C17">
      <w:pPr>
        <w:pStyle w:val="3"/>
        <w:numPr>
          <w:ilvl w:val="1"/>
          <w:numId w:val="68"/>
        </w:numPr>
        <w:tabs>
          <w:tab w:val="left" w:pos="567"/>
        </w:tabs>
        <w:spacing w:line="360" w:lineRule="auto"/>
        <w:ind w:left="1134" w:hanging="1134"/>
        <w:rPr>
          <w:rFonts w:ascii="Myriad Pro" w:hAnsi="Myriad Pro"/>
          <w:b/>
          <w:color w:val="4F6228" w:themeColor="accent3" w:themeShade="80"/>
          <w:sz w:val="28"/>
          <w:szCs w:val="28"/>
        </w:rPr>
        <w:sectPr w:rsidR="002D6C17" w:rsidSect="008C7EA4">
          <w:headerReference w:type="default" r:id="rId13"/>
          <w:footerReference w:type="default" r:id="rId14"/>
          <w:pgSz w:w="11906" w:h="16838"/>
          <w:pgMar w:top="1134" w:right="850" w:bottom="1134" w:left="1701" w:header="708" w:footer="708" w:gutter="0"/>
          <w:cols w:space="708"/>
          <w:docGrid w:linePitch="360"/>
        </w:sectPr>
      </w:pPr>
      <w:bookmarkStart w:id="19" w:name="_Toc437621358"/>
    </w:p>
    <w:p w14:paraId="0E23074E" w14:textId="77777777" w:rsidR="002D6C17" w:rsidRDefault="002D6C17" w:rsidP="00A308AB">
      <w:pPr>
        <w:pStyle w:val="3"/>
        <w:numPr>
          <w:ilvl w:val="1"/>
          <w:numId w:val="68"/>
        </w:numPr>
        <w:tabs>
          <w:tab w:val="left" w:pos="567"/>
        </w:tabs>
        <w:spacing w:beforeLines="40" w:before="96" w:line="360" w:lineRule="auto"/>
        <w:ind w:left="1134" w:hanging="1134"/>
        <w:rPr>
          <w:rFonts w:ascii="Myriad Pro" w:hAnsi="Myriad Pro"/>
          <w:b/>
          <w:color w:val="4F6228" w:themeColor="accent3" w:themeShade="80"/>
          <w:sz w:val="28"/>
          <w:szCs w:val="28"/>
        </w:rPr>
      </w:pPr>
      <w:bookmarkStart w:id="20" w:name="_Toc33287986"/>
      <w:bookmarkStart w:id="21" w:name="_Toc40797949"/>
      <w:r w:rsidRPr="001335E3">
        <w:rPr>
          <w:rFonts w:ascii="Myriad Pro" w:hAnsi="Myriad Pro"/>
          <w:b/>
          <w:color w:val="4F6228" w:themeColor="accent3" w:themeShade="80"/>
          <w:sz w:val="28"/>
          <w:szCs w:val="28"/>
        </w:rPr>
        <w:lastRenderedPageBreak/>
        <w:t xml:space="preserve">Основание для </w:t>
      </w:r>
      <w:bookmarkEnd w:id="19"/>
      <w:r>
        <w:rPr>
          <w:rFonts w:ascii="Myriad Pro" w:hAnsi="Myriad Pro"/>
          <w:b/>
          <w:color w:val="4F6228" w:themeColor="accent3" w:themeShade="80"/>
          <w:sz w:val="28"/>
          <w:szCs w:val="28"/>
        </w:rPr>
        <w:t>оказания услуг</w:t>
      </w:r>
      <w:bookmarkEnd w:id="20"/>
      <w:bookmarkEnd w:id="21"/>
    </w:p>
    <w:p w14:paraId="70DBF6E7" w14:textId="09D716BD" w:rsidR="002D6C17" w:rsidRDefault="002D6C17" w:rsidP="00A308AB">
      <w:pPr>
        <w:pStyle w:val="22"/>
        <w:spacing w:beforeLines="40" w:before="96" w:after="0" w:line="360" w:lineRule="auto"/>
        <w:ind w:firstLine="567"/>
        <w:jc w:val="both"/>
        <w:rPr>
          <w:rFonts w:ascii="Myriad Pro" w:eastAsiaTheme="minorHAnsi" w:hAnsi="Myriad Pro"/>
          <w:b w:val="0"/>
          <w:i w:val="0"/>
          <w:color w:val="000000" w:themeColor="text1"/>
          <w:sz w:val="26"/>
          <w:szCs w:val="26"/>
          <w:lang w:eastAsia="en-US"/>
        </w:rPr>
      </w:pPr>
      <w:r w:rsidRPr="000A273A">
        <w:rPr>
          <w:rFonts w:ascii="Myriad Pro" w:eastAsiaTheme="minorHAnsi" w:hAnsi="Myriad Pro"/>
          <w:b w:val="0"/>
          <w:i w:val="0"/>
          <w:color w:val="000000" w:themeColor="text1"/>
          <w:sz w:val="26"/>
          <w:szCs w:val="26"/>
          <w:lang w:eastAsia="en-US"/>
        </w:rPr>
        <w:t xml:space="preserve">Основанием для </w:t>
      </w:r>
      <w:r>
        <w:rPr>
          <w:rFonts w:ascii="Myriad Pro" w:eastAsiaTheme="minorHAnsi" w:hAnsi="Myriad Pro"/>
          <w:b w:val="0"/>
          <w:i w:val="0"/>
          <w:color w:val="000000" w:themeColor="text1"/>
          <w:sz w:val="26"/>
          <w:szCs w:val="26"/>
          <w:lang w:eastAsia="en-US"/>
        </w:rPr>
        <w:t>оказания услуг</w:t>
      </w:r>
      <w:r w:rsidRPr="000A273A">
        <w:rPr>
          <w:rFonts w:ascii="Myriad Pro" w:eastAsiaTheme="minorHAnsi" w:hAnsi="Myriad Pro"/>
          <w:b w:val="0"/>
          <w:i w:val="0"/>
          <w:color w:val="000000" w:themeColor="text1"/>
          <w:sz w:val="26"/>
          <w:szCs w:val="26"/>
          <w:lang w:eastAsia="en-US"/>
        </w:rPr>
        <w:t xml:space="preserve"> является договор </w:t>
      </w:r>
      <w:r w:rsidRPr="00D72AB6">
        <w:rPr>
          <w:rFonts w:ascii="Myriad Pro" w:eastAsiaTheme="minorHAnsi" w:hAnsi="Myriad Pro"/>
          <w:b w:val="0"/>
          <w:i w:val="0"/>
          <w:color w:val="000000" w:themeColor="text1"/>
          <w:sz w:val="26"/>
          <w:szCs w:val="26"/>
          <w:lang w:eastAsia="en-US"/>
        </w:rPr>
        <w:t xml:space="preserve">№ 59/105/20 от 11.02.2020 года на оказание услуг по проведению экспертизы тарифно-балансовых решений, принятых регулирующими органами за период 2017-2019 гг., заключенный между Обществом с ограниченной ответственностью «Экспертная компания ЭПАР» (ООО «ЭК ЭПАР»), </w:t>
      </w:r>
      <w:bookmarkStart w:id="22" w:name="_Hlk40793907"/>
      <w:r w:rsidRPr="00D72AB6">
        <w:rPr>
          <w:rFonts w:ascii="Myriad Pro" w:eastAsiaTheme="minorHAnsi" w:hAnsi="Myriad Pro"/>
          <w:b w:val="0"/>
          <w:i w:val="0"/>
          <w:color w:val="000000" w:themeColor="text1"/>
          <w:sz w:val="26"/>
          <w:szCs w:val="26"/>
          <w:lang w:eastAsia="en-US"/>
        </w:rPr>
        <w:t xml:space="preserve">в лице Генерального директора Логинова Виктора Никитовича, и </w:t>
      </w:r>
      <w:r w:rsidR="00A43A00" w:rsidRPr="00A43A00">
        <w:rPr>
          <w:rFonts w:ascii="Myriad Pro" w:eastAsiaTheme="minorHAnsi" w:hAnsi="Myriad Pro"/>
          <w:b w:val="0"/>
          <w:i w:val="0"/>
          <w:color w:val="000000" w:themeColor="text1"/>
          <w:sz w:val="26"/>
          <w:szCs w:val="26"/>
          <w:lang w:eastAsia="en-US"/>
        </w:rPr>
        <w:t>Публичн</w:t>
      </w:r>
      <w:r w:rsidR="008045B6">
        <w:rPr>
          <w:rFonts w:ascii="Myriad Pro" w:eastAsiaTheme="minorHAnsi" w:hAnsi="Myriad Pro"/>
          <w:b w:val="0"/>
          <w:i w:val="0"/>
          <w:color w:val="000000" w:themeColor="text1"/>
          <w:sz w:val="26"/>
          <w:szCs w:val="26"/>
          <w:lang w:eastAsia="en-US"/>
        </w:rPr>
        <w:t>ым</w:t>
      </w:r>
      <w:r w:rsidR="00A43A00" w:rsidRPr="00A43A00">
        <w:rPr>
          <w:rFonts w:ascii="Myriad Pro" w:eastAsiaTheme="minorHAnsi" w:hAnsi="Myriad Pro"/>
          <w:b w:val="0"/>
          <w:i w:val="0"/>
          <w:color w:val="000000" w:themeColor="text1"/>
          <w:sz w:val="26"/>
          <w:szCs w:val="26"/>
          <w:lang w:eastAsia="en-US"/>
        </w:rPr>
        <w:t xml:space="preserve"> акционерн</w:t>
      </w:r>
      <w:r w:rsidR="008045B6">
        <w:rPr>
          <w:rFonts w:ascii="Myriad Pro" w:eastAsiaTheme="minorHAnsi" w:hAnsi="Myriad Pro"/>
          <w:b w:val="0"/>
          <w:i w:val="0"/>
          <w:color w:val="000000" w:themeColor="text1"/>
          <w:sz w:val="26"/>
          <w:szCs w:val="26"/>
          <w:lang w:eastAsia="en-US"/>
        </w:rPr>
        <w:t>ым</w:t>
      </w:r>
      <w:r w:rsidR="00A43A00" w:rsidRPr="00A43A00">
        <w:rPr>
          <w:rFonts w:ascii="Myriad Pro" w:eastAsiaTheme="minorHAnsi" w:hAnsi="Myriad Pro"/>
          <w:b w:val="0"/>
          <w:i w:val="0"/>
          <w:color w:val="000000" w:themeColor="text1"/>
          <w:sz w:val="26"/>
          <w:szCs w:val="26"/>
          <w:lang w:eastAsia="en-US"/>
        </w:rPr>
        <w:t xml:space="preserve"> общество</w:t>
      </w:r>
      <w:r w:rsidR="008045B6">
        <w:rPr>
          <w:rFonts w:ascii="Myriad Pro" w:eastAsiaTheme="minorHAnsi" w:hAnsi="Myriad Pro"/>
          <w:b w:val="0"/>
          <w:i w:val="0"/>
          <w:color w:val="000000" w:themeColor="text1"/>
          <w:sz w:val="26"/>
          <w:szCs w:val="26"/>
          <w:lang w:eastAsia="en-US"/>
        </w:rPr>
        <w:t>м</w:t>
      </w:r>
      <w:r w:rsidR="00A43A00" w:rsidRPr="00A43A00">
        <w:rPr>
          <w:rFonts w:ascii="Myriad Pro" w:eastAsiaTheme="minorHAnsi" w:hAnsi="Myriad Pro"/>
          <w:b w:val="0"/>
          <w:i w:val="0"/>
          <w:color w:val="000000" w:themeColor="text1"/>
          <w:sz w:val="26"/>
          <w:szCs w:val="26"/>
          <w:lang w:eastAsia="en-US"/>
        </w:rPr>
        <w:t xml:space="preserve"> «Межрегиональная распределительная сетевая компания Северо-Запада»</w:t>
      </w:r>
      <w:r w:rsidRPr="00D72AB6">
        <w:rPr>
          <w:rFonts w:ascii="Myriad Pro" w:eastAsiaTheme="minorHAnsi" w:hAnsi="Myriad Pro"/>
          <w:b w:val="0"/>
          <w:i w:val="0"/>
          <w:color w:val="000000" w:themeColor="text1"/>
          <w:sz w:val="26"/>
          <w:szCs w:val="26"/>
          <w:lang w:eastAsia="en-US"/>
        </w:rPr>
        <w:t xml:space="preserve"> (ПАО</w:t>
      </w:r>
      <w:r w:rsidR="003C6439">
        <w:rPr>
          <w:rFonts w:ascii="Myriad Pro" w:eastAsiaTheme="minorHAnsi" w:hAnsi="Myriad Pro"/>
          <w:b w:val="0"/>
          <w:i w:val="0"/>
          <w:color w:val="000000" w:themeColor="text1"/>
          <w:sz w:val="26"/>
          <w:szCs w:val="26"/>
          <w:lang w:eastAsia="en-US"/>
        </w:rPr>
        <w:t> </w:t>
      </w:r>
      <w:r w:rsidRPr="00D72AB6">
        <w:rPr>
          <w:rFonts w:ascii="Myriad Pro" w:eastAsiaTheme="minorHAnsi" w:hAnsi="Myriad Pro"/>
          <w:b w:val="0"/>
          <w:i w:val="0"/>
          <w:color w:val="000000" w:themeColor="text1"/>
          <w:sz w:val="26"/>
          <w:szCs w:val="26"/>
          <w:lang w:eastAsia="en-US"/>
        </w:rPr>
        <w:t xml:space="preserve">«МРСК Северо-Запада»), в лице </w:t>
      </w:r>
      <w:r w:rsidR="008C7EA4">
        <w:rPr>
          <w:rFonts w:ascii="Myriad Pro" w:eastAsiaTheme="minorHAnsi" w:hAnsi="Myriad Pro"/>
          <w:b w:val="0"/>
          <w:i w:val="0"/>
          <w:color w:val="000000" w:themeColor="text1"/>
          <w:sz w:val="26"/>
          <w:szCs w:val="26"/>
          <w:lang w:eastAsia="en-US"/>
        </w:rPr>
        <w:t>З</w:t>
      </w:r>
      <w:r w:rsidRPr="00D72AB6">
        <w:rPr>
          <w:rFonts w:ascii="Myriad Pro" w:eastAsiaTheme="minorHAnsi" w:hAnsi="Myriad Pro"/>
          <w:b w:val="0"/>
          <w:i w:val="0"/>
          <w:color w:val="000000" w:themeColor="text1"/>
          <w:sz w:val="26"/>
          <w:szCs w:val="26"/>
          <w:lang w:eastAsia="en-US"/>
        </w:rPr>
        <w:t>аместителя Генерального директор по экономике и финансам Шадриной</w:t>
      </w:r>
      <w:r w:rsidR="00DD1A1D" w:rsidRPr="00DD1A1D">
        <w:rPr>
          <w:rFonts w:ascii="Myriad Pro" w:eastAsiaTheme="minorHAnsi" w:hAnsi="Myriad Pro"/>
          <w:b w:val="0"/>
          <w:i w:val="0"/>
          <w:color w:val="000000" w:themeColor="text1"/>
          <w:sz w:val="26"/>
          <w:szCs w:val="26"/>
          <w:lang w:eastAsia="en-US"/>
        </w:rPr>
        <w:t xml:space="preserve"> </w:t>
      </w:r>
      <w:r w:rsidR="00DD1A1D" w:rsidRPr="00D72AB6">
        <w:rPr>
          <w:rFonts w:ascii="Myriad Pro" w:eastAsiaTheme="minorHAnsi" w:hAnsi="Myriad Pro"/>
          <w:b w:val="0"/>
          <w:i w:val="0"/>
          <w:color w:val="000000" w:themeColor="text1"/>
          <w:sz w:val="26"/>
          <w:szCs w:val="26"/>
          <w:lang w:eastAsia="en-US"/>
        </w:rPr>
        <w:t>Людмилы Владимировны</w:t>
      </w:r>
      <w:r w:rsidRPr="00D72AB6">
        <w:rPr>
          <w:rFonts w:ascii="Myriad Pro" w:eastAsiaTheme="minorHAnsi" w:hAnsi="Myriad Pro"/>
          <w:b w:val="0"/>
          <w:i w:val="0"/>
          <w:color w:val="000000" w:themeColor="text1"/>
          <w:sz w:val="26"/>
          <w:szCs w:val="26"/>
          <w:lang w:eastAsia="en-US"/>
        </w:rPr>
        <w:t>.</w:t>
      </w:r>
    </w:p>
    <w:bookmarkEnd w:id="22"/>
    <w:p w14:paraId="419BE544" w14:textId="77777777" w:rsidR="002D6C17" w:rsidRDefault="002D6C17" w:rsidP="00A308AB">
      <w:pPr>
        <w:pStyle w:val="22"/>
        <w:spacing w:beforeLines="40" w:before="96" w:after="0" w:line="360" w:lineRule="auto"/>
        <w:ind w:left="0" w:firstLine="567"/>
        <w:jc w:val="both"/>
        <w:rPr>
          <w:rFonts w:ascii="Myriad Pro" w:eastAsiaTheme="minorHAnsi" w:hAnsi="Myriad Pro"/>
          <w:b w:val="0"/>
          <w:i w:val="0"/>
          <w:color w:val="000000" w:themeColor="text1"/>
          <w:sz w:val="26"/>
          <w:szCs w:val="26"/>
          <w:lang w:eastAsia="en-US"/>
        </w:rPr>
      </w:pPr>
    </w:p>
    <w:p w14:paraId="14B74A88" w14:textId="77777777" w:rsidR="002D6C17" w:rsidRDefault="002D6C17" w:rsidP="002D6C17">
      <w:pPr>
        <w:pStyle w:val="3"/>
        <w:numPr>
          <w:ilvl w:val="1"/>
          <w:numId w:val="68"/>
        </w:numPr>
        <w:tabs>
          <w:tab w:val="left" w:pos="567"/>
        </w:tabs>
        <w:spacing w:line="360" w:lineRule="auto"/>
        <w:ind w:left="1134" w:hanging="1134"/>
        <w:rPr>
          <w:rFonts w:ascii="Myriad Pro" w:hAnsi="Myriad Pro"/>
          <w:b/>
          <w:color w:val="4F6228" w:themeColor="accent3" w:themeShade="80"/>
          <w:sz w:val="28"/>
          <w:szCs w:val="28"/>
        </w:rPr>
      </w:pPr>
      <w:bookmarkStart w:id="23" w:name="_Toc33287987"/>
      <w:bookmarkStart w:id="24" w:name="_Toc40797950"/>
      <w:r>
        <w:rPr>
          <w:rFonts w:ascii="Myriad Pro" w:hAnsi="Myriad Pro"/>
          <w:b/>
          <w:color w:val="4F6228" w:themeColor="accent3" w:themeShade="80"/>
          <w:sz w:val="28"/>
          <w:szCs w:val="28"/>
        </w:rPr>
        <w:t>Цель оказания услуг</w:t>
      </w:r>
      <w:bookmarkEnd w:id="23"/>
      <w:bookmarkEnd w:id="24"/>
    </w:p>
    <w:p w14:paraId="56B2FB4D" w14:textId="33279212" w:rsidR="002D6C17" w:rsidRPr="0055525D" w:rsidRDefault="002D6C17" w:rsidP="002D6C17">
      <w:pPr>
        <w:spacing w:after="0" w:line="360" w:lineRule="auto"/>
        <w:ind w:firstLine="567"/>
        <w:contextualSpacing/>
        <w:jc w:val="both"/>
        <w:rPr>
          <w:rFonts w:ascii="Myriad Pro" w:hAnsi="Myriad Pro"/>
          <w:sz w:val="26"/>
          <w:szCs w:val="26"/>
        </w:rPr>
      </w:pPr>
      <w:bookmarkStart w:id="25" w:name="_Hlk37762639"/>
      <w:r>
        <w:rPr>
          <w:rFonts w:ascii="Myriad Pro" w:hAnsi="Myriad Pro" w:cs="Times New Roman"/>
          <w:sz w:val="26"/>
          <w:szCs w:val="26"/>
        </w:rPr>
        <w:t xml:space="preserve">Экспертиза тарифно-балансовых решений, принятых </w:t>
      </w:r>
      <w:r w:rsidRPr="0055525D">
        <w:rPr>
          <w:rFonts w:ascii="Myriad Pro" w:hAnsi="Myriad Pro"/>
          <w:sz w:val="26"/>
          <w:szCs w:val="26"/>
        </w:rPr>
        <w:t>Комитетом по тарифному регулированию Мурманской области в отношении Мурманского филиала ПАО «МРСК Северо-Запада» при установлении регулируемых тарифов</w:t>
      </w:r>
      <w:r w:rsidR="00296C71">
        <w:rPr>
          <w:rFonts w:ascii="Myriad Pro" w:hAnsi="Myriad Pro"/>
          <w:sz w:val="26"/>
          <w:szCs w:val="26"/>
        </w:rPr>
        <w:t>.</w:t>
      </w:r>
    </w:p>
    <w:p w14:paraId="2B5FA625" w14:textId="0D259BC2" w:rsidR="002D6C17" w:rsidRPr="0055525D" w:rsidRDefault="002D6C17" w:rsidP="002D6C17">
      <w:pPr>
        <w:spacing w:after="0" w:line="360" w:lineRule="auto"/>
        <w:ind w:firstLine="567"/>
        <w:contextualSpacing/>
        <w:jc w:val="both"/>
        <w:rPr>
          <w:rFonts w:ascii="Myriad Pro" w:hAnsi="Myriad Pro"/>
          <w:sz w:val="26"/>
          <w:szCs w:val="26"/>
        </w:rPr>
      </w:pPr>
      <w:r w:rsidRPr="0055525D">
        <w:rPr>
          <w:rFonts w:ascii="Myriad Pro" w:hAnsi="Myriad Pro"/>
          <w:sz w:val="26"/>
          <w:szCs w:val="26"/>
        </w:rPr>
        <w:t>Экспертиза обосновывающих материалов, предоставляемых Мурманским филиалом ПАО «МРСК Северо-Запада» в Комитет по тарифному регулированию Мурманской области в рамках рассмотрения дел об установлении тарифов</w:t>
      </w:r>
      <w:r w:rsidR="00296C71">
        <w:rPr>
          <w:rFonts w:ascii="Myriad Pro" w:hAnsi="Myriad Pro"/>
          <w:sz w:val="26"/>
          <w:szCs w:val="26"/>
        </w:rPr>
        <w:t>.</w:t>
      </w:r>
    </w:p>
    <w:p w14:paraId="0F75A5DF" w14:textId="69970F08" w:rsidR="002D6C17" w:rsidRPr="0055525D" w:rsidRDefault="002D6C17" w:rsidP="002D6C17">
      <w:pPr>
        <w:spacing w:after="0" w:line="360" w:lineRule="auto"/>
        <w:ind w:firstLine="567"/>
        <w:contextualSpacing/>
        <w:jc w:val="both"/>
        <w:rPr>
          <w:rFonts w:ascii="Myriad Pro" w:hAnsi="Myriad Pro"/>
          <w:sz w:val="26"/>
          <w:szCs w:val="26"/>
        </w:rPr>
      </w:pPr>
      <w:r w:rsidRPr="0055525D">
        <w:rPr>
          <w:rFonts w:ascii="Myriad Pro" w:hAnsi="Myriad Pro"/>
          <w:sz w:val="26"/>
          <w:szCs w:val="26"/>
        </w:rPr>
        <w:t>Экспертиза обоснованности решений, принятых Комитетом по тарифному регулированию Мурманской области при определении необходимой валовой выручки Мурманского филиала ПАО «МРСК Северо-Запада» при установлении тарифов</w:t>
      </w:r>
      <w:r w:rsidR="00296C71">
        <w:rPr>
          <w:rFonts w:ascii="Myriad Pro" w:hAnsi="Myriad Pro"/>
          <w:sz w:val="26"/>
          <w:szCs w:val="26"/>
        </w:rPr>
        <w:t>.</w:t>
      </w:r>
    </w:p>
    <w:p w14:paraId="2F6919FB" w14:textId="77777777" w:rsidR="002D6C17" w:rsidRPr="0055525D" w:rsidRDefault="002D6C17" w:rsidP="002D6C17">
      <w:pPr>
        <w:spacing w:after="0" w:line="360" w:lineRule="auto"/>
        <w:ind w:firstLine="567"/>
        <w:contextualSpacing/>
        <w:jc w:val="both"/>
        <w:rPr>
          <w:rFonts w:ascii="Myriad Pro" w:hAnsi="Myriad Pro" w:cs="Times New Roman"/>
          <w:sz w:val="26"/>
          <w:szCs w:val="26"/>
        </w:rPr>
      </w:pPr>
      <w:r w:rsidRPr="0055525D">
        <w:rPr>
          <w:rFonts w:ascii="Myriad Pro" w:hAnsi="Myriad Pro"/>
          <w:sz w:val="26"/>
          <w:szCs w:val="26"/>
        </w:rPr>
        <w:t>Подготовка рекомендаций и предложений по решению проблем, выявленных в результате экспертизы тарифно-балансовых решений, принятых Комитетом по тарифному регулированию Мурманской области</w:t>
      </w:r>
      <w:r w:rsidRPr="0055525D">
        <w:rPr>
          <w:rFonts w:ascii="Myriad Pro" w:hAnsi="Myriad Pro" w:cs="Times New Roman"/>
          <w:sz w:val="26"/>
          <w:szCs w:val="26"/>
        </w:rPr>
        <w:t>.</w:t>
      </w:r>
    </w:p>
    <w:bookmarkEnd w:id="25"/>
    <w:p w14:paraId="6E166DF9" w14:textId="77777777" w:rsidR="002D6C17" w:rsidRPr="0055525D" w:rsidRDefault="002D6C17" w:rsidP="002D6C17">
      <w:pPr>
        <w:spacing w:after="0" w:line="360" w:lineRule="auto"/>
        <w:ind w:firstLine="567"/>
        <w:contextualSpacing/>
        <w:jc w:val="both"/>
        <w:rPr>
          <w:rFonts w:ascii="Myriad Pro" w:hAnsi="Myriad Pro" w:cs="Times New Roman"/>
          <w:sz w:val="26"/>
          <w:szCs w:val="26"/>
        </w:rPr>
      </w:pPr>
    </w:p>
    <w:p w14:paraId="6D85E7B5" w14:textId="77777777" w:rsidR="002D6C17" w:rsidRPr="0055525D" w:rsidRDefault="002D6C17" w:rsidP="002D6C17">
      <w:pPr>
        <w:tabs>
          <w:tab w:val="left" w:pos="993"/>
        </w:tabs>
        <w:spacing w:after="0" w:line="360" w:lineRule="auto"/>
        <w:jc w:val="both"/>
        <w:rPr>
          <w:rFonts w:ascii="Myriad Pro" w:eastAsia="Calibri" w:hAnsi="Myriad Pro" w:cs="Times New Roman"/>
          <w:b/>
          <w:sz w:val="26"/>
          <w:szCs w:val="26"/>
          <w:u w:val="single"/>
        </w:rPr>
      </w:pPr>
      <w:r w:rsidRPr="0055525D">
        <w:rPr>
          <w:rFonts w:ascii="Myriad Pro" w:eastAsia="Calibri" w:hAnsi="Myriad Pro" w:cs="Times New Roman"/>
          <w:b/>
          <w:sz w:val="26"/>
          <w:szCs w:val="26"/>
          <w:u w:val="single"/>
        </w:rPr>
        <w:t xml:space="preserve">Этап № 1.1.1. </w:t>
      </w:r>
    </w:p>
    <w:p w14:paraId="45170D81" w14:textId="4F91DBEE" w:rsidR="002D6C17" w:rsidRPr="0055525D" w:rsidRDefault="002D6C17" w:rsidP="00296C71">
      <w:pPr>
        <w:tabs>
          <w:tab w:val="left" w:pos="993"/>
        </w:tabs>
        <w:spacing w:after="0" w:line="360" w:lineRule="auto"/>
        <w:ind w:firstLine="567"/>
        <w:jc w:val="both"/>
        <w:rPr>
          <w:rFonts w:ascii="Myriad Pro" w:eastAsia="Calibri" w:hAnsi="Myriad Pro" w:cs="Times New Roman"/>
          <w:sz w:val="26"/>
          <w:szCs w:val="26"/>
        </w:rPr>
      </w:pPr>
      <w:r w:rsidRPr="0055525D">
        <w:rPr>
          <w:rFonts w:ascii="Myriad Pro" w:eastAsia="Calibri" w:hAnsi="Myriad Pro" w:cs="Times New Roman"/>
          <w:sz w:val="26"/>
          <w:szCs w:val="26"/>
        </w:rPr>
        <w:t>1.1.1.</w:t>
      </w:r>
      <w:r w:rsidRPr="0055525D">
        <w:rPr>
          <w:rFonts w:ascii="Myriad Pro" w:eastAsia="Calibri" w:hAnsi="Myriad Pro" w:cs="Times New Roman"/>
          <w:sz w:val="26"/>
          <w:szCs w:val="26"/>
        </w:rPr>
        <w:tab/>
        <w:t>Анализ документов, предоставленных Мурманским филиалом ПАО</w:t>
      </w:r>
      <w:r w:rsidR="00486403">
        <w:rPr>
          <w:rFonts w:ascii="Myriad Pro" w:eastAsia="Calibri" w:hAnsi="Myriad Pro" w:cs="Times New Roman"/>
          <w:sz w:val="26"/>
          <w:szCs w:val="26"/>
        </w:rPr>
        <w:t> </w:t>
      </w:r>
      <w:r w:rsidRPr="0055525D">
        <w:rPr>
          <w:rFonts w:ascii="Myriad Pro" w:eastAsia="Calibri" w:hAnsi="Myriad Pro" w:cs="Times New Roman"/>
          <w:sz w:val="26"/>
          <w:szCs w:val="26"/>
        </w:rPr>
        <w:t xml:space="preserve">«МРСК Северо-Запада» в </w:t>
      </w:r>
      <w:r w:rsidRPr="0055525D">
        <w:rPr>
          <w:rFonts w:ascii="Myriad Pro" w:hAnsi="Myriad Pro"/>
          <w:sz w:val="26"/>
          <w:szCs w:val="26"/>
        </w:rPr>
        <w:t xml:space="preserve">Комитет по тарифному регулированию Мурманской области </w:t>
      </w:r>
      <w:r w:rsidRPr="0055525D">
        <w:rPr>
          <w:rFonts w:ascii="Myriad Pro" w:eastAsia="Calibri" w:hAnsi="Myriad Pro" w:cs="Times New Roman"/>
          <w:sz w:val="26"/>
          <w:szCs w:val="26"/>
        </w:rPr>
        <w:t xml:space="preserve">в рамках рассмотрения дела об установлении тарифов, на основании </w:t>
      </w:r>
      <w:r w:rsidRPr="0055525D">
        <w:rPr>
          <w:rFonts w:ascii="Myriad Pro" w:eastAsia="Calibri" w:hAnsi="Myriad Pro" w:cs="Times New Roman"/>
          <w:sz w:val="26"/>
          <w:szCs w:val="26"/>
        </w:rPr>
        <w:lastRenderedPageBreak/>
        <w:t xml:space="preserve">которых </w:t>
      </w:r>
      <w:r w:rsidRPr="0055525D">
        <w:rPr>
          <w:rFonts w:ascii="Myriad Pro" w:hAnsi="Myriad Pro"/>
          <w:sz w:val="26"/>
          <w:szCs w:val="26"/>
        </w:rPr>
        <w:t xml:space="preserve">Комитетом по тарифному регулированию Мурманской области </w:t>
      </w:r>
      <w:r w:rsidRPr="0055525D">
        <w:rPr>
          <w:rFonts w:ascii="Myriad Pro" w:eastAsia="Calibri" w:hAnsi="Myriad Pro" w:cs="Times New Roman"/>
          <w:sz w:val="26"/>
          <w:szCs w:val="26"/>
        </w:rPr>
        <w:t>были приняты соответствующие тарифно-балансовые решения на 2019 год.</w:t>
      </w:r>
    </w:p>
    <w:p w14:paraId="332AF864" w14:textId="78C75DF7" w:rsidR="002D6C17" w:rsidRPr="0055525D" w:rsidRDefault="002D6C17" w:rsidP="00296C71">
      <w:pPr>
        <w:tabs>
          <w:tab w:val="left" w:pos="993"/>
        </w:tabs>
        <w:spacing w:after="0" w:line="360" w:lineRule="auto"/>
        <w:ind w:firstLine="567"/>
        <w:jc w:val="both"/>
        <w:rPr>
          <w:rFonts w:ascii="Myriad Pro" w:eastAsia="Calibri" w:hAnsi="Myriad Pro" w:cs="Times New Roman"/>
          <w:sz w:val="26"/>
          <w:szCs w:val="26"/>
        </w:rPr>
      </w:pPr>
      <w:r w:rsidRPr="0055525D">
        <w:rPr>
          <w:rFonts w:ascii="Myriad Pro" w:eastAsia="Calibri" w:hAnsi="Myriad Pro" w:cs="Times New Roman"/>
          <w:sz w:val="26"/>
          <w:szCs w:val="26"/>
        </w:rPr>
        <w:t>1.1.2.</w:t>
      </w:r>
      <w:r w:rsidRPr="0055525D">
        <w:rPr>
          <w:rFonts w:ascii="Myriad Pro" w:eastAsia="Calibri" w:hAnsi="Myriad Pro" w:cs="Times New Roman"/>
          <w:sz w:val="26"/>
          <w:szCs w:val="26"/>
        </w:rPr>
        <w:tab/>
        <w:t xml:space="preserve">Экспертиза обоснованности принятых </w:t>
      </w:r>
      <w:r w:rsidRPr="0055525D">
        <w:rPr>
          <w:rFonts w:ascii="Myriad Pro" w:hAnsi="Myriad Pro"/>
          <w:sz w:val="26"/>
          <w:szCs w:val="26"/>
        </w:rPr>
        <w:t>Комитетом по тарифному регулированию Мурманской области</w:t>
      </w:r>
      <w:r w:rsidRPr="0055525D">
        <w:rPr>
          <w:rFonts w:ascii="Myriad Pro" w:eastAsia="Calibri" w:hAnsi="Myriad Pro" w:cs="Times New Roman"/>
          <w:sz w:val="26"/>
          <w:szCs w:val="26"/>
        </w:rPr>
        <w:t xml:space="preserve"> в расчет тарифов на 2019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p>
    <w:p w14:paraId="1287EB2C" w14:textId="2C9AF100" w:rsidR="002D6C17" w:rsidRPr="0055525D" w:rsidRDefault="002D6C17" w:rsidP="00296C71">
      <w:pPr>
        <w:tabs>
          <w:tab w:val="left" w:pos="993"/>
        </w:tabs>
        <w:spacing w:after="0" w:line="360" w:lineRule="auto"/>
        <w:ind w:firstLine="567"/>
        <w:jc w:val="both"/>
        <w:rPr>
          <w:rFonts w:ascii="Myriad Pro" w:eastAsia="Calibri" w:hAnsi="Myriad Pro" w:cs="Times New Roman"/>
          <w:sz w:val="26"/>
          <w:szCs w:val="26"/>
        </w:rPr>
      </w:pPr>
      <w:r w:rsidRPr="0055525D">
        <w:rPr>
          <w:rFonts w:ascii="Myriad Pro" w:eastAsia="Calibri" w:hAnsi="Myriad Pro" w:cs="Times New Roman"/>
          <w:sz w:val="26"/>
          <w:szCs w:val="26"/>
        </w:rPr>
        <w:t>1.1.3.</w:t>
      </w:r>
      <w:r w:rsidRPr="0055525D">
        <w:rPr>
          <w:rFonts w:ascii="Myriad Pro" w:eastAsia="Calibri" w:hAnsi="Myriad Pro" w:cs="Times New Roman"/>
          <w:sz w:val="26"/>
          <w:szCs w:val="26"/>
        </w:rPr>
        <w:tab/>
        <w:t xml:space="preserve">Экспертиза расчетов подконтрольных расходов, учтенных </w:t>
      </w:r>
      <w:r w:rsidRPr="0055525D">
        <w:rPr>
          <w:rFonts w:ascii="Myriad Pro" w:hAnsi="Myriad Pro"/>
          <w:sz w:val="26"/>
          <w:szCs w:val="26"/>
        </w:rPr>
        <w:t>Комитетом по тарифному регулированию Мурманской области</w:t>
      </w:r>
      <w:r w:rsidRPr="0055525D">
        <w:rPr>
          <w:rFonts w:ascii="Myriad Pro" w:eastAsia="Calibri" w:hAnsi="Myriad Pro" w:cs="Times New Roman"/>
          <w:sz w:val="26"/>
          <w:szCs w:val="26"/>
        </w:rPr>
        <w:t xml:space="preserve"> в необходимой валовой выручке при установлении тарифов на 2019 год, являющийся первым годом долгосрочного периода регулирования.</w:t>
      </w:r>
    </w:p>
    <w:p w14:paraId="0355BE78" w14:textId="7B5CE983" w:rsidR="002D6C17" w:rsidRPr="0055525D" w:rsidRDefault="002D6C17" w:rsidP="00296C71">
      <w:pPr>
        <w:tabs>
          <w:tab w:val="left" w:pos="993"/>
        </w:tabs>
        <w:spacing w:after="0" w:line="360" w:lineRule="auto"/>
        <w:ind w:firstLine="567"/>
        <w:jc w:val="both"/>
        <w:rPr>
          <w:rFonts w:ascii="Myriad Pro" w:eastAsia="Calibri" w:hAnsi="Myriad Pro" w:cs="Times New Roman"/>
          <w:sz w:val="26"/>
          <w:szCs w:val="26"/>
        </w:rPr>
      </w:pPr>
      <w:r w:rsidRPr="0055525D">
        <w:rPr>
          <w:rFonts w:ascii="Myriad Pro" w:eastAsia="Calibri" w:hAnsi="Myriad Pro" w:cs="Times New Roman"/>
          <w:sz w:val="26"/>
          <w:szCs w:val="26"/>
        </w:rPr>
        <w:t>1.1.4.</w:t>
      </w:r>
      <w:r w:rsidRPr="0055525D">
        <w:rPr>
          <w:rFonts w:ascii="Myriad Pro" w:eastAsia="Calibri" w:hAnsi="Myriad Pro" w:cs="Times New Roman"/>
          <w:sz w:val="26"/>
          <w:szCs w:val="26"/>
        </w:rPr>
        <w:tab/>
        <w:t xml:space="preserve">Анализ обоснованности принятых </w:t>
      </w:r>
      <w:r w:rsidRPr="0055525D">
        <w:rPr>
          <w:rFonts w:ascii="Myriad Pro" w:hAnsi="Myriad Pro"/>
          <w:sz w:val="26"/>
          <w:szCs w:val="26"/>
        </w:rPr>
        <w:t>Комитетом по тарифному регулированию Мурманской области</w:t>
      </w:r>
      <w:r w:rsidRPr="0055525D">
        <w:rPr>
          <w:rFonts w:ascii="Myriad Pro" w:eastAsia="Calibri" w:hAnsi="Myriad Pro" w:cs="Times New Roman"/>
          <w:sz w:val="26"/>
          <w:szCs w:val="26"/>
        </w:rPr>
        <w:t xml:space="preserve"> в расчет тарифов долгосрочных параметров регулирования: индекса эффективности подконтрольных расходов, уровня надежности и качества услуг на 2019 год.</w:t>
      </w:r>
    </w:p>
    <w:p w14:paraId="0B78C003" w14:textId="1606AC66" w:rsidR="002D6C17" w:rsidRPr="0055525D" w:rsidRDefault="002D6C17" w:rsidP="00296C71">
      <w:pPr>
        <w:tabs>
          <w:tab w:val="left" w:pos="993"/>
        </w:tabs>
        <w:spacing w:after="0" w:line="360" w:lineRule="auto"/>
        <w:ind w:firstLine="567"/>
        <w:jc w:val="both"/>
        <w:rPr>
          <w:rFonts w:ascii="Myriad Pro" w:eastAsia="Calibri" w:hAnsi="Myriad Pro" w:cs="Times New Roman"/>
          <w:sz w:val="26"/>
          <w:szCs w:val="26"/>
        </w:rPr>
      </w:pPr>
      <w:r w:rsidRPr="0055525D">
        <w:rPr>
          <w:rFonts w:ascii="Myriad Pro" w:eastAsia="Calibri" w:hAnsi="Myriad Pro" w:cs="Times New Roman"/>
          <w:sz w:val="26"/>
          <w:szCs w:val="26"/>
        </w:rPr>
        <w:t>1.1.5.</w:t>
      </w:r>
      <w:r w:rsidRPr="0055525D">
        <w:rPr>
          <w:rFonts w:ascii="Myriad Pro" w:eastAsia="Calibri" w:hAnsi="Myriad Pro" w:cs="Times New Roman"/>
          <w:sz w:val="26"/>
          <w:szCs w:val="26"/>
        </w:rPr>
        <w:tab/>
        <w:t xml:space="preserve">Экспертиза обоснованности расчетов </w:t>
      </w:r>
      <w:r w:rsidRPr="0055525D">
        <w:rPr>
          <w:rFonts w:ascii="Myriad Pro" w:hAnsi="Myriad Pro"/>
          <w:sz w:val="26"/>
          <w:szCs w:val="26"/>
        </w:rPr>
        <w:t>Комитета по тарифному регулированию Мурманской области</w:t>
      </w:r>
      <w:r w:rsidRPr="0055525D">
        <w:rPr>
          <w:rFonts w:ascii="Myriad Pro" w:eastAsia="Calibri" w:hAnsi="Myriad Pro" w:cs="Times New Roman"/>
          <w:sz w:val="26"/>
          <w:szCs w:val="26"/>
        </w:rPr>
        <w:t xml:space="preserve"> по статьям неподконтрольных расходов на 2019 год.</w:t>
      </w:r>
    </w:p>
    <w:p w14:paraId="326AF255" w14:textId="2A1D51DC" w:rsidR="002D6C17" w:rsidRDefault="002D6C17" w:rsidP="00296C71">
      <w:pPr>
        <w:tabs>
          <w:tab w:val="left" w:pos="993"/>
        </w:tabs>
        <w:spacing w:after="0" w:line="360" w:lineRule="auto"/>
        <w:ind w:firstLine="567"/>
        <w:jc w:val="both"/>
        <w:rPr>
          <w:rFonts w:ascii="Myriad Pro" w:eastAsia="Calibri" w:hAnsi="Myriad Pro" w:cs="Times New Roman"/>
          <w:sz w:val="26"/>
          <w:szCs w:val="26"/>
        </w:rPr>
      </w:pPr>
      <w:r w:rsidRPr="0055525D">
        <w:rPr>
          <w:rFonts w:ascii="Myriad Pro" w:eastAsia="Calibri" w:hAnsi="Myriad Pro" w:cs="Times New Roman"/>
          <w:sz w:val="26"/>
          <w:szCs w:val="26"/>
        </w:rPr>
        <w:t>1.1.6.</w:t>
      </w:r>
      <w:r w:rsidRPr="0055525D">
        <w:rPr>
          <w:rFonts w:ascii="Myriad Pro" w:eastAsia="Calibri" w:hAnsi="Myriad Pro" w:cs="Times New Roman"/>
          <w:sz w:val="26"/>
          <w:szCs w:val="26"/>
        </w:rPr>
        <w:tab/>
        <w:t xml:space="preserve">Экспертиза обоснованности расходов на компенсацию потерь, учтенных </w:t>
      </w:r>
      <w:r w:rsidRPr="0055525D">
        <w:rPr>
          <w:rFonts w:ascii="Myriad Pro" w:hAnsi="Myriad Pro"/>
          <w:sz w:val="26"/>
          <w:szCs w:val="26"/>
        </w:rPr>
        <w:t xml:space="preserve">Комитетом по тарифному регулированию Мурманской области </w:t>
      </w:r>
      <w:r w:rsidRPr="0055525D">
        <w:rPr>
          <w:rFonts w:ascii="Myriad Pro" w:eastAsia="Calibri" w:hAnsi="Myriad Pro" w:cs="Times New Roman"/>
          <w:sz w:val="26"/>
          <w:szCs w:val="26"/>
        </w:rPr>
        <w:t>в необходимой валовой выручке на 2019 год.</w:t>
      </w:r>
    </w:p>
    <w:p w14:paraId="4BDF660B" w14:textId="77777777" w:rsidR="002D6C17" w:rsidRPr="0060599C" w:rsidRDefault="002D6C17" w:rsidP="002D6C17">
      <w:pPr>
        <w:tabs>
          <w:tab w:val="left" w:pos="993"/>
        </w:tabs>
        <w:spacing w:after="0" w:line="360" w:lineRule="auto"/>
        <w:jc w:val="both"/>
        <w:rPr>
          <w:rFonts w:ascii="Myriad Pro" w:eastAsia="Calibri" w:hAnsi="Myriad Pro" w:cs="Times New Roman"/>
          <w:sz w:val="26"/>
          <w:szCs w:val="26"/>
        </w:rPr>
      </w:pPr>
    </w:p>
    <w:p w14:paraId="545A928E" w14:textId="77777777" w:rsidR="002D6C17" w:rsidRDefault="002D6C17" w:rsidP="002D6C17">
      <w:pPr>
        <w:tabs>
          <w:tab w:val="left" w:pos="993"/>
        </w:tabs>
        <w:spacing w:after="0" w:line="360" w:lineRule="auto"/>
        <w:jc w:val="both"/>
        <w:rPr>
          <w:rFonts w:ascii="Myriad Pro" w:eastAsia="Calibri" w:hAnsi="Myriad Pro" w:cs="Times New Roman"/>
          <w:sz w:val="26"/>
          <w:szCs w:val="26"/>
        </w:rPr>
      </w:pPr>
    </w:p>
    <w:p w14:paraId="31B53445" w14:textId="77777777" w:rsidR="002D6C17" w:rsidRDefault="002D6C17" w:rsidP="002D6C17">
      <w:pPr>
        <w:rPr>
          <w:rFonts w:ascii="Myriad Pro" w:eastAsia="Calibri" w:hAnsi="Myriad Pro" w:cs="Times New Roman"/>
          <w:sz w:val="26"/>
          <w:szCs w:val="26"/>
        </w:rPr>
      </w:pPr>
      <w:r>
        <w:rPr>
          <w:rFonts w:ascii="Myriad Pro" w:eastAsia="Calibri" w:hAnsi="Myriad Pro" w:cs="Times New Roman"/>
          <w:sz w:val="26"/>
          <w:szCs w:val="26"/>
        </w:rPr>
        <w:br w:type="page"/>
      </w:r>
    </w:p>
    <w:p w14:paraId="0FA2F703" w14:textId="77777777" w:rsidR="002D6C17" w:rsidRDefault="002D6C17" w:rsidP="002D6C17">
      <w:pPr>
        <w:pStyle w:val="3"/>
        <w:numPr>
          <w:ilvl w:val="1"/>
          <w:numId w:val="68"/>
        </w:numPr>
        <w:tabs>
          <w:tab w:val="left" w:pos="567"/>
        </w:tabs>
        <w:spacing w:line="360" w:lineRule="auto"/>
        <w:ind w:left="1134" w:hanging="1134"/>
        <w:rPr>
          <w:rFonts w:ascii="Myriad Pro" w:hAnsi="Myriad Pro"/>
          <w:b/>
          <w:color w:val="4F6228" w:themeColor="accent3" w:themeShade="80"/>
          <w:sz w:val="28"/>
          <w:szCs w:val="28"/>
        </w:rPr>
      </w:pPr>
      <w:bookmarkStart w:id="26" w:name="_Toc33287988"/>
      <w:bookmarkStart w:id="27" w:name="_Toc40797951"/>
      <w:r>
        <w:rPr>
          <w:rFonts w:ascii="Myriad Pro" w:hAnsi="Myriad Pro"/>
          <w:b/>
          <w:color w:val="4F6228" w:themeColor="accent3" w:themeShade="80"/>
          <w:sz w:val="28"/>
          <w:szCs w:val="28"/>
        </w:rPr>
        <w:lastRenderedPageBreak/>
        <w:t>Нормативно-правовая база</w:t>
      </w:r>
      <w:bookmarkEnd w:id="26"/>
      <w:bookmarkEnd w:id="27"/>
    </w:p>
    <w:p w14:paraId="79EAED8D" w14:textId="77777777" w:rsidR="002D6C17" w:rsidRPr="00700007" w:rsidRDefault="002D6C17" w:rsidP="002D6C17">
      <w:pPr>
        <w:spacing w:after="0" w:line="360" w:lineRule="auto"/>
        <w:ind w:firstLine="567"/>
        <w:contextualSpacing/>
        <w:jc w:val="both"/>
        <w:rPr>
          <w:rFonts w:ascii="Myriad Pro" w:hAnsi="Myriad Pro" w:cs="Times New Roman"/>
          <w:sz w:val="26"/>
          <w:szCs w:val="26"/>
        </w:rPr>
      </w:pPr>
      <w:r w:rsidRPr="00700007">
        <w:rPr>
          <w:rFonts w:ascii="Myriad Pro" w:eastAsia="Calibri" w:hAnsi="Myriad Pro" w:cs="Times New Roman"/>
          <w:sz w:val="26"/>
          <w:szCs w:val="26"/>
        </w:rPr>
        <w:t>При проведении анализа Исполнитель руководствовался следующими нормативно-правовыми актами</w:t>
      </w:r>
      <w:r>
        <w:rPr>
          <w:rFonts w:ascii="Myriad Pro" w:eastAsia="Calibri" w:hAnsi="Myriad Pro" w:cs="Times New Roman"/>
          <w:sz w:val="26"/>
          <w:szCs w:val="26"/>
        </w:rPr>
        <w:t xml:space="preserve"> (в редакциях, действующих на момент установления тарифов на передачу электрической энергии)</w:t>
      </w:r>
      <w:r w:rsidRPr="00700007">
        <w:rPr>
          <w:rFonts w:ascii="Myriad Pro" w:eastAsia="Calibri" w:hAnsi="Myriad Pro" w:cs="Times New Roman"/>
          <w:sz w:val="26"/>
          <w:szCs w:val="26"/>
        </w:rPr>
        <w:t>:</w:t>
      </w:r>
      <w:r w:rsidRPr="00700007">
        <w:rPr>
          <w:rFonts w:ascii="Myriad Pro" w:hAnsi="Myriad Pro" w:cs="Times New Roman"/>
          <w:sz w:val="26"/>
          <w:szCs w:val="26"/>
        </w:rPr>
        <w:t xml:space="preserve"> </w:t>
      </w:r>
    </w:p>
    <w:p w14:paraId="44A834A8" w14:textId="77777777" w:rsidR="002D6C17" w:rsidRPr="00700007" w:rsidRDefault="002D6C17" w:rsidP="002D6C17">
      <w:pPr>
        <w:pStyle w:val="a4"/>
        <w:numPr>
          <w:ilvl w:val="0"/>
          <w:numId w:val="3"/>
        </w:numPr>
        <w:spacing w:after="0" w:line="360" w:lineRule="auto"/>
        <w:jc w:val="both"/>
        <w:rPr>
          <w:rFonts w:ascii="Myriad Pro" w:hAnsi="Myriad Pro"/>
          <w:sz w:val="26"/>
          <w:szCs w:val="26"/>
        </w:rPr>
      </w:pPr>
      <w:r w:rsidRPr="00700007">
        <w:rPr>
          <w:rFonts w:ascii="Myriad Pro" w:hAnsi="Myriad Pro"/>
          <w:sz w:val="26"/>
          <w:szCs w:val="26"/>
        </w:rPr>
        <w:t>Налоговый кодекс Российской Федерации;</w:t>
      </w:r>
    </w:p>
    <w:p w14:paraId="03F8E362" w14:textId="77777777" w:rsidR="002D6C17" w:rsidRPr="00700007" w:rsidRDefault="002D6C17" w:rsidP="002D6C17">
      <w:pPr>
        <w:pStyle w:val="a4"/>
        <w:numPr>
          <w:ilvl w:val="0"/>
          <w:numId w:val="3"/>
        </w:numPr>
        <w:spacing w:after="0" w:line="360" w:lineRule="auto"/>
        <w:jc w:val="both"/>
        <w:rPr>
          <w:rFonts w:ascii="Myriad Pro" w:hAnsi="Myriad Pro"/>
          <w:sz w:val="26"/>
          <w:szCs w:val="26"/>
        </w:rPr>
      </w:pPr>
      <w:r w:rsidRPr="00700007">
        <w:rPr>
          <w:rFonts w:ascii="Myriad Pro" w:hAnsi="Myriad Pro"/>
          <w:sz w:val="26"/>
          <w:szCs w:val="26"/>
        </w:rPr>
        <w:t>Федеральный закон Российской Федерации от 26.03.2003 № 35-ФЗ «Об электроэнергетике»;</w:t>
      </w:r>
    </w:p>
    <w:p w14:paraId="7E37CB9D" w14:textId="77777777" w:rsidR="002D6C17" w:rsidRDefault="002D6C17" w:rsidP="002D6C17">
      <w:pPr>
        <w:pStyle w:val="a4"/>
        <w:numPr>
          <w:ilvl w:val="0"/>
          <w:numId w:val="3"/>
        </w:numPr>
        <w:spacing w:after="0" w:line="360" w:lineRule="auto"/>
        <w:jc w:val="both"/>
        <w:rPr>
          <w:rFonts w:ascii="Myriad Pro" w:hAnsi="Myriad Pro"/>
          <w:sz w:val="26"/>
          <w:szCs w:val="26"/>
        </w:rPr>
      </w:pPr>
      <w:r w:rsidRPr="00700007">
        <w:rPr>
          <w:rFonts w:ascii="Myriad Pro" w:hAnsi="Myriad Pro"/>
          <w:sz w:val="26"/>
          <w:szCs w:val="26"/>
        </w:rPr>
        <w:t>Постановление Правительства Российской Федерации от 29.12.2011 №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w:t>
      </w:r>
      <w:r>
        <w:rPr>
          <w:rFonts w:ascii="Myriad Pro" w:hAnsi="Myriad Pro"/>
          <w:sz w:val="26"/>
          <w:szCs w:val="26"/>
        </w:rPr>
        <w:t xml:space="preserve"> (далее – Основы ценообразования № 1178)</w:t>
      </w:r>
      <w:r w:rsidRPr="00700007">
        <w:rPr>
          <w:rFonts w:ascii="Myriad Pro" w:hAnsi="Myriad Pro"/>
          <w:sz w:val="26"/>
          <w:szCs w:val="26"/>
        </w:rPr>
        <w:t>;</w:t>
      </w:r>
    </w:p>
    <w:p w14:paraId="2185B5C2" w14:textId="77777777" w:rsidR="002D6C17" w:rsidRPr="00883917" w:rsidRDefault="002D6C17" w:rsidP="002D6C17">
      <w:pPr>
        <w:pStyle w:val="a4"/>
        <w:numPr>
          <w:ilvl w:val="0"/>
          <w:numId w:val="3"/>
        </w:numPr>
        <w:spacing w:after="0" w:line="360" w:lineRule="auto"/>
        <w:jc w:val="both"/>
        <w:rPr>
          <w:rFonts w:ascii="Myriad Pro" w:hAnsi="Myriad Pro"/>
          <w:sz w:val="26"/>
          <w:szCs w:val="26"/>
        </w:rPr>
      </w:pPr>
      <w:r w:rsidRPr="00883917">
        <w:rPr>
          <w:rFonts w:ascii="Myriad Pro" w:hAnsi="Myriad Pro"/>
          <w:sz w:val="26"/>
          <w:szCs w:val="26"/>
        </w:rPr>
        <w:t xml:space="preserve">Постановление Правительства </w:t>
      </w:r>
      <w:r>
        <w:rPr>
          <w:rFonts w:ascii="Myriad Pro" w:hAnsi="Myriad Pro"/>
          <w:sz w:val="26"/>
          <w:szCs w:val="26"/>
        </w:rPr>
        <w:t>Российской Федерации</w:t>
      </w:r>
      <w:r w:rsidRPr="00883917">
        <w:rPr>
          <w:rFonts w:ascii="Myriad Pro" w:hAnsi="Myriad Pro"/>
          <w:sz w:val="26"/>
          <w:szCs w:val="26"/>
        </w:rPr>
        <w:t xml:space="preserve"> от 21.01.2004 №</w:t>
      </w:r>
      <w:r>
        <w:rPr>
          <w:rFonts w:ascii="Myriad Pro" w:hAnsi="Myriad Pro"/>
          <w:sz w:val="26"/>
          <w:szCs w:val="26"/>
        </w:rPr>
        <w:t> </w:t>
      </w:r>
      <w:r w:rsidRPr="00883917">
        <w:rPr>
          <w:rFonts w:ascii="Myriad Pro" w:hAnsi="Myriad Pro"/>
          <w:sz w:val="26"/>
          <w:szCs w:val="26"/>
        </w:rPr>
        <w:t>24</w:t>
      </w:r>
      <w:r>
        <w:rPr>
          <w:rFonts w:ascii="Myriad Pro" w:hAnsi="Myriad Pro"/>
          <w:sz w:val="26"/>
          <w:szCs w:val="26"/>
        </w:rPr>
        <w:t xml:space="preserve"> «</w:t>
      </w:r>
      <w:r w:rsidRPr="00883917">
        <w:rPr>
          <w:rFonts w:ascii="Myriad Pro" w:hAnsi="Myriad Pro"/>
          <w:sz w:val="26"/>
          <w:szCs w:val="26"/>
        </w:rPr>
        <w:t>Об утверждении стандартов раскрытия информации субъектами оптового и розничн</w:t>
      </w:r>
      <w:r>
        <w:rPr>
          <w:rFonts w:ascii="Myriad Pro" w:hAnsi="Myriad Pro"/>
          <w:sz w:val="26"/>
          <w:szCs w:val="26"/>
        </w:rPr>
        <w:t>ых рынков электрической энергии» (далее – Стандарты раскрытия);</w:t>
      </w:r>
    </w:p>
    <w:p w14:paraId="219A86BB" w14:textId="77777777" w:rsidR="002D6C17" w:rsidRPr="00883917" w:rsidRDefault="002D6C17" w:rsidP="002D6C17">
      <w:pPr>
        <w:pStyle w:val="a4"/>
        <w:numPr>
          <w:ilvl w:val="0"/>
          <w:numId w:val="3"/>
        </w:numPr>
        <w:spacing w:after="0" w:line="360" w:lineRule="auto"/>
        <w:jc w:val="both"/>
        <w:rPr>
          <w:rFonts w:ascii="Myriad Pro" w:hAnsi="Myriad Pro"/>
          <w:sz w:val="26"/>
          <w:szCs w:val="26"/>
        </w:rPr>
      </w:pPr>
      <w:r w:rsidRPr="00883917">
        <w:rPr>
          <w:rFonts w:ascii="Myriad Pro" w:hAnsi="Myriad Pro"/>
          <w:sz w:val="26"/>
          <w:szCs w:val="26"/>
        </w:rPr>
        <w:t>Приказ Мин</w:t>
      </w:r>
      <w:r>
        <w:rPr>
          <w:rFonts w:ascii="Myriad Pro" w:hAnsi="Myriad Pro"/>
          <w:sz w:val="26"/>
          <w:szCs w:val="26"/>
        </w:rPr>
        <w:t xml:space="preserve">истерства </w:t>
      </w:r>
      <w:r w:rsidRPr="00883917">
        <w:rPr>
          <w:rFonts w:ascii="Myriad Pro" w:hAnsi="Myriad Pro"/>
          <w:sz w:val="26"/>
          <w:szCs w:val="26"/>
        </w:rPr>
        <w:t>энерг</w:t>
      </w:r>
      <w:r>
        <w:rPr>
          <w:rFonts w:ascii="Myriad Pro" w:hAnsi="Myriad Pro"/>
          <w:sz w:val="26"/>
          <w:szCs w:val="26"/>
        </w:rPr>
        <w:t>етики</w:t>
      </w:r>
      <w:r w:rsidRPr="00883917">
        <w:rPr>
          <w:rFonts w:ascii="Myriad Pro" w:hAnsi="Myriad Pro"/>
          <w:sz w:val="26"/>
          <w:szCs w:val="26"/>
        </w:rPr>
        <w:t xml:space="preserve"> </w:t>
      </w:r>
      <w:r>
        <w:rPr>
          <w:rFonts w:ascii="Myriad Pro" w:hAnsi="Myriad Pro"/>
          <w:sz w:val="26"/>
          <w:szCs w:val="26"/>
        </w:rPr>
        <w:t>Российской Федерации</w:t>
      </w:r>
      <w:r w:rsidRPr="00883917">
        <w:rPr>
          <w:rFonts w:ascii="Myriad Pro" w:hAnsi="Myriad Pro"/>
          <w:sz w:val="26"/>
          <w:szCs w:val="26"/>
        </w:rPr>
        <w:t xml:space="preserve"> от 13.12.2011 №</w:t>
      </w:r>
      <w:r>
        <w:rPr>
          <w:rFonts w:ascii="Myriad Pro" w:hAnsi="Myriad Pro"/>
          <w:sz w:val="26"/>
          <w:szCs w:val="26"/>
        </w:rPr>
        <w:t> </w:t>
      </w:r>
      <w:r w:rsidRPr="00883917">
        <w:rPr>
          <w:rFonts w:ascii="Myriad Pro" w:hAnsi="Myriad Pro"/>
          <w:sz w:val="26"/>
          <w:szCs w:val="26"/>
        </w:rPr>
        <w:t>585</w:t>
      </w:r>
      <w:r>
        <w:rPr>
          <w:rFonts w:ascii="Myriad Pro" w:hAnsi="Myriad Pro"/>
          <w:sz w:val="26"/>
          <w:szCs w:val="26"/>
        </w:rPr>
        <w:t xml:space="preserve"> «</w:t>
      </w:r>
      <w:r w:rsidRPr="00883917">
        <w:rPr>
          <w:rFonts w:ascii="Myriad Pro" w:hAnsi="Myriad Pro"/>
          <w:sz w:val="26"/>
          <w:szCs w:val="26"/>
        </w:rPr>
        <w:t>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w:t>
      </w:r>
      <w:r>
        <w:rPr>
          <w:rFonts w:ascii="Myriad Pro" w:hAnsi="Myriad Pro"/>
          <w:sz w:val="26"/>
          <w:szCs w:val="26"/>
        </w:rPr>
        <w:t xml:space="preserve"> управлению в электроэнергетике» (далее – Порядок № 585);</w:t>
      </w:r>
    </w:p>
    <w:p w14:paraId="402F70B3" w14:textId="77777777" w:rsidR="002D6C17" w:rsidRDefault="002D6C17" w:rsidP="002D6C17">
      <w:pPr>
        <w:pStyle w:val="a4"/>
        <w:numPr>
          <w:ilvl w:val="0"/>
          <w:numId w:val="3"/>
        </w:numPr>
        <w:spacing w:after="0" w:line="360" w:lineRule="auto"/>
        <w:jc w:val="both"/>
        <w:rPr>
          <w:rFonts w:ascii="Myriad Pro" w:hAnsi="Myriad Pro"/>
          <w:sz w:val="26"/>
          <w:szCs w:val="26"/>
        </w:rPr>
      </w:pPr>
      <w:r w:rsidRPr="00700007">
        <w:rPr>
          <w:rFonts w:ascii="Myriad Pro" w:hAnsi="Myriad Pro"/>
          <w:sz w:val="26"/>
          <w:szCs w:val="26"/>
        </w:rPr>
        <w:t>Приказ ФСТ России от 17.02.2012 № 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w:t>
      </w:r>
      <w:r>
        <w:rPr>
          <w:rFonts w:ascii="Myriad Pro" w:hAnsi="Myriad Pro"/>
          <w:sz w:val="26"/>
          <w:szCs w:val="26"/>
        </w:rPr>
        <w:t xml:space="preserve"> (далее – Методические указания № 98-э)</w:t>
      </w:r>
      <w:r w:rsidRPr="00700007">
        <w:rPr>
          <w:rFonts w:ascii="Myriad Pro" w:hAnsi="Myriad Pro"/>
          <w:sz w:val="26"/>
          <w:szCs w:val="26"/>
        </w:rPr>
        <w:t>;</w:t>
      </w:r>
    </w:p>
    <w:p w14:paraId="770368C7" w14:textId="77777777" w:rsidR="002D6C17" w:rsidRDefault="002D6C17" w:rsidP="002D6C17">
      <w:pPr>
        <w:pStyle w:val="a4"/>
        <w:numPr>
          <w:ilvl w:val="0"/>
          <w:numId w:val="3"/>
        </w:numPr>
        <w:spacing w:after="0" w:line="360" w:lineRule="auto"/>
        <w:jc w:val="both"/>
        <w:rPr>
          <w:rFonts w:ascii="Myriad Pro" w:hAnsi="Myriad Pro"/>
          <w:sz w:val="26"/>
          <w:szCs w:val="26"/>
        </w:rPr>
      </w:pPr>
      <w:r>
        <w:rPr>
          <w:rFonts w:ascii="Myriad Pro" w:hAnsi="Myriad Pro"/>
          <w:sz w:val="26"/>
          <w:szCs w:val="26"/>
        </w:rPr>
        <w:t>Приказ ФСТ России от 30.03.2012 №</w:t>
      </w:r>
      <w:r w:rsidRPr="006863C8">
        <w:rPr>
          <w:rFonts w:ascii="Myriad Pro" w:hAnsi="Myriad Pro"/>
          <w:sz w:val="26"/>
          <w:szCs w:val="26"/>
        </w:rPr>
        <w:t xml:space="preserve"> 228-э</w:t>
      </w:r>
      <w:r>
        <w:rPr>
          <w:rFonts w:ascii="Myriad Pro" w:hAnsi="Myriad Pro"/>
          <w:sz w:val="26"/>
          <w:szCs w:val="26"/>
        </w:rPr>
        <w:t xml:space="preserve"> «</w:t>
      </w:r>
      <w:r w:rsidRPr="006863C8">
        <w:rPr>
          <w:rFonts w:ascii="Myriad Pro" w:hAnsi="Myriad Pro"/>
          <w:sz w:val="26"/>
          <w:szCs w:val="26"/>
        </w:rPr>
        <w:t xml:space="preserve">Об утверждении Методических указаний по регулированию тарифов с применением </w:t>
      </w:r>
      <w:r w:rsidRPr="006863C8">
        <w:rPr>
          <w:rFonts w:ascii="Myriad Pro" w:hAnsi="Myriad Pro"/>
          <w:sz w:val="26"/>
          <w:szCs w:val="26"/>
        </w:rPr>
        <w:lastRenderedPageBreak/>
        <w:t>метода доход</w:t>
      </w:r>
      <w:r>
        <w:rPr>
          <w:rFonts w:ascii="Myriad Pro" w:hAnsi="Myriad Pro"/>
          <w:sz w:val="26"/>
          <w:szCs w:val="26"/>
        </w:rPr>
        <w:t>ности инвестированного капитала» (далее – Методические указания № 228-э);</w:t>
      </w:r>
    </w:p>
    <w:p w14:paraId="58D78DC2" w14:textId="77777777" w:rsidR="002D6C17" w:rsidRDefault="002D6C17" w:rsidP="002D6C17">
      <w:pPr>
        <w:pStyle w:val="a4"/>
        <w:numPr>
          <w:ilvl w:val="0"/>
          <w:numId w:val="3"/>
        </w:numPr>
        <w:spacing w:after="0" w:line="360" w:lineRule="auto"/>
        <w:jc w:val="both"/>
        <w:rPr>
          <w:rFonts w:ascii="Myriad Pro" w:hAnsi="Myriad Pro"/>
          <w:sz w:val="26"/>
          <w:szCs w:val="26"/>
        </w:rPr>
      </w:pPr>
      <w:r w:rsidRPr="00700007">
        <w:rPr>
          <w:rFonts w:ascii="Myriad Pro" w:hAnsi="Myriad Pro"/>
          <w:sz w:val="26"/>
          <w:szCs w:val="26"/>
        </w:rPr>
        <w:t>Приказ ФСТ России от</w:t>
      </w:r>
      <w:r>
        <w:rPr>
          <w:rFonts w:ascii="Myriad Pro" w:hAnsi="Myriad Pro"/>
          <w:sz w:val="26"/>
          <w:szCs w:val="26"/>
        </w:rPr>
        <w:t xml:space="preserve"> 18.03.2015 № 421-э «Об утверждении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 (далее – Методические указания № 421-э);</w:t>
      </w:r>
    </w:p>
    <w:p w14:paraId="606621DE" w14:textId="77777777" w:rsidR="002D6C17" w:rsidRDefault="002D6C17" w:rsidP="002D6C17">
      <w:pPr>
        <w:pStyle w:val="a4"/>
        <w:numPr>
          <w:ilvl w:val="0"/>
          <w:numId w:val="3"/>
        </w:numPr>
        <w:spacing w:after="0" w:line="360" w:lineRule="auto"/>
        <w:jc w:val="both"/>
        <w:rPr>
          <w:rFonts w:ascii="Myriad Pro" w:hAnsi="Myriad Pro"/>
          <w:sz w:val="26"/>
          <w:szCs w:val="26"/>
        </w:rPr>
      </w:pPr>
      <w:r w:rsidRPr="000C5606">
        <w:rPr>
          <w:rFonts w:ascii="Myriad Pro" w:hAnsi="Myriad Pro"/>
          <w:sz w:val="26"/>
          <w:szCs w:val="26"/>
        </w:rPr>
        <w:t>П</w:t>
      </w:r>
      <w:r>
        <w:rPr>
          <w:rFonts w:ascii="Myriad Pro" w:hAnsi="Myriad Pro"/>
          <w:sz w:val="26"/>
          <w:szCs w:val="26"/>
        </w:rPr>
        <w:t>риказ ФСТ России от 11.09.2014 №</w:t>
      </w:r>
      <w:r w:rsidRPr="000C5606">
        <w:rPr>
          <w:rFonts w:ascii="Myriad Pro" w:hAnsi="Myriad Pro"/>
          <w:sz w:val="26"/>
          <w:szCs w:val="26"/>
        </w:rPr>
        <w:t xml:space="preserve"> 215-э/1</w:t>
      </w:r>
      <w:r w:rsidRPr="000C5606">
        <w:t xml:space="preserve"> </w:t>
      </w:r>
      <w:r>
        <w:rPr>
          <w:rFonts w:ascii="Myriad Pro" w:hAnsi="Myriad Pro"/>
          <w:sz w:val="26"/>
          <w:szCs w:val="26"/>
        </w:rPr>
        <w:t>«</w:t>
      </w:r>
      <w:r w:rsidRPr="000C5606">
        <w:rPr>
          <w:rFonts w:ascii="Myriad Pro" w:hAnsi="Myriad Pro"/>
          <w:sz w:val="26"/>
          <w:szCs w:val="26"/>
        </w:rPr>
        <w:t>Об утверждении Методических указаний по определению выпадающих доходов, связанных с осуществлением технологического прис</w:t>
      </w:r>
      <w:r>
        <w:rPr>
          <w:rFonts w:ascii="Myriad Pro" w:hAnsi="Myriad Pro"/>
          <w:sz w:val="26"/>
          <w:szCs w:val="26"/>
        </w:rPr>
        <w:t>оединения к электрическим сетям» (далее – Методические указания № 215-э/1);</w:t>
      </w:r>
    </w:p>
    <w:p w14:paraId="492E2C0C" w14:textId="77777777" w:rsidR="002D6C17" w:rsidRPr="007F00A7" w:rsidRDefault="002D6C17" w:rsidP="002D6C17">
      <w:pPr>
        <w:pStyle w:val="a4"/>
        <w:numPr>
          <w:ilvl w:val="0"/>
          <w:numId w:val="3"/>
        </w:numPr>
        <w:spacing w:after="0" w:line="360" w:lineRule="auto"/>
        <w:jc w:val="both"/>
        <w:rPr>
          <w:rFonts w:ascii="Myriad Pro" w:hAnsi="Myriad Pro"/>
          <w:sz w:val="26"/>
          <w:szCs w:val="26"/>
        </w:rPr>
      </w:pPr>
      <w:r w:rsidRPr="007F00A7">
        <w:rPr>
          <w:rFonts w:ascii="Myriad Pro" w:hAnsi="Myriad Pro"/>
          <w:sz w:val="26"/>
          <w:szCs w:val="26"/>
        </w:rPr>
        <w:t>Приказ ФАС России от 29.08.2017 г. № 1135/17</w:t>
      </w:r>
      <w:r>
        <w:rPr>
          <w:rFonts w:ascii="Myriad Pro" w:hAnsi="Myriad Pro"/>
          <w:sz w:val="26"/>
          <w:szCs w:val="26"/>
        </w:rPr>
        <w:t xml:space="preserve"> «</w:t>
      </w:r>
      <w:r w:rsidRPr="007F00A7">
        <w:rPr>
          <w:rFonts w:ascii="Myriad Pro" w:hAnsi="Myriad Pro"/>
          <w:sz w:val="26"/>
          <w:szCs w:val="26"/>
        </w:rPr>
        <w:t>Об утверждении методических указаний по определению размера платы за технологическое присоединение к электрическим сетям</w:t>
      </w:r>
      <w:r>
        <w:rPr>
          <w:rFonts w:ascii="Myriad Pro" w:hAnsi="Myriad Pro"/>
          <w:sz w:val="26"/>
          <w:szCs w:val="26"/>
        </w:rPr>
        <w:t>» (далее – Методические указания № 1135/17);</w:t>
      </w:r>
    </w:p>
    <w:p w14:paraId="0B5C9F81" w14:textId="77777777" w:rsidR="002D6C17" w:rsidRDefault="002D6C17" w:rsidP="002D6C17">
      <w:pPr>
        <w:pStyle w:val="a4"/>
        <w:numPr>
          <w:ilvl w:val="0"/>
          <w:numId w:val="3"/>
        </w:numPr>
        <w:spacing w:after="0" w:line="360" w:lineRule="auto"/>
        <w:jc w:val="both"/>
        <w:rPr>
          <w:rFonts w:ascii="Myriad Pro" w:hAnsi="Myriad Pro"/>
          <w:sz w:val="26"/>
          <w:szCs w:val="26"/>
        </w:rPr>
      </w:pPr>
      <w:r w:rsidRPr="0019046A">
        <w:rPr>
          <w:rFonts w:ascii="Myriad Pro" w:hAnsi="Myriad Pro"/>
          <w:sz w:val="26"/>
          <w:szCs w:val="26"/>
        </w:rPr>
        <w:t>Приказ ФСТ России от 06.08.2004 № 20-э/2 «</w:t>
      </w:r>
      <w:r>
        <w:rPr>
          <w:rFonts w:ascii="Myriad Pro" w:hAnsi="Myriad Pro"/>
          <w:sz w:val="26"/>
          <w:szCs w:val="26"/>
        </w:rPr>
        <w:t>О</w:t>
      </w:r>
      <w:r w:rsidRPr="0019046A">
        <w:rPr>
          <w:rFonts w:ascii="Myriad Pro" w:hAnsi="Myriad Pro"/>
          <w:sz w:val="26"/>
          <w:szCs w:val="26"/>
        </w:rPr>
        <w:t xml:space="preserve">б утверждении </w:t>
      </w:r>
      <w:r>
        <w:rPr>
          <w:rFonts w:ascii="Myriad Pro" w:hAnsi="Myriad Pro"/>
          <w:sz w:val="26"/>
          <w:szCs w:val="26"/>
        </w:rPr>
        <w:t>М</w:t>
      </w:r>
      <w:r w:rsidRPr="0019046A">
        <w:rPr>
          <w:rFonts w:ascii="Myriad Pro" w:hAnsi="Myriad Pro"/>
          <w:sz w:val="26"/>
          <w:szCs w:val="26"/>
        </w:rPr>
        <w:t>етодических указаний по расчету регулируемых тарифов и цен на электрическую (тепловую) энергию на розничном</w:t>
      </w:r>
      <w:r>
        <w:rPr>
          <w:rFonts w:ascii="Myriad Pro" w:hAnsi="Myriad Pro"/>
          <w:sz w:val="26"/>
          <w:szCs w:val="26"/>
        </w:rPr>
        <w:t xml:space="preserve"> </w:t>
      </w:r>
      <w:r w:rsidRPr="0019046A">
        <w:rPr>
          <w:rFonts w:ascii="Myriad Pro" w:hAnsi="Myriad Pro"/>
          <w:sz w:val="26"/>
          <w:szCs w:val="26"/>
        </w:rPr>
        <w:t>(потребительском) рынке</w:t>
      </w:r>
      <w:r>
        <w:rPr>
          <w:rFonts w:ascii="Myriad Pro" w:hAnsi="Myriad Pro"/>
          <w:sz w:val="26"/>
          <w:szCs w:val="26"/>
        </w:rPr>
        <w:t>» (далее – Методические указания № 20-э/2);</w:t>
      </w:r>
    </w:p>
    <w:p w14:paraId="7B5FD4DA" w14:textId="77777777" w:rsidR="002D6C17" w:rsidRDefault="002D6C17" w:rsidP="002D6C17">
      <w:pPr>
        <w:pStyle w:val="a4"/>
        <w:numPr>
          <w:ilvl w:val="0"/>
          <w:numId w:val="3"/>
        </w:numPr>
        <w:spacing w:after="0" w:line="360" w:lineRule="auto"/>
        <w:jc w:val="both"/>
        <w:rPr>
          <w:rFonts w:ascii="Myriad Pro" w:hAnsi="Myriad Pro"/>
          <w:sz w:val="26"/>
          <w:szCs w:val="26"/>
        </w:rPr>
      </w:pPr>
      <w:r>
        <w:rPr>
          <w:rFonts w:ascii="Myriad Pro" w:hAnsi="Myriad Pro"/>
          <w:sz w:val="26"/>
          <w:szCs w:val="26"/>
        </w:rPr>
        <w:t xml:space="preserve">Приказ ФСТ России от 12 апреля 2012 г. № </w:t>
      </w:r>
      <w:r w:rsidRPr="006863C8">
        <w:rPr>
          <w:rFonts w:ascii="Myriad Pro" w:hAnsi="Myriad Pro"/>
          <w:sz w:val="26"/>
          <w:szCs w:val="26"/>
        </w:rPr>
        <w:t> 53-э/1</w:t>
      </w:r>
      <w:r>
        <w:rPr>
          <w:rFonts w:ascii="Myriad Pro" w:hAnsi="Myriad Pro"/>
          <w:sz w:val="26"/>
          <w:szCs w:val="26"/>
        </w:rPr>
        <w:t xml:space="preserve"> «</w:t>
      </w:r>
      <w:r w:rsidRPr="006863C8">
        <w:rPr>
          <w:rFonts w:ascii="Myriad Pro" w:hAnsi="Myriad Pro"/>
          <w:sz w:val="26"/>
          <w:szCs w:val="26"/>
        </w:rPr>
        <w:t xml:space="preserve">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w:t>
      </w:r>
      <w:r w:rsidRPr="006863C8">
        <w:rPr>
          <w:rFonts w:ascii="Myriad Pro" w:hAnsi="Myriad Pro"/>
          <w:sz w:val="26"/>
          <w:szCs w:val="26"/>
        </w:rPr>
        <w:lastRenderedPageBreak/>
        <w:t>прогнозного объема мощности, определенного в отношении у</w:t>
      </w:r>
      <w:r>
        <w:rPr>
          <w:rFonts w:ascii="Myriad Pro" w:hAnsi="Myriad Pro"/>
          <w:sz w:val="26"/>
          <w:szCs w:val="26"/>
        </w:rPr>
        <w:t>казанных категорий потребителей» (далее – Порядок № 53-э/1);</w:t>
      </w:r>
    </w:p>
    <w:p w14:paraId="2675A9DB" w14:textId="77777777" w:rsidR="002D6C17" w:rsidRDefault="002D6C17" w:rsidP="002D6C17">
      <w:pPr>
        <w:pStyle w:val="a4"/>
        <w:numPr>
          <w:ilvl w:val="0"/>
          <w:numId w:val="3"/>
        </w:numPr>
        <w:spacing w:after="0" w:line="360" w:lineRule="auto"/>
        <w:jc w:val="both"/>
        <w:rPr>
          <w:rFonts w:ascii="Myriad Pro" w:hAnsi="Myriad Pro"/>
          <w:sz w:val="26"/>
          <w:szCs w:val="26"/>
        </w:rPr>
      </w:pPr>
      <w:r w:rsidRPr="00452BAD">
        <w:rPr>
          <w:rFonts w:ascii="Myriad Pro" w:hAnsi="Myriad Pro"/>
          <w:sz w:val="26"/>
          <w:szCs w:val="26"/>
        </w:rPr>
        <w:t xml:space="preserve">Приказ </w:t>
      </w:r>
      <w:r w:rsidRPr="0040753C">
        <w:rPr>
          <w:rFonts w:ascii="Myriad Pro" w:hAnsi="Myriad Pro"/>
          <w:sz w:val="26"/>
          <w:szCs w:val="26"/>
        </w:rPr>
        <w:t xml:space="preserve">Министерства энергетики Российской Федерации </w:t>
      </w:r>
      <w:r>
        <w:rPr>
          <w:rFonts w:ascii="Myriad Pro" w:hAnsi="Myriad Pro"/>
          <w:sz w:val="26"/>
          <w:szCs w:val="26"/>
        </w:rPr>
        <w:t>от 29.11.2016 №</w:t>
      </w:r>
      <w:r w:rsidRPr="00452BAD">
        <w:rPr>
          <w:rFonts w:ascii="Myriad Pro" w:hAnsi="Myriad Pro"/>
          <w:sz w:val="26"/>
          <w:szCs w:val="26"/>
        </w:rPr>
        <w:t xml:space="preserve"> 1256</w:t>
      </w:r>
      <w:r>
        <w:rPr>
          <w:rFonts w:ascii="Myriad Pro" w:hAnsi="Myriad Pro"/>
          <w:sz w:val="26"/>
          <w:szCs w:val="26"/>
        </w:rPr>
        <w:t xml:space="preserve"> «</w:t>
      </w:r>
      <w:r w:rsidRPr="00452BAD">
        <w:rPr>
          <w:rFonts w:ascii="Myriad Pro" w:hAnsi="Myriad Pro"/>
          <w:sz w:val="26"/>
          <w:szCs w:val="26"/>
        </w:rPr>
        <w:t>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w:t>
      </w:r>
      <w:r>
        <w:rPr>
          <w:rFonts w:ascii="Myriad Pro" w:hAnsi="Myriad Pro"/>
          <w:sz w:val="26"/>
          <w:szCs w:val="26"/>
        </w:rPr>
        <w:t>ориальных сетевых организаций» (далее – Методические указания № 1256);</w:t>
      </w:r>
    </w:p>
    <w:p w14:paraId="0B01F760" w14:textId="77777777" w:rsidR="002D6C17" w:rsidRPr="0019046A" w:rsidRDefault="002D6C17" w:rsidP="002D6C17">
      <w:pPr>
        <w:pStyle w:val="a4"/>
        <w:numPr>
          <w:ilvl w:val="0"/>
          <w:numId w:val="3"/>
        </w:numPr>
        <w:spacing w:after="0" w:line="360" w:lineRule="auto"/>
        <w:jc w:val="both"/>
        <w:rPr>
          <w:rFonts w:ascii="Myriad Pro" w:hAnsi="Myriad Pro"/>
          <w:sz w:val="26"/>
          <w:szCs w:val="26"/>
        </w:rPr>
      </w:pPr>
      <w:r w:rsidRPr="00452BAD">
        <w:rPr>
          <w:rFonts w:ascii="Myriad Pro" w:hAnsi="Myriad Pro"/>
          <w:sz w:val="26"/>
          <w:szCs w:val="26"/>
        </w:rPr>
        <w:t xml:space="preserve">Приказ </w:t>
      </w:r>
      <w:r w:rsidRPr="00927B2C">
        <w:rPr>
          <w:rFonts w:ascii="Myriad Pro" w:hAnsi="Myriad Pro"/>
          <w:sz w:val="26"/>
          <w:szCs w:val="26"/>
        </w:rPr>
        <w:t xml:space="preserve">Министерства энергетики Российской Федерации </w:t>
      </w:r>
      <w:r>
        <w:rPr>
          <w:rFonts w:ascii="Myriad Pro" w:hAnsi="Myriad Pro"/>
          <w:sz w:val="26"/>
          <w:szCs w:val="26"/>
        </w:rPr>
        <w:t>от 25.04.2018 №</w:t>
      </w:r>
      <w:r w:rsidRPr="00452BAD">
        <w:rPr>
          <w:rFonts w:ascii="Myriad Pro" w:hAnsi="Myriad Pro"/>
          <w:sz w:val="26"/>
          <w:szCs w:val="26"/>
        </w:rPr>
        <w:t xml:space="preserve"> 320</w:t>
      </w:r>
      <w:r w:rsidRPr="00452BAD">
        <w:t xml:space="preserve"> </w:t>
      </w:r>
      <w:r>
        <w:rPr>
          <w:rFonts w:ascii="Myriad Pro" w:hAnsi="Myriad Pro"/>
          <w:sz w:val="26"/>
          <w:szCs w:val="26"/>
        </w:rPr>
        <w:t>«</w:t>
      </w:r>
      <w:r w:rsidRPr="00452BAD">
        <w:rPr>
          <w:rFonts w:ascii="Myriad Pro" w:hAnsi="Myriad Pro"/>
          <w:sz w:val="26"/>
          <w:szCs w:val="26"/>
        </w:rPr>
        <w:t xml:space="preserve">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N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w:t>
      </w:r>
      <w:r>
        <w:rPr>
          <w:rFonts w:ascii="Myriad Pro" w:hAnsi="Myriad Pro"/>
          <w:sz w:val="26"/>
          <w:szCs w:val="26"/>
        </w:rPr>
        <w:t>об обосновывающих их материалах» (далее – Приказ № 320);</w:t>
      </w:r>
    </w:p>
    <w:p w14:paraId="657BD5EB" w14:textId="77777777" w:rsidR="002D6C17" w:rsidRPr="00700007" w:rsidRDefault="002D6C17" w:rsidP="002D6C17">
      <w:pPr>
        <w:pStyle w:val="a4"/>
        <w:numPr>
          <w:ilvl w:val="0"/>
          <w:numId w:val="3"/>
        </w:numPr>
        <w:spacing w:after="0" w:line="360" w:lineRule="auto"/>
        <w:jc w:val="both"/>
        <w:rPr>
          <w:rFonts w:ascii="Myriad Pro" w:hAnsi="Myriad Pro"/>
          <w:sz w:val="26"/>
          <w:szCs w:val="26"/>
        </w:rPr>
      </w:pPr>
      <w:r>
        <w:rPr>
          <w:rFonts w:ascii="Myriad Pro" w:hAnsi="Myriad Pro"/>
          <w:sz w:val="26"/>
          <w:szCs w:val="26"/>
        </w:rPr>
        <w:t>н</w:t>
      </w:r>
      <w:r w:rsidRPr="00700007">
        <w:rPr>
          <w:rFonts w:ascii="Myriad Pro" w:hAnsi="Myriad Pro"/>
          <w:sz w:val="26"/>
          <w:szCs w:val="26"/>
        </w:rPr>
        <w:t>ормативно-правовые акты Российской Федерации, регулирующие отношения в сфере бухгалтерского учета;</w:t>
      </w:r>
    </w:p>
    <w:p w14:paraId="5ACA937A" w14:textId="77777777" w:rsidR="002D6C17" w:rsidRPr="00700007" w:rsidRDefault="002D6C17" w:rsidP="002D6C17">
      <w:pPr>
        <w:pStyle w:val="a4"/>
        <w:numPr>
          <w:ilvl w:val="0"/>
          <w:numId w:val="3"/>
        </w:numPr>
        <w:spacing w:after="0" w:line="360" w:lineRule="auto"/>
        <w:jc w:val="both"/>
      </w:pPr>
      <w:r w:rsidRPr="00700007">
        <w:rPr>
          <w:rFonts w:ascii="Myriad Pro" w:hAnsi="Myriad Pro"/>
          <w:sz w:val="26"/>
          <w:szCs w:val="26"/>
        </w:rPr>
        <w:t>иные нормативно-правовые акты Российской Федерации, необходимые для анализа.</w:t>
      </w:r>
    </w:p>
    <w:p w14:paraId="52BD917F" w14:textId="70CB619A" w:rsidR="00D14AC4" w:rsidRPr="008C7EA4" w:rsidRDefault="008C7EA4" w:rsidP="0068495F">
      <w:pPr>
        <w:pStyle w:val="3"/>
        <w:numPr>
          <w:ilvl w:val="1"/>
          <w:numId w:val="68"/>
        </w:numPr>
        <w:tabs>
          <w:tab w:val="left" w:pos="567"/>
        </w:tabs>
        <w:spacing w:line="360" w:lineRule="auto"/>
        <w:ind w:left="1134" w:hanging="1134"/>
        <w:rPr>
          <w:rFonts w:ascii="Myriad Pro" w:hAnsi="Myriad Pro"/>
          <w:b/>
          <w:color w:val="4F6228" w:themeColor="accent3" w:themeShade="80"/>
          <w:sz w:val="28"/>
          <w:szCs w:val="28"/>
        </w:rPr>
      </w:pPr>
      <w:bookmarkStart w:id="28" w:name="_Toc40797952"/>
      <w:r w:rsidRPr="008C7EA4">
        <w:rPr>
          <w:rFonts w:asciiTheme="minorHAnsi" w:eastAsiaTheme="minorHAnsi" w:hAnsiTheme="minorHAnsi" w:cstheme="minorBidi"/>
          <w:color w:val="auto"/>
          <w:sz w:val="22"/>
          <w:szCs w:val="22"/>
        </w:rPr>
        <w:br w:type="page"/>
      </w:r>
      <w:r w:rsidR="003A68ED" w:rsidRPr="008C7EA4">
        <w:rPr>
          <w:rFonts w:ascii="Myriad Pro" w:hAnsi="Myriad Pro"/>
          <w:b/>
          <w:color w:val="4F6228" w:themeColor="accent3" w:themeShade="80"/>
          <w:sz w:val="28"/>
          <w:szCs w:val="28"/>
        </w:rPr>
        <w:lastRenderedPageBreak/>
        <w:t>Общая информация о</w:t>
      </w:r>
      <w:r w:rsidR="00D3777C" w:rsidRPr="008C7EA4">
        <w:rPr>
          <w:rFonts w:ascii="Myriad Pro" w:hAnsi="Myriad Pro"/>
          <w:b/>
          <w:color w:val="4F6228" w:themeColor="accent3" w:themeShade="80"/>
          <w:sz w:val="28"/>
          <w:szCs w:val="28"/>
        </w:rPr>
        <w:t>б организации</w:t>
      </w:r>
      <w:bookmarkEnd w:id="28"/>
    </w:p>
    <w:p w14:paraId="2B4A191E" w14:textId="233ED0DA" w:rsidR="00FF662A" w:rsidRPr="00FB0A3A" w:rsidRDefault="00D07704" w:rsidP="00A31747">
      <w:pPr>
        <w:tabs>
          <w:tab w:val="left" w:pos="1134"/>
        </w:tabs>
        <w:spacing w:after="0" w:line="360" w:lineRule="auto"/>
        <w:ind w:firstLine="567"/>
        <w:contextualSpacing/>
        <w:jc w:val="both"/>
        <w:rPr>
          <w:rFonts w:ascii="Myriad Pro" w:eastAsia="Calibri" w:hAnsi="Myriad Pro" w:cs="Times New Roman"/>
          <w:iCs/>
          <w:sz w:val="26"/>
          <w:szCs w:val="26"/>
        </w:rPr>
      </w:pPr>
      <w:r w:rsidRPr="00FB0A3A">
        <w:rPr>
          <w:rFonts w:ascii="Myriad Pro" w:eastAsia="Calibri" w:hAnsi="Myriad Pro" w:cs="Times New Roman"/>
          <w:iCs/>
          <w:sz w:val="26"/>
          <w:szCs w:val="26"/>
        </w:rPr>
        <w:t xml:space="preserve">Филиал ПАО </w:t>
      </w:r>
      <w:r w:rsidR="00655FFA" w:rsidRPr="00FB0A3A">
        <w:rPr>
          <w:rFonts w:ascii="Myriad Pro" w:eastAsia="Calibri" w:hAnsi="Myriad Pro" w:cs="Times New Roman"/>
          <w:iCs/>
          <w:sz w:val="26"/>
          <w:szCs w:val="26"/>
        </w:rPr>
        <w:t>«</w:t>
      </w:r>
      <w:r w:rsidR="00597FD5" w:rsidRPr="00FB0A3A">
        <w:rPr>
          <w:rFonts w:ascii="Myriad Pro" w:eastAsia="Calibri" w:hAnsi="Myriad Pro" w:cs="Times New Roman"/>
          <w:iCs/>
          <w:sz w:val="26"/>
          <w:szCs w:val="26"/>
        </w:rPr>
        <w:t xml:space="preserve">МРСК </w:t>
      </w:r>
      <w:r w:rsidR="00B11C26" w:rsidRPr="00FB0A3A">
        <w:rPr>
          <w:rFonts w:ascii="Myriad Pro" w:eastAsia="Calibri" w:hAnsi="Myriad Pro" w:cs="Times New Roman"/>
          <w:iCs/>
          <w:sz w:val="26"/>
          <w:szCs w:val="26"/>
        </w:rPr>
        <w:t>Северо-Запада» «Колэнерго</w:t>
      </w:r>
      <w:r w:rsidR="00655FFA" w:rsidRPr="00FB0A3A">
        <w:rPr>
          <w:rFonts w:ascii="Myriad Pro" w:eastAsia="Calibri" w:hAnsi="Myriad Pro" w:cs="Times New Roman"/>
          <w:iCs/>
          <w:sz w:val="26"/>
          <w:szCs w:val="26"/>
        </w:rPr>
        <w:t>»</w:t>
      </w:r>
      <w:r w:rsidRPr="00FB0A3A">
        <w:rPr>
          <w:rFonts w:ascii="Myriad Pro" w:eastAsia="Calibri" w:hAnsi="Myriad Pro" w:cs="Times New Roman"/>
          <w:iCs/>
          <w:sz w:val="26"/>
          <w:szCs w:val="26"/>
        </w:rPr>
        <w:t xml:space="preserve"> осуществляет передачу электричес</w:t>
      </w:r>
      <w:r w:rsidR="00EE0805">
        <w:rPr>
          <w:rFonts w:ascii="Myriad Pro" w:eastAsia="Calibri" w:hAnsi="Myriad Pro" w:cs="Times New Roman"/>
          <w:iCs/>
          <w:sz w:val="26"/>
          <w:szCs w:val="26"/>
        </w:rPr>
        <w:t>кой энергии по</w:t>
      </w:r>
      <w:r w:rsidRPr="00FB0A3A">
        <w:rPr>
          <w:rFonts w:ascii="Myriad Pro" w:eastAsia="Calibri" w:hAnsi="Myriad Pro" w:cs="Times New Roman"/>
          <w:iCs/>
          <w:sz w:val="26"/>
          <w:szCs w:val="26"/>
        </w:rPr>
        <w:t xml:space="preserve"> сетям 0,4–</w:t>
      </w:r>
      <w:r w:rsidR="00EE0805">
        <w:rPr>
          <w:rFonts w:ascii="Myriad Pro" w:eastAsia="Calibri" w:hAnsi="Myriad Pro" w:cs="Times New Roman"/>
          <w:iCs/>
          <w:sz w:val="26"/>
          <w:szCs w:val="26"/>
        </w:rPr>
        <w:t>150</w:t>
      </w:r>
      <w:r w:rsidR="00DC7153" w:rsidRPr="00FB0A3A">
        <w:rPr>
          <w:rFonts w:ascii="Myriad Pro" w:eastAsia="Calibri" w:hAnsi="Myriad Pro" w:cs="Times New Roman"/>
          <w:iCs/>
          <w:sz w:val="26"/>
          <w:szCs w:val="26"/>
        </w:rPr>
        <w:t>кВ на территории Мурманской области</w:t>
      </w:r>
      <w:r w:rsidRPr="00FB0A3A">
        <w:rPr>
          <w:rFonts w:ascii="Myriad Pro" w:eastAsia="Calibri" w:hAnsi="Myriad Pro" w:cs="Times New Roman"/>
          <w:iCs/>
          <w:sz w:val="26"/>
          <w:szCs w:val="26"/>
        </w:rPr>
        <w:t xml:space="preserve"> площадью </w:t>
      </w:r>
      <w:r w:rsidR="00DC7153" w:rsidRPr="00FB0A3A">
        <w:rPr>
          <w:rFonts w:ascii="Myriad Pro" w:eastAsia="Calibri" w:hAnsi="Myriad Pro" w:cs="Times New Roman"/>
          <w:iCs/>
          <w:sz w:val="26"/>
          <w:szCs w:val="26"/>
        </w:rPr>
        <w:t xml:space="preserve">около 144,9 тыс.  кв. км </w:t>
      </w:r>
      <w:r w:rsidRPr="00FB0A3A">
        <w:rPr>
          <w:rFonts w:ascii="Myriad Pro" w:eastAsia="Calibri" w:hAnsi="Myriad Pro" w:cs="Times New Roman"/>
          <w:iCs/>
          <w:sz w:val="26"/>
          <w:szCs w:val="26"/>
        </w:rPr>
        <w:t>и включает в себ</w:t>
      </w:r>
      <w:r w:rsidR="00DC7153" w:rsidRPr="00FB0A3A">
        <w:rPr>
          <w:rFonts w:ascii="Myriad Pro" w:eastAsia="Calibri" w:hAnsi="Myriad Pro" w:cs="Times New Roman"/>
          <w:iCs/>
          <w:sz w:val="26"/>
          <w:szCs w:val="26"/>
        </w:rPr>
        <w:t>я два производственных подразделения –</w:t>
      </w:r>
      <w:r w:rsidR="00D84A95" w:rsidRPr="00FB0A3A">
        <w:rPr>
          <w:rFonts w:ascii="Myriad Pro" w:eastAsia="Calibri" w:hAnsi="Myriad Pro" w:cs="Times New Roman"/>
          <w:iCs/>
          <w:sz w:val="26"/>
          <w:szCs w:val="26"/>
        </w:rPr>
        <w:t xml:space="preserve"> </w:t>
      </w:r>
      <w:r w:rsidR="00DC7153" w:rsidRPr="00FB0A3A">
        <w:rPr>
          <w:rFonts w:ascii="Myriad Pro" w:eastAsia="Calibri" w:hAnsi="Myriad Pro" w:cs="Times New Roman"/>
          <w:iCs/>
          <w:sz w:val="26"/>
          <w:szCs w:val="26"/>
        </w:rPr>
        <w:t>Северные электрические сети (СЭС) и Центральные электрические сети (ЦЭС)</w:t>
      </w:r>
      <w:r w:rsidRPr="00FB0A3A">
        <w:rPr>
          <w:rFonts w:ascii="Myriad Pro" w:eastAsia="Calibri" w:hAnsi="Myriad Pro" w:cs="Times New Roman"/>
          <w:iCs/>
          <w:sz w:val="26"/>
          <w:szCs w:val="26"/>
        </w:rPr>
        <w:t>.</w:t>
      </w:r>
    </w:p>
    <w:p w14:paraId="0779704D" w14:textId="3B5C7B62" w:rsidR="00822E54" w:rsidRPr="00FB0A3A" w:rsidRDefault="00822E54" w:rsidP="00A31747">
      <w:pPr>
        <w:tabs>
          <w:tab w:val="left" w:pos="1134"/>
        </w:tabs>
        <w:spacing w:after="0" w:line="360" w:lineRule="auto"/>
        <w:ind w:firstLine="567"/>
        <w:contextualSpacing/>
        <w:jc w:val="both"/>
        <w:rPr>
          <w:rFonts w:ascii="Myriad Pro" w:eastAsia="Calibri" w:hAnsi="Myriad Pro" w:cs="Times New Roman"/>
          <w:iCs/>
          <w:sz w:val="26"/>
          <w:szCs w:val="26"/>
        </w:rPr>
      </w:pPr>
      <w:r w:rsidRPr="00FB0A3A">
        <w:rPr>
          <w:rFonts w:ascii="Myriad Pro" w:eastAsia="Calibri" w:hAnsi="Myriad Pro" w:cs="Times New Roman"/>
          <w:iCs/>
          <w:sz w:val="26"/>
          <w:szCs w:val="26"/>
        </w:rPr>
        <w:t xml:space="preserve">Инвестиционная программа </w:t>
      </w:r>
      <w:r w:rsidR="006E4AC1" w:rsidRPr="00FB0A3A">
        <w:rPr>
          <w:rFonts w:ascii="Myriad Pro" w:eastAsia="Calibri" w:hAnsi="Myriad Pro" w:cs="Times New Roman"/>
          <w:iCs/>
          <w:sz w:val="26"/>
          <w:szCs w:val="26"/>
        </w:rPr>
        <w:t xml:space="preserve">ПАО </w:t>
      </w:r>
      <w:r w:rsidR="00655FFA" w:rsidRPr="00FB0A3A">
        <w:rPr>
          <w:rFonts w:ascii="Myriad Pro" w:eastAsia="Calibri" w:hAnsi="Myriad Pro" w:cs="Times New Roman"/>
          <w:iCs/>
          <w:sz w:val="26"/>
          <w:szCs w:val="26"/>
        </w:rPr>
        <w:t>«</w:t>
      </w:r>
      <w:r w:rsidR="00597FD5" w:rsidRPr="00FB0A3A">
        <w:rPr>
          <w:rFonts w:ascii="Myriad Pro" w:eastAsia="Calibri" w:hAnsi="Myriad Pro" w:cs="Times New Roman"/>
          <w:iCs/>
          <w:sz w:val="26"/>
          <w:szCs w:val="26"/>
        </w:rPr>
        <w:t>МРСК Северо-Запада</w:t>
      </w:r>
      <w:r w:rsidR="00655FFA" w:rsidRPr="00FB0A3A">
        <w:rPr>
          <w:rFonts w:ascii="Myriad Pro" w:eastAsia="Calibri" w:hAnsi="Myriad Pro" w:cs="Times New Roman"/>
          <w:iCs/>
          <w:sz w:val="26"/>
          <w:szCs w:val="26"/>
        </w:rPr>
        <w:t>»</w:t>
      </w:r>
      <w:r w:rsidR="002A198F" w:rsidRPr="00FB0A3A">
        <w:rPr>
          <w:rFonts w:ascii="Myriad Pro" w:eastAsia="Calibri" w:hAnsi="Myriad Pro" w:cs="Times New Roman"/>
          <w:iCs/>
          <w:sz w:val="26"/>
          <w:szCs w:val="26"/>
        </w:rPr>
        <w:t xml:space="preserve"> на 2016-2025 гг. утверждена</w:t>
      </w:r>
      <w:r w:rsidR="006E4AC1" w:rsidRPr="00FB0A3A">
        <w:rPr>
          <w:rFonts w:ascii="Myriad Pro" w:eastAsia="Calibri" w:hAnsi="Myriad Pro" w:cs="Times New Roman"/>
          <w:iCs/>
          <w:sz w:val="26"/>
          <w:szCs w:val="26"/>
        </w:rPr>
        <w:t xml:space="preserve"> приказом Минэнерго России 30 ноября 2015 г.  № 906</w:t>
      </w:r>
      <w:r w:rsidR="002A198F" w:rsidRPr="00FB0A3A">
        <w:rPr>
          <w:rFonts w:ascii="Myriad Pro" w:eastAsia="Calibri" w:hAnsi="Myriad Pro" w:cs="Times New Roman"/>
          <w:iCs/>
          <w:sz w:val="26"/>
          <w:szCs w:val="26"/>
        </w:rPr>
        <w:t xml:space="preserve">. </w:t>
      </w:r>
    </w:p>
    <w:p w14:paraId="57380880" w14:textId="3A0E124A" w:rsidR="002A198F" w:rsidRPr="00FB0A3A" w:rsidRDefault="002A198F" w:rsidP="00A31747">
      <w:pPr>
        <w:tabs>
          <w:tab w:val="left" w:pos="1134"/>
        </w:tabs>
        <w:spacing w:after="0" w:line="360" w:lineRule="auto"/>
        <w:ind w:firstLine="567"/>
        <w:contextualSpacing/>
        <w:jc w:val="both"/>
        <w:rPr>
          <w:rFonts w:ascii="Myriad Pro" w:eastAsia="Calibri" w:hAnsi="Myriad Pro" w:cs="Times New Roman"/>
          <w:iCs/>
          <w:sz w:val="26"/>
          <w:szCs w:val="26"/>
        </w:rPr>
      </w:pPr>
      <w:r w:rsidRPr="00FB0A3A">
        <w:rPr>
          <w:rFonts w:ascii="Myriad Pro" w:eastAsia="Calibri" w:hAnsi="Myriad Pro" w:cs="Times New Roman"/>
          <w:iCs/>
          <w:sz w:val="26"/>
          <w:szCs w:val="26"/>
        </w:rPr>
        <w:t xml:space="preserve">При установлении тарифов на 2019 год действовала Инвестиционная программа ПАО </w:t>
      </w:r>
      <w:r w:rsidR="00655FFA" w:rsidRPr="00FB0A3A">
        <w:rPr>
          <w:rFonts w:ascii="Myriad Pro" w:eastAsia="Calibri" w:hAnsi="Myriad Pro" w:cs="Times New Roman"/>
          <w:iCs/>
          <w:sz w:val="26"/>
          <w:szCs w:val="26"/>
        </w:rPr>
        <w:t>«</w:t>
      </w:r>
      <w:r w:rsidRPr="00FB0A3A">
        <w:rPr>
          <w:rFonts w:ascii="Myriad Pro" w:eastAsia="Calibri" w:hAnsi="Myriad Pro" w:cs="Times New Roman"/>
          <w:iCs/>
          <w:sz w:val="26"/>
          <w:szCs w:val="26"/>
        </w:rPr>
        <w:t>МРСК Северо-Запада</w:t>
      </w:r>
      <w:r w:rsidR="00655FFA" w:rsidRPr="00FB0A3A">
        <w:rPr>
          <w:rFonts w:ascii="Myriad Pro" w:eastAsia="Calibri" w:hAnsi="Myriad Pro" w:cs="Times New Roman"/>
          <w:iCs/>
          <w:sz w:val="26"/>
          <w:szCs w:val="26"/>
        </w:rPr>
        <w:t>»</w:t>
      </w:r>
      <w:r w:rsidRPr="00FB0A3A">
        <w:rPr>
          <w:rFonts w:ascii="Myriad Pro" w:eastAsia="Calibri" w:hAnsi="Myriad Pro" w:cs="Times New Roman"/>
          <w:iCs/>
          <w:sz w:val="26"/>
          <w:szCs w:val="26"/>
        </w:rPr>
        <w:t xml:space="preserve"> в редакции Приказа Минэнерго России от 21.12.2018 №26@ </w:t>
      </w:r>
      <w:r w:rsidR="00655FFA" w:rsidRPr="00FB0A3A">
        <w:rPr>
          <w:rFonts w:ascii="Myriad Pro" w:eastAsia="Calibri" w:hAnsi="Myriad Pro" w:cs="Times New Roman"/>
          <w:iCs/>
          <w:sz w:val="26"/>
          <w:szCs w:val="26"/>
        </w:rPr>
        <w:t>«</w:t>
      </w:r>
      <w:r w:rsidRPr="00FB0A3A">
        <w:rPr>
          <w:rFonts w:ascii="Myriad Pro" w:eastAsia="Calibri" w:hAnsi="Myriad Pro" w:cs="Times New Roman"/>
          <w:iCs/>
          <w:sz w:val="26"/>
          <w:szCs w:val="26"/>
        </w:rPr>
        <w:t xml:space="preserve">Об утверждении изменений, вносимых в инвестиционную программу ПАО </w:t>
      </w:r>
      <w:r w:rsidR="00655FFA" w:rsidRPr="00FB0A3A">
        <w:rPr>
          <w:rFonts w:ascii="Myriad Pro" w:eastAsia="Calibri" w:hAnsi="Myriad Pro" w:cs="Times New Roman"/>
          <w:iCs/>
          <w:sz w:val="26"/>
          <w:szCs w:val="26"/>
        </w:rPr>
        <w:t>«</w:t>
      </w:r>
      <w:r w:rsidRPr="00FB0A3A">
        <w:rPr>
          <w:rFonts w:ascii="Myriad Pro" w:eastAsia="Calibri" w:hAnsi="Myriad Pro" w:cs="Times New Roman"/>
          <w:iCs/>
          <w:sz w:val="26"/>
          <w:szCs w:val="26"/>
        </w:rPr>
        <w:t>МРСК Северо-Запада</w:t>
      </w:r>
      <w:r w:rsidR="00655FFA" w:rsidRPr="00FB0A3A">
        <w:rPr>
          <w:rFonts w:ascii="Myriad Pro" w:eastAsia="Calibri" w:hAnsi="Myriad Pro" w:cs="Times New Roman"/>
          <w:iCs/>
          <w:sz w:val="26"/>
          <w:szCs w:val="26"/>
        </w:rPr>
        <w:t>»</w:t>
      </w:r>
      <w:r w:rsidRPr="00FB0A3A">
        <w:rPr>
          <w:rFonts w:ascii="Myriad Pro" w:eastAsia="Calibri" w:hAnsi="Myriad Pro" w:cs="Times New Roman"/>
          <w:iCs/>
          <w:sz w:val="26"/>
          <w:szCs w:val="26"/>
        </w:rPr>
        <w:t>, утвержденную приказом Минэнерго России от 30.11.2015 № 906</w:t>
      </w:r>
      <w:r w:rsidR="00655FFA" w:rsidRPr="00FB0A3A">
        <w:rPr>
          <w:rFonts w:ascii="Myriad Pro" w:eastAsia="Calibri" w:hAnsi="Myriad Pro" w:cs="Times New Roman"/>
          <w:iCs/>
          <w:sz w:val="26"/>
          <w:szCs w:val="26"/>
        </w:rPr>
        <w:t>»</w:t>
      </w:r>
      <w:r w:rsidRPr="00FB0A3A">
        <w:rPr>
          <w:rFonts w:ascii="Myriad Pro" w:eastAsia="Calibri" w:hAnsi="Myriad Pro" w:cs="Times New Roman"/>
          <w:iCs/>
          <w:sz w:val="26"/>
          <w:szCs w:val="26"/>
        </w:rPr>
        <w:t>.</w:t>
      </w:r>
    </w:p>
    <w:p w14:paraId="4901AD48" w14:textId="45AE5BCE" w:rsidR="00914080" w:rsidRPr="00FB0A3A" w:rsidRDefault="00D84A95" w:rsidP="00A31747">
      <w:pPr>
        <w:tabs>
          <w:tab w:val="left" w:pos="1134"/>
        </w:tabs>
        <w:spacing w:after="0" w:line="360" w:lineRule="auto"/>
        <w:ind w:firstLine="567"/>
        <w:contextualSpacing/>
        <w:jc w:val="both"/>
        <w:rPr>
          <w:rFonts w:ascii="Myriad Pro" w:eastAsia="Calibri" w:hAnsi="Myriad Pro" w:cs="Times New Roman"/>
          <w:iCs/>
          <w:sz w:val="26"/>
          <w:szCs w:val="26"/>
        </w:rPr>
      </w:pPr>
      <w:r w:rsidRPr="00FB0A3A">
        <w:rPr>
          <w:rFonts w:ascii="Myriad Pro" w:eastAsia="Calibri" w:hAnsi="Myriad Pro" w:cs="Times New Roman"/>
          <w:iCs/>
          <w:sz w:val="26"/>
          <w:szCs w:val="26"/>
        </w:rPr>
        <w:t>2019 год является первым</w:t>
      </w:r>
      <w:r w:rsidR="00914080" w:rsidRPr="00FB0A3A">
        <w:rPr>
          <w:rFonts w:ascii="Myriad Pro" w:eastAsia="Calibri" w:hAnsi="Myriad Pro" w:cs="Times New Roman"/>
          <w:iCs/>
          <w:sz w:val="26"/>
          <w:szCs w:val="26"/>
        </w:rPr>
        <w:t xml:space="preserve"> годом долгосро</w:t>
      </w:r>
      <w:r w:rsidRPr="00FB0A3A">
        <w:rPr>
          <w:rFonts w:ascii="Myriad Pro" w:eastAsia="Calibri" w:hAnsi="Myriad Pro" w:cs="Times New Roman"/>
          <w:iCs/>
          <w:sz w:val="26"/>
          <w:szCs w:val="26"/>
        </w:rPr>
        <w:t>чного периода регулирования 2019-2023</w:t>
      </w:r>
      <w:r w:rsidR="00914080" w:rsidRPr="00FB0A3A">
        <w:rPr>
          <w:rFonts w:ascii="Myriad Pro" w:eastAsia="Calibri" w:hAnsi="Myriad Pro" w:cs="Times New Roman"/>
          <w:iCs/>
          <w:sz w:val="26"/>
          <w:szCs w:val="26"/>
        </w:rPr>
        <w:t xml:space="preserve"> гг. Необходимая валовая выручка филиала </w:t>
      </w:r>
      <w:r w:rsidR="00350B0A" w:rsidRPr="00FB0A3A">
        <w:rPr>
          <w:rFonts w:ascii="Myriad Pro" w:eastAsia="Calibri" w:hAnsi="Myriad Pro" w:cs="Times New Roman"/>
          <w:iCs/>
          <w:sz w:val="26"/>
          <w:szCs w:val="26"/>
        </w:rPr>
        <w:t xml:space="preserve">ПАО </w:t>
      </w:r>
      <w:r w:rsidR="00655FFA" w:rsidRPr="00FB0A3A">
        <w:rPr>
          <w:rFonts w:ascii="Myriad Pro" w:eastAsia="Calibri" w:hAnsi="Myriad Pro" w:cs="Times New Roman"/>
          <w:iCs/>
          <w:sz w:val="26"/>
          <w:szCs w:val="26"/>
        </w:rPr>
        <w:t>«</w:t>
      </w:r>
      <w:r w:rsidR="00350B0A" w:rsidRPr="00FB0A3A">
        <w:rPr>
          <w:rFonts w:ascii="Myriad Pro" w:eastAsia="Calibri" w:hAnsi="Myriad Pro" w:cs="Times New Roman"/>
          <w:iCs/>
          <w:sz w:val="26"/>
          <w:szCs w:val="26"/>
        </w:rPr>
        <w:t>МРСК Северо-Запада</w:t>
      </w:r>
      <w:r w:rsidR="00655FFA" w:rsidRPr="00FB0A3A">
        <w:rPr>
          <w:rFonts w:ascii="Myriad Pro" w:eastAsia="Calibri" w:hAnsi="Myriad Pro" w:cs="Times New Roman"/>
          <w:iCs/>
          <w:sz w:val="26"/>
          <w:szCs w:val="26"/>
        </w:rPr>
        <w:t>»</w:t>
      </w:r>
      <w:r w:rsidR="00350B0A" w:rsidRPr="00FB0A3A">
        <w:rPr>
          <w:rFonts w:ascii="Myriad Pro" w:eastAsia="Calibri" w:hAnsi="Myriad Pro" w:cs="Times New Roman"/>
          <w:iCs/>
          <w:sz w:val="26"/>
          <w:szCs w:val="26"/>
        </w:rPr>
        <w:t xml:space="preserve"> </w:t>
      </w:r>
      <w:r w:rsidR="00655FFA" w:rsidRPr="00FB0A3A">
        <w:rPr>
          <w:rFonts w:ascii="Myriad Pro" w:eastAsia="Calibri" w:hAnsi="Myriad Pro" w:cs="Times New Roman"/>
          <w:iCs/>
          <w:sz w:val="26"/>
          <w:szCs w:val="26"/>
        </w:rPr>
        <w:t>«</w:t>
      </w:r>
      <w:r w:rsidR="00350B0A" w:rsidRPr="00FB0A3A">
        <w:rPr>
          <w:rFonts w:ascii="Myriad Pro" w:eastAsia="Calibri" w:hAnsi="Myriad Pro" w:cs="Times New Roman"/>
          <w:iCs/>
          <w:sz w:val="26"/>
          <w:szCs w:val="26"/>
        </w:rPr>
        <w:t>Колэнерго</w:t>
      </w:r>
      <w:r w:rsidR="00655FFA" w:rsidRPr="00FB0A3A">
        <w:rPr>
          <w:rFonts w:ascii="Myriad Pro" w:eastAsia="Calibri" w:hAnsi="Myriad Pro" w:cs="Times New Roman"/>
          <w:iCs/>
          <w:sz w:val="26"/>
          <w:szCs w:val="26"/>
        </w:rPr>
        <w:t>»</w:t>
      </w:r>
      <w:r w:rsidR="00914080" w:rsidRPr="00FB0A3A">
        <w:rPr>
          <w:rFonts w:ascii="Myriad Pro" w:eastAsia="Calibri" w:hAnsi="Myriad Pro" w:cs="Times New Roman"/>
          <w:iCs/>
          <w:sz w:val="26"/>
          <w:szCs w:val="26"/>
        </w:rPr>
        <w:t xml:space="preserve"> на 2019 год определена</w:t>
      </w:r>
      <w:r w:rsidRPr="00FB0A3A">
        <w:rPr>
          <w:rFonts w:ascii="Myriad Pro" w:eastAsia="Calibri" w:hAnsi="Myriad Pro" w:cs="Times New Roman"/>
          <w:iCs/>
          <w:sz w:val="26"/>
          <w:szCs w:val="26"/>
        </w:rPr>
        <w:t xml:space="preserve"> </w:t>
      </w:r>
      <w:r w:rsidR="008031D5" w:rsidRPr="00FB0A3A">
        <w:rPr>
          <w:rFonts w:ascii="Myriad Pro" w:eastAsia="Calibri" w:hAnsi="Myriad Pro" w:cs="Times New Roman"/>
          <w:iCs/>
          <w:sz w:val="26"/>
          <w:szCs w:val="26"/>
        </w:rPr>
        <w:t xml:space="preserve">методом </w:t>
      </w:r>
      <w:r w:rsidR="004B3A9D" w:rsidRPr="00FB0A3A">
        <w:rPr>
          <w:rFonts w:ascii="Myriad Pro" w:eastAsia="Calibri" w:hAnsi="Myriad Pro" w:cs="Times New Roman"/>
          <w:iCs/>
          <w:sz w:val="26"/>
          <w:szCs w:val="26"/>
        </w:rPr>
        <w:t xml:space="preserve">экономически обоснованных расходов (затрат), на долгосрочный период 2019-2023 гг. методом </w:t>
      </w:r>
      <w:r w:rsidR="008031D5" w:rsidRPr="00FB0A3A">
        <w:rPr>
          <w:rFonts w:ascii="Myriad Pro" w:eastAsia="Calibri" w:hAnsi="Myriad Pro" w:cs="Times New Roman"/>
          <w:iCs/>
          <w:sz w:val="26"/>
          <w:szCs w:val="26"/>
        </w:rPr>
        <w:t>долгосрочной индексации необходимой валовой выручки.</w:t>
      </w:r>
    </w:p>
    <w:p w14:paraId="60619199" w14:textId="0DC7ACE6" w:rsidR="00914080" w:rsidRPr="00FB0A3A" w:rsidRDefault="00914080" w:rsidP="00A31747">
      <w:pPr>
        <w:tabs>
          <w:tab w:val="left" w:pos="1134"/>
        </w:tabs>
        <w:spacing w:after="0" w:line="360" w:lineRule="auto"/>
        <w:ind w:firstLine="567"/>
        <w:contextualSpacing/>
        <w:jc w:val="both"/>
        <w:rPr>
          <w:rFonts w:ascii="Myriad Pro" w:eastAsia="Calibri" w:hAnsi="Myriad Pro" w:cs="Times New Roman"/>
          <w:iCs/>
          <w:sz w:val="26"/>
          <w:szCs w:val="26"/>
        </w:rPr>
      </w:pPr>
      <w:r w:rsidRPr="00FB0A3A">
        <w:rPr>
          <w:rFonts w:ascii="Myriad Pro" w:eastAsia="Calibri" w:hAnsi="Myriad Pro" w:cs="Times New Roman"/>
          <w:iCs/>
          <w:sz w:val="26"/>
          <w:szCs w:val="26"/>
        </w:rPr>
        <w:t xml:space="preserve">Долгосрочные параметры регулирования филиала </w:t>
      </w:r>
      <w:r w:rsidR="00350B0A" w:rsidRPr="00FB0A3A">
        <w:rPr>
          <w:rFonts w:ascii="Myriad Pro" w:eastAsia="Calibri" w:hAnsi="Myriad Pro" w:cs="Times New Roman"/>
          <w:iCs/>
          <w:sz w:val="26"/>
          <w:szCs w:val="26"/>
        </w:rPr>
        <w:t xml:space="preserve">ПАО </w:t>
      </w:r>
      <w:r w:rsidR="00655FFA" w:rsidRPr="00FB0A3A">
        <w:rPr>
          <w:rFonts w:ascii="Myriad Pro" w:eastAsia="Calibri" w:hAnsi="Myriad Pro" w:cs="Times New Roman"/>
          <w:iCs/>
          <w:sz w:val="26"/>
          <w:szCs w:val="26"/>
        </w:rPr>
        <w:t>«</w:t>
      </w:r>
      <w:r w:rsidR="00350B0A" w:rsidRPr="00FB0A3A">
        <w:rPr>
          <w:rFonts w:ascii="Myriad Pro" w:eastAsia="Calibri" w:hAnsi="Myriad Pro" w:cs="Times New Roman"/>
          <w:iCs/>
          <w:sz w:val="26"/>
          <w:szCs w:val="26"/>
        </w:rPr>
        <w:t>МРСК Северо-Запада</w:t>
      </w:r>
      <w:r w:rsidR="00655FFA" w:rsidRPr="00FB0A3A">
        <w:rPr>
          <w:rFonts w:ascii="Myriad Pro" w:eastAsia="Calibri" w:hAnsi="Myriad Pro" w:cs="Times New Roman"/>
          <w:iCs/>
          <w:sz w:val="26"/>
          <w:szCs w:val="26"/>
        </w:rPr>
        <w:t>»</w:t>
      </w:r>
      <w:r w:rsidR="00350B0A" w:rsidRPr="00FB0A3A">
        <w:rPr>
          <w:rFonts w:ascii="Myriad Pro" w:eastAsia="Calibri" w:hAnsi="Myriad Pro" w:cs="Times New Roman"/>
          <w:iCs/>
          <w:sz w:val="26"/>
          <w:szCs w:val="26"/>
        </w:rPr>
        <w:t xml:space="preserve"> </w:t>
      </w:r>
      <w:r w:rsidR="00655FFA" w:rsidRPr="00FB0A3A">
        <w:rPr>
          <w:rFonts w:ascii="Myriad Pro" w:eastAsia="Calibri" w:hAnsi="Myriad Pro" w:cs="Times New Roman"/>
          <w:iCs/>
          <w:sz w:val="26"/>
          <w:szCs w:val="26"/>
        </w:rPr>
        <w:t>«</w:t>
      </w:r>
      <w:r w:rsidR="00350B0A" w:rsidRPr="00FB0A3A">
        <w:rPr>
          <w:rFonts w:ascii="Myriad Pro" w:eastAsia="Calibri" w:hAnsi="Myriad Pro" w:cs="Times New Roman"/>
          <w:iCs/>
          <w:sz w:val="26"/>
          <w:szCs w:val="26"/>
        </w:rPr>
        <w:t>Колэнерго</w:t>
      </w:r>
      <w:r w:rsidR="00655FFA" w:rsidRPr="00FB0A3A">
        <w:rPr>
          <w:rFonts w:ascii="Myriad Pro" w:eastAsia="Calibri" w:hAnsi="Myriad Pro" w:cs="Times New Roman"/>
          <w:iCs/>
          <w:sz w:val="26"/>
          <w:szCs w:val="26"/>
        </w:rPr>
        <w:t>»</w:t>
      </w:r>
      <w:r w:rsidR="00D84A95" w:rsidRPr="00FB0A3A">
        <w:rPr>
          <w:rFonts w:ascii="Myriad Pro" w:eastAsia="Calibri" w:hAnsi="Myriad Pro" w:cs="Times New Roman"/>
          <w:iCs/>
          <w:sz w:val="26"/>
          <w:szCs w:val="26"/>
        </w:rPr>
        <w:t xml:space="preserve"> на 2019-2023 годы</w:t>
      </w:r>
      <w:r w:rsidRPr="00FB0A3A">
        <w:rPr>
          <w:rFonts w:ascii="Myriad Pro" w:eastAsia="Calibri" w:hAnsi="Myriad Pro" w:cs="Times New Roman"/>
          <w:iCs/>
          <w:sz w:val="26"/>
          <w:szCs w:val="26"/>
        </w:rPr>
        <w:t xml:space="preserve"> утверждены </w:t>
      </w:r>
      <w:r w:rsidR="001F7773" w:rsidRPr="00FB0A3A">
        <w:rPr>
          <w:rFonts w:ascii="Myriad Pro" w:eastAsia="Calibri" w:hAnsi="Myriad Pro" w:cs="Times New Roman"/>
          <w:iCs/>
          <w:sz w:val="26"/>
          <w:szCs w:val="26"/>
        </w:rPr>
        <w:t>постановлением</w:t>
      </w:r>
      <w:r w:rsidRPr="00FB0A3A">
        <w:rPr>
          <w:rFonts w:ascii="Myriad Pro" w:eastAsia="Calibri" w:hAnsi="Myriad Pro" w:cs="Times New Roman"/>
          <w:iCs/>
          <w:sz w:val="26"/>
          <w:szCs w:val="26"/>
        </w:rPr>
        <w:t xml:space="preserve"> </w:t>
      </w:r>
      <w:r w:rsidR="00DD5473" w:rsidRPr="00FB0A3A">
        <w:rPr>
          <w:rFonts w:ascii="Myriad Pro" w:eastAsia="Calibri" w:hAnsi="Myriad Pro" w:cs="Times New Roman"/>
          <w:iCs/>
          <w:sz w:val="26"/>
          <w:szCs w:val="26"/>
        </w:rPr>
        <w:t>Комитета по тарифному регулированию Мурманской области</w:t>
      </w:r>
      <w:r w:rsidR="00D84A95" w:rsidRPr="00FB0A3A">
        <w:rPr>
          <w:rFonts w:ascii="Myriad Pro" w:eastAsia="Calibri" w:hAnsi="Myriad Pro" w:cs="Times New Roman"/>
          <w:iCs/>
          <w:sz w:val="26"/>
          <w:szCs w:val="26"/>
        </w:rPr>
        <w:t xml:space="preserve"> от 29.12.2018 № 56/2</w:t>
      </w:r>
      <w:r w:rsidRPr="00FB0A3A">
        <w:rPr>
          <w:rFonts w:ascii="Myriad Pro" w:eastAsia="Calibri" w:hAnsi="Myriad Pro" w:cs="Times New Roman"/>
          <w:iCs/>
          <w:sz w:val="26"/>
          <w:szCs w:val="26"/>
        </w:rPr>
        <w:t xml:space="preserve"> </w:t>
      </w:r>
      <w:r w:rsidR="00655FFA" w:rsidRPr="00FB0A3A">
        <w:rPr>
          <w:rFonts w:ascii="Myriad Pro" w:eastAsia="Calibri" w:hAnsi="Myriad Pro" w:cs="Times New Roman"/>
          <w:iCs/>
          <w:sz w:val="26"/>
          <w:szCs w:val="26"/>
        </w:rPr>
        <w:t>«</w:t>
      </w:r>
      <w:r w:rsidRPr="00FB0A3A">
        <w:rPr>
          <w:rFonts w:ascii="Myriad Pro" w:eastAsia="Calibri" w:hAnsi="Myriad Pro" w:cs="Times New Roman"/>
          <w:iCs/>
          <w:sz w:val="26"/>
          <w:szCs w:val="26"/>
        </w:rPr>
        <w:t>Об</w:t>
      </w:r>
      <w:r w:rsidR="00FC59F6" w:rsidRPr="00FB0A3A">
        <w:rPr>
          <w:rFonts w:ascii="Myriad Pro" w:eastAsia="Calibri" w:hAnsi="Myriad Pro" w:cs="Times New Roman"/>
          <w:iCs/>
          <w:sz w:val="26"/>
          <w:szCs w:val="26"/>
        </w:rPr>
        <w:t xml:space="preserve"> установлении необходимой валовой выручки от оказания услуг по передаче электрической энергии (без учета расходов на покупку потерь) и долгосрочных параметров регулирования</w:t>
      </w:r>
      <w:r w:rsidRPr="00FB0A3A">
        <w:rPr>
          <w:rFonts w:ascii="Myriad Pro" w:eastAsia="Calibri" w:hAnsi="Myriad Pro" w:cs="Times New Roman"/>
          <w:iCs/>
          <w:sz w:val="26"/>
          <w:szCs w:val="26"/>
        </w:rPr>
        <w:t xml:space="preserve"> филиала ПАО </w:t>
      </w:r>
      <w:r w:rsidR="00655FFA" w:rsidRPr="00FB0A3A">
        <w:rPr>
          <w:rFonts w:ascii="Myriad Pro" w:eastAsia="Calibri" w:hAnsi="Myriad Pro" w:cs="Times New Roman"/>
          <w:iCs/>
          <w:sz w:val="26"/>
          <w:szCs w:val="26"/>
        </w:rPr>
        <w:t>«</w:t>
      </w:r>
      <w:r w:rsidR="00597FD5" w:rsidRPr="00FB0A3A">
        <w:rPr>
          <w:rFonts w:ascii="Myriad Pro" w:eastAsia="Calibri" w:hAnsi="Myriad Pro" w:cs="Times New Roman"/>
          <w:iCs/>
          <w:sz w:val="26"/>
          <w:szCs w:val="26"/>
        </w:rPr>
        <w:t>МРСК Северо-Запада</w:t>
      </w:r>
      <w:r w:rsidR="00655FFA" w:rsidRPr="00FB0A3A">
        <w:rPr>
          <w:rFonts w:ascii="Myriad Pro" w:eastAsia="Calibri" w:hAnsi="Myriad Pro" w:cs="Times New Roman"/>
          <w:iCs/>
          <w:sz w:val="26"/>
          <w:szCs w:val="26"/>
        </w:rPr>
        <w:t>»</w:t>
      </w:r>
      <w:r w:rsidR="00FC59F6" w:rsidRPr="00FB0A3A">
        <w:rPr>
          <w:rFonts w:ascii="Myriad Pro" w:eastAsia="Calibri" w:hAnsi="Myriad Pro" w:cs="Times New Roman"/>
          <w:iCs/>
          <w:sz w:val="26"/>
          <w:szCs w:val="26"/>
        </w:rPr>
        <w:t xml:space="preserve"> </w:t>
      </w:r>
      <w:r w:rsidR="00655FFA" w:rsidRPr="00FB0A3A">
        <w:rPr>
          <w:rFonts w:ascii="Myriad Pro" w:eastAsia="Calibri" w:hAnsi="Myriad Pro" w:cs="Times New Roman"/>
          <w:iCs/>
          <w:sz w:val="26"/>
          <w:szCs w:val="26"/>
        </w:rPr>
        <w:t>«</w:t>
      </w:r>
      <w:r w:rsidR="00DD5473" w:rsidRPr="00FB0A3A">
        <w:rPr>
          <w:rFonts w:ascii="Myriad Pro" w:eastAsia="Calibri" w:hAnsi="Myriad Pro" w:cs="Times New Roman"/>
          <w:iCs/>
          <w:sz w:val="26"/>
          <w:szCs w:val="26"/>
        </w:rPr>
        <w:t>Колэнерго</w:t>
      </w:r>
      <w:r w:rsidR="00655FFA" w:rsidRPr="00FB0A3A">
        <w:rPr>
          <w:rFonts w:ascii="Myriad Pro" w:eastAsia="Calibri" w:hAnsi="Myriad Pro" w:cs="Times New Roman"/>
          <w:iCs/>
          <w:sz w:val="26"/>
          <w:szCs w:val="26"/>
        </w:rPr>
        <w:t>»</w:t>
      </w:r>
      <w:r w:rsidR="00FC59F6" w:rsidRPr="00FB0A3A">
        <w:rPr>
          <w:rFonts w:ascii="Myriad Pro" w:eastAsia="Calibri" w:hAnsi="Myriad Pro" w:cs="Times New Roman"/>
          <w:iCs/>
          <w:sz w:val="26"/>
          <w:szCs w:val="26"/>
        </w:rPr>
        <w:t xml:space="preserve"> </w:t>
      </w:r>
      <w:r w:rsidRPr="00FB0A3A">
        <w:rPr>
          <w:rFonts w:ascii="Myriad Pro" w:eastAsia="Calibri" w:hAnsi="Myriad Pro" w:cs="Times New Roman"/>
          <w:iCs/>
          <w:sz w:val="26"/>
          <w:szCs w:val="26"/>
        </w:rPr>
        <w:t>на</w:t>
      </w:r>
      <w:r w:rsidR="00FC59F6" w:rsidRPr="00FB0A3A">
        <w:rPr>
          <w:rFonts w:ascii="Myriad Pro" w:eastAsia="Calibri" w:hAnsi="Myriad Pro" w:cs="Times New Roman"/>
          <w:iCs/>
          <w:sz w:val="26"/>
          <w:szCs w:val="26"/>
        </w:rPr>
        <w:t xml:space="preserve"> долгосрочный период регулирования 2019-2023 год</w:t>
      </w:r>
      <w:r w:rsidR="00655FFA" w:rsidRPr="00FB0A3A">
        <w:rPr>
          <w:rFonts w:ascii="Myriad Pro" w:eastAsia="Calibri" w:hAnsi="Myriad Pro" w:cs="Times New Roman"/>
          <w:iCs/>
          <w:sz w:val="26"/>
          <w:szCs w:val="26"/>
        </w:rPr>
        <w:t>»</w:t>
      </w:r>
      <w:r w:rsidRPr="00FB0A3A">
        <w:rPr>
          <w:rFonts w:ascii="Myriad Pro" w:eastAsia="Calibri" w:hAnsi="Myriad Pro" w:cs="Times New Roman"/>
          <w:iCs/>
          <w:sz w:val="26"/>
          <w:szCs w:val="26"/>
        </w:rPr>
        <w:t>:</w:t>
      </w:r>
    </w:p>
    <w:p w14:paraId="1A1B90BF" w14:textId="66B192C1" w:rsidR="00914080" w:rsidRPr="00FB0A3A" w:rsidRDefault="00914080" w:rsidP="009B0BC1">
      <w:pPr>
        <w:pStyle w:val="a4"/>
        <w:numPr>
          <w:ilvl w:val="0"/>
          <w:numId w:val="4"/>
        </w:numPr>
        <w:tabs>
          <w:tab w:val="left" w:pos="1134"/>
        </w:tabs>
        <w:spacing w:after="0" w:line="360" w:lineRule="auto"/>
        <w:ind w:left="0" w:firstLine="567"/>
        <w:jc w:val="both"/>
        <w:rPr>
          <w:rFonts w:ascii="Myriad Pro" w:hAnsi="Myriad Pro"/>
          <w:iCs/>
          <w:sz w:val="26"/>
          <w:szCs w:val="26"/>
        </w:rPr>
      </w:pPr>
      <w:r w:rsidRPr="00FB0A3A">
        <w:rPr>
          <w:rFonts w:ascii="Myriad Pro" w:hAnsi="Myriad Pro"/>
          <w:iCs/>
          <w:sz w:val="26"/>
          <w:szCs w:val="26"/>
        </w:rPr>
        <w:t xml:space="preserve">Базовый уровень </w:t>
      </w:r>
      <w:r w:rsidR="00FC59F6" w:rsidRPr="00FB0A3A">
        <w:rPr>
          <w:rFonts w:ascii="Myriad Pro" w:hAnsi="Myriad Pro"/>
          <w:iCs/>
          <w:sz w:val="26"/>
          <w:szCs w:val="26"/>
        </w:rPr>
        <w:t>подконтрольных расходов – 1 698,50391</w:t>
      </w:r>
      <w:r w:rsidRPr="00FB0A3A">
        <w:rPr>
          <w:rFonts w:ascii="Myriad Pro" w:hAnsi="Myriad Pro"/>
          <w:iCs/>
          <w:sz w:val="26"/>
          <w:szCs w:val="26"/>
        </w:rPr>
        <w:t xml:space="preserve"> млн. руб.;</w:t>
      </w:r>
    </w:p>
    <w:p w14:paraId="2E8CB406" w14:textId="540F7911" w:rsidR="00914080" w:rsidRPr="00FB0A3A" w:rsidRDefault="00914080" w:rsidP="009B0BC1">
      <w:pPr>
        <w:pStyle w:val="a4"/>
        <w:numPr>
          <w:ilvl w:val="0"/>
          <w:numId w:val="4"/>
        </w:numPr>
        <w:tabs>
          <w:tab w:val="left" w:pos="1134"/>
        </w:tabs>
        <w:spacing w:after="0" w:line="360" w:lineRule="auto"/>
        <w:ind w:left="0" w:firstLine="567"/>
        <w:jc w:val="both"/>
        <w:rPr>
          <w:rFonts w:ascii="Myriad Pro" w:hAnsi="Myriad Pro"/>
          <w:iCs/>
          <w:sz w:val="26"/>
          <w:szCs w:val="26"/>
        </w:rPr>
      </w:pPr>
      <w:r w:rsidRPr="00FB0A3A">
        <w:rPr>
          <w:rFonts w:ascii="Myriad Pro" w:hAnsi="Myriad Pro"/>
          <w:iCs/>
          <w:sz w:val="26"/>
          <w:szCs w:val="26"/>
        </w:rPr>
        <w:t>Индекс эффективности подконтрольных расхо</w:t>
      </w:r>
      <w:r w:rsidR="00FC59F6" w:rsidRPr="00FB0A3A">
        <w:rPr>
          <w:rFonts w:ascii="Myriad Pro" w:hAnsi="Myriad Pro"/>
          <w:iCs/>
          <w:sz w:val="26"/>
          <w:szCs w:val="26"/>
        </w:rPr>
        <w:t>дов – 4</w:t>
      </w:r>
      <w:r w:rsidRPr="00FB0A3A">
        <w:rPr>
          <w:rFonts w:ascii="Myriad Pro" w:hAnsi="Myriad Pro"/>
          <w:iCs/>
          <w:sz w:val="26"/>
          <w:szCs w:val="26"/>
        </w:rPr>
        <w:t>%;</w:t>
      </w:r>
    </w:p>
    <w:p w14:paraId="66E30C57" w14:textId="77777777" w:rsidR="00914080" w:rsidRPr="00FB0A3A" w:rsidRDefault="00914080" w:rsidP="009B0BC1">
      <w:pPr>
        <w:pStyle w:val="a4"/>
        <w:numPr>
          <w:ilvl w:val="0"/>
          <w:numId w:val="4"/>
        </w:numPr>
        <w:tabs>
          <w:tab w:val="left" w:pos="1134"/>
        </w:tabs>
        <w:spacing w:after="0" w:line="360" w:lineRule="auto"/>
        <w:ind w:left="0" w:firstLine="567"/>
        <w:jc w:val="both"/>
        <w:rPr>
          <w:rFonts w:ascii="Myriad Pro" w:hAnsi="Myriad Pro"/>
          <w:iCs/>
          <w:sz w:val="26"/>
          <w:szCs w:val="26"/>
        </w:rPr>
      </w:pPr>
      <w:r w:rsidRPr="00FB0A3A">
        <w:rPr>
          <w:rFonts w:ascii="Myriad Pro" w:hAnsi="Myriad Pro"/>
          <w:iCs/>
          <w:sz w:val="26"/>
          <w:szCs w:val="26"/>
        </w:rPr>
        <w:t>Коэффициент эластичности подконтрольных расходов – 0,75;</w:t>
      </w:r>
    </w:p>
    <w:p w14:paraId="2F5D4E5B" w14:textId="77777777" w:rsidR="00914080" w:rsidRPr="00FB0A3A" w:rsidRDefault="00914080" w:rsidP="009B0BC1">
      <w:pPr>
        <w:pStyle w:val="a4"/>
        <w:numPr>
          <w:ilvl w:val="0"/>
          <w:numId w:val="4"/>
        </w:numPr>
        <w:tabs>
          <w:tab w:val="left" w:pos="1134"/>
        </w:tabs>
        <w:spacing w:after="0" w:line="360" w:lineRule="auto"/>
        <w:ind w:left="0" w:firstLine="567"/>
        <w:jc w:val="both"/>
        <w:rPr>
          <w:rFonts w:ascii="Myriad Pro" w:hAnsi="Myriad Pro"/>
          <w:iCs/>
          <w:sz w:val="26"/>
          <w:szCs w:val="26"/>
        </w:rPr>
      </w:pPr>
      <w:r w:rsidRPr="00FB0A3A">
        <w:rPr>
          <w:rFonts w:ascii="Myriad Pro" w:hAnsi="Myriad Pro"/>
          <w:iCs/>
          <w:sz w:val="26"/>
          <w:szCs w:val="26"/>
        </w:rPr>
        <w:t>Уровень надежности и качества реализуемых товаров (услуг);</w:t>
      </w:r>
    </w:p>
    <w:p w14:paraId="2993D05A" w14:textId="48BB92E2" w:rsidR="00914080" w:rsidRPr="00FB0A3A" w:rsidRDefault="00914080" w:rsidP="009B0BC1">
      <w:pPr>
        <w:pStyle w:val="a4"/>
        <w:numPr>
          <w:ilvl w:val="0"/>
          <w:numId w:val="4"/>
        </w:numPr>
        <w:tabs>
          <w:tab w:val="left" w:pos="1134"/>
        </w:tabs>
        <w:spacing w:after="0" w:line="360" w:lineRule="auto"/>
        <w:ind w:left="0" w:firstLine="567"/>
        <w:jc w:val="both"/>
        <w:rPr>
          <w:rFonts w:ascii="Myriad Pro" w:hAnsi="Myriad Pro"/>
          <w:iCs/>
          <w:sz w:val="26"/>
          <w:szCs w:val="26"/>
        </w:rPr>
      </w:pPr>
      <w:r w:rsidRPr="00FB0A3A">
        <w:rPr>
          <w:rFonts w:ascii="Myriad Pro" w:hAnsi="Myriad Pro"/>
          <w:iCs/>
          <w:sz w:val="26"/>
          <w:szCs w:val="26"/>
        </w:rPr>
        <w:t>Уровень потерь электрический энергии при ее передаче по электрическим сетям.</w:t>
      </w:r>
    </w:p>
    <w:p w14:paraId="26ACD7A0" w14:textId="26C9B30A" w:rsidR="00914080" w:rsidRPr="00FB0A3A" w:rsidRDefault="001F7773" w:rsidP="00A31747">
      <w:pPr>
        <w:tabs>
          <w:tab w:val="left" w:pos="1134"/>
        </w:tabs>
        <w:spacing w:after="0" w:line="360" w:lineRule="auto"/>
        <w:ind w:firstLine="567"/>
        <w:contextualSpacing/>
        <w:jc w:val="both"/>
        <w:rPr>
          <w:rFonts w:ascii="Myriad Pro" w:eastAsia="Calibri" w:hAnsi="Myriad Pro" w:cs="Times New Roman"/>
          <w:iCs/>
          <w:sz w:val="26"/>
          <w:szCs w:val="26"/>
        </w:rPr>
      </w:pPr>
      <w:r w:rsidRPr="00FB0A3A">
        <w:rPr>
          <w:rFonts w:ascii="Myriad Pro" w:eastAsia="Calibri" w:hAnsi="Myriad Pro" w:cs="Times New Roman"/>
          <w:iCs/>
          <w:sz w:val="26"/>
          <w:szCs w:val="26"/>
        </w:rPr>
        <w:lastRenderedPageBreak/>
        <w:t>Постановлением</w:t>
      </w:r>
      <w:r w:rsidR="00914080" w:rsidRPr="00FB0A3A">
        <w:rPr>
          <w:rFonts w:ascii="Myriad Pro" w:eastAsia="Calibri" w:hAnsi="Myriad Pro" w:cs="Times New Roman"/>
          <w:iCs/>
          <w:sz w:val="26"/>
          <w:szCs w:val="26"/>
        </w:rPr>
        <w:t xml:space="preserve"> </w:t>
      </w:r>
      <w:r w:rsidR="00DD5473" w:rsidRPr="00FB0A3A">
        <w:rPr>
          <w:rFonts w:ascii="Myriad Pro" w:eastAsia="Calibri" w:hAnsi="Myriad Pro" w:cs="Times New Roman"/>
          <w:iCs/>
          <w:sz w:val="26"/>
          <w:szCs w:val="26"/>
        </w:rPr>
        <w:t>Комитета по тарифному регулированию Мурманской области</w:t>
      </w:r>
      <w:r w:rsidR="00FC59F6" w:rsidRPr="00FB0A3A">
        <w:rPr>
          <w:rFonts w:ascii="Myriad Pro" w:eastAsia="Calibri" w:hAnsi="Myriad Pro" w:cs="Times New Roman"/>
          <w:iCs/>
          <w:sz w:val="26"/>
          <w:szCs w:val="26"/>
        </w:rPr>
        <w:t xml:space="preserve"> от 29.12.2018 № 56/3 </w:t>
      </w:r>
      <w:r w:rsidR="00655FFA" w:rsidRPr="00FB0A3A">
        <w:rPr>
          <w:rFonts w:ascii="Myriad Pro" w:eastAsia="Calibri" w:hAnsi="Myriad Pro" w:cs="Times New Roman"/>
          <w:iCs/>
          <w:sz w:val="26"/>
          <w:szCs w:val="26"/>
        </w:rPr>
        <w:t>«</w:t>
      </w:r>
      <w:r w:rsidR="00FC59F6" w:rsidRPr="00FB0A3A">
        <w:rPr>
          <w:rFonts w:ascii="Myriad Pro" w:eastAsia="Calibri" w:hAnsi="Myriad Pro" w:cs="Times New Roman"/>
          <w:iCs/>
          <w:sz w:val="26"/>
          <w:szCs w:val="26"/>
        </w:rPr>
        <w:t>Об установлении</w:t>
      </w:r>
      <w:r w:rsidR="00914080" w:rsidRPr="00FB0A3A">
        <w:rPr>
          <w:rFonts w:ascii="Myriad Pro" w:eastAsia="Calibri" w:hAnsi="Myriad Pro" w:cs="Times New Roman"/>
          <w:iCs/>
          <w:sz w:val="26"/>
          <w:szCs w:val="26"/>
        </w:rPr>
        <w:t xml:space="preserve"> единых (котловых) тарифов на услуги по передаче электрической энергии </w:t>
      </w:r>
      <w:r w:rsidR="00FC59F6" w:rsidRPr="00FB0A3A">
        <w:rPr>
          <w:rFonts w:ascii="Myriad Pro" w:eastAsia="Calibri" w:hAnsi="Myriad Pro" w:cs="Times New Roman"/>
          <w:iCs/>
          <w:sz w:val="26"/>
          <w:szCs w:val="26"/>
        </w:rPr>
        <w:t>для потребителей Мурманской области на 2019 год</w:t>
      </w:r>
      <w:r w:rsidR="00655FFA" w:rsidRPr="00FB0A3A">
        <w:rPr>
          <w:rFonts w:ascii="Myriad Pro" w:eastAsia="Calibri" w:hAnsi="Myriad Pro" w:cs="Times New Roman"/>
          <w:iCs/>
          <w:sz w:val="26"/>
          <w:szCs w:val="26"/>
        </w:rPr>
        <w:t>»</w:t>
      </w:r>
      <w:r w:rsidR="00FC59F6" w:rsidRPr="00FB0A3A">
        <w:rPr>
          <w:rFonts w:ascii="Myriad Pro" w:eastAsia="Calibri" w:hAnsi="Myriad Pro" w:cs="Times New Roman"/>
          <w:iCs/>
          <w:sz w:val="26"/>
          <w:szCs w:val="26"/>
        </w:rPr>
        <w:t xml:space="preserve"> </w:t>
      </w:r>
      <w:r w:rsidR="00914080" w:rsidRPr="00FB0A3A">
        <w:rPr>
          <w:rFonts w:ascii="Myriad Pro" w:eastAsia="Calibri" w:hAnsi="Myriad Pro" w:cs="Times New Roman"/>
          <w:iCs/>
          <w:sz w:val="26"/>
          <w:szCs w:val="26"/>
        </w:rPr>
        <w:t xml:space="preserve">для филиала </w:t>
      </w:r>
      <w:r w:rsidR="00350B0A" w:rsidRPr="00FB0A3A">
        <w:rPr>
          <w:rFonts w:ascii="Myriad Pro" w:eastAsia="Calibri" w:hAnsi="Myriad Pro" w:cs="Times New Roman"/>
          <w:iCs/>
          <w:sz w:val="26"/>
          <w:szCs w:val="26"/>
        </w:rPr>
        <w:t xml:space="preserve">ПАО </w:t>
      </w:r>
      <w:r w:rsidR="00655FFA" w:rsidRPr="00FB0A3A">
        <w:rPr>
          <w:rFonts w:ascii="Myriad Pro" w:eastAsia="Calibri" w:hAnsi="Myriad Pro" w:cs="Times New Roman"/>
          <w:iCs/>
          <w:sz w:val="26"/>
          <w:szCs w:val="26"/>
        </w:rPr>
        <w:t>«</w:t>
      </w:r>
      <w:r w:rsidR="00350B0A" w:rsidRPr="00FB0A3A">
        <w:rPr>
          <w:rFonts w:ascii="Myriad Pro" w:eastAsia="Calibri" w:hAnsi="Myriad Pro" w:cs="Times New Roman"/>
          <w:iCs/>
          <w:sz w:val="26"/>
          <w:szCs w:val="26"/>
        </w:rPr>
        <w:t>МРСК Северо-Запада</w:t>
      </w:r>
      <w:r w:rsidR="00655FFA" w:rsidRPr="00FB0A3A">
        <w:rPr>
          <w:rFonts w:ascii="Myriad Pro" w:eastAsia="Calibri" w:hAnsi="Myriad Pro" w:cs="Times New Roman"/>
          <w:iCs/>
          <w:sz w:val="26"/>
          <w:szCs w:val="26"/>
        </w:rPr>
        <w:t>»</w:t>
      </w:r>
      <w:r w:rsidR="00350B0A" w:rsidRPr="00FB0A3A">
        <w:rPr>
          <w:rFonts w:ascii="Myriad Pro" w:eastAsia="Calibri" w:hAnsi="Myriad Pro" w:cs="Times New Roman"/>
          <w:iCs/>
          <w:sz w:val="26"/>
          <w:szCs w:val="26"/>
        </w:rPr>
        <w:t xml:space="preserve"> </w:t>
      </w:r>
      <w:r w:rsidR="00655FFA" w:rsidRPr="00FB0A3A">
        <w:rPr>
          <w:rFonts w:ascii="Myriad Pro" w:eastAsia="Calibri" w:hAnsi="Myriad Pro" w:cs="Times New Roman"/>
          <w:iCs/>
          <w:sz w:val="26"/>
          <w:szCs w:val="26"/>
        </w:rPr>
        <w:t>«</w:t>
      </w:r>
      <w:r w:rsidR="00350B0A" w:rsidRPr="00FB0A3A">
        <w:rPr>
          <w:rFonts w:ascii="Myriad Pro" w:eastAsia="Calibri" w:hAnsi="Myriad Pro" w:cs="Times New Roman"/>
          <w:iCs/>
          <w:sz w:val="26"/>
          <w:szCs w:val="26"/>
        </w:rPr>
        <w:t>Колэнерго</w:t>
      </w:r>
      <w:r w:rsidR="00655FFA" w:rsidRPr="00FB0A3A">
        <w:rPr>
          <w:rFonts w:ascii="Myriad Pro" w:eastAsia="Calibri" w:hAnsi="Myriad Pro" w:cs="Times New Roman"/>
          <w:iCs/>
          <w:sz w:val="26"/>
          <w:szCs w:val="26"/>
        </w:rPr>
        <w:t>»</w:t>
      </w:r>
      <w:r w:rsidR="00914080" w:rsidRPr="00FB0A3A">
        <w:rPr>
          <w:rFonts w:ascii="Myriad Pro" w:eastAsia="Calibri" w:hAnsi="Myriad Pro" w:cs="Times New Roman"/>
          <w:iCs/>
          <w:sz w:val="26"/>
          <w:szCs w:val="26"/>
        </w:rPr>
        <w:t xml:space="preserve"> утверждена необходимая валовая выручка (далее – НВВ) без учета о</w:t>
      </w:r>
      <w:r w:rsidR="00FC59F6" w:rsidRPr="00FB0A3A">
        <w:rPr>
          <w:rFonts w:ascii="Myriad Pro" w:eastAsia="Calibri" w:hAnsi="Myriad Pro" w:cs="Times New Roman"/>
          <w:iCs/>
          <w:sz w:val="26"/>
          <w:szCs w:val="26"/>
        </w:rPr>
        <w:t>платы потерь в размере 5 679 775,37</w:t>
      </w:r>
      <w:r w:rsidR="00914080" w:rsidRPr="00FB0A3A">
        <w:rPr>
          <w:rFonts w:ascii="Myriad Pro" w:eastAsia="Calibri" w:hAnsi="Myriad Pro" w:cs="Times New Roman"/>
          <w:iCs/>
          <w:sz w:val="26"/>
          <w:szCs w:val="26"/>
        </w:rPr>
        <w:t xml:space="preserve"> тыс. руб.</w:t>
      </w:r>
    </w:p>
    <w:p w14:paraId="2DE1C422" w14:textId="0A8F8E95" w:rsidR="00CA243C" w:rsidRPr="00FB0A3A" w:rsidRDefault="00CA243C" w:rsidP="00A31747">
      <w:pPr>
        <w:tabs>
          <w:tab w:val="left" w:pos="1134"/>
        </w:tabs>
        <w:spacing w:after="0" w:line="360" w:lineRule="auto"/>
        <w:ind w:firstLine="567"/>
        <w:contextualSpacing/>
        <w:jc w:val="both"/>
        <w:rPr>
          <w:rFonts w:ascii="Myriad Pro" w:eastAsia="Calibri" w:hAnsi="Myriad Pro" w:cs="Times New Roman"/>
          <w:iCs/>
          <w:sz w:val="26"/>
          <w:szCs w:val="26"/>
        </w:rPr>
      </w:pPr>
      <w:r w:rsidRPr="00FB0A3A">
        <w:rPr>
          <w:rFonts w:ascii="Myriad Pro" w:eastAsia="Calibri" w:hAnsi="Myriad Pro" w:cs="Times New Roman"/>
          <w:iCs/>
          <w:sz w:val="26"/>
          <w:szCs w:val="26"/>
        </w:rPr>
        <w:br w:type="page"/>
      </w:r>
    </w:p>
    <w:p w14:paraId="327CDAA4" w14:textId="3C5BB6A9" w:rsidR="002D6C17" w:rsidRPr="002D6C17" w:rsidRDefault="00C11BC1" w:rsidP="00A308AB">
      <w:pPr>
        <w:pStyle w:val="3"/>
        <w:numPr>
          <w:ilvl w:val="0"/>
          <w:numId w:val="67"/>
        </w:numPr>
        <w:spacing w:line="360" w:lineRule="auto"/>
        <w:jc w:val="both"/>
        <w:rPr>
          <w:rFonts w:ascii="Myriad Pro" w:hAnsi="Myriad Pro"/>
          <w:b/>
          <w:color w:val="4F6228" w:themeColor="accent3" w:themeShade="80"/>
          <w:sz w:val="28"/>
          <w:szCs w:val="28"/>
        </w:rPr>
      </w:pPr>
      <w:bookmarkStart w:id="29" w:name="_Toc40797953"/>
      <w:r w:rsidRPr="002D6C17">
        <w:rPr>
          <w:rFonts w:ascii="Myriad Pro" w:hAnsi="Myriad Pro"/>
          <w:b/>
          <w:color w:val="4F6228" w:themeColor="accent3" w:themeShade="80"/>
          <w:sz w:val="28"/>
          <w:szCs w:val="28"/>
        </w:rPr>
        <w:lastRenderedPageBreak/>
        <w:t xml:space="preserve">Анализ </w:t>
      </w:r>
      <w:r w:rsidR="008153D3" w:rsidRPr="002D6C17">
        <w:rPr>
          <w:rFonts w:ascii="Myriad Pro" w:hAnsi="Myriad Pro"/>
          <w:b/>
          <w:color w:val="4F6228" w:themeColor="accent3" w:themeShade="80"/>
          <w:sz w:val="28"/>
          <w:szCs w:val="28"/>
        </w:rPr>
        <w:t xml:space="preserve">документов, предоставленных филиалом </w:t>
      </w:r>
      <w:r w:rsidR="00350B0A" w:rsidRPr="002D6C17">
        <w:rPr>
          <w:rFonts w:ascii="Myriad Pro" w:hAnsi="Myriad Pro"/>
          <w:b/>
          <w:color w:val="4F6228" w:themeColor="accent3" w:themeShade="80"/>
          <w:sz w:val="28"/>
          <w:szCs w:val="28"/>
        </w:rPr>
        <w:t xml:space="preserve">ПАО </w:t>
      </w:r>
      <w:r w:rsidR="00655FFA" w:rsidRPr="002D6C17">
        <w:rPr>
          <w:rFonts w:ascii="Myriad Pro" w:hAnsi="Myriad Pro"/>
          <w:b/>
          <w:color w:val="4F6228" w:themeColor="accent3" w:themeShade="80"/>
          <w:sz w:val="28"/>
          <w:szCs w:val="28"/>
        </w:rPr>
        <w:t>«</w:t>
      </w:r>
      <w:r w:rsidR="00350B0A" w:rsidRPr="002D6C17">
        <w:rPr>
          <w:rFonts w:ascii="Myriad Pro" w:hAnsi="Myriad Pro"/>
          <w:b/>
          <w:color w:val="4F6228" w:themeColor="accent3" w:themeShade="80"/>
          <w:sz w:val="28"/>
          <w:szCs w:val="28"/>
        </w:rPr>
        <w:t>МРСК Северо-Запада</w:t>
      </w:r>
      <w:r w:rsidR="00655FFA" w:rsidRPr="002D6C17">
        <w:rPr>
          <w:rFonts w:ascii="Myriad Pro" w:hAnsi="Myriad Pro"/>
          <w:b/>
          <w:color w:val="4F6228" w:themeColor="accent3" w:themeShade="80"/>
          <w:sz w:val="28"/>
          <w:szCs w:val="28"/>
        </w:rPr>
        <w:t>»</w:t>
      </w:r>
      <w:r w:rsidR="00350B0A" w:rsidRPr="002D6C17">
        <w:rPr>
          <w:rFonts w:ascii="Myriad Pro" w:hAnsi="Myriad Pro"/>
          <w:b/>
          <w:color w:val="4F6228" w:themeColor="accent3" w:themeShade="80"/>
          <w:sz w:val="28"/>
          <w:szCs w:val="28"/>
        </w:rPr>
        <w:t xml:space="preserve"> </w:t>
      </w:r>
      <w:r w:rsidR="00655FFA" w:rsidRPr="002D6C17">
        <w:rPr>
          <w:rFonts w:ascii="Myriad Pro" w:hAnsi="Myriad Pro"/>
          <w:b/>
          <w:color w:val="4F6228" w:themeColor="accent3" w:themeShade="80"/>
          <w:sz w:val="28"/>
          <w:szCs w:val="28"/>
        </w:rPr>
        <w:t>«</w:t>
      </w:r>
      <w:r w:rsidR="00350B0A" w:rsidRPr="002D6C17">
        <w:rPr>
          <w:rFonts w:ascii="Myriad Pro" w:hAnsi="Myriad Pro"/>
          <w:b/>
          <w:color w:val="4F6228" w:themeColor="accent3" w:themeShade="80"/>
          <w:sz w:val="28"/>
          <w:szCs w:val="28"/>
        </w:rPr>
        <w:t>Колэнерго</w:t>
      </w:r>
      <w:r w:rsidR="00655FFA" w:rsidRPr="002D6C17">
        <w:rPr>
          <w:rFonts w:ascii="Myriad Pro" w:hAnsi="Myriad Pro"/>
          <w:b/>
          <w:color w:val="4F6228" w:themeColor="accent3" w:themeShade="80"/>
          <w:sz w:val="28"/>
          <w:szCs w:val="28"/>
        </w:rPr>
        <w:t>»</w:t>
      </w:r>
      <w:r w:rsidR="008153D3" w:rsidRPr="002D6C17">
        <w:rPr>
          <w:rFonts w:ascii="Myriad Pro" w:hAnsi="Myriad Pro"/>
          <w:b/>
          <w:color w:val="4F6228" w:themeColor="accent3" w:themeShade="80"/>
          <w:sz w:val="28"/>
          <w:szCs w:val="28"/>
        </w:rPr>
        <w:t xml:space="preserve"> в </w:t>
      </w:r>
      <w:r w:rsidR="00BC5FB5" w:rsidRPr="002D6C17">
        <w:rPr>
          <w:rFonts w:ascii="Myriad Pro" w:hAnsi="Myriad Pro"/>
          <w:b/>
          <w:color w:val="4F6228" w:themeColor="accent3" w:themeShade="80"/>
          <w:sz w:val="28"/>
          <w:szCs w:val="28"/>
        </w:rPr>
        <w:t>Комитет по тарифному регулированию Мурманской области</w:t>
      </w:r>
      <w:r w:rsidR="008153D3" w:rsidRPr="002D6C17">
        <w:rPr>
          <w:rFonts w:ascii="Myriad Pro" w:hAnsi="Myriad Pro"/>
          <w:b/>
          <w:color w:val="4F6228" w:themeColor="accent3" w:themeShade="80"/>
          <w:sz w:val="28"/>
          <w:szCs w:val="28"/>
        </w:rPr>
        <w:t xml:space="preserve"> в рамках рассмотрения дел об установлении тарифов, на основании которых </w:t>
      </w:r>
      <w:r w:rsidR="00DD5473" w:rsidRPr="002D6C17">
        <w:rPr>
          <w:rFonts w:ascii="Myriad Pro" w:hAnsi="Myriad Pro"/>
          <w:b/>
          <w:color w:val="4F6228" w:themeColor="accent3" w:themeShade="80"/>
          <w:sz w:val="28"/>
          <w:szCs w:val="28"/>
        </w:rPr>
        <w:t>Комитетом по тарифному регулированию Мурманской области</w:t>
      </w:r>
      <w:r w:rsidR="008153D3" w:rsidRPr="002D6C17">
        <w:rPr>
          <w:rFonts w:ascii="Myriad Pro" w:hAnsi="Myriad Pro"/>
          <w:b/>
          <w:color w:val="4F6228" w:themeColor="accent3" w:themeShade="80"/>
          <w:sz w:val="28"/>
          <w:szCs w:val="28"/>
        </w:rPr>
        <w:t xml:space="preserve"> были приняты соответствующие тарифно-балансовые решения на 2019 год</w:t>
      </w:r>
      <w:bookmarkEnd w:id="29"/>
    </w:p>
    <w:p w14:paraId="777679BD" w14:textId="257B4218" w:rsidR="008153D3" w:rsidRPr="002D6C17" w:rsidRDefault="008E15A7" w:rsidP="00A308AB">
      <w:pPr>
        <w:pStyle w:val="3"/>
        <w:numPr>
          <w:ilvl w:val="1"/>
          <w:numId w:val="67"/>
        </w:numPr>
        <w:spacing w:line="360" w:lineRule="auto"/>
        <w:jc w:val="both"/>
        <w:rPr>
          <w:rFonts w:ascii="Myriad Pro" w:hAnsi="Myriad Pro"/>
          <w:b/>
          <w:color w:val="4F6228" w:themeColor="accent3" w:themeShade="80"/>
          <w:sz w:val="28"/>
          <w:szCs w:val="28"/>
        </w:rPr>
      </w:pPr>
      <w:r>
        <w:rPr>
          <w:rFonts w:ascii="Myriad Pro" w:hAnsi="Myriad Pro"/>
          <w:b/>
          <w:color w:val="4F6228" w:themeColor="accent3" w:themeShade="80"/>
          <w:sz w:val="28"/>
          <w:szCs w:val="28"/>
        </w:rPr>
        <w:t xml:space="preserve"> </w:t>
      </w:r>
      <w:bookmarkStart w:id="30" w:name="_Toc40797954"/>
      <w:r w:rsidR="008153D3" w:rsidRPr="002D6C17">
        <w:rPr>
          <w:rFonts w:ascii="Myriad Pro" w:hAnsi="Myriad Pro"/>
          <w:b/>
          <w:color w:val="4F6228" w:themeColor="accent3" w:themeShade="80"/>
          <w:sz w:val="28"/>
          <w:szCs w:val="28"/>
        </w:rPr>
        <w:t xml:space="preserve">Анализ тарифно-балансовых решений </w:t>
      </w:r>
      <w:r w:rsidR="00DD5473" w:rsidRPr="002D6C17">
        <w:rPr>
          <w:rFonts w:ascii="Myriad Pro" w:hAnsi="Myriad Pro"/>
          <w:b/>
          <w:color w:val="4F6228" w:themeColor="accent3" w:themeShade="80"/>
          <w:sz w:val="28"/>
          <w:szCs w:val="28"/>
        </w:rPr>
        <w:t>Комитета по тарифному</w:t>
      </w:r>
      <w:r w:rsidR="00F37216">
        <w:rPr>
          <w:rFonts w:ascii="Myriad Pro" w:hAnsi="Myriad Pro"/>
          <w:b/>
          <w:color w:val="4F6228" w:themeColor="accent3" w:themeShade="80"/>
          <w:sz w:val="28"/>
          <w:szCs w:val="28"/>
        </w:rPr>
        <w:t xml:space="preserve"> </w:t>
      </w:r>
      <w:r w:rsidR="00DD5473" w:rsidRPr="002D6C17">
        <w:rPr>
          <w:rFonts w:ascii="Myriad Pro" w:hAnsi="Myriad Pro"/>
          <w:b/>
          <w:color w:val="4F6228" w:themeColor="accent3" w:themeShade="80"/>
          <w:sz w:val="28"/>
          <w:szCs w:val="28"/>
        </w:rPr>
        <w:t>регулированию Мурманской области</w:t>
      </w:r>
      <w:bookmarkEnd w:id="30"/>
    </w:p>
    <w:p w14:paraId="0E555CED" w14:textId="20CB9DB3" w:rsidR="000A18C9" w:rsidRPr="00C04ABD" w:rsidRDefault="000A18C9" w:rsidP="00C04ABD">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В соответствии с п. 22 Правил государственного регулирования (пересмотра, применения) цен (тарифов) в электроэнергетике, утвержденных постановлением Правительства Российской Федерации от 29.12.2011 № 1178, (далее – Правила) регулирующий орган проводит экспертизу предложений об установлении цен (тарифов) и (или) их предельных уровней и устанавливает срок ее проведения, но не более 6 месяцев.</w:t>
      </w:r>
    </w:p>
    <w:p w14:paraId="7BDAA31F" w14:textId="77777777" w:rsidR="000A18C9" w:rsidRPr="00C04ABD" w:rsidRDefault="000A18C9" w:rsidP="00C04ABD">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Регулирующий орган назначает экспертов из числа своих сотрудников. В случаях, определяемых регламентом рассмотрения дел об установлении цен (тарифов) и (или) их предельных уровней, регулирующий орган может принять решение о проведении экспертизы сторонними организациями (физическими лицами).</w:t>
      </w:r>
    </w:p>
    <w:p w14:paraId="117DB02B" w14:textId="7964F178" w:rsidR="000A18C9" w:rsidRPr="00C04ABD" w:rsidRDefault="000A18C9" w:rsidP="00C04ABD">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К делу об установлении цен (тарифов) и (или) их предельных уровней приобщаются экспертное заключение, а также экспертные заключения, представленные организациями, осуществляющими регулируемую деятельность, потребителями и (или) иными заинтересованными организациями. Указанные экспертные заключения являются дополнительными материалами и представляются в регулирующий орган в срок, предусмотренный Правилами для представления предложений об установлении цен (тарифов) и (или) их предельных уровней.</w:t>
      </w:r>
    </w:p>
    <w:p w14:paraId="0F32396D" w14:textId="0E92D71A" w:rsidR="000A18C9" w:rsidRPr="00C04ABD" w:rsidRDefault="000A18C9" w:rsidP="00C04ABD">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Согласно п. 23 Правил экспертное заключение помимо общих мотивированных выводов и рекомендаций должно содержать:</w:t>
      </w:r>
    </w:p>
    <w:p w14:paraId="14D1D11C" w14:textId="77777777" w:rsidR="000A18C9" w:rsidRPr="00C04ABD" w:rsidRDefault="000A18C9" w:rsidP="00C04ABD">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lastRenderedPageBreak/>
        <w:t>1) оценку достоверности данных, приведенных в предложениях об установлении цен (тарифов) и (или) их предельных уровней;</w:t>
      </w:r>
    </w:p>
    <w:p w14:paraId="504FCFBA" w14:textId="77777777" w:rsidR="000A18C9" w:rsidRPr="00C04ABD" w:rsidRDefault="000A18C9" w:rsidP="00C04ABD">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2) оценку финансового состояния организации, осуществляющей регулируемую деятельность;</w:t>
      </w:r>
    </w:p>
    <w:p w14:paraId="20E0E106" w14:textId="77777777" w:rsidR="000A18C9" w:rsidRPr="00C04ABD" w:rsidRDefault="000A18C9" w:rsidP="00C04ABD">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3) анализ основных технико-экономических показателей за 2 предшествующих года, текущий год и расчетный период регулирования;</w:t>
      </w:r>
    </w:p>
    <w:p w14:paraId="6E255D79" w14:textId="77777777" w:rsidR="000A18C9" w:rsidRPr="00C04ABD" w:rsidRDefault="000A18C9" w:rsidP="00C04ABD">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4) анализ экономической обоснованности расходов по статьям расходов;</w:t>
      </w:r>
    </w:p>
    <w:p w14:paraId="2A7FD0F0" w14:textId="77777777" w:rsidR="000A18C9" w:rsidRPr="00C04ABD" w:rsidRDefault="000A18C9" w:rsidP="00C04ABD">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5) анализ экономической обоснованности величины прибыли, необходимой для эффективного функционирования организаций, осуществляющих регулируемую деятельность;</w:t>
      </w:r>
    </w:p>
    <w:p w14:paraId="047F42E9" w14:textId="77777777" w:rsidR="000A18C9" w:rsidRPr="00C04ABD" w:rsidRDefault="000A18C9" w:rsidP="00C04ABD">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6) сравнительный анализ динамики расходов и величины необходимой прибыли по отношению к предыдущему периоду регулирования;</w:t>
      </w:r>
    </w:p>
    <w:p w14:paraId="21368F35" w14:textId="77777777" w:rsidR="000A18C9" w:rsidRPr="00C04ABD" w:rsidRDefault="000A18C9" w:rsidP="00C04ABD">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7) анализ соответствия расчета цен (тарифов) и формы представления предложений нормативно-методическим документам по вопросам регулирования цен (тарифов) и (или) их предельных уровней;</w:t>
      </w:r>
    </w:p>
    <w:p w14:paraId="0C523799" w14:textId="77C702A2" w:rsidR="000A18C9" w:rsidRPr="00C04ABD" w:rsidRDefault="000A18C9" w:rsidP="00C04ABD">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8) анализ соответствия организации критериям отнесения владельцев объектов электросетевого хозяйства к территориальным сетевым организациям.</w:t>
      </w:r>
    </w:p>
    <w:p w14:paraId="28BCFCEF" w14:textId="6471C7FF" w:rsidR="002E186E" w:rsidRPr="00C04ABD" w:rsidRDefault="002E186E" w:rsidP="00C04ABD">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Заявлением от 28.04.2018 №МР2/4/02/3129</w:t>
      </w:r>
      <w:r w:rsidRPr="00C04ABD">
        <w:rPr>
          <w:rFonts w:ascii="Myriad Pro" w:hAnsi="Myriad Pro"/>
          <w:sz w:val="26"/>
          <w:szCs w:val="26"/>
        </w:rPr>
        <w:t xml:space="preserve"> филиал ПАО </w:t>
      </w:r>
      <w:r w:rsidR="00655FFA" w:rsidRPr="00C04ABD">
        <w:rPr>
          <w:rFonts w:ascii="Myriad Pro" w:hAnsi="Myriad Pro"/>
          <w:sz w:val="26"/>
          <w:szCs w:val="26"/>
        </w:rPr>
        <w:t>«</w:t>
      </w:r>
      <w:r w:rsidRPr="00C04ABD">
        <w:rPr>
          <w:rFonts w:ascii="Myriad Pro" w:hAnsi="Myriad Pro"/>
          <w:sz w:val="26"/>
          <w:szCs w:val="26"/>
        </w:rPr>
        <w:t>МРСК Северо-Запада</w:t>
      </w:r>
      <w:r w:rsidR="00655FFA" w:rsidRPr="00C04ABD">
        <w:rPr>
          <w:rFonts w:ascii="Myriad Pro" w:hAnsi="Myriad Pro"/>
          <w:sz w:val="26"/>
          <w:szCs w:val="26"/>
        </w:rPr>
        <w:t>»</w:t>
      </w:r>
      <w:r w:rsidRPr="00C04ABD">
        <w:rPr>
          <w:rFonts w:ascii="Myriad Pro" w:hAnsi="Myriad Pro"/>
          <w:sz w:val="26"/>
          <w:szCs w:val="26"/>
        </w:rPr>
        <w:t xml:space="preserve"> </w:t>
      </w:r>
      <w:r w:rsidR="00655FFA" w:rsidRPr="00C04ABD">
        <w:rPr>
          <w:rFonts w:ascii="Myriad Pro" w:hAnsi="Myriad Pro"/>
          <w:sz w:val="26"/>
          <w:szCs w:val="26"/>
        </w:rPr>
        <w:t>«</w:t>
      </w:r>
      <w:r w:rsidRPr="00C04ABD">
        <w:rPr>
          <w:rFonts w:ascii="Myriad Pro" w:hAnsi="Myriad Pro"/>
          <w:sz w:val="26"/>
          <w:szCs w:val="26"/>
        </w:rPr>
        <w:t>Колэнерго</w:t>
      </w:r>
      <w:r w:rsidR="00655FFA" w:rsidRPr="00C04ABD">
        <w:rPr>
          <w:rFonts w:ascii="Myriad Pro" w:hAnsi="Myriad Pro"/>
          <w:sz w:val="26"/>
          <w:szCs w:val="26"/>
        </w:rPr>
        <w:t>»</w:t>
      </w:r>
      <w:r w:rsidRPr="00C04ABD">
        <w:rPr>
          <w:rFonts w:ascii="Myriad Pro" w:hAnsi="Myriad Pro"/>
          <w:sz w:val="26"/>
          <w:szCs w:val="26"/>
        </w:rPr>
        <w:t xml:space="preserve"> направил предложение об установлении тарифов на услуги по передаче электрической энергии на 2019 год на территории Мурманской области. </w:t>
      </w:r>
    </w:p>
    <w:p w14:paraId="20832DAA" w14:textId="795F09F0" w:rsidR="00762F8E" w:rsidRPr="00C04ABD" w:rsidRDefault="00A359BF" w:rsidP="00C04ABD">
      <w:pPr>
        <w:tabs>
          <w:tab w:val="left" w:pos="1134"/>
        </w:tabs>
        <w:spacing w:after="0" w:line="360" w:lineRule="auto"/>
        <w:ind w:firstLine="567"/>
        <w:contextualSpacing/>
        <w:jc w:val="both"/>
        <w:rPr>
          <w:rFonts w:ascii="Myriad Pro" w:hAnsi="Myriad Pro"/>
          <w:sz w:val="26"/>
          <w:szCs w:val="26"/>
        </w:rPr>
      </w:pPr>
      <w:r w:rsidRPr="00C04ABD">
        <w:rPr>
          <w:rFonts w:ascii="Myriad Pro" w:eastAsia="Calibri" w:hAnsi="Myriad Pro" w:cs="Times New Roman"/>
          <w:sz w:val="26"/>
          <w:szCs w:val="26"/>
        </w:rPr>
        <w:t>Комитет</w:t>
      </w:r>
      <w:r w:rsidR="00762F8E" w:rsidRPr="00C04ABD">
        <w:rPr>
          <w:rFonts w:ascii="Myriad Pro" w:eastAsia="Calibri" w:hAnsi="Myriad Pro" w:cs="Times New Roman"/>
          <w:sz w:val="26"/>
          <w:szCs w:val="26"/>
        </w:rPr>
        <w:t xml:space="preserve"> по тарифному регулированию Мурманской области (далее Комитет) письмом от 11.05.2018 №06-03/1215-ВГ уведомил </w:t>
      </w:r>
      <w:r w:rsidR="006C69D6" w:rsidRPr="00C04ABD">
        <w:rPr>
          <w:rFonts w:ascii="Myriad Pro" w:hAnsi="Myriad Pro"/>
          <w:sz w:val="26"/>
          <w:szCs w:val="26"/>
        </w:rPr>
        <w:t>филиал</w:t>
      </w:r>
      <w:r w:rsidR="00762F8E" w:rsidRPr="00C04ABD">
        <w:rPr>
          <w:rFonts w:ascii="Myriad Pro" w:hAnsi="Myriad Pro"/>
          <w:sz w:val="26"/>
          <w:szCs w:val="26"/>
        </w:rPr>
        <w:t xml:space="preserve"> ПАО </w:t>
      </w:r>
      <w:r w:rsidR="00655FFA" w:rsidRPr="00C04ABD">
        <w:rPr>
          <w:rFonts w:ascii="Myriad Pro" w:hAnsi="Myriad Pro"/>
          <w:sz w:val="26"/>
          <w:szCs w:val="26"/>
        </w:rPr>
        <w:t>«</w:t>
      </w:r>
      <w:r w:rsidR="00762F8E" w:rsidRPr="00C04ABD">
        <w:rPr>
          <w:rFonts w:ascii="Myriad Pro" w:hAnsi="Myriad Pro"/>
          <w:sz w:val="26"/>
          <w:szCs w:val="26"/>
        </w:rPr>
        <w:t>МРСК Северо-Запада</w:t>
      </w:r>
      <w:r w:rsidR="00655FFA" w:rsidRPr="00C04ABD">
        <w:rPr>
          <w:rFonts w:ascii="Myriad Pro" w:hAnsi="Myriad Pro"/>
          <w:sz w:val="26"/>
          <w:szCs w:val="26"/>
        </w:rPr>
        <w:t>»</w:t>
      </w:r>
      <w:r w:rsidR="00762F8E" w:rsidRPr="00C04ABD">
        <w:rPr>
          <w:rFonts w:ascii="Myriad Pro" w:hAnsi="Myriad Pro"/>
          <w:sz w:val="26"/>
          <w:szCs w:val="26"/>
        </w:rPr>
        <w:t xml:space="preserve"> </w:t>
      </w:r>
      <w:r w:rsidR="00655FFA" w:rsidRPr="00C04ABD">
        <w:rPr>
          <w:rFonts w:ascii="Myriad Pro" w:hAnsi="Myriad Pro"/>
          <w:sz w:val="26"/>
          <w:szCs w:val="26"/>
        </w:rPr>
        <w:t>«</w:t>
      </w:r>
      <w:r w:rsidR="00762F8E" w:rsidRPr="00C04ABD">
        <w:rPr>
          <w:rFonts w:ascii="Myriad Pro" w:hAnsi="Myriad Pro"/>
          <w:sz w:val="26"/>
          <w:szCs w:val="26"/>
        </w:rPr>
        <w:t>Колэнерго</w:t>
      </w:r>
      <w:r w:rsidR="00655FFA" w:rsidRPr="00C04ABD">
        <w:rPr>
          <w:rFonts w:ascii="Myriad Pro" w:hAnsi="Myriad Pro"/>
          <w:sz w:val="26"/>
          <w:szCs w:val="26"/>
        </w:rPr>
        <w:t>»</w:t>
      </w:r>
      <w:r w:rsidR="00762F8E" w:rsidRPr="00C04ABD">
        <w:rPr>
          <w:rFonts w:ascii="Myriad Pro" w:hAnsi="Myriad Pro"/>
          <w:sz w:val="26"/>
          <w:szCs w:val="26"/>
        </w:rPr>
        <w:t xml:space="preserve"> об открытии дела об установлении тарифов </w:t>
      </w:r>
      <w:r w:rsidRPr="00C04ABD">
        <w:rPr>
          <w:rFonts w:ascii="Myriad Pro" w:hAnsi="Myriad Pro"/>
          <w:sz w:val="26"/>
          <w:szCs w:val="26"/>
        </w:rPr>
        <w:t xml:space="preserve">на услуги по передаче электрической энергии </w:t>
      </w:r>
      <w:r w:rsidR="00762F8E" w:rsidRPr="00C04ABD">
        <w:rPr>
          <w:rFonts w:ascii="Myriad Pro" w:hAnsi="Myriad Pro"/>
          <w:sz w:val="26"/>
          <w:szCs w:val="26"/>
        </w:rPr>
        <w:t>на 2019 год</w:t>
      </w:r>
      <w:r w:rsidRPr="00C04ABD">
        <w:rPr>
          <w:rFonts w:ascii="Myriad Pro" w:hAnsi="Myriad Pro"/>
          <w:sz w:val="26"/>
          <w:szCs w:val="26"/>
        </w:rPr>
        <w:t xml:space="preserve"> долгосрочного периода 2019-2023</w:t>
      </w:r>
      <w:r w:rsidR="00A308AB" w:rsidRPr="00C04ABD">
        <w:rPr>
          <w:rFonts w:ascii="Myriad Pro" w:hAnsi="Myriad Pro"/>
          <w:sz w:val="26"/>
          <w:szCs w:val="26"/>
        </w:rPr>
        <w:t> </w:t>
      </w:r>
      <w:r w:rsidRPr="00C04ABD">
        <w:rPr>
          <w:rFonts w:ascii="Myriad Pro" w:hAnsi="Myriad Pro"/>
          <w:sz w:val="26"/>
          <w:szCs w:val="26"/>
        </w:rPr>
        <w:t>гг.</w:t>
      </w:r>
    </w:p>
    <w:p w14:paraId="533AB4F6" w14:textId="0D2DB58B" w:rsidR="00A359BF" w:rsidRPr="00C04ABD" w:rsidRDefault="00A359BF" w:rsidP="00C04ABD">
      <w:pPr>
        <w:tabs>
          <w:tab w:val="left" w:pos="1134"/>
        </w:tabs>
        <w:spacing w:after="0" w:line="360" w:lineRule="auto"/>
        <w:ind w:firstLine="567"/>
        <w:contextualSpacing/>
        <w:jc w:val="both"/>
        <w:rPr>
          <w:rFonts w:ascii="Myriad Pro" w:hAnsi="Myriad Pro"/>
          <w:sz w:val="26"/>
          <w:szCs w:val="26"/>
        </w:rPr>
      </w:pPr>
      <w:r w:rsidRPr="00C04ABD">
        <w:rPr>
          <w:rFonts w:ascii="Myriad Pro" w:hAnsi="Myriad Pro"/>
          <w:sz w:val="26"/>
          <w:szCs w:val="26"/>
        </w:rPr>
        <w:t>В соответствии с п. 22. Правил регулирования регулирующий орган проводит экспертизу предложений об установлении цен (тарифов). К делу об установлении цен (тарифов) и (или) их предельных уровней приобщается экспертное заключение.</w:t>
      </w:r>
    </w:p>
    <w:p w14:paraId="1CB12017" w14:textId="0878D1A7" w:rsidR="009C2643" w:rsidRPr="00C04ABD" w:rsidRDefault="00DD5473" w:rsidP="00C04ABD">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lastRenderedPageBreak/>
        <w:t xml:space="preserve">Комитетом </w:t>
      </w:r>
      <w:r w:rsidR="009C2643" w:rsidRPr="00C04ABD">
        <w:rPr>
          <w:rFonts w:ascii="Myriad Pro" w:eastAsia="Calibri" w:hAnsi="Myriad Pro" w:cs="Times New Roman"/>
          <w:sz w:val="26"/>
          <w:szCs w:val="26"/>
        </w:rPr>
        <w:t xml:space="preserve">на основании п. 22 Правил </w:t>
      </w:r>
      <w:r w:rsidR="00A359BF" w:rsidRPr="00C04ABD">
        <w:rPr>
          <w:rFonts w:ascii="Myriad Pro" w:eastAsia="Calibri" w:hAnsi="Myriad Pro" w:cs="Times New Roman"/>
          <w:sz w:val="26"/>
          <w:szCs w:val="26"/>
        </w:rPr>
        <w:t xml:space="preserve">регулирования </w:t>
      </w:r>
      <w:r w:rsidR="009C2643" w:rsidRPr="00C04ABD">
        <w:rPr>
          <w:rFonts w:ascii="Myriad Pro" w:eastAsia="Calibri" w:hAnsi="Myriad Pro" w:cs="Times New Roman"/>
          <w:sz w:val="26"/>
          <w:szCs w:val="26"/>
        </w:rPr>
        <w:t xml:space="preserve">была проведена экспертиза предложения </w:t>
      </w:r>
      <w:r w:rsidR="00577263" w:rsidRPr="00C04ABD">
        <w:rPr>
          <w:rFonts w:ascii="Myriad Pro" w:eastAsia="Calibri" w:hAnsi="Myriad Pro" w:cs="Times New Roman"/>
          <w:sz w:val="26"/>
          <w:szCs w:val="26"/>
        </w:rPr>
        <w:t xml:space="preserve">филиала </w:t>
      </w:r>
      <w:r w:rsidR="00655FFA" w:rsidRPr="00C04ABD">
        <w:rPr>
          <w:rFonts w:ascii="Myriad Pro" w:eastAsia="Calibri" w:hAnsi="Myriad Pro" w:cs="Times New Roman"/>
          <w:sz w:val="26"/>
          <w:szCs w:val="26"/>
        </w:rPr>
        <w:t xml:space="preserve">ПАО «МРСК </w:t>
      </w:r>
      <w:r w:rsidR="00D20107" w:rsidRPr="00C04ABD">
        <w:rPr>
          <w:rFonts w:ascii="Myriad Pro" w:eastAsia="Calibri" w:hAnsi="Myriad Pro" w:cs="Times New Roman"/>
          <w:sz w:val="26"/>
          <w:szCs w:val="26"/>
        </w:rPr>
        <w:t>Северо-Запада» «Колэнерго</w:t>
      </w:r>
      <w:r w:rsidR="00655FFA" w:rsidRPr="00C04ABD">
        <w:rPr>
          <w:rFonts w:ascii="Myriad Pro" w:eastAsia="Calibri" w:hAnsi="Myriad Pro" w:cs="Times New Roman"/>
          <w:sz w:val="26"/>
          <w:szCs w:val="26"/>
        </w:rPr>
        <w:t>»</w:t>
      </w:r>
      <w:r w:rsidR="005C617C" w:rsidRPr="00C04ABD">
        <w:rPr>
          <w:rFonts w:ascii="Myriad Pro" w:eastAsia="Calibri" w:hAnsi="Myriad Pro" w:cs="Times New Roman"/>
          <w:sz w:val="26"/>
          <w:szCs w:val="26"/>
        </w:rPr>
        <w:t xml:space="preserve"> (далее – Филиал)</w:t>
      </w:r>
      <w:r w:rsidR="009C2643" w:rsidRPr="00C04ABD">
        <w:rPr>
          <w:rFonts w:ascii="Myriad Pro" w:eastAsia="Calibri" w:hAnsi="Myriad Pro" w:cs="Times New Roman"/>
          <w:sz w:val="26"/>
          <w:szCs w:val="26"/>
        </w:rPr>
        <w:t xml:space="preserve"> об установлении тарифов на 2019 год.</w:t>
      </w:r>
    </w:p>
    <w:p w14:paraId="0BFE0E9A" w14:textId="51FF8963" w:rsidR="00A359BF" w:rsidRPr="00C04ABD" w:rsidRDefault="00A359BF" w:rsidP="00C04ABD">
      <w:pPr>
        <w:tabs>
          <w:tab w:val="left" w:pos="1134"/>
        </w:tabs>
        <w:spacing w:after="0" w:line="360" w:lineRule="auto"/>
        <w:ind w:firstLine="567"/>
        <w:contextualSpacing/>
        <w:jc w:val="both"/>
        <w:rPr>
          <w:rFonts w:ascii="Myriad Pro" w:hAnsi="Myriad Pro"/>
          <w:sz w:val="26"/>
          <w:szCs w:val="26"/>
        </w:rPr>
      </w:pPr>
      <w:r w:rsidRPr="00C04ABD">
        <w:rPr>
          <w:rFonts w:ascii="Myriad Pro" w:hAnsi="Myriad Pro"/>
          <w:sz w:val="26"/>
          <w:szCs w:val="26"/>
        </w:rPr>
        <w:t xml:space="preserve">В </w:t>
      </w:r>
      <w:r w:rsidR="00C47776" w:rsidRPr="00C04ABD">
        <w:rPr>
          <w:rFonts w:ascii="Myriad Pro" w:hAnsi="Myriad Pro"/>
          <w:sz w:val="26"/>
          <w:szCs w:val="26"/>
        </w:rPr>
        <w:t xml:space="preserve">представленных Исполнителю </w:t>
      </w:r>
      <w:r w:rsidRPr="00C04ABD">
        <w:rPr>
          <w:rFonts w:ascii="Myriad Pro" w:hAnsi="Myriad Pro"/>
          <w:sz w:val="26"/>
          <w:szCs w:val="26"/>
        </w:rPr>
        <w:t>материалах экспертное заключение Комитета</w:t>
      </w:r>
      <w:r w:rsidR="00C47776" w:rsidRPr="00C04ABD">
        <w:rPr>
          <w:rFonts w:ascii="Myriad Pro" w:hAnsi="Myriad Pro"/>
          <w:sz w:val="26"/>
          <w:szCs w:val="26"/>
        </w:rPr>
        <w:t xml:space="preserve"> по результатам </w:t>
      </w:r>
      <w:r w:rsidR="00C47776" w:rsidRPr="00C04ABD">
        <w:rPr>
          <w:rFonts w:ascii="Myriad Pro" w:eastAsia="Calibri" w:hAnsi="Myriad Pro" w:cs="Times New Roman"/>
          <w:sz w:val="26"/>
          <w:szCs w:val="26"/>
        </w:rPr>
        <w:t xml:space="preserve">экспертизы предложения филиала ПАО </w:t>
      </w:r>
      <w:r w:rsidR="00655FFA" w:rsidRPr="00C04ABD">
        <w:rPr>
          <w:rFonts w:ascii="Myriad Pro" w:eastAsia="Calibri" w:hAnsi="Myriad Pro" w:cs="Times New Roman"/>
          <w:sz w:val="26"/>
          <w:szCs w:val="26"/>
        </w:rPr>
        <w:t>«</w:t>
      </w:r>
      <w:r w:rsidR="00C47776" w:rsidRPr="00C04ABD">
        <w:rPr>
          <w:rFonts w:ascii="Myriad Pro" w:eastAsia="Calibri" w:hAnsi="Myriad Pro" w:cs="Times New Roman"/>
          <w:sz w:val="26"/>
          <w:szCs w:val="26"/>
        </w:rPr>
        <w:t>МРСК Северо-Запада</w:t>
      </w:r>
      <w:r w:rsidR="00655FFA" w:rsidRPr="00C04ABD">
        <w:rPr>
          <w:rFonts w:ascii="Myriad Pro" w:eastAsia="Calibri" w:hAnsi="Myriad Pro" w:cs="Times New Roman"/>
          <w:sz w:val="26"/>
          <w:szCs w:val="26"/>
        </w:rPr>
        <w:t>»</w:t>
      </w:r>
      <w:r w:rsidR="00C47776" w:rsidRPr="00C04ABD">
        <w:rPr>
          <w:rFonts w:ascii="Myriad Pro" w:eastAsia="Calibri" w:hAnsi="Myriad Pro" w:cs="Times New Roman"/>
          <w:sz w:val="26"/>
          <w:szCs w:val="26"/>
        </w:rPr>
        <w:t xml:space="preserve"> </w:t>
      </w:r>
      <w:r w:rsidR="00655FFA" w:rsidRPr="00C04ABD">
        <w:rPr>
          <w:rFonts w:ascii="Myriad Pro" w:eastAsia="Calibri" w:hAnsi="Myriad Pro" w:cs="Times New Roman"/>
          <w:sz w:val="26"/>
          <w:szCs w:val="26"/>
        </w:rPr>
        <w:t>«</w:t>
      </w:r>
      <w:r w:rsidR="00C47776" w:rsidRPr="00C04ABD">
        <w:rPr>
          <w:rFonts w:ascii="Myriad Pro" w:eastAsia="Calibri" w:hAnsi="Myriad Pro" w:cs="Times New Roman"/>
          <w:sz w:val="26"/>
          <w:szCs w:val="26"/>
        </w:rPr>
        <w:t>Колэнерго</w:t>
      </w:r>
      <w:r w:rsidR="00655FFA" w:rsidRPr="00C04ABD">
        <w:rPr>
          <w:rFonts w:ascii="Myriad Pro" w:eastAsia="Calibri" w:hAnsi="Myriad Pro" w:cs="Times New Roman"/>
          <w:sz w:val="26"/>
          <w:szCs w:val="26"/>
        </w:rPr>
        <w:t>»</w:t>
      </w:r>
      <w:r w:rsidR="00C47776" w:rsidRPr="00C04ABD">
        <w:rPr>
          <w:rFonts w:ascii="Myriad Pro" w:eastAsia="Calibri" w:hAnsi="Myriad Pro" w:cs="Times New Roman"/>
          <w:sz w:val="26"/>
          <w:szCs w:val="26"/>
        </w:rPr>
        <w:t xml:space="preserve"> об установлении тарифов на услуги по передаче электрической энергии на территории Мурманской области на 2019</w:t>
      </w:r>
      <w:r w:rsidR="00311D4E" w:rsidRPr="00C04ABD">
        <w:rPr>
          <w:rFonts w:ascii="Myriad Pro" w:eastAsia="Calibri" w:hAnsi="Myriad Pro" w:cs="Times New Roman"/>
          <w:sz w:val="26"/>
          <w:szCs w:val="26"/>
        </w:rPr>
        <w:t>-2023</w:t>
      </w:r>
      <w:r w:rsidR="00C47776" w:rsidRPr="00C04ABD">
        <w:rPr>
          <w:rFonts w:ascii="Myriad Pro" w:eastAsia="Calibri" w:hAnsi="Myriad Pro" w:cs="Times New Roman"/>
          <w:sz w:val="26"/>
          <w:szCs w:val="26"/>
        </w:rPr>
        <w:t xml:space="preserve"> г</w:t>
      </w:r>
      <w:r w:rsidR="00311D4E" w:rsidRPr="00C04ABD">
        <w:rPr>
          <w:rFonts w:ascii="Myriad Pro" w:eastAsia="Calibri" w:hAnsi="Myriad Pro" w:cs="Times New Roman"/>
          <w:sz w:val="26"/>
          <w:szCs w:val="26"/>
        </w:rPr>
        <w:t>г.</w:t>
      </w:r>
      <w:r w:rsidR="00C47776" w:rsidRPr="00C04ABD">
        <w:rPr>
          <w:rFonts w:ascii="Myriad Pro" w:eastAsia="Calibri" w:hAnsi="Myriad Pro" w:cs="Times New Roman"/>
          <w:sz w:val="26"/>
          <w:szCs w:val="26"/>
        </w:rPr>
        <w:t xml:space="preserve"> отсутствует</w:t>
      </w:r>
      <w:r w:rsidRPr="00C04ABD">
        <w:rPr>
          <w:rFonts w:ascii="Myriad Pro" w:hAnsi="Myriad Pro"/>
          <w:sz w:val="26"/>
          <w:szCs w:val="26"/>
        </w:rPr>
        <w:t>.</w:t>
      </w:r>
    </w:p>
    <w:p w14:paraId="3722EF82" w14:textId="08D98C98" w:rsidR="004A09D6" w:rsidRPr="00C04ABD" w:rsidRDefault="007A234B" w:rsidP="00C04ABD">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Исполнителем был исследован</w:t>
      </w:r>
      <w:r w:rsidR="009C2643" w:rsidRPr="00C04ABD">
        <w:rPr>
          <w:rFonts w:ascii="Myriad Pro" w:eastAsia="Calibri" w:hAnsi="Myriad Pro" w:cs="Times New Roman"/>
          <w:sz w:val="26"/>
          <w:szCs w:val="26"/>
        </w:rPr>
        <w:t xml:space="preserve"> </w:t>
      </w:r>
      <w:r w:rsidRPr="00C04ABD">
        <w:rPr>
          <w:rFonts w:ascii="Myriad Pro" w:eastAsia="Calibri" w:hAnsi="Myriad Pro" w:cs="Times New Roman"/>
          <w:sz w:val="26"/>
          <w:szCs w:val="26"/>
        </w:rPr>
        <w:t>Протокол</w:t>
      </w:r>
      <w:r w:rsidR="00106B68" w:rsidRPr="00C04ABD">
        <w:rPr>
          <w:rFonts w:ascii="Myriad Pro" w:eastAsia="Calibri" w:hAnsi="Myriad Pro" w:cs="Times New Roman"/>
          <w:sz w:val="26"/>
          <w:szCs w:val="26"/>
        </w:rPr>
        <w:t xml:space="preserve"> заседания Правления Комитета по тарифному регулированию Мурманской области от 28-29.12.2018 (далее – Протокол от 28-29.12.2018)</w:t>
      </w:r>
      <w:r w:rsidR="00095FC4" w:rsidRPr="00C04ABD">
        <w:rPr>
          <w:rFonts w:ascii="Myriad Pro" w:eastAsia="Calibri" w:hAnsi="Myriad Pro" w:cs="Times New Roman"/>
          <w:sz w:val="26"/>
          <w:szCs w:val="26"/>
        </w:rPr>
        <w:t xml:space="preserve"> </w:t>
      </w:r>
      <w:r w:rsidR="009C2643" w:rsidRPr="00C04ABD">
        <w:rPr>
          <w:rFonts w:ascii="Myriad Pro" w:eastAsia="Calibri" w:hAnsi="Myriad Pro" w:cs="Times New Roman"/>
          <w:sz w:val="26"/>
          <w:szCs w:val="26"/>
        </w:rPr>
        <w:t>на его предмет соответствия требованиям п. 23 Правил.</w:t>
      </w:r>
    </w:p>
    <w:p w14:paraId="6184E9BA" w14:textId="3BB8B298" w:rsidR="00A359BF" w:rsidRPr="00C04ABD" w:rsidRDefault="00A359BF" w:rsidP="00C04ABD">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 xml:space="preserve">В соответствии с п. 26. Правил регулирования в протоколе указываются основные показатели деятельности регулируемой организации на расчетный период регулирования (объем необходимой валовой выручки и основные статьи расходов по регулируемым видам деятельности в соответствии с </w:t>
      </w:r>
      <w:hyperlink w:anchor="Par143" w:tooltip="ОСНОВЫ ЦЕНООБРАЗОВАНИЯ" w:history="1">
        <w:r w:rsidRPr="00C04ABD">
          <w:rPr>
            <w:rFonts w:ascii="Myriad Pro" w:eastAsia="Calibri" w:hAnsi="Myriad Pro" w:cs="Times New Roman"/>
            <w:sz w:val="26"/>
            <w:szCs w:val="26"/>
          </w:rPr>
          <w:t>Основами</w:t>
        </w:r>
      </w:hyperlink>
      <w:r w:rsidRPr="00C04ABD">
        <w:rPr>
          <w:rFonts w:ascii="Myriad Pro" w:eastAsia="Calibri" w:hAnsi="Myriad Pro" w:cs="Times New Roman"/>
          <w:sz w:val="26"/>
          <w:szCs w:val="26"/>
        </w:rPr>
        <w:t xml:space="preserve"> ценообразования).</w:t>
      </w:r>
    </w:p>
    <w:p w14:paraId="391A31F6" w14:textId="26F7FF59" w:rsidR="00A359BF" w:rsidRPr="00C04ABD" w:rsidRDefault="00A359BF" w:rsidP="00C04ABD">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В соответствии с п. 28. Правил регулирования основания, по которым отказано во включении в тарифы отдельных расходов, предложенных организацией, осуществляющей регулируемую деятельность, указываются в протоколе.</w:t>
      </w:r>
    </w:p>
    <w:p w14:paraId="1CF3532D" w14:textId="00A7AEE0" w:rsidR="00A359BF" w:rsidRPr="00C04ABD" w:rsidRDefault="00A359BF" w:rsidP="00C04ABD">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В протоколе рассмотрены статьи расходов, предложенны</w:t>
      </w:r>
      <w:r w:rsidR="00C47776" w:rsidRPr="00C04ABD">
        <w:rPr>
          <w:rFonts w:ascii="Myriad Pro" w:eastAsia="Calibri" w:hAnsi="Myriad Pro" w:cs="Times New Roman"/>
          <w:sz w:val="26"/>
          <w:szCs w:val="26"/>
        </w:rPr>
        <w:t>е</w:t>
      </w:r>
      <w:r w:rsidRPr="00C04ABD">
        <w:rPr>
          <w:rFonts w:ascii="Myriad Pro" w:eastAsia="Calibri" w:hAnsi="Myriad Pro" w:cs="Times New Roman"/>
          <w:sz w:val="26"/>
          <w:szCs w:val="26"/>
        </w:rPr>
        <w:t xml:space="preserve"> Филиалом, указан объем необходимой валовой выручки. </w:t>
      </w:r>
      <w:r w:rsidRPr="00683221">
        <w:rPr>
          <w:rFonts w:ascii="Myriad Pro" w:eastAsia="Calibri" w:hAnsi="Myriad Pro" w:cs="Times New Roman"/>
          <w:sz w:val="26"/>
          <w:szCs w:val="26"/>
        </w:rPr>
        <w:t>Основания, по которым отказано во включении в тарифы отдельных расходов, предложенных организацией, осуществляющей регулируемую деятельность указаны не по всем статьям, расчет расходов, учтенных в необходимой валовой выручке не указан, в связи с чем не понятно какие расходы по подстатьям учтены в НВВ.</w:t>
      </w:r>
    </w:p>
    <w:p w14:paraId="410F679C" w14:textId="17063D8C" w:rsidR="009C2643" w:rsidRPr="00683221" w:rsidRDefault="009C2643" w:rsidP="00C04ABD">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 xml:space="preserve">По результатам анализа </w:t>
      </w:r>
      <w:r w:rsidR="00106B68" w:rsidRPr="00C04ABD">
        <w:rPr>
          <w:rFonts w:ascii="Myriad Pro" w:eastAsia="Calibri" w:hAnsi="Myriad Pro" w:cs="Times New Roman"/>
          <w:sz w:val="26"/>
          <w:szCs w:val="26"/>
        </w:rPr>
        <w:t xml:space="preserve">Протокола от 28-29.12.2018 </w:t>
      </w:r>
      <w:r w:rsidR="00137662" w:rsidRPr="00C04ABD">
        <w:rPr>
          <w:rFonts w:ascii="Myriad Pro" w:eastAsia="Calibri" w:hAnsi="Myriad Pro" w:cs="Times New Roman"/>
          <w:sz w:val="26"/>
          <w:szCs w:val="26"/>
        </w:rPr>
        <w:t xml:space="preserve">Исполнитель отмечает </w:t>
      </w:r>
      <w:r w:rsidR="00137662" w:rsidRPr="00683221">
        <w:rPr>
          <w:rFonts w:ascii="Myriad Pro" w:eastAsia="Calibri" w:hAnsi="Myriad Pro" w:cs="Times New Roman"/>
          <w:sz w:val="26"/>
          <w:szCs w:val="26"/>
        </w:rPr>
        <w:t>следующее:</w:t>
      </w:r>
    </w:p>
    <w:p w14:paraId="162D5202" w14:textId="0D0B3139" w:rsidR="006C69D6" w:rsidRPr="00683221" w:rsidRDefault="005C617C" w:rsidP="00C04ABD">
      <w:pPr>
        <w:pStyle w:val="a4"/>
        <w:numPr>
          <w:ilvl w:val="0"/>
          <w:numId w:val="6"/>
        </w:numPr>
        <w:tabs>
          <w:tab w:val="left" w:pos="1134"/>
        </w:tabs>
        <w:spacing w:after="0" w:line="360" w:lineRule="auto"/>
        <w:ind w:left="0" w:firstLine="567"/>
        <w:jc w:val="both"/>
        <w:rPr>
          <w:rFonts w:ascii="Myriad Pro" w:hAnsi="Myriad Pro"/>
          <w:sz w:val="26"/>
          <w:szCs w:val="26"/>
        </w:rPr>
      </w:pPr>
      <w:r w:rsidRPr="00683221">
        <w:rPr>
          <w:rFonts w:ascii="Myriad Pro" w:hAnsi="Myriad Pro"/>
          <w:sz w:val="26"/>
          <w:szCs w:val="26"/>
        </w:rPr>
        <w:t xml:space="preserve">Комитетом </w:t>
      </w:r>
      <w:r w:rsidR="00A359BF" w:rsidRPr="00683221">
        <w:rPr>
          <w:rFonts w:ascii="Myriad Pro" w:hAnsi="Myriad Pro"/>
          <w:sz w:val="26"/>
          <w:szCs w:val="26"/>
        </w:rPr>
        <w:t xml:space="preserve">в Протоколе </w:t>
      </w:r>
      <w:r w:rsidR="00252ED9" w:rsidRPr="00683221">
        <w:rPr>
          <w:rFonts w:ascii="Myriad Pro" w:hAnsi="Myriad Pro"/>
          <w:sz w:val="26"/>
          <w:szCs w:val="26"/>
        </w:rPr>
        <w:t xml:space="preserve">от 28-29.12.2018 </w:t>
      </w:r>
      <w:r w:rsidR="003A698B" w:rsidRPr="00683221">
        <w:rPr>
          <w:rFonts w:ascii="Myriad Pro" w:hAnsi="Myriad Pro"/>
          <w:sz w:val="26"/>
          <w:szCs w:val="26"/>
        </w:rPr>
        <w:t xml:space="preserve">не </w:t>
      </w:r>
      <w:r w:rsidR="00A359BF" w:rsidRPr="00683221">
        <w:rPr>
          <w:rFonts w:ascii="Myriad Pro" w:hAnsi="Myriad Pro"/>
          <w:sz w:val="26"/>
          <w:szCs w:val="26"/>
        </w:rPr>
        <w:t>указано о проведении оценки</w:t>
      </w:r>
      <w:r w:rsidR="00B41283" w:rsidRPr="00683221">
        <w:rPr>
          <w:rFonts w:ascii="Myriad Pro" w:hAnsi="Myriad Pro"/>
          <w:sz w:val="26"/>
          <w:szCs w:val="26"/>
        </w:rPr>
        <w:t xml:space="preserve"> достоверности данных, приведенных в предложении </w:t>
      </w:r>
      <w:r w:rsidR="007E344B" w:rsidRPr="00683221">
        <w:rPr>
          <w:rFonts w:ascii="Myriad Pro" w:hAnsi="Myriad Pro"/>
          <w:sz w:val="26"/>
          <w:szCs w:val="26"/>
        </w:rPr>
        <w:t xml:space="preserve">филиала </w:t>
      </w:r>
      <w:r w:rsidR="00655FFA" w:rsidRPr="00683221">
        <w:rPr>
          <w:rFonts w:ascii="Myriad Pro" w:hAnsi="Myriad Pro"/>
          <w:sz w:val="26"/>
          <w:szCs w:val="26"/>
        </w:rPr>
        <w:t xml:space="preserve">ПАО «МРСК </w:t>
      </w:r>
      <w:r w:rsidR="00350B0A" w:rsidRPr="00683221">
        <w:rPr>
          <w:rFonts w:ascii="Myriad Pro" w:hAnsi="Myriad Pro"/>
          <w:sz w:val="26"/>
          <w:szCs w:val="26"/>
        </w:rPr>
        <w:t>Северо-Запада</w:t>
      </w:r>
      <w:r w:rsidR="00655FFA" w:rsidRPr="00683221">
        <w:rPr>
          <w:rFonts w:ascii="Myriad Pro" w:hAnsi="Myriad Pro"/>
          <w:sz w:val="26"/>
          <w:szCs w:val="26"/>
        </w:rPr>
        <w:t>»</w:t>
      </w:r>
      <w:r w:rsidR="00350B0A" w:rsidRPr="00683221">
        <w:rPr>
          <w:rFonts w:ascii="Myriad Pro" w:hAnsi="Myriad Pro"/>
          <w:sz w:val="26"/>
          <w:szCs w:val="26"/>
        </w:rPr>
        <w:t xml:space="preserve"> </w:t>
      </w:r>
      <w:r w:rsidR="00655FFA" w:rsidRPr="00683221">
        <w:rPr>
          <w:rFonts w:ascii="Myriad Pro" w:hAnsi="Myriad Pro"/>
          <w:sz w:val="26"/>
          <w:szCs w:val="26"/>
        </w:rPr>
        <w:t>«</w:t>
      </w:r>
      <w:r w:rsidR="00350B0A" w:rsidRPr="00683221">
        <w:rPr>
          <w:rFonts w:ascii="Myriad Pro" w:hAnsi="Myriad Pro"/>
          <w:sz w:val="26"/>
          <w:szCs w:val="26"/>
        </w:rPr>
        <w:t>Колэнерго</w:t>
      </w:r>
      <w:r w:rsidR="00655FFA" w:rsidRPr="00683221">
        <w:rPr>
          <w:rFonts w:ascii="Myriad Pro" w:hAnsi="Myriad Pro"/>
          <w:sz w:val="26"/>
          <w:szCs w:val="26"/>
        </w:rPr>
        <w:t>»</w:t>
      </w:r>
      <w:r w:rsidR="00B41283" w:rsidRPr="00683221">
        <w:rPr>
          <w:rFonts w:ascii="Myriad Pro" w:hAnsi="Myriad Pro"/>
          <w:sz w:val="26"/>
          <w:szCs w:val="26"/>
        </w:rPr>
        <w:t xml:space="preserve"> об установл</w:t>
      </w:r>
      <w:r w:rsidR="006C69D6" w:rsidRPr="00683221">
        <w:rPr>
          <w:rFonts w:ascii="Myriad Pro" w:hAnsi="Myriad Pro"/>
          <w:sz w:val="26"/>
          <w:szCs w:val="26"/>
        </w:rPr>
        <w:t xml:space="preserve">ении тарифов на 2019 год. На странице 10 </w:t>
      </w:r>
      <w:r w:rsidR="006C69D6" w:rsidRPr="00683221">
        <w:rPr>
          <w:rFonts w:ascii="Myriad Pro" w:hAnsi="Myriad Pro"/>
          <w:sz w:val="26"/>
          <w:szCs w:val="26"/>
        </w:rPr>
        <w:lastRenderedPageBreak/>
        <w:t xml:space="preserve">Протокола от 28-29.12.2018 указано, что </w:t>
      </w:r>
      <w:r w:rsidR="00060AD6" w:rsidRPr="00683221">
        <w:rPr>
          <w:rFonts w:ascii="Myriad Pro" w:hAnsi="Myriad Pro" w:cs="Myriad Pro"/>
          <w:sz w:val="26"/>
          <w:szCs w:val="26"/>
        </w:rPr>
        <w:t>информация как в материалах тарифного дела, так и в предложениях в сводный прогнозный баланс, содержит некорректные данные, разночтения и недостоверность сведений. Однако, конкретные примеры некорректности данных и недостоверности сведений не указаны.</w:t>
      </w:r>
    </w:p>
    <w:p w14:paraId="0B87B290" w14:textId="66061919" w:rsidR="00B41283" w:rsidRPr="00C04ABD" w:rsidRDefault="00252ED9" w:rsidP="00C04ABD">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 xml:space="preserve">Комитетом в Протоколе </w:t>
      </w:r>
      <w:r w:rsidR="005E69CD" w:rsidRPr="00C04ABD">
        <w:rPr>
          <w:rFonts w:ascii="Myriad Pro" w:hAnsi="Myriad Pro"/>
          <w:sz w:val="26"/>
          <w:szCs w:val="26"/>
        </w:rPr>
        <w:t>от 28-29.12.2018</w:t>
      </w:r>
      <w:r w:rsidRPr="00C04ABD">
        <w:rPr>
          <w:rFonts w:ascii="Myriad Pro" w:hAnsi="Myriad Pro"/>
          <w:sz w:val="26"/>
          <w:szCs w:val="26"/>
        </w:rPr>
        <w:t xml:space="preserve"> не о</w:t>
      </w:r>
      <w:r w:rsidR="005A56B3" w:rsidRPr="00C04ABD">
        <w:rPr>
          <w:rFonts w:ascii="Myriad Pro" w:hAnsi="Myriad Pro"/>
          <w:sz w:val="26"/>
          <w:szCs w:val="26"/>
        </w:rPr>
        <w:t>тражены показатели, характеризующие финансовое состояние</w:t>
      </w:r>
      <w:r w:rsidR="00B41283" w:rsidRPr="00C04ABD">
        <w:rPr>
          <w:rFonts w:ascii="Myriad Pro" w:hAnsi="Myriad Pro"/>
          <w:sz w:val="26"/>
          <w:szCs w:val="26"/>
        </w:rPr>
        <w:t xml:space="preserve"> </w:t>
      </w:r>
      <w:r w:rsidR="007E344B" w:rsidRPr="00C04ABD">
        <w:rPr>
          <w:rFonts w:ascii="Myriad Pro" w:hAnsi="Myriad Pro"/>
          <w:sz w:val="26"/>
          <w:szCs w:val="26"/>
        </w:rPr>
        <w:t xml:space="preserve">филиала </w:t>
      </w:r>
      <w:r w:rsidR="00350B0A" w:rsidRPr="00C04ABD">
        <w:rPr>
          <w:rFonts w:ascii="Myriad Pro" w:hAnsi="Myriad Pro"/>
          <w:sz w:val="26"/>
          <w:szCs w:val="26"/>
        </w:rPr>
        <w:t xml:space="preserve">ПАО </w:t>
      </w:r>
      <w:r w:rsidR="00655FFA" w:rsidRPr="00C04ABD">
        <w:rPr>
          <w:rFonts w:ascii="Myriad Pro" w:hAnsi="Myriad Pro"/>
          <w:sz w:val="26"/>
          <w:szCs w:val="26"/>
        </w:rPr>
        <w:t>«</w:t>
      </w:r>
      <w:r w:rsidR="00350B0A" w:rsidRPr="00C04ABD">
        <w:rPr>
          <w:rFonts w:ascii="Myriad Pro" w:hAnsi="Myriad Pro"/>
          <w:sz w:val="26"/>
          <w:szCs w:val="26"/>
        </w:rPr>
        <w:t>МРСК Северо-Запада</w:t>
      </w:r>
      <w:r w:rsidR="00655FFA" w:rsidRPr="00C04ABD">
        <w:rPr>
          <w:rFonts w:ascii="Myriad Pro" w:hAnsi="Myriad Pro"/>
          <w:sz w:val="26"/>
          <w:szCs w:val="26"/>
        </w:rPr>
        <w:t>»</w:t>
      </w:r>
      <w:r w:rsidR="00350B0A" w:rsidRPr="00C04ABD">
        <w:rPr>
          <w:rFonts w:ascii="Myriad Pro" w:hAnsi="Myriad Pro"/>
          <w:sz w:val="26"/>
          <w:szCs w:val="26"/>
        </w:rPr>
        <w:t xml:space="preserve"> </w:t>
      </w:r>
      <w:r w:rsidR="00655FFA" w:rsidRPr="00C04ABD">
        <w:rPr>
          <w:rFonts w:ascii="Myriad Pro" w:hAnsi="Myriad Pro"/>
          <w:sz w:val="26"/>
          <w:szCs w:val="26"/>
        </w:rPr>
        <w:t>«</w:t>
      </w:r>
      <w:r w:rsidR="00350B0A" w:rsidRPr="00C04ABD">
        <w:rPr>
          <w:rFonts w:ascii="Myriad Pro" w:hAnsi="Myriad Pro"/>
          <w:sz w:val="26"/>
          <w:szCs w:val="26"/>
        </w:rPr>
        <w:t>Колэнерго</w:t>
      </w:r>
      <w:r w:rsidR="00655FFA" w:rsidRPr="00C04ABD">
        <w:rPr>
          <w:rFonts w:ascii="Myriad Pro" w:hAnsi="Myriad Pro"/>
          <w:sz w:val="26"/>
          <w:szCs w:val="26"/>
        </w:rPr>
        <w:t>»</w:t>
      </w:r>
      <w:r w:rsidRPr="00C04ABD">
        <w:rPr>
          <w:rFonts w:ascii="Myriad Pro" w:hAnsi="Myriad Pro"/>
          <w:sz w:val="26"/>
          <w:szCs w:val="26"/>
        </w:rPr>
        <w:t>.</w:t>
      </w:r>
    </w:p>
    <w:p w14:paraId="18AEB285" w14:textId="7040396D" w:rsidR="008373AA" w:rsidRPr="00683221" w:rsidRDefault="007240D9" w:rsidP="00C04ABD">
      <w:pPr>
        <w:pStyle w:val="a4"/>
        <w:numPr>
          <w:ilvl w:val="0"/>
          <w:numId w:val="6"/>
        </w:numPr>
        <w:tabs>
          <w:tab w:val="left" w:pos="1134"/>
        </w:tabs>
        <w:spacing w:after="0" w:line="360" w:lineRule="auto"/>
        <w:ind w:left="0" w:firstLine="567"/>
        <w:jc w:val="both"/>
        <w:rPr>
          <w:rFonts w:ascii="Myriad Pro" w:hAnsi="Myriad Pro"/>
          <w:sz w:val="26"/>
          <w:szCs w:val="26"/>
        </w:rPr>
      </w:pPr>
      <w:r w:rsidRPr="00683221">
        <w:rPr>
          <w:rFonts w:ascii="Myriad Pro" w:hAnsi="Myriad Pro"/>
          <w:sz w:val="26"/>
          <w:szCs w:val="26"/>
        </w:rPr>
        <w:t xml:space="preserve">В </w:t>
      </w:r>
      <w:r w:rsidR="00106B68" w:rsidRPr="00683221">
        <w:rPr>
          <w:rFonts w:ascii="Myriad Pro" w:hAnsi="Myriad Pro"/>
          <w:sz w:val="26"/>
          <w:szCs w:val="26"/>
        </w:rPr>
        <w:t>Протоколе от 28-29.12.2018</w:t>
      </w:r>
      <w:r w:rsidR="00446192" w:rsidRPr="00683221">
        <w:rPr>
          <w:rFonts w:ascii="Myriad Pro" w:hAnsi="Myriad Pro"/>
          <w:sz w:val="26"/>
          <w:szCs w:val="26"/>
        </w:rPr>
        <w:t xml:space="preserve"> </w:t>
      </w:r>
      <w:r w:rsidRPr="00683221">
        <w:rPr>
          <w:rFonts w:ascii="Myriad Pro" w:hAnsi="Myriad Pro"/>
          <w:sz w:val="26"/>
          <w:szCs w:val="26"/>
        </w:rPr>
        <w:t xml:space="preserve">указаны </w:t>
      </w:r>
      <w:r w:rsidR="00881CAC" w:rsidRPr="00683221">
        <w:rPr>
          <w:rFonts w:ascii="Myriad Pro" w:hAnsi="Myriad Pro"/>
          <w:sz w:val="26"/>
          <w:szCs w:val="26"/>
        </w:rPr>
        <w:t>плановые технико-экономические показатели</w:t>
      </w:r>
      <w:r w:rsidRPr="00683221">
        <w:rPr>
          <w:rFonts w:ascii="Myriad Pro" w:hAnsi="Myriad Pro"/>
          <w:sz w:val="26"/>
          <w:szCs w:val="26"/>
        </w:rPr>
        <w:t xml:space="preserve"> (</w:t>
      </w:r>
      <w:r w:rsidR="00881CAC" w:rsidRPr="00683221">
        <w:rPr>
          <w:rFonts w:ascii="Myriad Pro" w:hAnsi="Myriad Pro"/>
          <w:sz w:val="26"/>
          <w:szCs w:val="26"/>
        </w:rPr>
        <w:t>расходы на оплату технологических потерь, р</w:t>
      </w:r>
      <w:r w:rsidR="00137662" w:rsidRPr="00683221">
        <w:rPr>
          <w:rFonts w:ascii="Myriad Pro" w:hAnsi="Myriad Pro"/>
          <w:sz w:val="26"/>
          <w:szCs w:val="26"/>
        </w:rPr>
        <w:t>асходы на оплату услуг ПАО </w:t>
      </w:r>
      <w:r w:rsidR="00655FFA" w:rsidRPr="00683221">
        <w:rPr>
          <w:rFonts w:ascii="Myriad Pro" w:hAnsi="Myriad Pro"/>
          <w:sz w:val="26"/>
          <w:szCs w:val="26"/>
        </w:rPr>
        <w:t>«</w:t>
      </w:r>
      <w:r w:rsidR="00137662" w:rsidRPr="00683221">
        <w:rPr>
          <w:rFonts w:ascii="Myriad Pro" w:hAnsi="Myriad Pro"/>
          <w:sz w:val="26"/>
          <w:szCs w:val="26"/>
        </w:rPr>
        <w:t>ФСК </w:t>
      </w:r>
      <w:r w:rsidR="00881CAC" w:rsidRPr="00683221">
        <w:rPr>
          <w:rFonts w:ascii="Myriad Pro" w:hAnsi="Myriad Pro"/>
          <w:sz w:val="26"/>
          <w:szCs w:val="26"/>
        </w:rPr>
        <w:t>ЕЭС</w:t>
      </w:r>
      <w:r w:rsidR="00655FFA" w:rsidRPr="00683221">
        <w:rPr>
          <w:rFonts w:ascii="Myriad Pro" w:hAnsi="Myriad Pro"/>
          <w:sz w:val="26"/>
          <w:szCs w:val="26"/>
        </w:rPr>
        <w:t>»</w:t>
      </w:r>
      <w:r w:rsidR="00881CAC" w:rsidRPr="00683221">
        <w:rPr>
          <w:rFonts w:ascii="Myriad Pro" w:hAnsi="Myriad Pro"/>
          <w:sz w:val="26"/>
          <w:szCs w:val="26"/>
        </w:rPr>
        <w:t xml:space="preserve">, </w:t>
      </w:r>
      <w:r w:rsidR="00252ED9" w:rsidRPr="00683221">
        <w:rPr>
          <w:rFonts w:ascii="Myriad Pro" w:hAnsi="Myriad Pro"/>
          <w:sz w:val="26"/>
          <w:szCs w:val="26"/>
        </w:rPr>
        <w:t>расходы по статьям, объем плановой необходимой валовой выручки</w:t>
      </w:r>
      <w:r w:rsidR="005C617C" w:rsidRPr="00683221">
        <w:rPr>
          <w:rFonts w:ascii="Myriad Pro" w:hAnsi="Myriad Pro"/>
          <w:sz w:val="26"/>
          <w:szCs w:val="26"/>
        </w:rPr>
        <w:t xml:space="preserve">) </w:t>
      </w:r>
      <w:r w:rsidR="00252ED9" w:rsidRPr="00683221">
        <w:rPr>
          <w:rFonts w:ascii="Myriad Pro" w:hAnsi="Myriad Pro"/>
          <w:sz w:val="26"/>
          <w:szCs w:val="26"/>
        </w:rPr>
        <w:t xml:space="preserve">на </w:t>
      </w:r>
      <w:r w:rsidR="005C617C" w:rsidRPr="00683221">
        <w:rPr>
          <w:rFonts w:ascii="Myriad Pro" w:hAnsi="Myriad Pro"/>
          <w:sz w:val="26"/>
          <w:szCs w:val="26"/>
        </w:rPr>
        <w:t>2019</w:t>
      </w:r>
      <w:r w:rsidR="00881CAC" w:rsidRPr="00683221">
        <w:rPr>
          <w:rFonts w:ascii="Myriad Pro" w:hAnsi="Myriad Pro"/>
          <w:sz w:val="26"/>
          <w:szCs w:val="26"/>
        </w:rPr>
        <w:t xml:space="preserve"> год.</w:t>
      </w:r>
      <w:r w:rsidR="00DF4E96" w:rsidRPr="00683221">
        <w:rPr>
          <w:rFonts w:ascii="Myriad Pro" w:hAnsi="Myriad Pro"/>
          <w:sz w:val="26"/>
          <w:szCs w:val="26"/>
        </w:rPr>
        <w:t xml:space="preserve"> </w:t>
      </w:r>
      <w:r w:rsidR="00252ED9" w:rsidRPr="00683221">
        <w:rPr>
          <w:rFonts w:ascii="Myriad Pro" w:hAnsi="Myriad Pro"/>
          <w:sz w:val="26"/>
          <w:szCs w:val="26"/>
        </w:rPr>
        <w:t>Не указаны следующие показатели: отпуск в сеть, объем потерь, отпуск из сети на плановый период 2019 года, фактические технико-экономические показатели за 2017-2018 годы.</w:t>
      </w:r>
    </w:p>
    <w:p w14:paraId="77A34EAD" w14:textId="19A7E06C" w:rsidR="000C68F3" w:rsidRPr="00C04ABD" w:rsidRDefault="005C617C" w:rsidP="00C04ABD">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Комитетом</w:t>
      </w:r>
      <w:r w:rsidR="000C68F3" w:rsidRPr="00C04ABD">
        <w:rPr>
          <w:rFonts w:ascii="Myriad Pro" w:hAnsi="Myriad Pro"/>
          <w:sz w:val="26"/>
          <w:szCs w:val="26"/>
        </w:rPr>
        <w:t xml:space="preserve"> не приведен сравнительный анализ динамики расходов и величины необходимой прибыли, утвержденных на 2019 год, по отношению к 2018</w:t>
      </w:r>
      <w:r w:rsidR="00996030" w:rsidRPr="00C04ABD">
        <w:rPr>
          <w:rFonts w:ascii="Myriad Pro" w:hAnsi="Myriad Pro"/>
          <w:sz w:val="26"/>
          <w:szCs w:val="26"/>
        </w:rPr>
        <w:t> </w:t>
      </w:r>
      <w:r w:rsidR="000C68F3" w:rsidRPr="00C04ABD">
        <w:rPr>
          <w:rFonts w:ascii="Myriad Pro" w:hAnsi="Myriad Pro"/>
          <w:sz w:val="26"/>
          <w:szCs w:val="26"/>
        </w:rPr>
        <w:t>году.</w:t>
      </w:r>
    </w:p>
    <w:p w14:paraId="71011D89" w14:textId="305985D6" w:rsidR="000C68F3" w:rsidRPr="00C04ABD" w:rsidRDefault="005C617C" w:rsidP="00C04ABD">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Комитетом</w:t>
      </w:r>
      <w:r w:rsidR="000C68F3" w:rsidRPr="00C04ABD">
        <w:rPr>
          <w:rFonts w:ascii="Myriad Pro" w:hAnsi="Myriad Pro"/>
          <w:sz w:val="26"/>
          <w:szCs w:val="26"/>
        </w:rPr>
        <w:t xml:space="preserve"> от</w:t>
      </w:r>
      <w:r w:rsidR="00252ED9" w:rsidRPr="00C04ABD">
        <w:rPr>
          <w:rFonts w:ascii="Myriad Pro" w:hAnsi="Myriad Pro"/>
          <w:sz w:val="26"/>
          <w:szCs w:val="26"/>
        </w:rPr>
        <w:t xml:space="preserve">ражен факт соответствия </w:t>
      </w:r>
      <w:r w:rsidR="007E344B" w:rsidRPr="00C04ABD">
        <w:rPr>
          <w:rFonts w:ascii="Myriad Pro" w:hAnsi="Myriad Pro"/>
          <w:sz w:val="26"/>
          <w:szCs w:val="26"/>
        </w:rPr>
        <w:t xml:space="preserve">филиала </w:t>
      </w:r>
      <w:r w:rsidR="00350B0A" w:rsidRPr="00C04ABD">
        <w:rPr>
          <w:rFonts w:ascii="Myriad Pro" w:hAnsi="Myriad Pro"/>
          <w:sz w:val="26"/>
          <w:szCs w:val="26"/>
        </w:rPr>
        <w:t xml:space="preserve">ПАО </w:t>
      </w:r>
      <w:r w:rsidR="00655FFA" w:rsidRPr="00C04ABD">
        <w:rPr>
          <w:rFonts w:ascii="Myriad Pro" w:hAnsi="Myriad Pro"/>
          <w:sz w:val="26"/>
          <w:szCs w:val="26"/>
        </w:rPr>
        <w:t>«</w:t>
      </w:r>
      <w:r w:rsidR="00350B0A" w:rsidRPr="00C04ABD">
        <w:rPr>
          <w:rFonts w:ascii="Myriad Pro" w:hAnsi="Myriad Pro"/>
          <w:sz w:val="26"/>
          <w:szCs w:val="26"/>
        </w:rPr>
        <w:t>МРСК Северо-Запада</w:t>
      </w:r>
      <w:r w:rsidR="00655FFA" w:rsidRPr="00C04ABD">
        <w:rPr>
          <w:rFonts w:ascii="Myriad Pro" w:hAnsi="Myriad Pro"/>
          <w:sz w:val="26"/>
          <w:szCs w:val="26"/>
        </w:rPr>
        <w:t>»</w:t>
      </w:r>
      <w:r w:rsidR="00350B0A" w:rsidRPr="00C04ABD">
        <w:rPr>
          <w:rFonts w:ascii="Myriad Pro" w:hAnsi="Myriad Pro"/>
          <w:sz w:val="26"/>
          <w:szCs w:val="26"/>
        </w:rPr>
        <w:t xml:space="preserve"> </w:t>
      </w:r>
      <w:r w:rsidR="00655FFA" w:rsidRPr="00C04ABD">
        <w:rPr>
          <w:rFonts w:ascii="Myriad Pro" w:hAnsi="Myriad Pro"/>
          <w:sz w:val="26"/>
          <w:szCs w:val="26"/>
        </w:rPr>
        <w:t>«</w:t>
      </w:r>
      <w:r w:rsidR="00350B0A" w:rsidRPr="00C04ABD">
        <w:rPr>
          <w:rFonts w:ascii="Myriad Pro" w:hAnsi="Myriad Pro"/>
          <w:sz w:val="26"/>
          <w:szCs w:val="26"/>
        </w:rPr>
        <w:t>Колэнерго</w:t>
      </w:r>
      <w:r w:rsidR="00655FFA" w:rsidRPr="00C04ABD">
        <w:rPr>
          <w:rFonts w:ascii="Myriad Pro" w:hAnsi="Myriad Pro"/>
          <w:sz w:val="26"/>
          <w:szCs w:val="26"/>
        </w:rPr>
        <w:t>»</w:t>
      </w:r>
      <w:r w:rsidR="000C68F3" w:rsidRPr="00C04ABD">
        <w:rPr>
          <w:rFonts w:ascii="Myriad Pro" w:hAnsi="Myriad Pro"/>
          <w:sz w:val="26"/>
          <w:szCs w:val="26"/>
        </w:rPr>
        <w:t xml:space="preserve"> критериям отнесения владельцев объектов электросетевого хозяйства к терри</w:t>
      </w:r>
      <w:r w:rsidRPr="00C04ABD">
        <w:rPr>
          <w:rFonts w:ascii="Myriad Pro" w:hAnsi="Myriad Pro"/>
          <w:sz w:val="26"/>
          <w:szCs w:val="26"/>
        </w:rPr>
        <w:t xml:space="preserve">ториальным сетевым организациям и установлено соответствие Филиала </w:t>
      </w:r>
      <w:r w:rsidR="00212EAC" w:rsidRPr="00C04ABD">
        <w:rPr>
          <w:rFonts w:ascii="Myriad Pro" w:hAnsi="Myriad Pro"/>
          <w:sz w:val="26"/>
          <w:szCs w:val="26"/>
        </w:rPr>
        <w:t xml:space="preserve">указанным </w:t>
      </w:r>
      <w:r w:rsidRPr="00C04ABD">
        <w:rPr>
          <w:rFonts w:ascii="Myriad Pro" w:hAnsi="Myriad Pro"/>
          <w:sz w:val="26"/>
          <w:szCs w:val="26"/>
        </w:rPr>
        <w:t>критериям</w:t>
      </w:r>
      <w:r w:rsidR="00212EAC" w:rsidRPr="00C04ABD">
        <w:rPr>
          <w:rFonts w:ascii="Myriad Pro" w:hAnsi="Myriad Pro"/>
          <w:sz w:val="26"/>
          <w:szCs w:val="26"/>
        </w:rPr>
        <w:t>.</w:t>
      </w:r>
    </w:p>
    <w:p w14:paraId="73CAA64C" w14:textId="7BE6BB35" w:rsidR="00060AD6" w:rsidRPr="00C04ABD" w:rsidRDefault="00DF4E96" w:rsidP="00C04ABD">
      <w:pPr>
        <w:pStyle w:val="a4"/>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 xml:space="preserve">Исполнитель отмечает, что анализ экономической обоснованности расходов </w:t>
      </w:r>
      <w:r w:rsidR="00137662" w:rsidRPr="00C04ABD">
        <w:rPr>
          <w:rFonts w:ascii="Myriad Pro" w:hAnsi="Myriad Pro"/>
          <w:sz w:val="26"/>
          <w:szCs w:val="26"/>
        </w:rPr>
        <w:t>отражен</w:t>
      </w:r>
      <w:r w:rsidRPr="00C04ABD">
        <w:rPr>
          <w:rFonts w:ascii="Myriad Pro" w:hAnsi="Myriad Pro"/>
          <w:sz w:val="26"/>
          <w:szCs w:val="26"/>
        </w:rPr>
        <w:t xml:space="preserve"> </w:t>
      </w:r>
      <w:r w:rsidR="00C66F37" w:rsidRPr="00C04ABD">
        <w:rPr>
          <w:rFonts w:ascii="Myriad Pro" w:hAnsi="Myriad Pro"/>
          <w:sz w:val="26"/>
          <w:szCs w:val="26"/>
        </w:rPr>
        <w:t>Комитетом</w:t>
      </w:r>
      <w:r w:rsidRPr="00C04ABD">
        <w:rPr>
          <w:rFonts w:ascii="Myriad Pro" w:hAnsi="Myriad Pro"/>
          <w:sz w:val="26"/>
          <w:szCs w:val="26"/>
        </w:rPr>
        <w:t xml:space="preserve"> не по вс</w:t>
      </w:r>
      <w:r w:rsidR="005E69CD" w:rsidRPr="00C04ABD">
        <w:rPr>
          <w:rFonts w:ascii="Myriad Pro" w:hAnsi="Myriad Pro"/>
          <w:sz w:val="26"/>
          <w:szCs w:val="26"/>
        </w:rPr>
        <w:t>ем статьям и не в полном объеме, не приводится обоснование выбранной позиции, не указываются ссылки на нормативные документы на основании которых был сделан соответствующий вывод</w:t>
      </w:r>
      <w:r w:rsidR="00060AD6" w:rsidRPr="00C04ABD">
        <w:rPr>
          <w:rFonts w:ascii="Myriad Pro" w:hAnsi="Myriad Pro"/>
          <w:sz w:val="26"/>
          <w:szCs w:val="26"/>
        </w:rPr>
        <w:t>.</w:t>
      </w:r>
    </w:p>
    <w:p w14:paraId="6B8CC432" w14:textId="599CA2FB" w:rsidR="00C914A5" w:rsidRPr="00C04ABD" w:rsidRDefault="00254F6A" w:rsidP="00C04ABD">
      <w:pPr>
        <w:pStyle w:val="a4"/>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Приведен расчет величины подко</w:t>
      </w:r>
      <w:r w:rsidR="00212EAC" w:rsidRPr="00C04ABD">
        <w:rPr>
          <w:rFonts w:ascii="Myriad Pro" w:hAnsi="Myriad Pro"/>
          <w:sz w:val="26"/>
          <w:szCs w:val="26"/>
        </w:rPr>
        <w:t>нтрольных расходов на 2019 год методом аналогов</w:t>
      </w:r>
      <w:r w:rsidR="00252ED9" w:rsidRPr="00C04ABD">
        <w:rPr>
          <w:rFonts w:ascii="Myriad Pro" w:hAnsi="Myriad Pro"/>
          <w:sz w:val="26"/>
          <w:szCs w:val="26"/>
        </w:rPr>
        <w:t xml:space="preserve"> (на отдельном листе)</w:t>
      </w:r>
      <w:r w:rsidR="00060AD6" w:rsidRPr="00C04ABD">
        <w:rPr>
          <w:rFonts w:ascii="Myriad Pro" w:hAnsi="Myriad Pro"/>
          <w:sz w:val="26"/>
          <w:szCs w:val="26"/>
        </w:rPr>
        <w:t>.</w:t>
      </w:r>
    </w:p>
    <w:p w14:paraId="1C3C0AF3" w14:textId="7FFCBBD1" w:rsidR="00F87019" w:rsidRPr="00C04ABD" w:rsidRDefault="00F87019" w:rsidP="00C04ABD">
      <w:pPr>
        <w:pStyle w:val="a4"/>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Указаны суммы корректировок, проведенных в соответствии с Методическими указани</w:t>
      </w:r>
      <w:r w:rsidR="00060AD6" w:rsidRPr="00C04ABD">
        <w:rPr>
          <w:rFonts w:ascii="Myriad Pro" w:hAnsi="Myriad Pro"/>
          <w:sz w:val="26"/>
          <w:szCs w:val="26"/>
        </w:rPr>
        <w:t xml:space="preserve">ями </w:t>
      </w:r>
      <w:r w:rsidR="00060AD6" w:rsidRPr="00683221">
        <w:rPr>
          <w:rFonts w:ascii="Myriad Pro" w:hAnsi="Myriad Pro"/>
          <w:sz w:val="26"/>
          <w:szCs w:val="26"/>
        </w:rPr>
        <w:t>без расшифровок и пояснений,</w:t>
      </w:r>
      <w:r w:rsidR="00060AD6" w:rsidRPr="00C04ABD">
        <w:rPr>
          <w:rFonts w:ascii="Myriad Pro" w:hAnsi="Myriad Pro"/>
          <w:sz w:val="26"/>
          <w:szCs w:val="26"/>
        </w:rPr>
        <w:t xml:space="preserve"> по которым невозможно сделать однозначный вывод по включению либо исключению расходов по отдельным статьям.</w:t>
      </w:r>
    </w:p>
    <w:p w14:paraId="56A92C78" w14:textId="222C9A78" w:rsidR="00F87019" w:rsidRPr="00C04ABD" w:rsidRDefault="00F87019" w:rsidP="00C04ABD">
      <w:pPr>
        <w:pStyle w:val="a4"/>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lastRenderedPageBreak/>
        <w:t xml:space="preserve">Таким образом, анализ и оценка предложения филиала ПАО </w:t>
      </w:r>
      <w:r w:rsidR="00655FFA" w:rsidRPr="00C04ABD">
        <w:rPr>
          <w:rFonts w:ascii="Myriad Pro" w:hAnsi="Myriad Pro"/>
          <w:sz w:val="26"/>
          <w:szCs w:val="26"/>
        </w:rPr>
        <w:t>«</w:t>
      </w:r>
      <w:r w:rsidRPr="00C04ABD">
        <w:rPr>
          <w:rFonts w:ascii="Myriad Pro" w:hAnsi="Myriad Pro"/>
          <w:sz w:val="26"/>
          <w:szCs w:val="26"/>
        </w:rPr>
        <w:t>МРСК Северо-Запада</w:t>
      </w:r>
      <w:r w:rsidR="00655FFA" w:rsidRPr="00C04ABD">
        <w:rPr>
          <w:rFonts w:ascii="Myriad Pro" w:hAnsi="Myriad Pro"/>
          <w:sz w:val="26"/>
          <w:szCs w:val="26"/>
        </w:rPr>
        <w:t>»</w:t>
      </w:r>
      <w:r w:rsidRPr="00C04ABD">
        <w:rPr>
          <w:rFonts w:ascii="Myriad Pro" w:hAnsi="Myriad Pro"/>
          <w:sz w:val="26"/>
          <w:szCs w:val="26"/>
        </w:rPr>
        <w:t xml:space="preserve"> </w:t>
      </w:r>
      <w:r w:rsidR="00655FFA" w:rsidRPr="00C04ABD">
        <w:rPr>
          <w:rFonts w:ascii="Myriad Pro" w:hAnsi="Myriad Pro"/>
          <w:sz w:val="26"/>
          <w:szCs w:val="26"/>
        </w:rPr>
        <w:t>«</w:t>
      </w:r>
      <w:r w:rsidRPr="00C04ABD">
        <w:rPr>
          <w:rFonts w:ascii="Myriad Pro" w:hAnsi="Myriad Pro"/>
          <w:sz w:val="26"/>
          <w:szCs w:val="26"/>
        </w:rPr>
        <w:t>Колэнерго</w:t>
      </w:r>
      <w:r w:rsidR="00655FFA" w:rsidRPr="00C04ABD">
        <w:rPr>
          <w:rFonts w:ascii="Myriad Pro" w:hAnsi="Myriad Pro"/>
          <w:sz w:val="26"/>
          <w:szCs w:val="26"/>
        </w:rPr>
        <w:t>»</w:t>
      </w:r>
      <w:r w:rsidRPr="00C04ABD">
        <w:rPr>
          <w:rFonts w:ascii="Myriad Pro" w:hAnsi="Myriad Pro"/>
          <w:sz w:val="26"/>
          <w:szCs w:val="26"/>
        </w:rPr>
        <w:t xml:space="preserve"> проведены</w:t>
      </w:r>
      <w:r w:rsidR="00C47776" w:rsidRPr="00C04ABD">
        <w:rPr>
          <w:rFonts w:ascii="Myriad Pro" w:hAnsi="Myriad Pro"/>
          <w:sz w:val="26"/>
          <w:szCs w:val="26"/>
        </w:rPr>
        <w:t xml:space="preserve"> Комитетом</w:t>
      </w:r>
      <w:r w:rsidR="00311D4E" w:rsidRPr="00C04ABD">
        <w:rPr>
          <w:rFonts w:ascii="Myriad Pro" w:hAnsi="Myriad Pro"/>
          <w:sz w:val="26"/>
          <w:szCs w:val="26"/>
        </w:rPr>
        <w:t xml:space="preserve"> по тарифному регулированию Мурманской </w:t>
      </w:r>
      <w:r w:rsidR="00311D4E" w:rsidRPr="00683221">
        <w:rPr>
          <w:rFonts w:ascii="Myriad Pro" w:hAnsi="Myriad Pro"/>
          <w:sz w:val="26"/>
          <w:szCs w:val="26"/>
        </w:rPr>
        <w:t>области</w:t>
      </w:r>
      <w:r w:rsidRPr="00683221">
        <w:rPr>
          <w:rFonts w:ascii="Myriad Pro" w:hAnsi="Myriad Pro"/>
          <w:sz w:val="26"/>
          <w:szCs w:val="26"/>
        </w:rPr>
        <w:t xml:space="preserve"> </w:t>
      </w:r>
      <w:r w:rsidR="00C47776" w:rsidRPr="00683221">
        <w:rPr>
          <w:rFonts w:ascii="Myriad Pro" w:hAnsi="Myriad Pro"/>
          <w:sz w:val="26"/>
          <w:szCs w:val="26"/>
        </w:rPr>
        <w:t>с</w:t>
      </w:r>
      <w:r w:rsidRPr="00683221">
        <w:rPr>
          <w:rFonts w:ascii="Myriad Pro" w:hAnsi="Myriad Pro"/>
          <w:sz w:val="26"/>
          <w:szCs w:val="26"/>
        </w:rPr>
        <w:t xml:space="preserve"> нарушение</w:t>
      </w:r>
      <w:r w:rsidR="00C47776" w:rsidRPr="00683221">
        <w:rPr>
          <w:rFonts w:ascii="Myriad Pro" w:hAnsi="Myriad Pro"/>
          <w:sz w:val="26"/>
          <w:szCs w:val="26"/>
        </w:rPr>
        <w:t>м</w:t>
      </w:r>
      <w:r w:rsidRPr="00683221">
        <w:rPr>
          <w:rFonts w:ascii="Myriad Pro" w:hAnsi="Myriad Pro"/>
          <w:sz w:val="26"/>
          <w:szCs w:val="26"/>
        </w:rPr>
        <w:t xml:space="preserve"> пункт</w:t>
      </w:r>
      <w:r w:rsidR="00C47776" w:rsidRPr="00683221">
        <w:rPr>
          <w:rFonts w:ascii="Myriad Pro" w:hAnsi="Myriad Pro"/>
          <w:sz w:val="26"/>
          <w:szCs w:val="26"/>
        </w:rPr>
        <w:t>ов</w:t>
      </w:r>
      <w:r w:rsidRPr="00683221">
        <w:rPr>
          <w:rFonts w:ascii="Myriad Pro" w:hAnsi="Myriad Pro"/>
          <w:sz w:val="26"/>
          <w:szCs w:val="26"/>
        </w:rPr>
        <w:t xml:space="preserve"> 23</w:t>
      </w:r>
      <w:r w:rsidR="00060AD6" w:rsidRPr="00683221">
        <w:rPr>
          <w:rFonts w:ascii="Myriad Pro" w:hAnsi="Myriad Pro"/>
          <w:sz w:val="26"/>
          <w:szCs w:val="26"/>
        </w:rPr>
        <w:t>, 26, 28</w:t>
      </w:r>
      <w:r w:rsidRPr="00683221">
        <w:rPr>
          <w:rFonts w:ascii="Myriad Pro" w:hAnsi="Myriad Pro"/>
          <w:sz w:val="26"/>
          <w:szCs w:val="26"/>
        </w:rPr>
        <w:t xml:space="preserve"> Правил регулирования.</w:t>
      </w:r>
    </w:p>
    <w:p w14:paraId="0B07A16B" w14:textId="7BD07D4D" w:rsidR="00425122" w:rsidRPr="00C04ABD" w:rsidRDefault="00420C46" w:rsidP="00C04ABD">
      <w:pPr>
        <w:pStyle w:val="a4"/>
        <w:tabs>
          <w:tab w:val="left" w:pos="1134"/>
        </w:tabs>
        <w:spacing w:after="0" w:line="360" w:lineRule="auto"/>
        <w:ind w:left="0" w:firstLine="567"/>
        <w:jc w:val="both"/>
        <w:rPr>
          <w:rFonts w:ascii="Myriad Pro" w:hAnsi="Myriad Pro"/>
          <w:sz w:val="26"/>
          <w:szCs w:val="26"/>
        </w:rPr>
      </w:pPr>
      <w:r w:rsidRPr="00193ACF">
        <w:rPr>
          <w:rFonts w:ascii="Myriad Pro" w:hAnsi="Myriad Pro"/>
          <w:b/>
          <w:sz w:val="26"/>
          <w:szCs w:val="26"/>
          <w:u w:val="single"/>
        </w:rPr>
        <w:t xml:space="preserve">В </w:t>
      </w:r>
      <w:r w:rsidR="00425122" w:rsidRPr="00193ACF">
        <w:rPr>
          <w:rFonts w:ascii="Myriad Pro" w:hAnsi="Myriad Pro"/>
          <w:b/>
          <w:sz w:val="26"/>
          <w:szCs w:val="26"/>
          <w:u w:val="single"/>
        </w:rPr>
        <w:t>рамках процедуры ознакомления</w:t>
      </w:r>
      <w:r w:rsidR="00425122" w:rsidRPr="00C04ABD">
        <w:rPr>
          <w:rFonts w:ascii="Myriad Pro" w:hAnsi="Myriad Pro"/>
          <w:sz w:val="26"/>
          <w:szCs w:val="26"/>
        </w:rPr>
        <w:t xml:space="preserve"> с </w:t>
      </w:r>
      <w:r w:rsidR="00425122" w:rsidRPr="00193ACF">
        <w:rPr>
          <w:rFonts w:ascii="Myriad Pro" w:hAnsi="Myriad Pro"/>
          <w:b/>
          <w:sz w:val="26"/>
          <w:szCs w:val="26"/>
          <w:u w:val="single"/>
        </w:rPr>
        <w:t>экспертным заключением</w:t>
      </w:r>
      <w:r w:rsidR="00425122" w:rsidRPr="00C04ABD">
        <w:rPr>
          <w:rFonts w:ascii="Myriad Pro" w:hAnsi="Myriad Pro"/>
          <w:sz w:val="26"/>
          <w:szCs w:val="26"/>
        </w:rPr>
        <w:t xml:space="preserve"> Исполнитель рекомендует </w:t>
      </w:r>
      <w:r w:rsidR="00C712FF" w:rsidRPr="00C04ABD">
        <w:rPr>
          <w:rFonts w:ascii="Myriad Pro" w:hAnsi="Myriad Pro"/>
          <w:sz w:val="26"/>
          <w:szCs w:val="26"/>
        </w:rPr>
        <w:t>ф</w:t>
      </w:r>
      <w:r w:rsidR="00425122" w:rsidRPr="00C04ABD">
        <w:rPr>
          <w:rFonts w:ascii="Myriad Pro" w:hAnsi="Myriad Pro"/>
          <w:sz w:val="26"/>
          <w:szCs w:val="26"/>
        </w:rPr>
        <w:t xml:space="preserve">илиалу ПАО </w:t>
      </w:r>
      <w:r w:rsidR="00655FFA" w:rsidRPr="00C04ABD">
        <w:rPr>
          <w:rFonts w:ascii="Myriad Pro" w:hAnsi="Myriad Pro"/>
          <w:sz w:val="26"/>
          <w:szCs w:val="26"/>
        </w:rPr>
        <w:t>«</w:t>
      </w:r>
      <w:r w:rsidR="00425122" w:rsidRPr="00C04ABD">
        <w:rPr>
          <w:rFonts w:ascii="Myriad Pro" w:hAnsi="Myriad Pro"/>
          <w:sz w:val="26"/>
          <w:szCs w:val="26"/>
        </w:rPr>
        <w:t>МРСК Северо-Запада</w:t>
      </w:r>
      <w:r w:rsidR="00655FFA" w:rsidRPr="00C04ABD">
        <w:rPr>
          <w:rFonts w:ascii="Myriad Pro" w:hAnsi="Myriad Pro"/>
          <w:sz w:val="26"/>
          <w:szCs w:val="26"/>
        </w:rPr>
        <w:t>»</w:t>
      </w:r>
      <w:r w:rsidR="00425122" w:rsidRPr="00C04ABD">
        <w:rPr>
          <w:rFonts w:ascii="Myriad Pro" w:hAnsi="Myriad Pro"/>
          <w:sz w:val="26"/>
          <w:szCs w:val="26"/>
        </w:rPr>
        <w:t xml:space="preserve"> </w:t>
      </w:r>
      <w:r w:rsidR="00655FFA" w:rsidRPr="00C04ABD">
        <w:rPr>
          <w:rFonts w:ascii="Myriad Pro" w:hAnsi="Myriad Pro"/>
          <w:sz w:val="26"/>
          <w:szCs w:val="26"/>
        </w:rPr>
        <w:t>«</w:t>
      </w:r>
      <w:r w:rsidR="00425122" w:rsidRPr="00C04ABD">
        <w:rPr>
          <w:rFonts w:ascii="Myriad Pro" w:hAnsi="Myriad Pro"/>
          <w:sz w:val="26"/>
          <w:szCs w:val="26"/>
        </w:rPr>
        <w:t>Колэнерго</w:t>
      </w:r>
      <w:r w:rsidR="00655FFA" w:rsidRPr="00C04ABD">
        <w:rPr>
          <w:rFonts w:ascii="Myriad Pro" w:hAnsi="Myriad Pro"/>
          <w:sz w:val="26"/>
          <w:szCs w:val="26"/>
        </w:rPr>
        <w:t>»</w:t>
      </w:r>
      <w:r w:rsidR="00425122" w:rsidRPr="00C04ABD">
        <w:rPr>
          <w:rFonts w:ascii="Myriad Pro" w:hAnsi="Myriad Pro"/>
          <w:sz w:val="26"/>
          <w:szCs w:val="26"/>
        </w:rPr>
        <w:t xml:space="preserve"> по согласованию с Комитетом по тарифному регулированию Мурманской</w:t>
      </w:r>
      <w:r w:rsidRPr="00C04ABD">
        <w:rPr>
          <w:rFonts w:ascii="Myriad Pro" w:hAnsi="Myriad Pro"/>
          <w:sz w:val="26"/>
          <w:szCs w:val="26"/>
        </w:rPr>
        <w:t xml:space="preserve"> </w:t>
      </w:r>
      <w:r w:rsidR="00425122" w:rsidRPr="00C04ABD">
        <w:rPr>
          <w:rFonts w:ascii="Myriad Pro" w:hAnsi="Myriad Pro"/>
          <w:sz w:val="26"/>
          <w:szCs w:val="26"/>
        </w:rPr>
        <w:t xml:space="preserve">области </w:t>
      </w:r>
      <w:r w:rsidR="00425122" w:rsidRPr="00193ACF">
        <w:rPr>
          <w:rFonts w:ascii="Myriad Pro" w:hAnsi="Myriad Pro"/>
          <w:b/>
          <w:sz w:val="26"/>
          <w:szCs w:val="26"/>
          <w:u w:val="single"/>
        </w:rPr>
        <w:t>обеспечивать наличие ксерокопии (фотокопии) заключения экспертов Комитета</w:t>
      </w:r>
      <w:r w:rsidR="00425122" w:rsidRPr="00C04ABD">
        <w:rPr>
          <w:rFonts w:ascii="Myriad Pro" w:hAnsi="Myriad Pro"/>
          <w:sz w:val="26"/>
          <w:szCs w:val="26"/>
        </w:rPr>
        <w:t xml:space="preserve"> по тарифному ре</w:t>
      </w:r>
      <w:r w:rsidR="0013730C" w:rsidRPr="00C04ABD">
        <w:rPr>
          <w:rFonts w:ascii="Myriad Pro" w:hAnsi="Myriad Pro"/>
          <w:sz w:val="26"/>
          <w:szCs w:val="26"/>
        </w:rPr>
        <w:t>гулированию Мурманской области.</w:t>
      </w:r>
    </w:p>
    <w:p w14:paraId="7C567A31" w14:textId="79F409DE" w:rsidR="004D7D17" w:rsidRPr="00296C71" w:rsidRDefault="00296C71" w:rsidP="00296C71">
      <w:pPr>
        <w:pStyle w:val="3"/>
        <w:numPr>
          <w:ilvl w:val="1"/>
          <w:numId w:val="67"/>
        </w:numPr>
        <w:spacing w:line="360" w:lineRule="auto"/>
        <w:ind w:left="567" w:hanging="567"/>
        <w:jc w:val="both"/>
        <w:rPr>
          <w:rFonts w:ascii="Myriad Pro" w:hAnsi="Myriad Pro"/>
          <w:b/>
          <w:color w:val="4F6228" w:themeColor="accent3" w:themeShade="80"/>
          <w:sz w:val="28"/>
          <w:szCs w:val="28"/>
        </w:rPr>
      </w:pPr>
      <w:r w:rsidRPr="00296C71">
        <w:rPr>
          <w:rFonts w:ascii="Myriad Pro" w:eastAsia="Calibri" w:hAnsi="Myriad Pro" w:cs="Times New Roman"/>
          <w:color w:val="auto"/>
          <w:sz w:val="26"/>
          <w:szCs w:val="26"/>
        </w:rPr>
        <w:br w:type="page"/>
      </w:r>
      <w:r w:rsidR="008E15A7" w:rsidRPr="00296C71">
        <w:rPr>
          <w:rFonts w:ascii="Myriad Pro" w:hAnsi="Myriad Pro"/>
          <w:b/>
          <w:color w:val="4F6228" w:themeColor="accent3" w:themeShade="80"/>
          <w:sz w:val="28"/>
          <w:szCs w:val="28"/>
        </w:rPr>
        <w:lastRenderedPageBreak/>
        <w:t xml:space="preserve"> </w:t>
      </w:r>
      <w:bookmarkStart w:id="31" w:name="_Toc40797955"/>
      <w:r w:rsidR="004D7D17" w:rsidRPr="00296C71">
        <w:rPr>
          <w:rFonts w:ascii="Myriad Pro" w:hAnsi="Myriad Pro"/>
          <w:b/>
          <w:color w:val="4F6228" w:themeColor="accent3" w:themeShade="80"/>
          <w:sz w:val="28"/>
          <w:szCs w:val="28"/>
        </w:rPr>
        <w:t xml:space="preserve">Анализ документов, предоставленных </w:t>
      </w:r>
      <w:r w:rsidR="00C8094C" w:rsidRPr="00296C71">
        <w:rPr>
          <w:rFonts w:ascii="Myriad Pro" w:hAnsi="Myriad Pro"/>
          <w:b/>
          <w:color w:val="4F6228" w:themeColor="accent3" w:themeShade="80"/>
          <w:sz w:val="28"/>
          <w:szCs w:val="28"/>
        </w:rPr>
        <w:t xml:space="preserve">филиалом </w:t>
      </w:r>
      <w:r w:rsidR="00350B0A" w:rsidRPr="00296C71">
        <w:rPr>
          <w:rFonts w:ascii="Myriad Pro" w:hAnsi="Myriad Pro"/>
          <w:b/>
          <w:color w:val="4F6228" w:themeColor="accent3" w:themeShade="80"/>
          <w:sz w:val="28"/>
          <w:szCs w:val="28"/>
        </w:rPr>
        <w:t xml:space="preserve">ПАО </w:t>
      </w:r>
      <w:r w:rsidR="00655FFA" w:rsidRPr="00296C71">
        <w:rPr>
          <w:rFonts w:ascii="Myriad Pro" w:hAnsi="Myriad Pro"/>
          <w:b/>
          <w:color w:val="4F6228" w:themeColor="accent3" w:themeShade="80"/>
          <w:sz w:val="28"/>
          <w:szCs w:val="28"/>
        </w:rPr>
        <w:t>«</w:t>
      </w:r>
      <w:r w:rsidR="00350B0A" w:rsidRPr="00296C71">
        <w:rPr>
          <w:rFonts w:ascii="Myriad Pro" w:hAnsi="Myriad Pro"/>
          <w:b/>
          <w:color w:val="4F6228" w:themeColor="accent3" w:themeShade="80"/>
          <w:sz w:val="28"/>
          <w:szCs w:val="28"/>
        </w:rPr>
        <w:t>МРСК Северо-Запада</w:t>
      </w:r>
      <w:r w:rsidR="00655FFA" w:rsidRPr="00296C71">
        <w:rPr>
          <w:rFonts w:ascii="Myriad Pro" w:hAnsi="Myriad Pro"/>
          <w:b/>
          <w:color w:val="4F6228" w:themeColor="accent3" w:themeShade="80"/>
          <w:sz w:val="28"/>
          <w:szCs w:val="28"/>
        </w:rPr>
        <w:t>»</w:t>
      </w:r>
      <w:r w:rsidR="00350B0A" w:rsidRPr="00296C71">
        <w:rPr>
          <w:rFonts w:ascii="Myriad Pro" w:hAnsi="Myriad Pro"/>
          <w:b/>
          <w:color w:val="4F6228" w:themeColor="accent3" w:themeShade="80"/>
          <w:sz w:val="28"/>
          <w:szCs w:val="28"/>
        </w:rPr>
        <w:t xml:space="preserve"> </w:t>
      </w:r>
      <w:r w:rsidR="00655FFA" w:rsidRPr="00296C71">
        <w:rPr>
          <w:rFonts w:ascii="Myriad Pro" w:hAnsi="Myriad Pro"/>
          <w:b/>
          <w:color w:val="4F6228" w:themeColor="accent3" w:themeShade="80"/>
          <w:sz w:val="28"/>
          <w:szCs w:val="28"/>
        </w:rPr>
        <w:t>«</w:t>
      </w:r>
      <w:r w:rsidR="00350B0A" w:rsidRPr="00296C71">
        <w:rPr>
          <w:rFonts w:ascii="Myriad Pro" w:hAnsi="Myriad Pro"/>
          <w:b/>
          <w:color w:val="4F6228" w:themeColor="accent3" w:themeShade="80"/>
          <w:sz w:val="28"/>
          <w:szCs w:val="28"/>
        </w:rPr>
        <w:t>Колэнерго</w:t>
      </w:r>
      <w:r w:rsidR="00655FFA" w:rsidRPr="00296C71">
        <w:rPr>
          <w:rFonts w:ascii="Myriad Pro" w:hAnsi="Myriad Pro"/>
          <w:b/>
          <w:color w:val="4F6228" w:themeColor="accent3" w:themeShade="80"/>
          <w:sz w:val="28"/>
          <w:szCs w:val="28"/>
        </w:rPr>
        <w:t>»</w:t>
      </w:r>
      <w:r w:rsidR="00C8094C" w:rsidRPr="00296C71">
        <w:rPr>
          <w:rFonts w:ascii="Myriad Pro" w:hAnsi="Myriad Pro"/>
          <w:b/>
          <w:color w:val="4F6228" w:themeColor="accent3" w:themeShade="80"/>
          <w:sz w:val="28"/>
          <w:szCs w:val="28"/>
        </w:rPr>
        <w:t xml:space="preserve"> </w:t>
      </w:r>
      <w:r w:rsidR="004D7D17" w:rsidRPr="00296C71">
        <w:rPr>
          <w:rFonts w:ascii="Myriad Pro" w:hAnsi="Myriad Pro"/>
          <w:b/>
          <w:color w:val="4F6228" w:themeColor="accent3" w:themeShade="80"/>
          <w:sz w:val="28"/>
          <w:szCs w:val="28"/>
        </w:rPr>
        <w:t xml:space="preserve">в </w:t>
      </w:r>
      <w:r w:rsidR="00BC5FB5" w:rsidRPr="00296C71">
        <w:rPr>
          <w:rFonts w:ascii="Myriad Pro" w:hAnsi="Myriad Pro"/>
          <w:b/>
          <w:color w:val="4F6228" w:themeColor="accent3" w:themeShade="80"/>
          <w:sz w:val="28"/>
          <w:szCs w:val="28"/>
        </w:rPr>
        <w:t>Комитет по тарифному регулированию Мурманской области</w:t>
      </w:r>
      <w:r w:rsidR="004D7D17" w:rsidRPr="00296C71">
        <w:rPr>
          <w:rFonts w:ascii="Myriad Pro" w:hAnsi="Myriad Pro"/>
          <w:b/>
          <w:color w:val="4F6228" w:themeColor="accent3" w:themeShade="80"/>
          <w:sz w:val="28"/>
          <w:szCs w:val="28"/>
        </w:rPr>
        <w:t xml:space="preserve"> в рамках рассмотрения дела об установлении тарифов</w:t>
      </w:r>
      <w:r w:rsidR="008153D3" w:rsidRPr="00296C71">
        <w:rPr>
          <w:rFonts w:ascii="Myriad Pro" w:hAnsi="Myriad Pro"/>
          <w:b/>
          <w:color w:val="4F6228" w:themeColor="accent3" w:themeShade="80"/>
          <w:sz w:val="28"/>
          <w:szCs w:val="28"/>
        </w:rPr>
        <w:t xml:space="preserve"> н</w:t>
      </w:r>
      <w:r w:rsidR="004D7D17" w:rsidRPr="00296C71">
        <w:rPr>
          <w:rFonts w:ascii="Myriad Pro" w:hAnsi="Myriad Pro"/>
          <w:b/>
          <w:color w:val="4F6228" w:themeColor="accent3" w:themeShade="80"/>
          <w:sz w:val="28"/>
          <w:szCs w:val="28"/>
        </w:rPr>
        <w:t>а 2019 год</w:t>
      </w:r>
      <w:bookmarkEnd w:id="31"/>
    </w:p>
    <w:p w14:paraId="7EE7D0BF" w14:textId="3C8442A5" w:rsidR="009859A6" w:rsidRPr="00C04ABD" w:rsidRDefault="009859A6"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Согласно п.9(1) Правил регулирующий орган отказывает в открытии дела об установлении цены (тарифа), в случае если регулируемая организация не опубликовала предложение о размере цен (тарифов) и долгосрочных параметров регулирования (при применении метода доходности инвестированного капитала или метода долгосрочной индексации необходимой валовой выручки), подлежащих регулированию, в порядке, установленном стандартами раскрытия информации субъектами оптового и розничных рынков электрической энергии, утвержденными постановлением Правительства Российской Федерации от 21</w:t>
      </w:r>
      <w:r w:rsidR="00486403">
        <w:rPr>
          <w:rFonts w:ascii="Myriad Pro" w:eastAsia="Calibri" w:hAnsi="Myriad Pro" w:cs="Times New Roman"/>
          <w:sz w:val="26"/>
          <w:szCs w:val="26"/>
        </w:rPr>
        <w:t> </w:t>
      </w:r>
      <w:r w:rsidRPr="00C04ABD">
        <w:rPr>
          <w:rFonts w:ascii="Myriad Pro" w:eastAsia="Calibri" w:hAnsi="Myriad Pro" w:cs="Times New Roman"/>
          <w:sz w:val="26"/>
          <w:szCs w:val="26"/>
        </w:rPr>
        <w:t>января 2004 г. № 24, или указанное опубликованное предложение не соответствует предложению, представляемому в орган регулирования.</w:t>
      </w:r>
    </w:p>
    <w:p w14:paraId="7DF5319C" w14:textId="1C9628A3" w:rsidR="001D7821" w:rsidRPr="00C04ABD" w:rsidRDefault="001D7821"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 xml:space="preserve">В соответствии с п.12 Правил организации, осуществляющие регулируемую деятельность, до 1 мая года, предшествующего очередному периоду регулирования, представляют в органы исполнительной власти субъектов Российской Федерации в области государственного регулирования тарифов предложения (заявление об установлении тарифов и (или) их предельных уровней, подписанное руководителем или иным уполномоченным в соответствии с законодательством Российской Федерации лицом заявителя и заверенное печатью заявителя (при наличии печати), с прилагаемыми обосновывающими материалами (подлинники или заверенные заявителем копии) об установлении тарифов и (или) предельных уровней тарифов на электрическую энергию (мощность), поставляемую населению и приравненным к нему категориям потребителей, покупателям на розничных рынках на территориях, не объединенных в ценовые зоны оптового рынка, за исключением электрической энергии (мощности), поставляемой населению и приравненным к нему категориям потребителей, и на услуги по передаче электрической энергии по электрическим </w:t>
      </w:r>
      <w:r w:rsidRPr="00C04ABD">
        <w:rPr>
          <w:rFonts w:ascii="Myriad Pro" w:eastAsia="Calibri" w:hAnsi="Myriad Pro" w:cs="Times New Roman"/>
          <w:sz w:val="26"/>
          <w:szCs w:val="26"/>
        </w:rPr>
        <w:lastRenderedPageBreak/>
        <w:t>сетям, принадлежащим на праве собственности или на ином законном основании территориальным сетевым организациям.</w:t>
      </w:r>
    </w:p>
    <w:p w14:paraId="7B8CBDAE" w14:textId="5737ED01" w:rsidR="00296C71" w:rsidRDefault="00296C71" w:rsidP="00296C7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Организации, осуществляющие регулируемую деятельность, вправе представить в регулирующий орган дополнительные материалы к предложениям об установлении цен (тарифов) по своей инициативе. Уточненные предложения подлежат опубликованию в порядке, установленном стандартами раскрытия информации субъектами оптового и розничных рынков электрической энергии, утвержденными постановлением Правительства Российской Федерации от 21 января 2004 г. № 24 «Об утверждении стандартов раскрытия информации субъектами оптового и розничных рынков электрической энергии».</w:t>
      </w:r>
    </w:p>
    <w:p w14:paraId="178C29B0" w14:textId="3851D25C" w:rsidR="00296C71" w:rsidRPr="00296C71" w:rsidRDefault="00296C71" w:rsidP="00296C71">
      <w:pPr>
        <w:spacing w:line="360" w:lineRule="auto"/>
        <w:ind w:firstLine="567"/>
        <w:contextualSpacing/>
        <w:jc w:val="both"/>
        <w:rPr>
          <w:rFonts w:ascii="Myriad Pro" w:eastAsia="Calibri" w:hAnsi="Myriad Pro"/>
          <w:i/>
          <w:iCs/>
          <w:color w:val="000000" w:themeColor="text1"/>
          <w:sz w:val="26"/>
          <w:szCs w:val="26"/>
          <w:u w:val="single"/>
        </w:rPr>
      </w:pPr>
      <w:r w:rsidRPr="00296C71">
        <w:rPr>
          <w:rFonts w:ascii="Myriad Pro" w:eastAsia="Calibri" w:hAnsi="Myriad Pro"/>
          <w:i/>
          <w:iCs/>
          <w:color w:val="000000" w:themeColor="text1"/>
          <w:sz w:val="26"/>
          <w:szCs w:val="26"/>
          <w:u w:val="single"/>
        </w:rPr>
        <w:t>Справочно (с 01.01.2020 года):</w:t>
      </w:r>
    </w:p>
    <w:p w14:paraId="683ACFCB" w14:textId="77777777" w:rsidR="00296C71" w:rsidRPr="00296C71" w:rsidRDefault="00296C71" w:rsidP="00296C71">
      <w:pPr>
        <w:spacing w:line="360" w:lineRule="auto"/>
        <w:ind w:firstLine="567"/>
        <w:contextualSpacing/>
        <w:jc w:val="both"/>
        <w:rPr>
          <w:rFonts w:ascii="Myriad Pro" w:eastAsia="Calibri" w:hAnsi="Myriad Pro"/>
          <w:i/>
          <w:iCs/>
          <w:color w:val="000000" w:themeColor="text1"/>
          <w:sz w:val="26"/>
          <w:szCs w:val="26"/>
        </w:rPr>
      </w:pPr>
      <w:r w:rsidRPr="00296C71">
        <w:rPr>
          <w:rFonts w:ascii="Myriad Pro" w:eastAsia="Calibri" w:hAnsi="Myriad Pro"/>
          <w:i/>
          <w:iCs/>
          <w:color w:val="000000" w:themeColor="text1"/>
          <w:sz w:val="26"/>
          <w:szCs w:val="26"/>
        </w:rPr>
        <w:t xml:space="preserve">Организации, осуществляющие регулируемую деятельность, вправе представить в регулирующий орган дополнительные материалы к предложениям об установлении цен (тарифов) по своей инициативе </w:t>
      </w:r>
      <w:r w:rsidRPr="00193ACF">
        <w:rPr>
          <w:rFonts w:ascii="Myriad Pro" w:eastAsia="Calibri" w:hAnsi="Myriad Pro"/>
          <w:b/>
          <w:i/>
          <w:iCs/>
          <w:color w:val="000000" w:themeColor="text1"/>
          <w:sz w:val="26"/>
          <w:szCs w:val="26"/>
          <w:u w:val="single"/>
        </w:rPr>
        <w:t>не позднее 30 рабочих дней до даты наступления очередного периода регулирования</w:t>
      </w:r>
      <w:r w:rsidRPr="00296C71">
        <w:rPr>
          <w:rFonts w:ascii="Myriad Pro" w:eastAsia="Calibri" w:hAnsi="Myriad Pro"/>
          <w:i/>
          <w:iCs/>
          <w:color w:val="000000" w:themeColor="text1"/>
          <w:sz w:val="26"/>
          <w:szCs w:val="26"/>
        </w:rPr>
        <w:t>. Уточненные предложения подлежат опубликованию в порядке, установленном стандартами раскрытия информации субъектами оптового и розничных рынков электрической энергии, утвержденными постановлением Правительства Российской Федерации от 21 января 2004 г. № 24 «Об утверждении стандартов раскрытия информации субъектами оптового и розничных рынков электрической энергии».</w:t>
      </w:r>
    </w:p>
    <w:p w14:paraId="58BB7F1C" w14:textId="77777777" w:rsidR="00296C71" w:rsidRDefault="00296C71" w:rsidP="00296C71">
      <w:pPr>
        <w:spacing w:line="360" w:lineRule="auto"/>
        <w:ind w:firstLine="567"/>
        <w:contextualSpacing/>
        <w:jc w:val="both"/>
        <w:rPr>
          <w:rFonts w:ascii="Myriad Pro" w:eastAsia="Calibri" w:hAnsi="Myriad Pro"/>
          <w:color w:val="000000" w:themeColor="text1"/>
          <w:sz w:val="26"/>
          <w:szCs w:val="26"/>
        </w:rPr>
      </w:pPr>
    </w:p>
    <w:p w14:paraId="6155C1F5" w14:textId="6059310C" w:rsidR="00296C71" w:rsidRPr="00C07865" w:rsidRDefault="00296C71" w:rsidP="00296C7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Согласно п. 17 Правил к заявлениям, направленным в соответствии с пунктами 12, 14 и 16 Правил, организации, осуществляющие регулируемую деятельность, и органы исполнительной власти субъектов Российской Федерации в области государственного регулирования тарифов прилагают следующие обосновывающие материалы:</w:t>
      </w:r>
    </w:p>
    <w:p w14:paraId="31FEB6B0" w14:textId="77777777" w:rsidR="00296C71" w:rsidRPr="00C07865" w:rsidRDefault="00296C71" w:rsidP="00296C7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1) баланс электрической энергии;</w:t>
      </w:r>
    </w:p>
    <w:p w14:paraId="13B339E2" w14:textId="77777777" w:rsidR="00296C71" w:rsidRPr="00C07865" w:rsidRDefault="00296C71" w:rsidP="00296C7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2) баланс электрической мощности;</w:t>
      </w:r>
    </w:p>
    <w:p w14:paraId="5DC05290" w14:textId="77777777" w:rsidR="00296C71" w:rsidRPr="00C07865" w:rsidRDefault="00296C71" w:rsidP="00296C7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5) бухгалтерская и статистическая отчетность за предшествующий период регулирования;</w:t>
      </w:r>
    </w:p>
    <w:p w14:paraId="362C58BF" w14:textId="77777777" w:rsidR="00296C71" w:rsidRPr="00C07865" w:rsidRDefault="00296C71" w:rsidP="00296C7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lastRenderedPageBreak/>
        <w:t>6) расчет полезного отпуска электрической энергии с обоснованием размера расхода электрической энергии на собственные и производственные нужды и на передачу (потери) по сетям;</w:t>
      </w:r>
    </w:p>
    <w:p w14:paraId="5E556995" w14:textId="77777777" w:rsidR="00296C71" w:rsidRPr="00C07865" w:rsidRDefault="00296C71" w:rsidP="00296C7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8) расчет расходов и необходимой валовой выручки от осуществления регулируемой деятельности (в том числе расчет фактических выпадающих доходов, связанных с осуществлением технологического присоединения к электрическим сетям, определяемых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утверждаемыми Федеральной антимонопольной службой) с приложением экономического обоснования исходных данных (с указанием применяемых норм и нормативов расчета), разработанного в соответствии с методическими указаниями, утверждаемыми Федеральной антимонопольной службой;</w:t>
      </w:r>
    </w:p>
    <w:p w14:paraId="0DC05CF0" w14:textId="77777777" w:rsidR="00296C71" w:rsidRPr="00C07865" w:rsidRDefault="00296C71" w:rsidP="00296C7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9) расчет тарифов на отдельные услуги, оказываемые на рынках электрической энергии;</w:t>
      </w:r>
    </w:p>
    <w:p w14:paraId="27BA1491" w14:textId="77777777" w:rsidR="00296C71" w:rsidRPr="00C07865" w:rsidRDefault="00296C71" w:rsidP="00296C7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10) инвестиционная программа (проект инвестиционной программы) с обоснованием потребности в средствах, необходимых для прямого финансирования и обслуживания заемного капитала;</w:t>
      </w:r>
    </w:p>
    <w:p w14:paraId="28B3CD0D" w14:textId="77777777" w:rsidR="00296C71" w:rsidRPr="00C07865" w:rsidRDefault="00296C71" w:rsidP="00296C7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11) разработанные в соответствии с установленными требованиями программы энергосбережения в случаях, когда разработка таких программ предусмотрена законодательством Российской Федерации;</w:t>
      </w:r>
    </w:p>
    <w:p w14:paraId="14CE456A" w14:textId="77777777" w:rsidR="00296C71" w:rsidRPr="00C07865" w:rsidRDefault="00296C71" w:rsidP="00296C7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12) оценка экономически не обоснованных расходов (доходов), расходов, не учтенных в составе тарифов, дохода, недополученного по независящим от регулируемой организации причинам в предшествующий период регулирования, которые были выявлены на основании официальной статистической и бухгалтерской отчетности или результатов проверки хозяйственной деятельности организаций, осуществляющих регулируемую деятельность, в том числе дополнительно полученных сетевой организацией доходов, возникших в предшествующий период регулирования вследствие взыскания стоимости выявленного объема бездоговорного потребления электрической энергии с лиц, осуществляющих бездоговорное потребление электрической энергии;</w:t>
      </w:r>
    </w:p>
    <w:p w14:paraId="4849B73E" w14:textId="77777777" w:rsidR="00296C71" w:rsidRPr="00C07865" w:rsidRDefault="00296C71" w:rsidP="00296C7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lastRenderedPageBreak/>
        <w:t>13) документы, подтверждающие осуществление (фактическое или планируемое) регулируемой деятельности, - документы, подтверждающие право собственности или иные законные основания владения в отношении объектов, используемых для осуществления деятельности, и договоры на осуществление регулируемой деятельности (при реорганизации юридического лица - передаточные акты);</w:t>
      </w:r>
    </w:p>
    <w:p w14:paraId="4F07A728" w14:textId="77777777" w:rsidR="00296C71" w:rsidRPr="00C07865" w:rsidRDefault="00296C71" w:rsidP="00296C7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14) один из следующих документов, подтверждающих обязанность потребителя оплатить расходы сетевой организации, связанные с установкой для него приборов учета в соответствии с законодательством Российской Федерации об энергосбережении и о повышении энергетической эффективности:</w:t>
      </w:r>
    </w:p>
    <w:p w14:paraId="73A47701" w14:textId="77777777" w:rsidR="00296C71" w:rsidRPr="00C07865" w:rsidRDefault="00296C71" w:rsidP="00296C71">
      <w:pPr>
        <w:pStyle w:val="a4"/>
        <w:numPr>
          <w:ilvl w:val="0"/>
          <w:numId w:val="12"/>
        </w:numPr>
        <w:spacing w:after="0"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договор, регулирующий условия установки прибора учета электрической энергии, заключенный между потребителем услуг и сетевой организацией;</w:t>
      </w:r>
    </w:p>
    <w:p w14:paraId="07765A87" w14:textId="77777777" w:rsidR="00296C71" w:rsidRPr="00C07865" w:rsidRDefault="00296C71" w:rsidP="00296C71">
      <w:pPr>
        <w:pStyle w:val="a4"/>
        <w:numPr>
          <w:ilvl w:val="0"/>
          <w:numId w:val="12"/>
        </w:numPr>
        <w:spacing w:after="0"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вступившее в законную силу решение суда о принудительном взыскании расходов, связанных с установкой прибора учета электрической энергии;</w:t>
      </w:r>
    </w:p>
    <w:p w14:paraId="627B9594" w14:textId="77777777" w:rsidR="00296C71" w:rsidRPr="00C07865" w:rsidRDefault="00296C71" w:rsidP="00296C7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15) справка о наличии официального сайта в сети Интернет и выделенного абонентского номера для обращений потребителей услуг по передаче электрической энергии и (или) технологическому присоединению, подписанная руководителем или иным уполномоченным лицом заявителя и заверенная печатью заявителя (при наличии печати);</w:t>
      </w:r>
    </w:p>
    <w:p w14:paraId="3A2632DF" w14:textId="77777777" w:rsidR="00296C71" w:rsidRPr="00C07865" w:rsidRDefault="00296C71" w:rsidP="00296C7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16) утвержденные руководителем или иным уполномоченным лицом заявителя и заверенные печатью заявителя (при наличии печати) схемы соединений электрической сети заявителя с обозначением трансформаторных и иных подстанций, а также линий электропередачи, указанных в пунктах 1 и 2 критериев отнесения владельцев объектов электросетевого хозяйства к территориальным сетевым организациям, утвержденных постановлением Правительства Российской Федерации от 28 февраля 2015 г. № 184 «Об отнесении владельцев объектов электросетевого хозяйства к территориальным сетевым </w:t>
      </w:r>
      <w:r w:rsidRPr="00C07865">
        <w:rPr>
          <w:rFonts w:ascii="Myriad Pro" w:eastAsia="Calibri" w:hAnsi="Myriad Pro"/>
          <w:color w:val="000000" w:themeColor="text1"/>
          <w:sz w:val="26"/>
          <w:szCs w:val="26"/>
        </w:rPr>
        <w:lastRenderedPageBreak/>
        <w:t>организациям» (далее - критерии отнесения владельцев объектов электросетевого хозяйства к территориальным сетевым организациям).</w:t>
      </w:r>
    </w:p>
    <w:p w14:paraId="667A6243" w14:textId="77777777" w:rsidR="00296C71" w:rsidRPr="00C07865" w:rsidRDefault="00296C71" w:rsidP="00296C7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17) заявления и обосновывающие материалы, указанные в пункте 6(1) Правил недискриминационного доступа к услугам по передаче электрической энергии и оказания этих услуг, утвержденных постановлением Правительства Российской Федерации от 27 декабря 2004 г. № 861, в случае их поступления в территориальную сетевую организацию от собственников или иных законных владельцев объектов электросетевого хозяйства, которые имеют намерение получить компенсацию расходов на приобретение электрической энергии (мощности) в целях компенсации потерь электрической энергии в объеме технологических потерь электрической энергии, возникших в объектах электросетевого хозяйства, с использованием которых осуществляется переток электрической энергии.</w:t>
      </w:r>
    </w:p>
    <w:p w14:paraId="00188899" w14:textId="77777777" w:rsidR="00296C71" w:rsidRPr="00C07865" w:rsidRDefault="00296C71" w:rsidP="00296C71">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17(1). При установлении цен (тарифов) для регулируемой организации, созданной в результате реорганизации юридических лиц в форме слияния, преобразования или присоединения, могут быть использованы документы и материалы, представленные в соответствии с подпунктами 5, 13, 14 пункта 17 Правил в отношении реорганизованной организации (реорганизованных организаций).</w:t>
      </w:r>
    </w:p>
    <w:p w14:paraId="5D80AB6D" w14:textId="5536B5DA" w:rsidR="009859A6" w:rsidRPr="00C04ABD" w:rsidRDefault="009859A6"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 xml:space="preserve">Исполнитель отмечает, что во исполнение положений п.9(1) Правил филиалом </w:t>
      </w:r>
      <w:r w:rsidR="00350B0A" w:rsidRPr="00C04ABD">
        <w:rPr>
          <w:rFonts w:ascii="Myriad Pro" w:eastAsia="Calibri" w:hAnsi="Myriad Pro" w:cs="Times New Roman"/>
          <w:sz w:val="26"/>
          <w:szCs w:val="26"/>
        </w:rPr>
        <w:t xml:space="preserve">ПАО </w:t>
      </w:r>
      <w:r w:rsidR="00655FFA" w:rsidRPr="00C04ABD">
        <w:rPr>
          <w:rFonts w:ascii="Myriad Pro" w:eastAsia="Calibri" w:hAnsi="Myriad Pro" w:cs="Times New Roman"/>
          <w:sz w:val="26"/>
          <w:szCs w:val="26"/>
        </w:rPr>
        <w:t>«</w:t>
      </w:r>
      <w:r w:rsidR="00350B0A" w:rsidRPr="00C04ABD">
        <w:rPr>
          <w:rFonts w:ascii="Myriad Pro" w:eastAsia="Calibri" w:hAnsi="Myriad Pro" w:cs="Times New Roman"/>
          <w:sz w:val="26"/>
          <w:szCs w:val="26"/>
        </w:rPr>
        <w:t>МРСК Северо-Запада</w:t>
      </w:r>
      <w:r w:rsidR="00655FFA" w:rsidRPr="00C04ABD">
        <w:rPr>
          <w:rFonts w:ascii="Myriad Pro" w:eastAsia="Calibri" w:hAnsi="Myriad Pro" w:cs="Times New Roman"/>
          <w:sz w:val="26"/>
          <w:szCs w:val="26"/>
        </w:rPr>
        <w:t>»</w:t>
      </w:r>
      <w:r w:rsidR="00350B0A" w:rsidRPr="00C04ABD">
        <w:rPr>
          <w:rFonts w:ascii="Myriad Pro" w:eastAsia="Calibri" w:hAnsi="Myriad Pro" w:cs="Times New Roman"/>
          <w:sz w:val="26"/>
          <w:szCs w:val="26"/>
        </w:rPr>
        <w:t xml:space="preserve"> </w:t>
      </w:r>
      <w:r w:rsidR="00655FFA" w:rsidRPr="00C04ABD">
        <w:rPr>
          <w:rFonts w:ascii="Myriad Pro" w:eastAsia="Calibri" w:hAnsi="Myriad Pro" w:cs="Times New Roman"/>
          <w:sz w:val="26"/>
          <w:szCs w:val="26"/>
        </w:rPr>
        <w:t>«</w:t>
      </w:r>
      <w:r w:rsidR="00350B0A" w:rsidRPr="00C04ABD">
        <w:rPr>
          <w:rFonts w:ascii="Myriad Pro" w:eastAsia="Calibri" w:hAnsi="Myriad Pro" w:cs="Times New Roman"/>
          <w:sz w:val="26"/>
          <w:szCs w:val="26"/>
        </w:rPr>
        <w:t>Колэнерго</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 xml:space="preserve"> </w:t>
      </w:r>
      <w:r w:rsidR="00C0246B" w:rsidRPr="00C04ABD">
        <w:rPr>
          <w:rFonts w:ascii="Myriad Pro" w:eastAsia="Calibri" w:hAnsi="Myriad Pro" w:cs="Times New Roman"/>
          <w:sz w:val="26"/>
          <w:szCs w:val="26"/>
        </w:rPr>
        <w:t xml:space="preserve">предложение об установлении тарифов </w:t>
      </w:r>
      <w:r w:rsidR="00A57A39" w:rsidRPr="00C04ABD">
        <w:rPr>
          <w:rFonts w:ascii="Myriad Pro" w:eastAsia="Calibri" w:hAnsi="Myriad Pro" w:cs="Times New Roman"/>
          <w:sz w:val="26"/>
          <w:szCs w:val="26"/>
        </w:rPr>
        <w:t>было</w:t>
      </w:r>
      <w:r w:rsidRPr="00C04ABD">
        <w:rPr>
          <w:rFonts w:ascii="Myriad Pro" w:eastAsia="Calibri" w:hAnsi="Myriad Pro" w:cs="Times New Roman"/>
          <w:sz w:val="26"/>
          <w:szCs w:val="26"/>
        </w:rPr>
        <w:t xml:space="preserve"> </w:t>
      </w:r>
      <w:r w:rsidR="00A57A39" w:rsidRPr="00C04ABD">
        <w:rPr>
          <w:rFonts w:ascii="Myriad Pro" w:eastAsia="Calibri" w:hAnsi="Myriad Pro" w:cs="Times New Roman"/>
          <w:sz w:val="26"/>
          <w:szCs w:val="26"/>
        </w:rPr>
        <w:t>размещено</w:t>
      </w:r>
      <w:r w:rsidRPr="00C04ABD">
        <w:rPr>
          <w:rFonts w:ascii="Myriad Pro" w:eastAsia="Calibri" w:hAnsi="Myriad Pro" w:cs="Times New Roman"/>
          <w:sz w:val="26"/>
          <w:szCs w:val="26"/>
        </w:rPr>
        <w:t xml:space="preserve"> </w:t>
      </w:r>
      <w:r w:rsidR="00C0246B" w:rsidRPr="00C04ABD">
        <w:rPr>
          <w:rFonts w:ascii="Myriad Pro" w:eastAsia="Calibri" w:hAnsi="Myriad Pro" w:cs="Times New Roman"/>
          <w:sz w:val="26"/>
          <w:szCs w:val="26"/>
        </w:rPr>
        <w:t xml:space="preserve">на официальном сайте ПАО </w:t>
      </w:r>
      <w:r w:rsidR="00655FFA" w:rsidRPr="00C04ABD">
        <w:rPr>
          <w:rFonts w:ascii="Myriad Pro" w:eastAsia="Calibri" w:hAnsi="Myriad Pro" w:cs="Times New Roman"/>
          <w:sz w:val="26"/>
          <w:szCs w:val="26"/>
        </w:rPr>
        <w:t>«</w:t>
      </w:r>
      <w:r w:rsidR="00597FD5" w:rsidRPr="00C04ABD">
        <w:rPr>
          <w:rFonts w:ascii="Myriad Pro" w:eastAsia="Calibri" w:hAnsi="Myriad Pro" w:cs="Times New Roman"/>
          <w:sz w:val="26"/>
          <w:szCs w:val="26"/>
        </w:rPr>
        <w:t>МРСК Северо-Запада</w:t>
      </w:r>
      <w:r w:rsidR="00655FFA" w:rsidRPr="00C04ABD">
        <w:rPr>
          <w:rFonts w:ascii="Myriad Pro" w:eastAsia="Calibri" w:hAnsi="Myriad Pro" w:cs="Times New Roman"/>
          <w:sz w:val="26"/>
          <w:szCs w:val="26"/>
        </w:rPr>
        <w:t>»</w:t>
      </w:r>
      <w:r w:rsidR="00212EAC" w:rsidRPr="00C04ABD">
        <w:rPr>
          <w:rFonts w:ascii="Myriad Pro" w:eastAsia="Calibri" w:hAnsi="Myriad Pro" w:cs="Times New Roman"/>
          <w:sz w:val="26"/>
          <w:szCs w:val="26"/>
        </w:rPr>
        <w:t xml:space="preserve"> (</w:t>
      </w:r>
      <w:hyperlink r:id="rId15" w:history="1">
        <w:r w:rsidR="007A234B" w:rsidRPr="00C04ABD">
          <w:rPr>
            <w:rFonts w:ascii="Myriad Pro" w:eastAsia="Calibri" w:hAnsi="Myriad Pro" w:cs="Times New Roman"/>
            <w:sz w:val="26"/>
            <w:szCs w:val="26"/>
          </w:rPr>
          <w:t>http://www.mrsksevzap.ru/</w:t>
        </w:r>
      </w:hyperlink>
      <w:r w:rsidR="008F326E" w:rsidRPr="00C04ABD">
        <w:rPr>
          <w:rFonts w:ascii="Myriad Pro" w:eastAsia="Calibri" w:hAnsi="Myriad Pro" w:cs="Times New Roman"/>
          <w:sz w:val="26"/>
          <w:szCs w:val="26"/>
        </w:rPr>
        <w:t>)</w:t>
      </w:r>
      <w:r w:rsidR="007A234B" w:rsidRPr="00C04ABD">
        <w:rPr>
          <w:rFonts w:ascii="Myriad Pro" w:eastAsia="Calibri" w:hAnsi="Myriad Pro" w:cs="Times New Roman"/>
          <w:sz w:val="26"/>
          <w:szCs w:val="26"/>
        </w:rPr>
        <w:t xml:space="preserve"> </w:t>
      </w:r>
      <w:r w:rsidR="008F326E" w:rsidRPr="00C04ABD">
        <w:rPr>
          <w:rFonts w:ascii="Myriad Pro" w:eastAsia="Calibri" w:hAnsi="Myriad Pro" w:cs="Times New Roman"/>
          <w:sz w:val="26"/>
          <w:szCs w:val="26"/>
        </w:rPr>
        <w:t>(</w:t>
      </w:r>
      <w:hyperlink r:id="rId16" w:history="1">
        <w:r w:rsidR="007A234B" w:rsidRPr="00C04ABD">
          <w:rPr>
            <w:rFonts w:ascii="Myriad Pro" w:eastAsia="Calibri" w:hAnsi="Myriad Pro" w:cs="Times New Roman"/>
            <w:sz w:val="26"/>
            <w:szCs w:val="26"/>
          </w:rPr>
          <w:t>Главная страница</w:t>
        </w:r>
      </w:hyperlink>
      <w:r w:rsidR="007A234B" w:rsidRPr="00C04ABD">
        <w:rPr>
          <w:rFonts w:ascii="Myriad Pro" w:eastAsia="Calibri" w:hAnsi="Myriad Pro" w:cs="Times New Roman"/>
          <w:sz w:val="26"/>
          <w:szCs w:val="26"/>
        </w:rPr>
        <w:t> </w:t>
      </w:r>
      <w:r w:rsidR="00655FFA" w:rsidRPr="00C04ABD">
        <w:rPr>
          <w:rFonts w:ascii="Myriad Pro" w:eastAsia="Calibri" w:hAnsi="Myriad Pro" w:cs="Times New Roman"/>
          <w:sz w:val="26"/>
          <w:szCs w:val="26"/>
        </w:rPr>
        <w:t>»</w:t>
      </w:r>
      <w:r w:rsidR="007A234B" w:rsidRPr="00C04ABD">
        <w:rPr>
          <w:rFonts w:ascii="Myriad Pro" w:eastAsia="Calibri" w:hAnsi="Myriad Pro" w:cs="Times New Roman"/>
          <w:sz w:val="26"/>
          <w:szCs w:val="26"/>
        </w:rPr>
        <w:t> </w:t>
      </w:r>
      <w:hyperlink r:id="rId17" w:history="1">
        <w:r w:rsidR="007A234B" w:rsidRPr="00C04ABD">
          <w:rPr>
            <w:rFonts w:ascii="Myriad Pro" w:eastAsia="Calibri" w:hAnsi="Myriad Pro" w:cs="Times New Roman"/>
            <w:sz w:val="26"/>
            <w:szCs w:val="26"/>
          </w:rPr>
          <w:t>Раскрытие информации</w:t>
        </w:r>
      </w:hyperlink>
      <w:r w:rsidR="007A234B" w:rsidRPr="00C04ABD">
        <w:rPr>
          <w:rFonts w:ascii="Myriad Pro" w:eastAsia="Calibri" w:hAnsi="Myriad Pro" w:cs="Times New Roman"/>
          <w:sz w:val="26"/>
          <w:szCs w:val="26"/>
        </w:rPr>
        <w:t> </w:t>
      </w:r>
      <w:r w:rsidR="00655FFA" w:rsidRPr="00C04ABD">
        <w:rPr>
          <w:rFonts w:ascii="Myriad Pro" w:eastAsia="Calibri" w:hAnsi="Myriad Pro" w:cs="Times New Roman"/>
          <w:sz w:val="26"/>
          <w:szCs w:val="26"/>
        </w:rPr>
        <w:t>»</w:t>
      </w:r>
      <w:r w:rsidR="007A234B" w:rsidRPr="00C04ABD">
        <w:rPr>
          <w:rFonts w:ascii="Myriad Pro" w:eastAsia="Calibri" w:hAnsi="Myriad Pro" w:cs="Times New Roman"/>
          <w:sz w:val="26"/>
          <w:szCs w:val="26"/>
        </w:rPr>
        <w:t> Стандарт раскрытия информации субъектами оптового и розничного рынка электрической энергии. Сетевая организация.</w:t>
      </w:r>
      <w:r w:rsidR="00C0246B" w:rsidRPr="00C04ABD">
        <w:rPr>
          <w:rFonts w:ascii="Myriad Pro" w:eastAsia="Calibri" w:hAnsi="Myriad Pro" w:cs="Times New Roman"/>
          <w:sz w:val="26"/>
          <w:szCs w:val="26"/>
        </w:rPr>
        <w:t xml:space="preserve"> подразд</w:t>
      </w:r>
      <w:r w:rsidR="00073188" w:rsidRPr="00C04ABD">
        <w:rPr>
          <w:rFonts w:ascii="Myriad Pro" w:eastAsia="Calibri" w:hAnsi="Myriad Pro" w:cs="Times New Roman"/>
          <w:sz w:val="26"/>
          <w:szCs w:val="26"/>
        </w:rPr>
        <w:t xml:space="preserve">ел </w:t>
      </w:r>
      <w:r w:rsidR="00655FFA" w:rsidRPr="00C04ABD">
        <w:rPr>
          <w:rFonts w:ascii="Myriad Pro" w:eastAsia="Calibri" w:hAnsi="Myriad Pro" w:cs="Times New Roman"/>
          <w:sz w:val="26"/>
          <w:szCs w:val="26"/>
        </w:rPr>
        <w:t>«</w:t>
      </w:r>
      <w:r w:rsidR="00073188" w:rsidRPr="00C04ABD">
        <w:rPr>
          <w:rFonts w:ascii="Myriad Pro" w:eastAsia="Calibri" w:hAnsi="Myriad Pro" w:cs="Times New Roman"/>
          <w:sz w:val="26"/>
          <w:szCs w:val="26"/>
        </w:rPr>
        <w:t xml:space="preserve">Предложение о размере </w:t>
      </w:r>
      <w:r w:rsidR="00C0246B" w:rsidRPr="00C04ABD">
        <w:rPr>
          <w:rFonts w:ascii="Myriad Pro" w:eastAsia="Calibri" w:hAnsi="Myriad Pro" w:cs="Times New Roman"/>
          <w:sz w:val="26"/>
          <w:szCs w:val="26"/>
        </w:rPr>
        <w:t>тарифов</w:t>
      </w:r>
      <w:r w:rsidR="00073188" w:rsidRPr="00C04ABD">
        <w:rPr>
          <w:rFonts w:ascii="Myriad Pro" w:eastAsia="Calibri" w:hAnsi="Myriad Pro" w:cs="Times New Roman"/>
          <w:sz w:val="26"/>
          <w:szCs w:val="26"/>
        </w:rPr>
        <w:t xml:space="preserve"> и</w:t>
      </w:r>
      <w:r w:rsidR="00C0246B" w:rsidRPr="00C04ABD">
        <w:rPr>
          <w:rFonts w:ascii="Myriad Pro" w:eastAsia="Calibri" w:hAnsi="Myriad Pro" w:cs="Times New Roman"/>
          <w:sz w:val="26"/>
          <w:szCs w:val="26"/>
        </w:rPr>
        <w:t xml:space="preserve"> долгос</w:t>
      </w:r>
      <w:r w:rsidR="00073188" w:rsidRPr="00C04ABD">
        <w:rPr>
          <w:rFonts w:ascii="Myriad Pro" w:eastAsia="Calibri" w:hAnsi="Myriad Pro" w:cs="Times New Roman"/>
          <w:sz w:val="26"/>
          <w:szCs w:val="26"/>
        </w:rPr>
        <w:t>рочных параметров регулирования</w:t>
      </w:r>
      <w:r w:rsidR="008F326E" w:rsidRPr="00C04ABD">
        <w:rPr>
          <w:rFonts w:ascii="Myriad Pro" w:eastAsia="Calibri" w:hAnsi="Myriad Pro" w:cs="Times New Roman"/>
          <w:sz w:val="26"/>
          <w:szCs w:val="26"/>
        </w:rPr>
        <w:t>)</w:t>
      </w:r>
      <w:r w:rsidR="00073188" w:rsidRPr="00C04ABD">
        <w:rPr>
          <w:rFonts w:ascii="Myriad Pro" w:eastAsia="Calibri" w:hAnsi="Myriad Pro" w:cs="Times New Roman"/>
          <w:sz w:val="26"/>
          <w:szCs w:val="26"/>
        </w:rPr>
        <w:t xml:space="preserve">. </w:t>
      </w:r>
      <w:r w:rsidR="008F326E" w:rsidRPr="00C04ABD">
        <w:rPr>
          <w:rFonts w:ascii="Myriad Pro" w:eastAsia="Calibri" w:hAnsi="Myriad Pro" w:cs="Times New Roman"/>
          <w:sz w:val="26"/>
          <w:szCs w:val="26"/>
        </w:rPr>
        <w:t>Письмо-у</w:t>
      </w:r>
      <w:r w:rsidR="00073188" w:rsidRPr="00C04ABD">
        <w:rPr>
          <w:rFonts w:ascii="Myriad Pro" w:eastAsia="Calibri" w:hAnsi="Myriad Pro" w:cs="Times New Roman"/>
          <w:sz w:val="26"/>
          <w:szCs w:val="26"/>
        </w:rPr>
        <w:t>ведомлен</w:t>
      </w:r>
      <w:r w:rsidR="008F326E" w:rsidRPr="00C04ABD">
        <w:rPr>
          <w:rFonts w:ascii="Myriad Pro" w:eastAsia="Calibri" w:hAnsi="Myriad Pro" w:cs="Times New Roman"/>
          <w:sz w:val="26"/>
          <w:szCs w:val="26"/>
        </w:rPr>
        <w:t>ие Комитета</w:t>
      </w:r>
      <w:r w:rsidR="00C0246B" w:rsidRPr="00C04ABD">
        <w:rPr>
          <w:rFonts w:ascii="Myriad Pro" w:eastAsia="Calibri" w:hAnsi="Myriad Pro" w:cs="Times New Roman"/>
          <w:sz w:val="26"/>
          <w:szCs w:val="26"/>
        </w:rPr>
        <w:t xml:space="preserve"> о размещении </w:t>
      </w:r>
      <w:r w:rsidR="008F326E" w:rsidRPr="00C04ABD">
        <w:rPr>
          <w:rFonts w:ascii="Myriad Pro" w:eastAsia="Calibri" w:hAnsi="Myriad Pro" w:cs="Times New Roman"/>
          <w:sz w:val="26"/>
          <w:szCs w:val="26"/>
        </w:rPr>
        <w:t xml:space="preserve">предложения о ценах (тарифах) на 2019 год в </w:t>
      </w:r>
      <w:r w:rsidR="00311D4E" w:rsidRPr="00C04ABD">
        <w:rPr>
          <w:rFonts w:ascii="Myriad Pro" w:eastAsia="Calibri" w:hAnsi="Myriad Pro" w:cs="Times New Roman"/>
          <w:sz w:val="26"/>
          <w:szCs w:val="26"/>
        </w:rPr>
        <w:t xml:space="preserve">представленных Исполнителю </w:t>
      </w:r>
      <w:r w:rsidR="008F326E" w:rsidRPr="00C04ABD">
        <w:rPr>
          <w:rFonts w:ascii="Myriad Pro" w:eastAsia="Calibri" w:hAnsi="Myriad Pro" w:cs="Times New Roman"/>
          <w:sz w:val="26"/>
          <w:szCs w:val="26"/>
        </w:rPr>
        <w:t xml:space="preserve">материалах </w:t>
      </w:r>
      <w:r w:rsidR="00311D4E" w:rsidRPr="00C04ABD">
        <w:rPr>
          <w:rFonts w:ascii="Myriad Pro" w:eastAsia="Calibri" w:hAnsi="Myriad Pro" w:cs="Times New Roman"/>
          <w:sz w:val="26"/>
          <w:szCs w:val="26"/>
        </w:rPr>
        <w:t>отсутствует</w:t>
      </w:r>
      <w:r w:rsidR="008F326E" w:rsidRPr="00C04ABD">
        <w:rPr>
          <w:rFonts w:ascii="Myriad Pro" w:eastAsia="Calibri" w:hAnsi="Myriad Pro" w:cs="Times New Roman"/>
          <w:sz w:val="26"/>
          <w:szCs w:val="26"/>
        </w:rPr>
        <w:t>.</w:t>
      </w:r>
    </w:p>
    <w:p w14:paraId="12F8960C" w14:textId="7539CFF2" w:rsidR="00CB1211" w:rsidRPr="00C04ABD" w:rsidRDefault="00A57A39"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Исполнитель проверил предложение</w:t>
      </w:r>
      <w:r w:rsidR="00CB1211" w:rsidRPr="00C04ABD">
        <w:rPr>
          <w:rFonts w:ascii="Myriad Pro" w:eastAsia="Calibri" w:hAnsi="Myriad Pro" w:cs="Times New Roman"/>
          <w:sz w:val="26"/>
          <w:szCs w:val="26"/>
        </w:rPr>
        <w:t xml:space="preserve"> об </w:t>
      </w:r>
      <w:r w:rsidRPr="00C04ABD">
        <w:rPr>
          <w:rFonts w:ascii="Myriad Pro" w:eastAsia="Calibri" w:hAnsi="Myriad Pro" w:cs="Times New Roman"/>
          <w:sz w:val="26"/>
          <w:szCs w:val="26"/>
        </w:rPr>
        <w:t>установлении тарифов, размещенно</w:t>
      </w:r>
      <w:r w:rsidR="00CB1211" w:rsidRPr="00C04ABD">
        <w:rPr>
          <w:rFonts w:ascii="Myriad Pro" w:eastAsia="Calibri" w:hAnsi="Myriad Pro" w:cs="Times New Roman"/>
          <w:sz w:val="26"/>
          <w:szCs w:val="26"/>
        </w:rPr>
        <w:t xml:space="preserve">е филиалом </w:t>
      </w:r>
      <w:r w:rsidR="00350B0A" w:rsidRPr="00C04ABD">
        <w:rPr>
          <w:rFonts w:ascii="Myriad Pro" w:eastAsia="Calibri" w:hAnsi="Myriad Pro" w:cs="Times New Roman"/>
          <w:sz w:val="26"/>
          <w:szCs w:val="26"/>
        </w:rPr>
        <w:t xml:space="preserve">ПАО </w:t>
      </w:r>
      <w:r w:rsidR="00655FFA" w:rsidRPr="00C04ABD">
        <w:rPr>
          <w:rFonts w:ascii="Myriad Pro" w:eastAsia="Calibri" w:hAnsi="Myriad Pro" w:cs="Times New Roman"/>
          <w:sz w:val="26"/>
          <w:szCs w:val="26"/>
        </w:rPr>
        <w:t>«</w:t>
      </w:r>
      <w:r w:rsidR="00350B0A" w:rsidRPr="00C04ABD">
        <w:rPr>
          <w:rFonts w:ascii="Myriad Pro" w:eastAsia="Calibri" w:hAnsi="Myriad Pro" w:cs="Times New Roman"/>
          <w:sz w:val="26"/>
          <w:szCs w:val="26"/>
        </w:rPr>
        <w:t>МРСК Северо-Запада</w:t>
      </w:r>
      <w:r w:rsidR="00655FFA" w:rsidRPr="00C04ABD">
        <w:rPr>
          <w:rFonts w:ascii="Myriad Pro" w:eastAsia="Calibri" w:hAnsi="Myriad Pro" w:cs="Times New Roman"/>
          <w:sz w:val="26"/>
          <w:szCs w:val="26"/>
        </w:rPr>
        <w:t>»</w:t>
      </w:r>
      <w:r w:rsidR="00350B0A" w:rsidRPr="00C04ABD">
        <w:rPr>
          <w:rFonts w:ascii="Myriad Pro" w:eastAsia="Calibri" w:hAnsi="Myriad Pro" w:cs="Times New Roman"/>
          <w:sz w:val="26"/>
          <w:szCs w:val="26"/>
        </w:rPr>
        <w:t xml:space="preserve"> </w:t>
      </w:r>
      <w:r w:rsidR="00655FFA" w:rsidRPr="00C04ABD">
        <w:rPr>
          <w:rFonts w:ascii="Myriad Pro" w:eastAsia="Calibri" w:hAnsi="Myriad Pro" w:cs="Times New Roman"/>
          <w:sz w:val="26"/>
          <w:szCs w:val="26"/>
        </w:rPr>
        <w:t>«</w:t>
      </w:r>
      <w:r w:rsidR="00350B0A" w:rsidRPr="00C04ABD">
        <w:rPr>
          <w:rFonts w:ascii="Myriad Pro" w:eastAsia="Calibri" w:hAnsi="Myriad Pro" w:cs="Times New Roman"/>
          <w:sz w:val="26"/>
          <w:szCs w:val="26"/>
        </w:rPr>
        <w:t>Колэнерго</w:t>
      </w:r>
      <w:r w:rsidR="00655FFA" w:rsidRPr="00C04ABD">
        <w:rPr>
          <w:rFonts w:ascii="Myriad Pro" w:eastAsia="Calibri" w:hAnsi="Myriad Pro" w:cs="Times New Roman"/>
          <w:sz w:val="26"/>
          <w:szCs w:val="26"/>
        </w:rPr>
        <w:t>»</w:t>
      </w:r>
      <w:r w:rsidR="00CB1211" w:rsidRPr="00C04ABD">
        <w:rPr>
          <w:rFonts w:ascii="Myriad Pro" w:eastAsia="Calibri" w:hAnsi="Myriad Pro" w:cs="Times New Roman"/>
          <w:sz w:val="26"/>
          <w:szCs w:val="26"/>
        </w:rPr>
        <w:t xml:space="preserve"> на официальном </w:t>
      </w:r>
      <w:r w:rsidR="00CB1211" w:rsidRPr="00C04ABD">
        <w:rPr>
          <w:rFonts w:ascii="Myriad Pro" w:eastAsia="Calibri" w:hAnsi="Myriad Pro" w:cs="Times New Roman"/>
          <w:sz w:val="26"/>
          <w:szCs w:val="26"/>
        </w:rPr>
        <w:lastRenderedPageBreak/>
        <w:t xml:space="preserve">сайте ПАО </w:t>
      </w:r>
      <w:r w:rsidR="00655FFA" w:rsidRPr="00C04ABD">
        <w:rPr>
          <w:rFonts w:ascii="Myriad Pro" w:eastAsia="Calibri" w:hAnsi="Myriad Pro" w:cs="Times New Roman"/>
          <w:sz w:val="26"/>
          <w:szCs w:val="26"/>
        </w:rPr>
        <w:t>«</w:t>
      </w:r>
      <w:r w:rsidR="00597FD5" w:rsidRPr="00C04ABD">
        <w:rPr>
          <w:rFonts w:ascii="Myriad Pro" w:eastAsia="Calibri" w:hAnsi="Myriad Pro" w:cs="Times New Roman"/>
          <w:sz w:val="26"/>
          <w:szCs w:val="26"/>
        </w:rPr>
        <w:t>МРСК Северо-Запада</w:t>
      </w:r>
      <w:r w:rsidR="00655FFA" w:rsidRPr="00C04ABD">
        <w:rPr>
          <w:rFonts w:ascii="Myriad Pro" w:eastAsia="Calibri" w:hAnsi="Myriad Pro" w:cs="Times New Roman"/>
          <w:sz w:val="26"/>
          <w:szCs w:val="26"/>
        </w:rPr>
        <w:t>»</w:t>
      </w:r>
      <w:r w:rsidR="00CB1211" w:rsidRPr="00C04ABD">
        <w:rPr>
          <w:rFonts w:ascii="Myriad Pro" w:eastAsia="Calibri" w:hAnsi="Myriad Pro" w:cs="Times New Roman"/>
          <w:sz w:val="26"/>
          <w:szCs w:val="26"/>
        </w:rPr>
        <w:t xml:space="preserve">, на соответствие показателям, </w:t>
      </w:r>
      <w:r w:rsidR="008F326E" w:rsidRPr="00C04ABD">
        <w:rPr>
          <w:rFonts w:ascii="Myriad Pro" w:eastAsia="Calibri" w:hAnsi="Myriad Pro" w:cs="Times New Roman"/>
          <w:sz w:val="26"/>
          <w:szCs w:val="26"/>
        </w:rPr>
        <w:t xml:space="preserve">указанным в </w:t>
      </w:r>
      <w:r w:rsidR="00215BF8" w:rsidRPr="00C04ABD">
        <w:rPr>
          <w:rFonts w:ascii="Myriad Pro" w:eastAsia="Calibri" w:hAnsi="Myriad Pro" w:cs="Times New Roman"/>
          <w:sz w:val="26"/>
          <w:szCs w:val="26"/>
        </w:rPr>
        <w:t>заявлен</w:t>
      </w:r>
      <w:r w:rsidR="008F326E" w:rsidRPr="00C04ABD">
        <w:rPr>
          <w:rFonts w:ascii="Myriad Pro" w:eastAsia="Calibri" w:hAnsi="Myriad Pro" w:cs="Times New Roman"/>
          <w:sz w:val="26"/>
          <w:szCs w:val="26"/>
        </w:rPr>
        <w:t xml:space="preserve">ии </w:t>
      </w:r>
      <w:r w:rsidR="00CB1211" w:rsidRPr="00C04ABD">
        <w:rPr>
          <w:rFonts w:ascii="Myriad Pro" w:eastAsia="Calibri" w:hAnsi="Myriad Pro" w:cs="Times New Roman"/>
          <w:sz w:val="26"/>
          <w:szCs w:val="26"/>
        </w:rPr>
        <w:t>на 2019 год в составе обосновывающих документов.</w:t>
      </w:r>
    </w:p>
    <w:p w14:paraId="3EA40AFB" w14:textId="2B3BF18F" w:rsidR="008F326E" w:rsidRPr="00C04ABD" w:rsidRDefault="001A08EA"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 xml:space="preserve">Исполнителем </w:t>
      </w:r>
      <w:r w:rsidR="007411B3" w:rsidRPr="00C04ABD">
        <w:rPr>
          <w:rFonts w:ascii="Myriad Pro" w:eastAsia="Calibri" w:hAnsi="Myriad Pro" w:cs="Times New Roman"/>
          <w:sz w:val="26"/>
          <w:szCs w:val="26"/>
        </w:rPr>
        <w:t>подтверждается</w:t>
      </w:r>
      <w:r w:rsidRPr="00C04ABD">
        <w:rPr>
          <w:rFonts w:ascii="Myriad Pro" w:eastAsia="Calibri" w:hAnsi="Myriad Pro" w:cs="Times New Roman"/>
          <w:sz w:val="26"/>
          <w:szCs w:val="26"/>
        </w:rPr>
        <w:t xml:space="preserve">, что </w:t>
      </w:r>
      <w:r w:rsidR="00722381" w:rsidRPr="00C04ABD">
        <w:rPr>
          <w:rFonts w:ascii="Myriad Pro" w:eastAsia="Calibri" w:hAnsi="Myriad Pro" w:cs="Times New Roman"/>
          <w:sz w:val="26"/>
          <w:szCs w:val="26"/>
        </w:rPr>
        <w:t xml:space="preserve">предложение филиала </w:t>
      </w:r>
      <w:r w:rsidR="00655FFA" w:rsidRPr="00C04ABD">
        <w:rPr>
          <w:rFonts w:ascii="Myriad Pro" w:eastAsia="Calibri" w:hAnsi="Myriad Pro" w:cs="Times New Roman"/>
          <w:sz w:val="26"/>
          <w:szCs w:val="26"/>
        </w:rPr>
        <w:t xml:space="preserve">ПАО «МРСК </w:t>
      </w:r>
      <w:r w:rsidR="00D076DA" w:rsidRPr="00C04ABD">
        <w:rPr>
          <w:rFonts w:ascii="Myriad Pro" w:eastAsia="Calibri" w:hAnsi="Myriad Pro" w:cs="Times New Roman"/>
          <w:sz w:val="26"/>
          <w:szCs w:val="26"/>
        </w:rPr>
        <w:t>Северо-Запада</w:t>
      </w:r>
      <w:r w:rsidR="00655FFA" w:rsidRPr="00C04ABD">
        <w:rPr>
          <w:rFonts w:ascii="Myriad Pro" w:eastAsia="Calibri" w:hAnsi="Myriad Pro" w:cs="Times New Roman"/>
          <w:sz w:val="26"/>
          <w:szCs w:val="26"/>
        </w:rPr>
        <w:t>»</w:t>
      </w:r>
      <w:r w:rsidR="00215BF8" w:rsidRPr="00C04ABD">
        <w:rPr>
          <w:rFonts w:ascii="Myriad Pro" w:eastAsia="Calibri" w:hAnsi="Myriad Pro" w:cs="Times New Roman"/>
          <w:sz w:val="26"/>
          <w:szCs w:val="26"/>
        </w:rPr>
        <w:t xml:space="preserve"> </w:t>
      </w:r>
      <w:r w:rsidR="00655FFA" w:rsidRPr="00C04ABD">
        <w:rPr>
          <w:rFonts w:ascii="Myriad Pro" w:eastAsia="Calibri" w:hAnsi="Myriad Pro" w:cs="Times New Roman"/>
          <w:sz w:val="26"/>
          <w:szCs w:val="26"/>
        </w:rPr>
        <w:t>«</w:t>
      </w:r>
      <w:r w:rsidR="00722381" w:rsidRPr="00C04ABD">
        <w:rPr>
          <w:rFonts w:ascii="Myriad Pro" w:eastAsia="Calibri" w:hAnsi="Myriad Pro" w:cs="Times New Roman"/>
          <w:sz w:val="26"/>
          <w:szCs w:val="26"/>
        </w:rPr>
        <w:t>Колэнерго</w:t>
      </w:r>
      <w:r w:rsidR="00655FFA" w:rsidRPr="00C04ABD">
        <w:rPr>
          <w:rFonts w:ascii="Myriad Pro" w:eastAsia="Calibri" w:hAnsi="Myriad Pro" w:cs="Times New Roman"/>
          <w:sz w:val="26"/>
          <w:szCs w:val="26"/>
        </w:rPr>
        <w:t>»</w:t>
      </w:r>
      <w:r w:rsidR="00722381" w:rsidRPr="00C04ABD">
        <w:rPr>
          <w:rFonts w:ascii="Myriad Pro" w:eastAsia="Calibri" w:hAnsi="Myriad Pro" w:cs="Times New Roman"/>
          <w:sz w:val="26"/>
          <w:szCs w:val="26"/>
        </w:rPr>
        <w:t xml:space="preserve"> об установлени</w:t>
      </w:r>
      <w:r w:rsidR="00DE0771" w:rsidRPr="00C04ABD">
        <w:rPr>
          <w:rFonts w:ascii="Myriad Pro" w:eastAsia="Calibri" w:hAnsi="Myriad Pro" w:cs="Times New Roman"/>
          <w:sz w:val="26"/>
          <w:szCs w:val="26"/>
        </w:rPr>
        <w:t>и тарифов по форме Приложения №</w:t>
      </w:r>
      <w:r w:rsidR="00722381" w:rsidRPr="00C04ABD">
        <w:rPr>
          <w:rFonts w:ascii="Myriad Pro" w:eastAsia="Calibri" w:hAnsi="Myriad Pro" w:cs="Times New Roman"/>
          <w:sz w:val="26"/>
          <w:szCs w:val="26"/>
        </w:rPr>
        <w:t>1 к Стандартам раскрытия соответствует предложению, направленному в заявлении от 28.04.2018 №МР2/4/02/3129.</w:t>
      </w:r>
      <w:r w:rsidR="008F326E" w:rsidRPr="00C04ABD">
        <w:rPr>
          <w:rFonts w:ascii="Myriad Pro" w:eastAsia="Calibri" w:hAnsi="Myriad Pro" w:cs="Times New Roman"/>
          <w:sz w:val="26"/>
          <w:szCs w:val="26"/>
        </w:rPr>
        <w:t xml:space="preserve"> </w:t>
      </w:r>
    </w:p>
    <w:p w14:paraId="688781D8" w14:textId="1F5F9A4F" w:rsidR="007F6697" w:rsidRPr="00C04ABD" w:rsidRDefault="00571768"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На основании</w:t>
      </w:r>
      <w:r w:rsidR="00A57A39" w:rsidRPr="00C04ABD">
        <w:rPr>
          <w:rFonts w:ascii="Myriad Pro" w:eastAsia="Calibri" w:hAnsi="Myriad Pro" w:cs="Times New Roman"/>
          <w:sz w:val="26"/>
          <w:szCs w:val="26"/>
        </w:rPr>
        <w:t xml:space="preserve"> п. 12 Правил </w:t>
      </w:r>
      <w:r w:rsidR="00215BF8" w:rsidRPr="00C04ABD">
        <w:rPr>
          <w:rFonts w:ascii="Myriad Pro" w:eastAsia="Calibri" w:hAnsi="Myriad Pro" w:cs="Times New Roman"/>
          <w:sz w:val="26"/>
          <w:szCs w:val="26"/>
        </w:rPr>
        <w:t xml:space="preserve">регулирования </w:t>
      </w:r>
      <w:r w:rsidR="00A57A39" w:rsidRPr="00C04ABD">
        <w:rPr>
          <w:rFonts w:ascii="Myriad Pro" w:eastAsia="Calibri" w:hAnsi="Myriad Pro" w:cs="Times New Roman"/>
          <w:sz w:val="26"/>
          <w:szCs w:val="26"/>
        </w:rPr>
        <w:t>письмом от 28</w:t>
      </w:r>
      <w:r w:rsidR="00E87613" w:rsidRPr="00C04ABD">
        <w:rPr>
          <w:rFonts w:ascii="Myriad Pro" w:eastAsia="Calibri" w:hAnsi="Myriad Pro" w:cs="Times New Roman"/>
          <w:sz w:val="26"/>
          <w:szCs w:val="26"/>
        </w:rPr>
        <w:t xml:space="preserve">.04.2018 </w:t>
      </w:r>
      <w:r w:rsidR="00A57A39" w:rsidRPr="00C04ABD">
        <w:rPr>
          <w:rFonts w:ascii="Myriad Pro" w:eastAsia="Calibri" w:hAnsi="Myriad Pro" w:cs="Times New Roman"/>
          <w:sz w:val="26"/>
          <w:szCs w:val="26"/>
        </w:rPr>
        <w:t>№МР2/4/02/3129 Филиалом в адрес Комитета</w:t>
      </w:r>
      <w:r w:rsidR="00E87613" w:rsidRPr="00C04ABD">
        <w:rPr>
          <w:rFonts w:ascii="Myriad Pro" w:eastAsia="Calibri" w:hAnsi="Myriad Pro" w:cs="Times New Roman"/>
          <w:sz w:val="26"/>
          <w:szCs w:val="26"/>
        </w:rPr>
        <w:t xml:space="preserve"> было направлено Заявление на открытие тарифного дела </w:t>
      </w:r>
      <w:r w:rsidR="00A57A39" w:rsidRPr="00C04ABD">
        <w:rPr>
          <w:rFonts w:ascii="Myriad Pro" w:eastAsia="Calibri" w:hAnsi="Myriad Pro" w:cs="Times New Roman"/>
          <w:sz w:val="26"/>
          <w:szCs w:val="26"/>
        </w:rPr>
        <w:t xml:space="preserve">об установлении тарифов на услуги по передаче электрической энергии </w:t>
      </w:r>
      <w:r w:rsidR="00B376BC" w:rsidRPr="00C04ABD">
        <w:rPr>
          <w:rFonts w:ascii="Myriad Pro" w:eastAsia="Calibri" w:hAnsi="Myriad Pro" w:cs="Times New Roman"/>
          <w:sz w:val="26"/>
          <w:szCs w:val="26"/>
        </w:rPr>
        <w:t xml:space="preserve">филиалу </w:t>
      </w:r>
      <w:r w:rsidR="00350B0A" w:rsidRPr="00C04ABD">
        <w:rPr>
          <w:rFonts w:ascii="Myriad Pro" w:eastAsia="Calibri" w:hAnsi="Myriad Pro" w:cs="Times New Roman"/>
          <w:sz w:val="26"/>
          <w:szCs w:val="26"/>
        </w:rPr>
        <w:t xml:space="preserve">ПАО </w:t>
      </w:r>
      <w:r w:rsidR="00655FFA" w:rsidRPr="00C04ABD">
        <w:rPr>
          <w:rFonts w:ascii="Myriad Pro" w:eastAsia="Calibri" w:hAnsi="Myriad Pro" w:cs="Times New Roman"/>
          <w:sz w:val="26"/>
          <w:szCs w:val="26"/>
        </w:rPr>
        <w:t>«</w:t>
      </w:r>
      <w:r w:rsidR="00350B0A" w:rsidRPr="00C04ABD">
        <w:rPr>
          <w:rFonts w:ascii="Myriad Pro" w:eastAsia="Calibri" w:hAnsi="Myriad Pro" w:cs="Times New Roman"/>
          <w:sz w:val="26"/>
          <w:szCs w:val="26"/>
        </w:rPr>
        <w:t>МРСК Северо-Запада</w:t>
      </w:r>
      <w:r w:rsidR="00655FFA" w:rsidRPr="00C04ABD">
        <w:rPr>
          <w:rFonts w:ascii="Myriad Pro" w:eastAsia="Calibri" w:hAnsi="Myriad Pro" w:cs="Times New Roman"/>
          <w:sz w:val="26"/>
          <w:szCs w:val="26"/>
        </w:rPr>
        <w:t>»</w:t>
      </w:r>
      <w:r w:rsidR="00350B0A" w:rsidRPr="00C04ABD">
        <w:rPr>
          <w:rFonts w:ascii="Myriad Pro" w:eastAsia="Calibri" w:hAnsi="Myriad Pro" w:cs="Times New Roman"/>
          <w:sz w:val="26"/>
          <w:szCs w:val="26"/>
        </w:rPr>
        <w:t xml:space="preserve"> </w:t>
      </w:r>
      <w:r w:rsidR="00655FFA" w:rsidRPr="00C04ABD">
        <w:rPr>
          <w:rFonts w:ascii="Myriad Pro" w:eastAsia="Calibri" w:hAnsi="Myriad Pro" w:cs="Times New Roman"/>
          <w:sz w:val="26"/>
          <w:szCs w:val="26"/>
        </w:rPr>
        <w:t>«</w:t>
      </w:r>
      <w:r w:rsidR="00350B0A" w:rsidRPr="00C04ABD">
        <w:rPr>
          <w:rFonts w:ascii="Myriad Pro" w:eastAsia="Calibri" w:hAnsi="Myriad Pro" w:cs="Times New Roman"/>
          <w:sz w:val="26"/>
          <w:szCs w:val="26"/>
        </w:rPr>
        <w:t>Колэнерго</w:t>
      </w:r>
      <w:r w:rsidR="00655FFA" w:rsidRPr="00C04ABD">
        <w:rPr>
          <w:rFonts w:ascii="Myriad Pro" w:eastAsia="Calibri" w:hAnsi="Myriad Pro" w:cs="Times New Roman"/>
          <w:sz w:val="26"/>
          <w:szCs w:val="26"/>
        </w:rPr>
        <w:t>»</w:t>
      </w:r>
      <w:r w:rsidR="00E87613" w:rsidRPr="00C04ABD">
        <w:rPr>
          <w:rFonts w:ascii="Myriad Pro" w:eastAsia="Calibri" w:hAnsi="Myriad Pro" w:cs="Times New Roman"/>
          <w:sz w:val="26"/>
          <w:szCs w:val="26"/>
        </w:rPr>
        <w:t xml:space="preserve"> </w:t>
      </w:r>
      <w:r w:rsidR="00A57A39" w:rsidRPr="00C04ABD">
        <w:rPr>
          <w:rFonts w:ascii="Myriad Pro" w:eastAsia="Calibri" w:hAnsi="Myriad Pro" w:cs="Times New Roman"/>
          <w:sz w:val="26"/>
          <w:szCs w:val="26"/>
        </w:rPr>
        <w:t xml:space="preserve">на территории Мурманской области </w:t>
      </w:r>
      <w:r w:rsidR="00A91CB3" w:rsidRPr="00C04ABD">
        <w:rPr>
          <w:rFonts w:ascii="Myriad Pro" w:eastAsia="Calibri" w:hAnsi="Myriad Pro" w:cs="Times New Roman"/>
          <w:sz w:val="26"/>
          <w:szCs w:val="26"/>
        </w:rPr>
        <w:t xml:space="preserve">на базовый период регулирования 2019 года </w:t>
      </w:r>
      <w:r w:rsidR="00420C46" w:rsidRPr="00C04ABD">
        <w:rPr>
          <w:rFonts w:ascii="Myriad Pro" w:eastAsia="Calibri" w:hAnsi="Myriad Pro" w:cs="Times New Roman"/>
          <w:sz w:val="26"/>
          <w:szCs w:val="26"/>
        </w:rPr>
        <w:t xml:space="preserve">с применением </w:t>
      </w:r>
      <w:r w:rsidR="00A91CB3" w:rsidRPr="00C04ABD">
        <w:rPr>
          <w:rFonts w:ascii="Myriad Pro" w:eastAsia="Calibri" w:hAnsi="Myriad Pro" w:cs="Times New Roman"/>
          <w:sz w:val="26"/>
          <w:szCs w:val="26"/>
        </w:rPr>
        <w:t>метод</w:t>
      </w:r>
      <w:r w:rsidR="00420C46" w:rsidRPr="00C04ABD">
        <w:rPr>
          <w:rFonts w:ascii="Myriad Pro" w:eastAsia="Calibri" w:hAnsi="Myriad Pro" w:cs="Times New Roman"/>
          <w:sz w:val="26"/>
          <w:szCs w:val="26"/>
        </w:rPr>
        <w:t>а</w:t>
      </w:r>
      <w:r w:rsidR="00A91CB3" w:rsidRPr="00C04ABD">
        <w:rPr>
          <w:rFonts w:ascii="Myriad Pro" w:eastAsia="Calibri" w:hAnsi="Myriad Pro" w:cs="Times New Roman"/>
          <w:sz w:val="26"/>
          <w:szCs w:val="26"/>
        </w:rPr>
        <w:t xml:space="preserve"> экономически обоснованных расходов с учетом корректировок, а также НВВ на 2020-2023 гг.</w:t>
      </w:r>
    </w:p>
    <w:p w14:paraId="520B8DC9" w14:textId="042B5768" w:rsidR="00E87613" w:rsidRPr="00C04ABD" w:rsidRDefault="00E87613"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К заявлению были приложены расчетные и обосновывающие документы:</w:t>
      </w:r>
    </w:p>
    <w:p w14:paraId="4475FD70" w14:textId="689E43A5" w:rsidR="009A08A3" w:rsidRPr="00C04ABD" w:rsidRDefault="009A08A3" w:rsidP="009B0BC1">
      <w:pPr>
        <w:pStyle w:val="a4"/>
        <w:numPr>
          <w:ilvl w:val="0"/>
          <w:numId w:val="7"/>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 xml:space="preserve">Пояснительная записка по </w:t>
      </w:r>
      <w:r w:rsidR="00261A8A" w:rsidRPr="00C04ABD">
        <w:rPr>
          <w:rFonts w:ascii="Myriad Pro" w:hAnsi="Myriad Pro"/>
          <w:sz w:val="26"/>
          <w:szCs w:val="26"/>
        </w:rPr>
        <w:t xml:space="preserve">корректировке и определению НВВ к расчету тарифов на услуги по </w:t>
      </w:r>
      <w:r w:rsidRPr="00C04ABD">
        <w:rPr>
          <w:rFonts w:ascii="Myriad Pro" w:hAnsi="Myriad Pro"/>
          <w:sz w:val="26"/>
          <w:szCs w:val="26"/>
        </w:rPr>
        <w:t>передаче электрической энергии на 2019</w:t>
      </w:r>
      <w:r w:rsidR="00261A8A" w:rsidRPr="00C04ABD">
        <w:rPr>
          <w:rFonts w:ascii="Myriad Pro" w:hAnsi="Myriad Pro"/>
          <w:sz w:val="26"/>
          <w:szCs w:val="26"/>
        </w:rPr>
        <w:t>-2023 г</w:t>
      </w:r>
      <w:r w:rsidRPr="00C04ABD">
        <w:rPr>
          <w:rFonts w:ascii="Myriad Pro" w:hAnsi="Myriad Pro"/>
          <w:sz w:val="26"/>
          <w:szCs w:val="26"/>
        </w:rPr>
        <w:t>г.</w:t>
      </w:r>
      <w:r w:rsidR="007110B7" w:rsidRPr="00C04ABD">
        <w:rPr>
          <w:rFonts w:ascii="Myriad Pro" w:hAnsi="Myriad Pro"/>
          <w:sz w:val="26"/>
          <w:szCs w:val="26"/>
        </w:rPr>
        <w:t xml:space="preserve"> (далее – Пояснительная записка)</w:t>
      </w:r>
      <w:r w:rsidRPr="00C04ABD">
        <w:rPr>
          <w:rFonts w:ascii="Myriad Pro" w:hAnsi="Myriad Pro"/>
          <w:sz w:val="26"/>
          <w:szCs w:val="26"/>
        </w:rPr>
        <w:t>;</w:t>
      </w:r>
    </w:p>
    <w:p w14:paraId="7D889929" w14:textId="41CC26E4" w:rsidR="009A08A3" w:rsidRPr="00C04ABD" w:rsidRDefault="009A08A3" w:rsidP="009B0BC1">
      <w:pPr>
        <w:pStyle w:val="a4"/>
        <w:numPr>
          <w:ilvl w:val="0"/>
          <w:numId w:val="7"/>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Расчет тарифов на услуги по передаче электрической энергии по сетям, выполненный с применением метода долгосрочной индексации;</w:t>
      </w:r>
    </w:p>
    <w:p w14:paraId="7C68B42D" w14:textId="0194F0EC" w:rsidR="009A08A3" w:rsidRPr="00C04ABD" w:rsidRDefault="009A08A3" w:rsidP="009B0BC1">
      <w:pPr>
        <w:pStyle w:val="a4"/>
        <w:numPr>
          <w:ilvl w:val="0"/>
          <w:numId w:val="7"/>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Расчет выпадающих доходов от предоставления льгот по договорам технологического присоединения по факту 2017г. и ожидаемых на 2019 г. в формате Приложения 3;</w:t>
      </w:r>
    </w:p>
    <w:p w14:paraId="57D50CF8" w14:textId="27C47A0E" w:rsidR="009A08A3" w:rsidRPr="00C04ABD" w:rsidRDefault="007110B7" w:rsidP="009B0BC1">
      <w:pPr>
        <w:pStyle w:val="a4"/>
        <w:numPr>
          <w:ilvl w:val="0"/>
          <w:numId w:val="7"/>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Таблицы по форме приложений 1,2,3 Методических указаний 20-э</w:t>
      </w:r>
      <w:r w:rsidR="009A08A3" w:rsidRPr="00C04ABD">
        <w:rPr>
          <w:rFonts w:ascii="Myriad Pro" w:hAnsi="Myriad Pro"/>
          <w:sz w:val="26"/>
          <w:szCs w:val="26"/>
        </w:rPr>
        <w:t>;</w:t>
      </w:r>
    </w:p>
    <w:p w14:paraId="235F7238" w14:textId="27738C24" w:rsidR="009A08A3" w:rsidRPr="00C04ABD" w:rsidRDefault="009A08A3" w:rsidP="009B0BC1">
      <w:pPr>
        <w:pStyle w:val="a4"/>
        <w:numPr>
          <w:ilvl w:val="0"/>
          <w:numId w:val="7"/>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 xml:space="preserve">Реестр обосновывающих документов по формированию необходимой валовой выручки филиала </w:t>
      </w:r>
      <w:r w:rsidR="00350B0A" w:rsidRPr="00C04ABD">
        <w:rPr>
          <w:rFonts w:ascii="Myriad Pro" w:hAnsi="Myriad Pro"/>
          <w:sz w:val="26"/>
          <w:szCs w:val="26"/>
        </w:rPr>
        <w:t xml:space="preserve">ПАО </w:t>
      </w:r>
      <w:r w:rsidR="00655FFA" w:rsidRPr="00C04ABD">
        <w:rPr>
          <w:rFonts w:ascii="Myriad Pro" w:hAnsi="Myriad Pro"/>
          <w:sz w:val="26"/>
          <w:szCs w:val="26"/>
        </w:rPr>
        <w:t>«</w:t>
      </w:r>
      <w:r w:rsidR="00350B0A" w:rsidRPr="00C04ABD">
        <w:rPr>
          <w:rFonts w:ascii="Myriad Pro" w:hAnsi="Myriad Pro"/>
          <w:sz w:val="26"/>
          <w:szCs w:val="26"/>
        </w:rPr>
        <w:t>МРСК Северо-Запада</w:t>
      </w:r>
      <w:r w:rsidR="00655FFA" w:rsidRPr="00C04ABD">
        <w:rPr>
          <w:rFonts w:ascii="Myriad Pro" w:hAnsi="Myriad Pro"/>
          <w:sz w:val="26"/>
          <w:szCs w:val="26"/>
        </w:rPr>
        <w:t>»</w:t>
      </w:r>
      <w:r w:rsidR="00350B0A" w:rsidRPr="00C04ABD">
        <w:rPr>
          <w:rFonts w:ascii="Myriad Pro" w:hAnsi="Myriad Pro"/>
          <w:sz w:val="26"/>
          <w:szCs w:val="26"/>
        </w:rPr>
        <w:t xml:space="preserve"> </w:t>
      </w:r>
      <w:r w:rsidR="00655FFA" w:rsidRPr="00C04ABD">
        <w:rPr>
          <w:rFonts w:ascii="Myriad Pro" w:hAnsi="Myriad Pro"/>
          <w:sz w:val="26"/>
          <w:szCs w:val="26"/>
        </w:rPr>
        <w:t>«</w:t>
      </w:r>
      <w:r w:rsidR="00350B0A" w:rsidRPr="00C04ABD">
        <w:rPr>
          <w:rFonts w:ascii="Myriad Pro" w:hAnsi="Myriad Pro"/>
          <w:sz w:val="26"/>
          <w:szCs w:val="26"/>
        </w:rPr>
        <w:t>Колэнерго</w:t>
      </w:r>
      <w:r w:rsidR="00655FFA" w:rsidRPr="00C04ABD">
        <w:rPr>
          <w:rFonts w:ascii="Myriad Pro" w:hAnsi="Myriad Pro"/>
          <w:sz w:val="26"/>
          <w:szCs w:val="26"/>
        </w:rPr>
        <w:t>»</w:t>
      </w:r>
      <w:r w:rsidRPr="00C04ABD">
        <w:rPr>
          <w:rFonts w:ascii="Myriad Pro" w:hAnsi="Myriad Pro"/>
          <w:sz w:val="26"/>
          <w:szCs w:val="26"/>
        </w:rPr>
        <w:t>;</w:t>
      </w:r>
    </w:p>
    <w:p w14:paraId="767819A7" w14:textId="2EA9BACA" w:rsidR="00261A8A" w:rsidRPr="00C04ABD" w:rsidRDefault="009A08A3" w:rsidP="009B0BC1">
      <w:pPr>
        <w:pStyle w:val="a4"/>
        <w:numPr>
          <w:ilvl w:val="0"/>
          <w:numId w:val="7"/>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Обосновывающие документы по формированию необходимой валово</w:t>
      </w:r>
      <w:r w:rsidR="00261A8A" w:rsidRPr="00C04ABD">
        <w:rPr>
          <w:rFonts w:ascii="Myriad Pro" w:hAnsi="Myriad Pro"/>
          <w:sz w:val="26"/>
          <w:szCs w:val="26"/>
        </w:rPr>
        <w:t xml:space="preserve">й выручки филиала </w:t>
      </w:r>
      <w:r w:rsidR="00350B0A" w:rsidRPr="00C04ABD">
        <w:rPr>
          <w:rFonts w:ascii="Myriad Pro" w:hAnsi="Myriad Pro"/>
          <w:sz w:val="26"/>
          <w:szCs w:val="26"/>
        </w:rPr>
        <w:t xml:space="preserve">ПАО </w:t>
      </w:r>
      <w:r w:rsidR="00655FFA" w:rsidRPr="00C04ABD">
        <w:rPr>
          <w:rFonts w:ascii="Myriad Pro" w:hAnsi="Myriad Pro"/>
          <w:sz w:val="26"/>
          <w:szCs w:val="26"/>
        </w:rPr>
        <w:t>«</w:t>
      </w:r>
      <w:r w:rsidR="00350B0A" w:rsidRPr="00C04ABD">
        <w:rPr>
          <w:rFonts w:ascii="Myriad Pro" w:hAnsi="Myriad Pro"/>
          <w:sz w:val="26"/>
          <w:szCs w:val="26"/>
        </w:rPr>
        <w:t>МРСК Северо-Запада</w:t>
      </w:r>
      <w:r w:rsidR="00655FFA" w:rsidRPr="00C04ABD">
        <w:rPr>
          <w:rFonts w:ascii="Myriad Pro" w:hAnsi="Myriad Pro"/>
          <w:sz w:val="26"/>
          <w:szCs w:val="26"/>
        </w:rPr>
        <w:t>»</w:t>
      </w:r>
      <w:r w:rsidR="00350B0A" w:rsidRPr="00C04ABD">
        <w:rPr>
          <w:rFonts w:ascii="Myriad Pro" w:hAnsi="Myriad Pro"/>
          <w:sz w:val="26"/>
          <w:szCs w:val="26"/>
        </w:rPr>
        <w:t xml:space="preserve"> </w:t>
      </w:r>
      <w:r w:rsidR="00655FFA" w:rsidRPr="00C04ABD">
        <w:rPr>
          <w:rFonts w:ascii="Myriad Pro" w:hAnsi="Myriad Pro"/>
          <w:sz w:val="26"/>
          <w:szCs w:val="26"/>
        </w:rPr>
        <w:t>«</w:t>
      </w:r>
      <w:r w:rsidR="00350B0A" w:rsidRPr="00C04ABD">
        <w:rPr>
          <w:rFonts w:ascii="Myriad Pro" w:hAnsi="Myriad Pro"/>
          <w:sz w:val="26"/>
          <w:szCs w:val="26"/>
        </w:rPr>
        <w:t>Колэнерго</w:t>
      </w:r>
      <w:r w:rsidR="00655FFA" w:rsidRPr="00C04ABD">
        <w:rPr>
          <w:rFonts w:ascii="Myriad Pro" w:hAnsi="Myriad Pro"/>
          <w:sz w:val="26"/>
          <w:szCs w:val="26"/>
        </w:rPr>
        <w:t>»</w:t>
      </w:r>
      <w:r w:rsidR="00261A8A" w:rsidRPr="00C04ABD">
        <w:rPr>
          <w:rFonts w:ascii="Myriad Pro" w:hAnsi="Myriad Pro"/>
          <w:sz w:val="26"/>
          <w:szCs w:val="26"/>
        </w:rPr>
        <w:t>;</w:t>
      </w:r>
    </w:p>
    <w:p w14:paraId="5EF83FD9" w14:textId="22B02A53" w:rsidR="009A08A3" w:rsidRPr="00C04ABD" w:rsidRDefault="009A08A3" w:rsidP="009B0BC1">
      <w:pPr>
        <w:pStyle w:val="a4"/>
        <w:numPr>
          <w:ilvl w:val="0"/>
          <w:numId w:val="7"/>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 xml:space="preserve">Обосновывающие материалы по расходам ПАО </w:t>
      </w:r>
      <w:r w:rsidR="00655FFA" w:rsidRPr="00C04ABD">
        <w:rPr>
          <w:rFonts w:ascii="Myriad Pro" w:hAnsi="Myriad Pro"/>
          <w:sz w:val="26"/>
          <w:szCs w:val="26"/>
        </w:rPr>
        <w:t>«</w:t>
      </w:r>
      <w:r w:rsidR="00597FD5" w:rsidRPr="00C04ABD">
        <w:rPr>
          <w:rFonts w:ascii="Myriad Pro" w:hAnsi="Myriad Pro"/>
          <w:sz w:val="26"/>
          <w:szCs w:val="26"/>
        </w:rPr>
        <w:t>МРСК Северо-Запада</w:t>
      </w:r>
      <w:r w:rsidR="00655FFA" w:rsidRPr="00C04ABD">
        <w:rPr>
          <w:rFonts w:ascii="Myriad Pro" w:hAnsi="Myriad Pro"/>
          <w:sz w:val="26"/>
          <w:szCs w:val="26"/>
        </w:rPr>
        <w:t>»</w:t>
      </w:r>
      <w:r w:rsidRPr="00C04ABD">
        <w:rPr>
          <w:rFonts w:ascii="Myriad Pro" w:hAnsi="Myriad Pro"/>
          <w:sz w:val="26"/>
          <w:szCs w:val="26"/>
        </w:rPr>
        <w:t xml:space="preserve"> в электронном виде на DVD диске;</w:t>
      </w:r>
    </w:p>
    <w:p w14:paraId="4A602058" w14:textId="7F2C51CE" w:rsidR="007110B7" w:rsidRPr="00C04ABD" w:rsidRDefault="007110B7" w:rsidP="009B0BC1">
      <w:pPr>
        <w:pStyle w:val="a4"/>
        <w:numPr>
          <w:ilvl w:val="0"/>
          <w:numId w:val="7"/>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Бухгалтерская и статистическая отчетность за предшествующий период регулирования (2017 г.);</w:t>
      </w:r>
    </w:p>
    <w:p w14:paraId="4F991E24" w14:textId="66A49121" w:rsidR="00D2669D" w:rsidRPr="00C04ABD" w:rsidRDefault="00D2669D" w:rsidP="009B0BC1">
      <w:pPr>
        <w:pStyle w:val="a4"/>
        <w:numPr>
          <w:ilvl w:val="0"/>
          <w:numId w:val="7"/>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lastRenderedPageBreak/>
        <w:t>Реестр договоров по статьям расходов за 2017</w:t>
      </w:r>
      <w:r w:rsidR="00EF47AF" w:rsidRPr="00C04ABD">
        <w:rPr>
          <w:rFonts w:ascii="Myriad Pro" w:hAnsi="Myriad Pro"/>
          <w:sz w:val="26"/>
          <w:szCs w:val="26"/>
        </w:rPr>
        <w:t>, 2018, 2019 гг.</w:t>
      </w:r>
      <w:r w:rsidRPr="00C04ABD">
        <w:rPr>
          <w:rFonts w:ascii="Myriad Pro" w:hAnsi="Myriad Pro"/>
          <w:sz w:val="26"/>
          <w:szCs w:val="26"/>
        </w:rPr>
        <w:t>;</w:t>
      </w:r>
    </w:p>
    <w:p w14:paraId="26D11769" w14:textId="24F0AF6A" w:rsidR="00415BB3" w:rsidRPr="00C04ABD" w:rsidRDefault="00415BB3" w:rsidP="009B0BC1">
      <w:pPr>
        <w:pStyle w:val="a4"/>
        <w:numPr>
          <w:ilvl w:val="0"/>
          <w:numId w:val="7"/>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 xml:space="preserve">Приказ Минэнерго РФ от 16.12.2016 №1333 </w:t>
      </w:r>
      <w:r w:rsidR="00655FFA" w:rsidRPr="00C04ABD">
        <w:rPr>
          <w:rFonts w:ascii="Myriad Pro" w:hAnsi="Myriad Pro"/>
          <w:sz w:val="26"/>
          <w:szCs w:val="26"/>
        </w:rPr>
        <w:t>«</w:t>
      </w:r>
      <w:r w:rsidRPr="00C04ABD">
        <w:rPr>
          <w:rFonts w:ascii="Myriad Pro" w:hAnsi="Myriad Pro"/>
          <w:sz w:val="26"/>
          <w:szCs w:val="26"/>
        </w:rPr>
        <w:t xml:space="preserve">Об утверждении изменений, вносимых в инвестиционную программу ПАО </w:t>
      </w:r>
      <w:r w:rsidR="00655FFA" w:rsidRPr="00C04ABD">
        <w:rPr>
          <w:rFonts w:ascii="Myriad Pro" w:hAnsi="Myriad Pro"/>
          <w:sz w:val="26"/>
          <w:szCs w:val="26"/>
        </w:rPr>
        <w:t>«</w:t>
      </w:r>
      <w:r w:rsidRPr="00C04ABD">
        <w:rPr>
          <w:rFonts w:ascii="Myriad Pro" w:hAnsi="Myriad Pro"/>
          <w:sz w:val="26"/>
          <w:szCs w:val="26"/>
        </w:rPr>
        <w:t>МРСК Северо-Запада</w:t>
      </w:r>
      <w:r w:rsidR="00655FFA" w:rsidRPr="00C04ABD">
        <w:rPr>
          <w:rFonts w:ascii="Myriad Pro" w:hAnsi="Myriad Pro"/>
          <w:sz w:val="26"/>
          <w:szCs w:val="26"/>
        </w:rPr>
        <w:t>»</w:t>
      </w:r>
      <w:r w:rsidRPr="00C04ABD">
        <w:rPr>
          <w:rFonts w:ascii="Myriad Pro" w:hAnsi="Myriad Pro"/>
          <w:sz w:val="26"/>
          <w:szCs w:val="26"/>
        </w:rPr>
        <w:t>, утвержденную приказом Минэнерго России от 30.11.2015 №906 (2016-2021 годы</w:t>
      </w:r>
      <w:r w:rsidR="00655FFA" w:rsidRPr="00C04ABD">
        <w:rPr>
          <w:rFonts w:ascii="Myriad Pro" w:hAnsi="Myriad Pro"/>
          <w:sz w:val="26"/>
          <w:szCs w:val="26"/>
        </w:rPr>
        <w:t>»</w:t>
      </w:r>
      <w:r w:rsidRPr="00C04ABD">
        <w:rPr>
          <w:rFonts w:ascii="Myriad Pro" w:hAnsi="Myriad Pro"/>
          <w:sz w:val="26"/>
          <w:szCs w:val="26"/>
        </w:rPr>
        <w:t xml:space="preserve"> (приложения в эл. виде);</w:t>
      </w:r>
    </w:p>
    <w:p w14:paraId="3E7BD1D0" w14:textId="771CE7BE" w:rsidR="00415BB3" w:rsidRPr="00C04ABD" w:rsidRDefault="00415BB3" w:rsidP="009B0BC1">
      <w:pPr>
        <w:pStyle w:val="a4"/>
        <w:numPr>
          <w:ilvl w:val="0"/>
          <w:numId w:val="7"/>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 xml:space="preserve">Выписка из протокола заседания Совета директоров ПАО </w:t>
      </w:r>
      <w:r w:rsidR="00655FFA" w:rsidRPr="00C04ABD">
        <w:rPr>
          <w:rFonts w:ascii="Myriad Pro" w:hAnsi="Myriad Pro"/>
          <w:sz w:val="26"/>
          <w:szCs w:val="26"/>
        </w:rPr>
        <w:t>«</w:t>
      </w:r>
      <w:r w:rsidRPr="00C04ABD">
        <w:rPr>
          <w:rFonts w:ascii="Myriad Pro" w:hAnsi="Myriad Pro"/>
          <w:sz w:val="26"/>
          <w:szCs w:val="26"/>
        </w:rPr>
        <w:t>МРСК Северо-Запада</w:t>
      </w:r>
      <w:r w:rsidR="00655FFA" w:rsidRPr="00C04ABD">
        <w:rPr>
          <w:rFonts w:ascii="Myriad Pro" w:hAnsi="Myriad Pro"/>
          <w:sz w:val="26"/>
          <w:szCs w:val="26"/>
        </w:rPr>
        <w:t>»</w:t>
      </w:r>
      <w:r w:rsidRPr="00C04ABD">
        <w:rPr>
          <w:rFonts w:ascii="Myriad Pro" w:hAnsi="Myriad Pro"/>
          <w:sz w:val="26"/>
          <w:szCs w:val="26"/>
        </w:rPr>
        <w:t xml:space="preserve"> от 30.03.2018 №275/30 </w:t>
      </w:r>
      <w:r w:rsidR="00655FFA" w:rsidRPr="00C04ABD">
        <w:rPr>
          <w:rFonts w:ascii="Myriad Pro" w:hAnsi="Myriad Pro"/>
          <w:sz w:val="26"/>
          <w:szCs w:val="26"/>
        </w:rPr>
        <w:t>«</w:t>
      </w:r>
      <w:r w:rsidRPr="00C04ABD">
        <w:rPr>
          <w:rFonts w:ascii="Myriad Pro" w:hAnsi="Myriad Pro"/>
          <w:sz w:val="26"/>
          <w:szCs w:val="26"/>
        </w:rPr>
        <w:t xml:space="preserve">Об одобрении проекта изменений, вносимых в инвестиционную программу ПАО </w:t>
      </w:r>
      <w:r w:rsidR="00655FFA" w:rsidRPr="00C04ABD">
        <w:rPr>
          <w:rFonts w:ascii="Myriad Pro" w:hAnsi="Myriad Pro"/>
          <w:sz w:val="26"/>
          <w:szCs w:val="26"/>
        </w:rPr>
        <w:t>«</w:t>
      </w:r>
      <w:r w:rsidRPr="00C04ABD">
        <w:rPr>
          <w:rFonts w:ascii="Myriad Pro" w:hAnsi="Myriad Pro"/>
          <w:sz w:val="26"/>
          <w:szCs w:val="26"/>
        </w:rPr>
        <w:t>МРСК Северо-Запада</w:t>
      </w:r>
      <w:r w:rsidR="00655FFA" w:rsidRPr="00C04ABD">
        <w:rPr>
          <w:rFonts w:ascii="Myriad Pro" w:hAnsi="Myriad Pro"/>
          <w:sz w:val="26"/>
          <w:szCs w:val="26"/>
        </w:rPr>
        <w:t>»</w:t>
      </w:r>
      <w:r w:rsidRPr="00C04ABD">
        <w:rPr>
          <w:rFonts w:ascii="Myriad Pro" w:hAnsi="Myriad Pro"/>
          <w:sz w:val="26"/>
          <w:szCs w:val="26"/>
        </w:rPr>
        <w:t xml:space="preserve"> на период 2016-2025г.г., письма о направлении проекта изменений инвестиционной программы в Минэнерго России;</w:t>
      </w:r>
    </w:p>
    <w:p w14:paraId="2F2CFB05" w14:textId="766C19E5" w:rsidR="00415BB3" w:rsidRPr="00C04ABD" w:rsidRDefault="00415BB3" w:rsidP="009B0BC1">
      <w:pPr>
        <w:pStyle w:val="a4"/>
        <w:numPr>
          <w:ilvl w:val="0"/>
          <w:numId w:val="7"/>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Программа энергосбережения и повышения энергетической эффективности на 2019 – 2023гг. и приложения в электронном виде. Отчет об исполнении программы энергосбережения за 2017 год;</w:t>
      </w:r>
    </w:p>
    <w:p w14:paraId="0D70A570" w14:textId="6D7E320D" w:rsidR="009A08A3" w:rsidRPr="00C04ABD" w:rsidRDefault="009A08A3" w:rsidP="009B0BC1">
      <w:pPr>
        <w:pStyle w:val="a4"/>
        <w:numPr>
          <w:ilvl w:val="0"/>
          <w:numId w:val="7"/>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Критерии отнесения владельцев электросетевого хозяйства к территориальным с</w:t>
      </w:r>
      <w:r w:rsidR="0063475D" w:rsidRPr="00C04ABD">
        <w:rPr>
          <w:rFonts w:ascii="Myriad Pro" w:hAnsi="Myriad Pro"/>
          <w:sz w:val="26"/>
          <w:szCs w:val="26"/>
        </w:rPr>
        <w:t>етевым организациям по Филиалу;</w:t>
      </w:r>
    </w:p>
    <w:p w14:paraId="1D530254" w14:textId="68FAAC25" w:rsidR="0064298D" w:rsidRPr="00C04ABD" w:rsidRDefault="0064298D" w:rsidP="009B0BC1">
      <w:pPr>
        <w:pStyle w:val="a4"/>
        <w:numPr>
          <w:ilvl w:val="0"/>
          <w:numId w:val="7"/>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 xml:space="preserve">Схемы соединений электрической сети </w:t>
      </w:r>
      <w:r w:rsidR="00C712FF" w:rsidRPr="00C04ABD">
        <w:rPr>
          <w:rFonts w:ascii="Myriad Pro" w:hAnsi="Myriad Pro"/>
          <w:sz w:val="26"/>
          <w:szCs w:val="26"/>
        </w:rPr>
        <w:t>ф</w:t>
      </w:r>
      <w:r w:rsidRPr="00C04ABD">
        <w:rPr>
          <w:rFonts w:ascii="Myriad Pro" w:hAnsi="Myriad Pro"/>
          <w:sz w:val="26"/>
          <w:szCs w:val="26"/>
        </w:rPr>
        <w:t xml:space="preserve">илиала ПАО </w:t>
      </w:r>
      <w:r w:rsidR="00655FFA" w:rsidRPr="00C04ABD">
        <w:rPr>
          <w:rFonts w:ascii="Myriad Pro" w:hAnsi="Myriad Pro"/>
          <w:sz w:val="26"/>
          <w:szCs w:val="26"/>
        </w:rPr>
        <w:t>«</w:t>
      </w:r>
      <w:r w:rsidRPr="00C04ABD">
        <w:rPr>
          <w:rFonts w:ascii="Myriad Pro" w:hAnsi="Myriad Pro"/>
          <w:sz w:val="26"/>
          <w:szCs w:val="26"/>
        </w:rPr>
        <w:t>МРСК Северо-Запада</w:t>
      </w:r>
      <w:r w:rsidR="00655FFA" w:rsidRPr="00C04ABD">
        <w:rPr>
          <w:rFonts w:ascii="Myriad Pro" w:hAnsi="Myriad Pro"/>
          <w:sz w:val="26"/>
          <w:szCs w:val="26"/>
        </w:rPr>
        <w:t>»</w:t>
      </w:r>
      <w:r w:rsidRPr="00C04ABD">
        <w:rPr>
          <w:rFonts w:ascii="Myriad Pro" w:hAnsi="Myriad Pro"/>
          <w:sz w:val="26"/>
          <w:szCs w:val="26"/>
        </w:rPr>
        <w:t xml:space="preserve"> </w:t>
      </w:r>
      <w:r w:rsidR="00655FFA" w:rsidRPr="00C04ABD">
        <w:rPr>
          <w:rFonts w:ascii="Myriad Pro" w:hAnsi="Myriad Pro"/>
          <w:sz w:val="26"/>
          <w:szCs w:val="26"/>
        </w:rPr>
        <w:t>«</w:t>
      </w:r>
      <w:r w:rsidRPr="00C04ABD">
        <w:rPr>
          <w:rFonts w:ascii="Myriad Pro" w:hAnsi="Myriad Pro"/>
          <w:sz w:val="26"/>
          <w:szCs w:val="26"/>
        </w:rPr>
        <w:t>Колэнерго</w:t>
      </w:r>
      <w:r w:rsidR="00655FFA" w:rsidRPr="00C04ABD">
        <w:rPr>
          <w:rFonts w:ascii="Myriad Pro" w:hAnsi="Myriad Pro"/>
          <w:sz w:val="26"/>
          <w:szCs w:val="26"/>
        </w:rPr>
        <w:t>»</w:t>
      </w:r>
      <w:r w:rsidRPr="00C04ABD">
        <w:rPr>
          <w:rFonts w:ascii="Myriad Pro" w:hAnsi="Myriad Pro"/>
          <w:sz w:val="26"/>
          <w:szCs w:val="26"/>
        </w:rPr>
        <w:t>;</w:t>
      </w:r>
    </w:p>
    <w:p w14:paraId="078BD4C1" w14:textId="0C4AAA58" w:rsidR="0064298D" w:rsidRPr="00C04ABD" w:rsidRDefault="0064298D" w:rsidP="009B0BC1">
      <w:pPr>
        <w:pStyle w:val="a4"/>
        <w:numPr>
          <w:ilvl w:val="0"/>
          <w:numId w:val="7"/>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 xml:space="preserve">Устав ПАО </w:t>
      </w:r>
      <w:r w:rsidR="00655FFA" w:rsidRPr="00C04ABD">
        <w:rPr>
          <w:rFonts w:ascii="Myriad Pro" w:hAnsi="Myriad Pro"/>
          <w:sz w:val="26"/>
          <w:szCs w:val="26"/>
        </w:rPr>
        <w:t>«</w:t>
      </w:r>
      <w:r w:rsidRPr="00C04ABD">
        <w:rPr>
          <w:rFonts w:ascii="Myriad Pro" w:hAnsi="Myriad Pro"/>
          <w:sz w:val="26"/>
          <w:szCs w:val="26"/>
        </w:rPr>
        <w:t>МРСК Северо-Запада</w:t>
      </w:r>
      <w:r w:rsidR="00655FFA" w:rsidRPr="00C04ABD">
        <w:rPr>
          <w:rFonts w:ascii="Myriad Pro" w:hAnsi="Myriad Pro"/>
          <w:sz w:val="26"/>
          <w:szCs w:val="26"/>
        </w:rPr>
        <w:t>»</w:t>
      </w:r>
      <w:r w:rsidRPr="00C04ABD">
        <w:rPr>
          <w:rFonts w:ascii="Myriad Pro" w:hAnsi="Myriad Pro"/>
          <w:sz w:val="26"/>
          <w:szCs w:val="26"/>
        </w:rPr>
        <w:t xml:space="preserve">, утвержденный годовым общим собранием акционеров ПАО </w:t>
      </w:r>
      <w:r w:rsidR="00655FFA" w:rsidRPr="00C04ABD">
        <w:rPr>
          <w:rFonts w:ascii="Myriad Pro" w:hAnsi="Myriad Pro"/>
          <w:sz w:val="26"/>
          <w:szCs w:val="26"/>
        </w:rPr>
        <w:t>«</w:t>
      </w:r>
      <w:r w:rsidRPr="00C04ABD">
        <w:rPr>
          <w:rFonts w:ascii="Myriad Pro" w:hAnsi="Myriad Pro"/>
          <w:sz w:val="26"/>
          <w:szCs w:val="26"/>
        </w:rPr>
        <w:t>МРСК Северо-Запада</w:t>
      </w:r>
      <w:r w:rsidR="00655FFA" w:rsidRPr="00C04ABD">
        <w:rPr>
          <w:rFonts w:ascii="Myriad Pro" w:hAnsi="Myriad Pro"/>
          <w:sz w:val="26"/>
          <w:szCs w:val="26"/>
        </w:rPr>
        <w:t>»</w:t>
      </w:r>
      <w:r w:rsidRPr="00C04ABD">
        <w:rPr>
          <w:rFonts w:ascii="Myriad Pro" w:hAnsi="Myriad Pro"/>
          <w:sz w:val="26"/>
          <w:szCs w:val="26"/>
        </w:rPr>
        <w:t xml:space="preserve"> 13.06.2017 (протокол №12);</w:t>
      </w:r>
    </w:p>
    <w:p w14:paraId="26A1DF5F" w14:textId="0DA0A815" w:rsidR="009A08A3" w:rsidRPr="00C04ABD" w:rsidRDefault="009A08A3" w:rsidP="009B0BC1">
      <w:pPr>
        <w:pStyle w:val="a4"/>
        <w:numPr>
          <w:ilvl w:val="0"/>
          <w:numId w:val="7"/>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 xml:space="preserve">Приказ ПАО </w:t>
      </w:r>
      <w:r w:rsidR="00655FFA" w:rsidRPr="00C04ABD">
        <w:rPr>
          <w:rFonts w:ascii="Myriad Pro" w:hAnsi="Myriad Pro"/>
          <w:sz w:val="26"/>
          <w:szCs w:val="26"/>
        </w:rPr>
        <w:t>«</w:t>
      </w:r>
      <w:r w:rsidR="00597FD5" w:rsidRPr="00C04ABD">
        <w:rPr>
          <w:rFonts w:ascii="Myriad Pro" w:hAnsi="Myriad Pro"/>
          <w:sz w:val="26"/>
          <w:szCs w:val="26"/>
        </w:rPr>
        <w:t>МРСК Северо-Запада</w:t>
      </w:r>
      <w:r w:rsidR="00655FFA" w:rsidRPr="00C04ABD">
        <w:rPr>
          <w:rFonts w:ascii="Myriad Pro" w:hAnsi="Myriad Pro"/>
          <w:sz w:val="26"/>
          <w:szCs w:val="26"/>
        </w:rPr>
        <w:t>»</w:t>
      </w:r>
      <w:r w:rsidR="00A51E10" w:rsidRPr="00C04ABD">
        <w:rPr>
          <w:rFonts w:ascii="Myriad Pro" w:hAnsi="Myriad Pro"/>
          <w:sz w:val="26"/>
          <w:szCs w:val="26"/>
        </w:rPr>
        <w:t xml:space="preserve"> от 30.12.2016</w:t>
      </w:r>
      <w:r w:rsidRPr="00C04ABD">
        <w:rPr>
          <w:rFonts w:ascii="Myriad Pro" w:hAnsi="Myriad Pro"/>
          <w:sz w:val="26"/>
          <w:szCs w:val="26"/>
        </w:rPr>
        <w:t xml:space="preserve"> №</w:t>
      </w:r>
      <w:r w:rsidR="0063475D" w:rsidRPr="00C04ABD">
        <w:rPr>
          <w:rFonts w:ascii="Myriad Pro" w:hAnsi="Myriad Pro"/>
          <w:sz w:val="26"/>
          <w:szCs w:val="26"/>
        </w:rPr>
        <w:t xml:space="preserve"> </w:t>
      </w:r>
      <w:r w:rsidR="00814728" w:rsidRPr="00C04ABD">
        <w:rPr>
          <w:rFonts w:ascii="Myriad Pro" w:hAnsi="Myriad Pro"/>
          <w:sz w:val="26"/>
          <w:szCs w:val="26"/>
        </w:rPr>
        <w:t>84</w:t>
      </w:r>
      <w:r w:rsidR="00A51E10" w:rsidRPr="00C04ABD">
        <w:rPr>
          <w:rFonts w:ascii="Myriad Pro" w:hAnsi="Myriad Pro"/>
          <w:sz w:val="26"/>
          <w:szCs w:val="26"/>
        </w:rPr>
        <w:t>2</w:t>
      </w:r>
      <w:r w:rsidRPr="00C04ABD">
        <w:rPr>
          <w:rFonts w:ascii="Myriad Pro" w:hAnsi="Myriad Pro"/>
          <w:sz w:val="26"/>
          <w:szCs w:val="26"/>
        </w:rPr>
        <w:t xml:space="preserve"> </w:t>
      </w:r>
      <w:r w:rsidR="00655FFA" w:rsidRPr="00C04ABD">
        <w:rPr>
          <w:rFonts w:ascii="Myriad Pro" w:hAnsi="Myriad Pro"/>
          <w:sz w:val="26"/>
          <w:szCs w:val="26"/>
        </w:rPr>
        <w:t>«</w:t>
      </w:r>
      <w:r w:rsidR="0063475D" w:rsidRPr="00C04ABD">
        <w:rPr>
          <w:rFonts w:ascii="Myriad Pro" w:hAnsi="Myriad Pro"/>
          <w:sz w:val="26"/>
          <w:szCs w:val="26"/>
        </w:rPr>
        <w:t xml:space="preserve">Об учетной политике </w:t>
      </w:r>
      <w:r w:rsidR="00655FFA" w:rsidRPr="00C04ABD">
        <w:rPr>
          <w:rFonts w:ascii="Myriad Pro" w:hAnsi="Myriad Pro"/>
          <w:sz w:val="26"/>
          <w:szCs w:val="26"/>
        </w:rPr>
        <w:t xml:space="preserve">ПАО «МРСК </w:t>
      </w:r>
      <w:r w:rsidR="00597FD5" w:rsidRPr="00C04ABD">
        <w:rPr>
          <w:rFonts w:ascii="Myriad Pro" w:hAnsi="Myriad Pro"/>
          <w:sz w:val="26"/>
          <w:szCs w:val="26"/>
        </w:rPr>
        <w:t>Северо-Запада</w:t>
      </w:r>
      <w:r w:rsidR="00655FFA" w:rsidRPr="00C04ABD">
        <w:rPr>
          <w:rFonts w:ascii="Myriad Pro" w:hAnsi="Myriad Pro"/>
          <w:sz w:val="26"/>
          <w:szCs w:val="26"/>
        </w:rPr>
        <w:t>»</w:t>
      </w:r>
      <w:r w:rsidR="0063475D" w:rsidRPr="00C04ABD">
        <w:rPr>
          <w:rFonts w:ascii="Myriad Pro" w:hAnsi="Myriad Pro"/>
          <w:sz w:val="26"/>
          <w:szCs w:val="26"/>
        </w:rPr>
        <w:t xml:space="preserve"> на 2017 год</w:t>
      </w:r>
      <w:r w:rsidR="00655FFA" w:rsidRPr="00C04ABD">
        <w:rPr>
          <w:rFonts w:ascii="Myriad Pro" w:hAnsi="Myriad Pro"/>
          <w:sz w:val="26"/>
          <w:szCs w:val="26"/>
        </w:rPr>
        <w:t>»</w:t>
      </w:r>
      <w:r w:rsidR="00A51E10" w:rsidRPr="00C04ABD">
        <w:rPr>
          <w:rFonts w:ascii="Myriad Pro" w:hAnsi="Myriad Pro"/>
          <w:sz w:val="26"/>
          <w:szCs w:val="26"/>
        </w:rPr>
        <w:t xml:space="preserve"> (с приложением приказов об внесении изменений)</w:t>
      </w:r>
      <w:r w:rsidR="0063475D" w:rsidRPr="00C04ABD">
        <w:rPr>
          <w:rFonts w:ascii="Myriad Pro" w:hAnsi="Myriad Pro"/>
          <w:sz w:val="26"/>
          <w:szCs w:val="26"/>
        </w:rPr>
        <w:t>;</w:t>
      </w:r>
    </w:p>
    <w:p w14:paraId="2B0312D5" w14:textId="58595717" w:rsidR="009A08A3" w:rsidRPr="00C04ABD" w:rsidRDefault="00D2669D" w:rsidP="009B0BC1">
      <w:pPr>
        <w:pStyle w:val="a4"/>
        <w:numPr>
          <w:ilvl w:val="0"/>
          <w:numId w:val="7"/>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Положение по У</w:t>
      </w:r>
      <w:r w:rsidR="009A08A3" w:rsidRPr="00C04ABD">
        <w:rPr>
          <w:rFonts w:ascii="Myriad Pro" w:hAnsi="Myriad Pro"/>
          <w:sz w:val="26"/>
          <w:szCs w:val="26"/>
        </w:rPr>
        <w:t>четной политике для целей бухгалт</w:t>
      </w:r>
      <w:r w:rsidR="0063475D" w:rsidRPr="00C04ABD">
        <w:rPr>
          <w:rFonts w:ascii="Myriad Pro" w:hAnsi="Myriad Pro"/>
          <w:sz w:val="26"/>
          <w:szCs w:val="26"/>
        </w:rPr>
        <w:t>ерского учета</w:t>
      </w:r>
      <w:r w:rsidRPr="00C04ABD">
        <w:rPr>
          <w:rFonts w:ascii="Myriad Pro" w:hAnsi="Myriad Pro"/>
          <w:sz w:val="26"/>
          <w:szCs w:val="26"/>
        </w:rPr>
        <w:t xml:space="preserve"> на 2017год</w:t>
      </w:r>
      <w:r w:rsidR="0063475D" w:rsidRPr="00C04ABD">
        <w:rPr>
          <w:rFonts w:ascii="Myriad Pro" w:hAnsi="Myriad Pro"/>
          <w:sz w:val="26"/>
          <w:szCs w:val="26"/>
        </w:rPr>
        <w:t xml:space="preserve"> </w:t>
      </w:r>
      <w:r w:rsidR="00655FFA" w:rsidRPr="00C04ABD">
        <w:rPr>
          <w:rFonts w:ascii="Myriad Pro" w:hAnsi="Myriad Pro"/>
          <w:sz w:val="26"/>
          <w:szCs w:val="26"/>
        </w:rPr>
        <w:t xml:space="preserve">ПАО «МРСК </w:t>
      </w:r>
      <w:r w:rsidR="00597FD5" w:rsidRPr="00C04ABD">
        <w:rPr>
          <w:rFonts w:ascii="Myriad Pro" w:hAnsi="Myriad Pro"/>
          <w:sz w:val="26"/>
          <w:szCs w:val="26"/>
        </w:rPr>
        <w:t>Северо-Запада</w:t>
      </w:r>
      <w:r w:rsidR="00655FFA" w:rsidRPr="00C04ABD">
        <w:rPr>
          <w:rFonts w:ascii="Myriad Pro" w:hAnsi="Myriad Pro"/>
          <w:sz w:val="26"/>
          <w:szCs w:val="26"/>
        </w:rPr>
        <w:t>»</w:t>
      </w:r>
      <w:r w:rsidR="0063475D" w:rsidRPr="00C04ABD">
        <w:rPr>
          <w:rFonts w:ascii="Myriad Pro" w:hAnsi="Myriad Pro"/>
          <w:sz w:val="26"/>
          <w:szCs w:val="26"/>
        </w:rPr>
        <w:t>;</w:t>
      </w:r>
    </w:p>
    <w:p w14:paraId="101C239D" w14:textId="07180569" w:rsidR="00D2669D" w:rsidRPr="00C04ABD" w:rsidRDefault="00D2669D" w:rsidP="009B0BC1">
      <w:pPr>
        <w:pStyle w:val="a4"/>
        <w:numPr>
          <w:ilvl w:val="0"/>
          <w:numId w:val="7"/>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 xml:space="preserve">Положение по Учетной политике для целей налогообложения на 2017 год </w:t>
      </w:r>
      <w:r w:rsidR="00655FFA" w:rsidRPr="00C04ABD">
        <w:rPr>
          <w:rFonts w:ascii="Myriad Pro" w:hAnsi="Myriad Pro"/>
          <w:sz w:val="26"/>
          <w:szCs w:val="26"/>
        </w:rPr>
        <w:t xml:space="preserve">ПАО «МРСК </w:t>
      </w:r>
      <w:r w:rsidR="00D076DA" w:rsidRPr="00C04ABD">
        <w:rPr>
          <w:rFonts w:ascii="Myriad Pro" w:hAnsi="Myriad Pro"/>
          <w:sz w:val="26"/>
          <w:szCs w:val="26"/>
        </w:rPr>
        <w:t>Северо-Запада</w:t>
      </w:r>
      <w:r w:rsidR="00655FFA" w:rsidRPr="00C04ABD">
        <w:rPr>
          <w:rFonts w:ascii="Myriad Pro" w:hAnsi="Myriad Pro"/>
          <w:sz w:val="26"/>
          <w:szCs w:val="26"/>
        </w:rPr>
        <w:t>»</w:t>
      </w:r>
      <w:r w:rsidRPr="00C04ABD">
        <w:rPr>
          <w:rFonts w:ascii="Myriad Pro" w:hAnsi="Myriad Pro"/>
          <w:sz w:val="26"/>
          <w:szCs w:val="26"/>
        </w:rPr>
        <w:t>;</w:t>
      </w:r>
    </w:p>
    <w:p w14:paraId="427AFD11" w14:textId="53CC626E" w:rsidR="00A569C6" w:rsidRPr="00C04ABD" w:rsidRDefault="00655FFA" w:rsidP="009B0BC1">
      <w:pPr>
        <w:pStyle w:val="a4"/>
        <w:numPr>
          <w:ilvl w:val="0"/>
          <w:numId w:val="7"/>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w:t>
      </w:r>
      <w:r w:rsidR="00A569C6" w:rsidRPr="00C04ABD">
        <w:rPr>
          <w:rFonts w:ascii="Myriad Pro" w:hAnsi="Myriad Pro"/>
          <w:sz w:val="26"/>
          <w:szCs w:val="26"/>
        </w:rPr>
        <w:t xml:space="preserve">Методика распределения доходов и расходов исполнительного аппарата </w:t>
      </w:r>
      <w:r w:rsidRPr="00C04ABD">
        <w:rPr>
          <w:rFonts w:ascii="Myriad Pro" w:hAnsi="Myriad Pro"/>
          <w:sz w:val="26"/>
          <w:szCs w:val="26"/>
        </w:rPr>
        <w:t xml:space="preserve">ПАО «МРСК </w:t>
      </w:r>
      <w:r w:rsidR="00A569C6" w:rsidRPr="00C04ABD">
        <w:rPr>
          <w:rFonts w:ascii="Myriad Pro" w:hAnsi="Myriad Pro"/>
          <w:sz w:val="26"/>
          <w:szCs w:val="26"/>
        </w:rPr>
        <w:t>Северо-Запада</w:t>
      </w:r>
      <w:r w:rsidRPr="00C04ABD">
        <w:rPr>
          <w:rFonts w:ascii="Myriad Pro" w:hAnsi="Myriad Pro"/>
          <w:sz w:val="26"/>
          <w:szCs w:val="26"/>
        </w:rPr>
        <w:t>»</w:t>
      </w:r>
      <w:r w:rsidR="00A569C6" w:rsidRPr="00C04ABD">
        <w:rPr>
          <w:rFonts w:ascii="Myriad Pro" w:hAnsi="Myriad Pro"/>
          <w:sz w:val="26"/>
          <w:szCs w:val="26"/>
        </w:rPr>
        <w:t xml:space="preserve">, утвержденная приказом </w:t>
      </w:r>
      <w:r w:rsidRPr="00C04ABD">
        <w:rPr>
          <w:rFonts w:ascii="Myriad Pro" w:hAnsi="Myriad Pro"/>
          <w:sz w:val="26"/>
          <w:szCs w:val="26"/>
        </w:rPr>
        <w:t xml:space="preserve">ПАО «МРСК </w:t>
      </w:r>
      <w:r w:rsidR="00A569C6" w:rsidRPr="00C04ABD">
        <w:rPr>
          <w:rFonts w:ascii="Myriad Pro" w:hAnsi="Myriad Pro"/>
          <w:sz w:val="26"/>
          <w:szCs w:val="26"/>
        </w:rPr>
        <w:t>Северо-Запада</w:t>
      </w:r>
      <w:r w:rsidRPr="00C04ABD">
        <w:rPr>
          <w:rFonts w:ascii="Myriad Pro" w:hAnsi="Myriad Pro"/>
          <w:sz w:val="26"/>
          <w:szCs w:val="26"/>
        </w:rPr>
        <w:t>»</w:t>
      </w:r>
      <w:r w:rsidR="00A569C6" w:rsidRPr="00C04ABD">
        <w:rPr>
          <w:rFonts w:ascii="Myriad Pro" w:hAnsi="Myriad Pro"/>
          <w:sz w:val="26"/>
          <w:szCs w:val="26"/>
        </w:rPr>
        <w:t xml:space="preserve"> от 28.12.2016 №836;</w:t>
      </w:r>
    </w:p>
    <w:p w14:paraId="252D7C0E" w14:textId="3B204283" w:rsidR="00AF5CEF" w:rsidRPr="00C04ABD" w:rsidRDefault="00AF5CEF" w:rsidP="009B0BC1">
      <w:pPr>
        <w:pStyle w:val="a4"/>
        <w:numPr>
          <w:ilvl w:val="0"/>
          <w:numId w:val="7"/>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 xml:space="preserve">Единый стандарт закупок ПАО </w:t>
      </w:r>
      <w:r w:rsidR="00655FFA" w:rsidRPr="00C04ABD">
        <w:rPr>
          <w:rFonts w:ascii="Myriad Pro" w:hAnsi="Myriad Pro"/>
          <w:sz w:val="26"/>
          <w:szCs w:val="26"/>
        </w:rPr>
        <w:t>«</w:t>
      </w:r>
      <w:r w:rsidRPr="00C04ABD">
        <w:rPr>
          <w:rFonts w:ascii="Myriad Pro" w:hAnsi="Myriad Pro"/>
          <w:sz w:val="26"/>
          <w:szCs w:val="26"/>
        </w:rPr>
        <w:t>Россети</w:t>
      </w:r>
      <w:r w:rsidR="00655FFA" w:rsidRPr="00C04ABD">
        <w:rPr>
          <w:rFonts w:ascii="Myriad Pro" w:hAnsi="Myriad Pro"/>
          <w:sz w:val="26"/>
          <w:szCs w:val="26"/>
        </w:rPr>
        <w:t>»</w:t>
      </w:r>
      <w:r w:rsidRPr="00C04ABD">
        <w:rPr>
          <w:rFonts w:ascii="Myriad Pro" w:hAnsi="Myriad Pro"/>
          <w:sz w:val="26"/>
          <w:szCs w:val="26"/>
        </w:rPr>
        <w:t>;</w:t>
      </w:r>
    </w:p>
    <w:p w14:paraId="4B85F0B5" w14:textId="1C306990" w:rsidR="00AF5CEF" w:rsidRPr="00C04ABD" w:rsidRDefault="00AF5CEF" w:rsidP="009B0BC1">
      <w:pPr>
        <w:pStyle w:val="a4"/>
        <w:numPr>
          <w:ilvl w:val="0"/>
          <w:numId w:val="7"/>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lastRenderedPageBreak/>
        <w:t xml:space="preserve">Приказ </w:t>
      </w:r>
      <w:r w:rsidR="00655FFA" w:rsidRPr="00C04ABD">
        <w:rPr>
          <w:rFonts w:ascii="Myriad Pro" w:hAnsi="Myriad Pro"/>
          <w:sz w:val="26"/>
          <w:szCs w:val="26"/>
        </w:rPr>
        <w:t xml:space="preserve">ПАО «МРСК </w:t>
      </w:r>
      <w:r w:rsidRPr="00C04ABD">
        <w:rPr>
          <w:rFonts w:ascii="Myriad Pro" w:hAnsi="Myriad Pro"/>
          <w:sz w:val="26"/>
          <w:szCs w:val="26"/>
        </w:rPr>
        <w:t>Северо-Запада</w:t>
      </w:r>
      <w:r w:rsidR="00655FFA" w:rsidRPr="00C04ABD">
        <w:rPr>
          <w:rFonts w:ascii="Myriad Pro" w:hAnsi="Myriad Pro"/>
          <w:sz w:val="26"/>
          <w:szCs w:val="26"/>
        </w:rPr>
        <w:t>»</w:t>
      </w:r>
      <w:r w:rsidRPr="00C04ABD">
        <w:rPr>
          <w:rFonts w:ascii="Myriad Pro" w:hAnsi="Myriad Pro"/>
          <w:sz w:val="26"/>
          <w:szCs w:val="26"/>
        </w:rPr>
        <w:t xml:space="preserve"> от 14.02.2017 №103 </w:t>
      </w:r>
      <w:r w:rsidR="00655FFA" w:rsidRPr="00C04ABD">
        <w:rPr>
          <w:rFonts w:ascii="Myriad Pro" w:hAnsi="Myriad Pro"/>
          <w:sz w:val="26"/>
          <w:szCs w:val="26"/>
        </w:rPr>
        <w:t>«</w:t>
      </w:r>
      <w:r w:rsidRPr="00C04ABD">
        <w:rPr>
          <w:rFonts w:ascii="Myriad Pro" w:hAnsi="Myriad Pro"/>
          <w:sz w:val="26"/>
          <w:szCs w:val="26"/>
        </w:rPr>
        <w:t xml:space="preserve">О введении в действие Единого стандарта закупок ПАО </w:t>
      </w:r>
      <w:r w:rsidR="00655FFA" w:rsidRPr="00C04ABD">
        <w:rPr>
          <w:rFonts w:ascii="Myriad Pro" w:hAnsi="Myriad Pro"/>
          <w:sz w:val="26"/>
          <w:szCs w:val="26"/>
        </w:rPr>
        <w:t>«</w:t>
      </w:r>
      <w:r w:rsidRPr="00C04ABD">
        <w:rPr>
          <w:rFonts w:ascii="Myriad Pro" w:hAnsi="Myriad Pro"/>
          <w:sz w:val="26"/>
          <w:szCs w:val="26"/>
        </w:rPr>
        <w:t>Россети</w:t>
      </w:r>
      <w:r w:rsidR="00655FFA" w:rsidRPr="00C04ABD">
        <w:rPr>
          <w:rFonts w:ascii="Myriad Pro" w:hAnsi="Myriad Pro"/>
          <w:sz w:val="26"/>
          <w:szCs w:val="26"/>
        </w:rPr>
        <w:t>»</w:t>
      </w:r>
      <w:r w:rsidRPr="00C04ABD">
        <w:rPr>
          <w:rFonts w:ascii="Myriad Pro" w:hAnsi="Myriad Pro"/>
          <w:sz w:val="26"/>
          <w:szCs w:val="26"/>
        </w:rPr>
        <w:t xml:space="preserve"> в новой редакции</w:t>
      </w:r>
      <w:r w:rsidR="00655FFA" w:rsidRPr="00C04ABD">
        <w:rPr>
          <w:rFonts w:ascii="Myriad Pro" w:hAnsi="Myriad Pro"/>
          <w:sz w:val="26"/>
          <w:szCs w:val="26"/>
        </w:rPr>
        <w:t>»</w:t>
      </w:r>
      <w:r w:rsidRPr="00C04ABD">
        <w:rPr>
          <w:rFonts w:ascii="Myriad Pro" w:hAnsi="Myriad Pro"/>
          <w:sz w:val="26"/>
          <w:szCs w:val="26"/>
        </w:rPr>
        <w:t>;</w:t>
      </w:r>
    </w:p>
    <w:p w14:paraId="2212320D" w14:textId="5CAFEB24" w:rsidR="00A767CF" w:rsidRPr="00C04ABD" w:rsidRDefault="00A767CF" w:rsidP="009B0BC1">
      <w:pPr>
        <w:pStyle w:val="a4"/>
        <w:numPr>
          <w:ilvl w:val="0"/>
          <w:numId w:val="7"/>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 xml:space="preserve">План закупок товаров, работ, услуг для нужд ПАО </w:t>
      </w:r>
      <w:r w:rsidR="00655FFA" w:rsidRPr="00C04ABD">
        <w:rPr>
          <w:rFonts w:ascii="Myriad Pro" w:hAnsi="Myriad Pro"/>
          <w:sz w:val="26"/>
          <w:szCs w:val="26"/>
        </w:rPr>
        <w:t>«</w:t>
      </w:r>
      <w:r w:rsidRPr="00C04ABD">
        <w:rPr>
          <w:rFonts w:ascii="Myriad Pro" w:hAnsi="Myriad Pro"/>
          <w:sz w:val="26"/>
          <w:szCs w:val="26"/>
        </w:rPr>
        <w:t>МРСК Северо-Запада</w:t>
      </w:r>
      <w:r w:rsidR="00655FFA" w:rsidRPr="00C04ABD">
        <w:rPr>
          <w:rFonts w:ascii="Myriad Pro" w:hAnsi="Myriad Pro"/>
          <w:sz w:val="26"/>
          <w:szCs w:val="26"/>
        </w:rPr>
        <w:t>»</w:t>
      </w:r>
      <w:r w:rsidRPr="00C04ABD">
        <w:rPr>
          <w:rFonts w:ascii="Myriad Pro" w:hAnsi="Myriad Pro"/>
          <w:sz w:val="26"/>
          <w:szCs w:val="26"/>
        </w:rPr>
        <w:t xml:space="preserve"> на 2018 год;</w:t>
      </w:r>
    </w:p>
    <w:p w14:paraId="21757379" w14:textId="2BFED1E8" w:rsidR="00A767CF" w:rsidRPr="00C04ABD" w:rsidRDefault="00A767CF" w:rsidP="009B0BC1">
      <w:pPr>
        <w:pStyle w:val="a4"/>
        <w:numPr>
          <w:ilvl w:val="0"/>
          <w:numId w:val="7"/>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Отчет об исполнении плана закупок за 2017 год;</w:t>
      </w:r>
    </w:p>
    <w:p w14:paraId="69C7832D" w14:textId="34F34E85" w:rsidR="00AF5CEF" w:rsidRPr="00C04ABD" w:rsidRDefault="00AF5CEF" w:rsidP="009B0BC1">
      <w:pPr>
        <w:pStyle w:val="a4"/>
        <w:numPr>
          <w:ilvl w:val="0"/>
          <w:numId w:val="7"/>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 xml:space="preserve">Коллективный договор ПАО </w:t>
      </w:r>
      <w:r w:rsidR="00655FFA" w:rsidRPr="00C04ABD">
        <w:rPr>
          <w:rFonts w:ascii="Myriad Pro" w:hAnsi="Myriad Pro"/>
          <w:sz w:val="26"/>
          <w:szCs w:val="26"/>
        </w:rPr>
        <w:t>«</w:t>
      </w:r>
      <w:r w:rsidRPr="00C04ABD">
        <w:rPr>
          <w:rFonts w:ascii="Myriad Pro" w:hAnsi="Myriad Pro"/>
          <w:sz w:val="26"/>
          <w:szCs w:val="26"/>
        </w:rPr>
        <w:t>МРСК Северо-Запада</w:t>
      </w:r>
      <w:r w:rsidR="00655FFA" w:rsidRPr="00C04ABD">
        <w:rPr>
          <w:rFonts w:ascii="Myriad Pro" w:hAnsi="Myriad Pro"/>
          <w:sz w:val="26"/>
          <w:szCs w:val="26"/>
        </w:rPr>
        <w:t>»</w:t>
      </w:r>
      <w:r w:rsidRPr="00C04ABD">
        <w:rPr>
          <w:rFonts w:ascii="Myriad Pro" w:hAnsi="Myriad Pro"/>
          <w:sz w:val="26"/>
          <w:szCs w:val="26"/>
        </w:rPr>
        <w:t xml:space="preserve"> на 2017 год;</w:t>
      </w:r>
    </w:p>
    <w:p w14:paraId="6B311A04" w14:textId="5D6385A1" w:rsidR="009A08A3" w:rsidRPr="00C04ABD" w:rsidRDefault="009A08A3" w:rsidP="009B0BC1">
      <w:pPr>
        <w:pStyle w:val="a4"/>
        <w:numPr>
          <w:ilvl w:val="0"/>
          <w:numId w:val="7"/>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Обосновывающие материалы к ста</w:t>
      </w:r>
      <w:r w:rsidR="00814728" w:rsidRPr="00C04ABD">
        <w:rPr>
          <w:rFonts w:ascii="Myriad Pro" w:hAnsi="Myriad Pro"/>
          <w:sz w:val="26"/>
          <w:szCs w:val="26"/>
        </w:rPr>
        <w:t>тьям затрат</w:t>
      </w:r>
      <w:r w:rsidR="00A569C6" w:rsidRPr="00C04ABD">
        <w:rPr>
          <w:rFonts w:ascii="Myriad Pro" w:hAnsi="Myriad Pro"/>
          <w:sz w:val="26"/>
          <w:szCs w:val="26"/>
        </w:rPr>
        <w:t>;</w:t>
      </w:r>
    </w:p>
    <w:p w14:paraId="7C3CC2FA" w14:textId="591A0547" w:rsidR="00E34B69" w:rsidRPr="00C04ABD" w:rsidRDefault="00E34B69" w:rsidP="009B0BC1">
      <w:pPr>
        <w:pStyle w:val="a4"/>
        <w:numPr>
          <w:ilvl w:val="0"/>
          <w:numId w:val="7"/>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Заключенные договоры оказания услуг по передаче электрической энергии.</w:t>
      </w:r>
    </w:p>
    <w:p w14:paraId="410B1167" w14:textId="23A3F4AA" w:rsidR="00FB4F15" w:rsidRPr="00C04ABD" w:rsidRDefault="00FB4F15" w:rsidP="00A31747">
      <w:pPr>
        <w:tabs>
          <w:tab w:val="left" w:pos="1134"/>
        </w:tabs>
        <w:spacing w:after="0" w:line="360" w:lineRule="auto"/>
        <w:ind w:firstLine="567"/>
        <w:jc w:val="both"/>
        <w:rPr>
          <w:rFonts w:ascii="Myriad Pro" w:eastAsia="Calibri" w:hAnsi="Myriad Pro" w:cs="Times New Roman"/>
          <w:sz w:val="26"/>
          <w:szCs w:val="26"/>
        </w:rPr>
      </w:pPr>
      <w:r w:rsidRPr="00C04ABD">
        <w:rPr>
          <w:rFonts w:ascii="Myriad Pro" w:eastAsia="Calibri" w:hAnsi="Myriad Pro" w:cs="Times New Roman"/>
          <w:sz w:val="26"/>
          <w:szCs w:val="26"/>
        </w:rPr>
        <w:t xml:space="preserve">В дополнение к заявлению об установлении регулируемых цен (тарифов) на услуги по передаче электрической энергии на 2019 – 2023 годы, оказываемые филиалом ПАО </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МРСК Северо-Запада</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 xml:space="preserve"> </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Колэнерго</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 xml:space="preserve"> в адрес </w:t>
      </w:r>
      <w:r w:rsidR="00C27526" w:rsidRPr="00C04ABD">
        <w:rPr>
          <w:rFonts w:ascii="Myriad Pro" w:eastAsia="Calibri" w:hAnsi="Myriad Pro" w:cs="Times New Roman"/>
          <w:sz w:val="26"/>
          <w:szCs w:val="26"/>
        </w:rPr>
        <w:t>Комитета по тарифному регулированию Мурманской</w:t>
      </w:r>
      <w:r w:rsidR="00236173" w:rsidRPr="00C04ABD">
        <w:rPr>
          <w:rFonts w:ascii="Myriad Pro" w:eastAsia="Calibri" w:hAnsi="Myriad Pro" w:cs="Times New Roman"/>
          <w:sz w:val="26"/>
          <w:szCs w:val="26"/>
        </w:rPr>
        <w:t xml:space="preserve"> </w:t>
      </w:r>
      <w:r w:rsidRPr="00C04ABD">
        <w:rPr>
          <w:rFonts w:ascii="Myriad Pro" w:eastAsia="Calibri" w:hAnsi="Myriad Pro" w:cs="Times New Roman"/>
          <w:sz w:val="26"/>
          <w:szCs w:val="26"/>
        </w:rPr>
        <w:t>области</w:t>
      </w:r>
      <w:r w:rsidR="00236173" w:rsidRPr="00C04ABD">
        <w:rPr>
          <w:rFonts w:ascii="Myriad Pro" w:eastAsia="Calibri" w:hAnsi="Myriad Pro" w:cs="Times New Roman"/>
          <w:sz w:val="26"/>
          <w:szCs w:val="26"/>
        </w:rPr>
        <w:t>,</w:t>
      </w:r>
      <w:r w:rsidRPr="00C04ABD">
        <w:rPr>
          <w:rFonts w:ascii="Myriad Pro" w:eastAsia="Calibri" w:hAnsi="Myriad Pro" w:cs="Times New Roman"/>
          <w:sz w:val="26"/>
          <w:szCs w:val="26"/>
        </w:rPr>
        <w:t xml:space="preserve"> были напр</w:t>
      </w:r>
      <w:r w:rsidR="00236173" w:rsidRPr="00C04ABD">
        <w:rPr>
          <w:rFonts w:ascii="Myriad Pro" w:eastAsia="Calibri" w:hAnsi="Myriad Pro" w:cs="Times New Roman"/>
          <w:sz w:val="26"/>
          <w:szCs w:val="26"/>
        </w:rPr>
        <w:t>авлены дополнительные материалы:</w:t>
      </w:r>
    </w:p>
    <w:p w14:paraId="0C68C296" w14:textId="77777777" w:rsidR="00236173" w:rsidRPr="00C04ABD" w:rsidRDefault="00236173" w:rsidP="009B0BC1">
      <w:pPr>
        <w:pStyle w:val="a4"/>
        <w:numPr>
          <w:ilvl w:val="0"/>
          <w:numId w:val="20"/>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Письмо от 23.05.2018 № МР2/4/07/3742 (Предложения к СПБ 2019 г. и предоставление информации);</w:t>
      </w:r>
    </w:p>
    <w:p w14:paraId="29FD9F94" w14:textId="42E41D2F" w:rsidR="00236173" w:rsidRPr="00C04ABD" w:rsidRDefault="00236173" w:rsidP="009B0BC1">
      <w:pPr>
        <w:pStyle w:val="a4"/>
        <w:numPr>
          <w:ilvl w:val="0"/>
          <w:numId w:val="20"/>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Письмо от 14.08.2018 № МР2/4/9/6108 (Формирование СПБ на 2019 г., исполнение запроса ФАС РФ, формирование уточнений к СПБ на 2019 г.);</w:t>
      </w:r>
    </w:p>
    <w:p w14:paraId="44406FC9" w14:textId="75BEE284" w:rsidR="003E1672" w:rsidRPr="00C04ABD" w:rsidRDefault="003E1672" w:rsidP="009B0BC1">
      <w:pPr>
        <w:pStyle w:val="a4"/>
        <w:numPr>
          <w:ilvl w:val="0"/>
          <w:numId w:val="20"/>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Письмо от 26.10.2018 г. №МР2/4/4/02/8470 (О включении дополнительных расходов на 2019 год по недополученной выручке за 9 месяцев 2018 г.);</w:t>
      </w:r>
    </w:p>
    <w:p w14:paraId="1A0C9A0B" w14:textId="775B5BD3" w:rsidR="003E1672" w:rsidRPr="00C04ABD" w:rsidRDefault="003E1672" w:rsidP="009B0BC1">
      <w:pPr>
        <w:pStyle w:val="a4"/>
        <w:numPr>
          <w:ilvl w:val="0"/>
          <w:numId w:val="20"/>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Письмо от 30.10.2018 г. №МР2/4/18-06/8582 (О фактической заработной плате за 2017 год);</w:t>
      </w:r>
    </w:p>
    <w:p w14:paraId="06DEB0DB" w14:textId="2F2E8CFF" w:rsidR="008D6E6E" w:rsidRPr="00C04ABD" w:rsidRDefault="008D6E6E" w:rsidP="009B0BC1">
      <w:pPr>
        <w:pStyle w:val="a4"/>
        <w:numPr>
          <w:ilvl w:val="0"/>
          <w:numId w:val="20"/>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Письмо от 01.11.2018 г. №МР2/4/02/8664 (О направлении дополнительных материалов к расчету выпадающих доходов по ТП на 2019 год);</w:t>
      </w:r>
    </w:p>
    <w:p w14:paraId="230339EC" w14:textId="403648F0" w:rsidR="003E1672" w:rsidRPr="00C04ABD" w:rsidRDefault="003E1672" w:rsidP="009B0BC1">
      <w:pPr>
        <w:pStyle w:val="a4"/>
        <w:numPr>
          <w:ilvl w:val="0"/>
          <w:numId w:val="20"/>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Письмо от 12.11.2018 г. № МР2/4/02/8918 (Об исполнении ИПР за 2017 год и корректировке ИПР);</w:t>
      </w:r>
    </w:p>
    <w:p w14:paraId="01DFB541" w14:textId="75EBBC90" w:rsidR="00236173" w:rsidRPr="00C04ABD" w:rsidRDefault="00236173" w:rsidP="009B0BC1">
      <w:pPr>
        <w:pStyle w:val="a4"/>
        <w:numPr>
          <w:ilvl w:val="0"/>
          <w:numId w:val="20"/>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Письмо от 16.11.2018 № МР2/4/07/9099, от 30.11.2018 № МР2/4/07/9099 (пояснения по разночтениям в предложении к СПБ 2019 г.);</w:t>
      </w:r>
    </w:p>
    <w:p w14:paraId="6FADCED5" w14:textId="0627064E" w:rsidR="008D6E6E" w:rsidRPr="00C04ABD" w:rsidRDefault="008D6E6E" w:rsidP="009B0BC1">
      <w:pPr>
        <w:pStyle w:val="a4"/>
        <w:numPr>
          <w:ilvl w:val="0"/>
          <w:numId w:val="20"/>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lastRenderedPageBreak/>
        <w:t>Письмо от 03.12.2018 г. № МР2/4/02/9662 (О предоставлении дополнительных материалов по подконтрольным расходам: ГСМ, командировочные расходы, страхование);</w:t>
      </w:r>
    </w:p>
    <w:p w14:paraId="22299E07" w14:textId="18FB5C15" w:rsidR="00A74AB3" w:rsidRPr="00C04ABD" w:rsidRDefault="00A74AB3" w:rsidP="009B0BC1">
      <w:pPr>
        <w:pStyle w:val="a4"/>
        <w:numPr>
          <w:ilvl w:val="0"/>
          <w:numId w:val="20"/>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Письмо от 06.12.2018 г.№ МР2/4/4/02/9772 (О расчете корректировки по неисполнению ИПР за 2017 год);</w:t>
      </w:r>
    </w:p>
    <w:p w14:paraId="7E085F2D" w14:textId="1781636A" w:rsidR="00C52B91" w:rsidRPr="00C04ABD" w:rsidRDefault="00C52B91" w:rsidP="009B0BC1">
      <w:pPr>
        <w:pStyle w:val="a4"/>
        <w:numPr>
          <w:ilvl w:val="0"/>
          <w:numId w:val="20"/>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Письмо от 07.12.2018 г. № МР2/4/4-02/9836 (О направлении пакета материалов по управленческим расходам);</w:t>
      </w:r>
    </w:p>
    <w:p w14:paraId="7E3932D6" w14:textId="77777777" w:rsidR="00236173" w:rsidRPr="00C04ABD" w:rsidRDefault="00236173" w:rsidP="009B0BC1">
      <w:pPr>
        <w:pStyle w:val="a4"/>
        <w:numPr>
          <w:ilvl w:val="0"/>
          <w:numId w:val="20"/>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Письмо от 11.12.2018 № МР2/4/07/9958 (Электроэнергия на производственно-хозяйственные нужды);</w:t>
      </w:r>
    </w:p>
    <w:p w14:paraId="73602CBC" w14:textId="77777777" w:rsidR="00236173" w:rsidRPr="00C04ABD" w:rsidRDefault="00236173" w:rsidP="009B0BC1">
      <w:pPr>
        <w:pStyle w:val="a4"/>
        <w:numPr>
          <w:ilvl w:val="0"/>
          <w:numId w:val="20"/>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 МР2/4/07/10122 от 14.12.2018 (Электроэнергия на производственно-хозяйственные нужды).</w:t>
      </w:r>
    </w:p>
    <w:p w14:paraId="23B17AE6" w14:textId="70B567C3" w:rsidR="007D4FB9" w:rsidRPr="001B25A8" w:rsidRDefault="0081024F" w:rsidP="00A31747">
      <w:pPr>
        <w:pStyle w:val="a4"/>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 xml:space="preserve">В материалах, приложенных к заявлению от 28.04.2018 №МР2/4/02/3129 </w:t>
      </w:r>
      <w:r w:rsidRPr="001B25A8">
        <w:rPr>
          <w:rFonts w:ascii="Myriad Pro" w:hAnsi="Myriad Pro"/>
          <w:sz w:val="26"/>
          <w:szCs w:val="26"/>
        </w:rPr>
        <w:t>указаны (</w:t>
      </w:r>
      <w:r w:rsidRPr="001B25A8">
        <w:rPr>
          <w:rFonts w:ascii="Myriad Pro" w:hAnsi="Myriad Pro"/>
          <w:i/>
          <w:sz w:val="26"/>
          <w:szCs w:val="26"/>
          <w:u w:val="single"/>
        </w:rPr>
        <w:t>но в исследуемых материалах отсутствуют)</w:t>
      </w:r>
      <w:r w:rsidRPr="001B25A8">
        <w:rPr>
          <w:rFonts w:ascii="Myriad Pro" w:hAnsi="Myriad Pro"/>
          <w:sz w:val="26"/>
          <w:szCs w:val="26"/>
        </w:rPr>
        <w:t xml:space="preserve"> следующие документы:</w:t>
      </w:r>
    </w:p>
    <w:p w14:paraId="49A9E510" w14:textId="51F2838D" w:rsidR="007110B7" w:rsidRPr="001B25A8" w:rsidRDefault="007110B7" w:rsidP="009B0BC1">
      <w:pPr>
        <w:pStyle w:val="a4"/>
        <w:numPr>
          <w:ilvl w:val="0"/>
          <w:numId w:val="7"/>
        </w:numPr>
        <w:tabs>
          <w:tab w:val="left" w:pos="1134"/>
        </w:tabs>
        <w:spacing w:after="0" w:line="360" w:lineRule="auto"/>
        <w:ind w:left="0" w:firstLine="567"/>
        <w:jc w:val="both"/>
        <w:rPr>
          <w:rFonts w:ascii="Myriad Pro" w:hAnsi="Myriad Pro"/>
          <w:sz w:val="26"/>
          <w:szCs w:val="26"/>
        </w:rPr>
      </w:pPr>
      <w:r w:rsidRPr="001B25A8">
        <w:rPr>
          <w:rFonts w:ascii="Myriad Pro" w:hAnsi="Myriad Pro"/>
          <w:sz w:val="26"/>
          <w:szCs w:val="26"/>
        </w:rPr>
        <w:t>Справка об официальном сайте в сети Интернет и выделенном </w:t>
      </w:r>
      <w:r w:rsidRPr="001B25A8">
        <w:rPr>
          <w:rFonts w:ascii="Myriad Pro" w:hAnsi="Myriad Pro" w:cs="Myriad Pro"/>
          <w:sz w:val="26"/>
          <w:szCs w:val="26"/>
        </w:rPr>
        <w:t>абонентском</w:t>
      </w:r>
      <w:r w:rsidRPr="001B25A8">
        <w:rPr>
          <w:rFonts w:ascii="Myriad Pro" w:hAnsi="Myriad Pro"/>
          <w:sz w:val="26"/>
          <w:szCs w:val="26"/>
        </w:rPr>
        <w:t xml:space="preserve"> </w:t>
      </w:r>
      <w:r w:rsidRPr="001B25A8">
        <w:rPr>
          <w:rFonts w:ascii="Myriad Pro" w:hAnsi="Myriad Pro" w:cs="Myriad Pro"/>
          <w:sz w:val="26"/>
          <w:szCs w:val="26"/>
        </w:rPr>
        <w:t>номере</w:t>
      </w:r>
      <w:r w:rsidRPr="001B25A8">
        <w:rPr>
          <w:rFonts w:ascii="Myriad Pro" w:hAnsi="Myriad Pro"/>
          <w:sz w:val="26"/>
          <w:szCs w:val="26"/>
        </w:rPr>
        <w:t xml:space="preserve"> </w:t>
      </w:r>
      <w:r w:rsidRPr="001B25A8">
        <w:rPr>
          <w:rFonts w:ascii="Myriad Pro" w:hAnsi="Myriad Pro" w:cs="Myriad Pro"/>
          <w:sz w:val="26"/>
          <w:szCs w:val="26"/>
        </w:rPr>
        <w:t>для</w:t>
      </w:r>
      <w:r w:rsidRPr="001B25A8">
        <w:rPr>
          <w:rFonts w:ascii="Myriad Pro" w:hAnsi="Myriad Pro"/>
          <w:sz w:val="26"/>
          <w:szCs w:val="26"/>
        </w:rPr>
        <w:t xml:space="preserve"> </w:t>
      </w:r>
      <w:r w:rsidRPr="001B25A8">
        <w:rPr>
          <w:rFonts w:ascii="Myriad Pro" w:hAnsi="Myriad Pro" w:cs="Myriad Pro"/>
          <w:sz w:val="26"/>
          <w:szCs w:val="26"/>
        </w:rPr>
        <w:t>обращений</w:t>
      </w:r>
      <w:r w:rsidRPr="001B25A8">
        <w:rPr>
          <w:rFonts w:ascii="Myriad Pro" w:hAnsi="Myriad Pro"/>
          <w:sz w:val="26"/>
          <w:szCs w:val="26"/>
        </w:rPr>
        <w:t xml:space="preserve"> </w:t>
      </w:r>
      <w:r w:rsidRPr="001B25A8">
        <w:rPr>
          <w:rFonts w:ascii="Myriad Pro" w:hAnsi="Myriad Pro" w:cs="Myriad Pro"/>
          <w:sz w:val="26"/>
          <w:szCs w:val="26"/>
        </w:rPr>
        <w:t>потребителей</w:t>
      </w:r>
      <w:r w:rsidRPr="001B25A8">
        <w:rPr>
          <w:rFonts w:ascii="Myriad Pro" w:hAnsi="Myriad Pro"/>
          <w:sz w:val="26"/>
          <w:szCs w:val="26"/>
        </w:rPr>
        <w:t xml:space="preserve"> </w:t>
      </w:r>
      <w:r w:rsidRPr="001B25A8">
        <w:rPr>
          <w:rFonts w:ascii="Myriad Pro" w:hAnsi="Myriad Pro" w:cs="Myriad Pro"/>
          <w:sz w:val="26"/>
          <w:szCs w:val="26"/>
        </w:rPr>
        <w:t>услуг</w:t>
      </w:r>
      <w:r w:rsidRPr="001B25A8">
        <w:rPr>
          <w:rFonts w:ascii="Myriad Pro" w:hAnsi="Myriad Pro"/>
          <w:sz w:val="26"/>
          <w:szCs w:val="26"/>
        </w:rPr>
        <w:t xml:space="preserve"> </w:t>
      </w:r>
      <w:r w:rsidRPr="001B25A8">
        <w:rPr>
          <w:rFonts w:ascii="Myriad Pro" w:hAnsi="Myriad Pro" w:cs="Myriad Pro"/>
          <w:sz w:val="26"/>
          <w:szCs w:val="26"/>
        </w:rPr>
        <w:t>по</w:t>
      </w:r>
      <w:r w:rsidRPr="001B25A8">
        <w:rPr>
          <w:rFonts w:ascii="Myriad Pro" w:hAnsi="Myriad Pro"/>
          <w:sz w:val="26"/>
          <w:szCs w:val="26"/>
        </w:rPr>
        <w:t xml:space="preserve"> </w:t>
      </w:r>
      <w:r w:rsidRPr="001B25A8">
        <w:rPr>
          <w:rFonts w:ascii="Myriad Pro" w:hAnsi="Myriad Pro" w:cs="Myriad Pro"/>
          <w:sz w:val="26"/>
          <w:szCs w:val="26"/>
        </w:rPr>
        <w:t>передаче</w:t>
      </w:r>
      <w:r w:rsidRPr="001B25A8">
        <w:rPr>
          <w:rFonts w:ascii="Myriad Pro" w:hAnsi="Myriad Pro"/>
          <w:sz w:val="26"/>
          <w:szCs w:val="26"/>
        </w:rPr>
        <w:t xml:space="preserve"> </w:t>
      </w:r>
      <w:r w:rsidRPr="001B25A8">
        <w:rPr>
          <w:rFonts w:ascii="Myriad Pro" w:hAnsi="Myriad Pro" w:cs="Myriad Pro"/>
          <w:sz w:val="26"/>
          <w:szCs w:val="26"/>
        </w:rPr>
        <w:t>электрической</w:t>
      </w:r>
      <w:r w:rsidRPr="001B25A8">
        <w:rPr>
          <w:rFonts w:ascii="Myriad Pro" w:hAnsi="Myriad Pro"/>
          <w:sz w:val="26"/>
          <w:szCs w:val="26"/>
        </w:rPr>
        <w:t xml:space="preserve"> </w:t>
      </w:r>
      <w:r w:rsidRPr="001B25A8">
        <w:rPr>
          <w:rFonts w:ascii="Myriad Pro" w:hAnsi="Myriad Pro" w:cs="Myriad Pro"/>
          <w:sz w:val="26"/>
          <w:szCs w:val="26"/>
        </w:rPr>
        <w:t>энергии</w:t>
      </w:r>
      <w:r w:rsidRPr="001B25A8">
        <w:rPr>
          <w:rFonts w:ascii="Myriad Pro" w:hAnsi="Myriad Pro"/>
          <w:sz w:val="26"/>
          <w:szCs w:val="26"/>
        </w:rPr>
        <w:t xml:space="preserve"> </w:t>
      </w:r>
      <w:r w:rsidRPr="001B25A8">
        <w:rPr>
          <w:rFonts w:ascii="Myriad Pro" w:hAnsi="Myriad Pro" w:cs="Myriad Pro"/>
          <w:sz w:val="26"/>
          <w:szCs w:val="26"/>
        </w:rPr>
        <w:t>и</w:t>
      </w:r>
      <w:r w:rsidRPr="001B25A8">
        <w:rPr>
          <w:rFonts w:ascii="Myriad Pro" w:hAnsi="Myriad Pro"/>
          <w:sz w:val="26"/>
          <w:szCs w:val="26"/>
        </w:rPr>
        <w:t xml:space="preserve"> (</w:t>
      </w:r>
      <w:r w:rsidRPr="001B25A8">
        <w:rPr>
          <w:rFonts w:ascii="Myriad Pro" w:hAnsi="Myriad Pro" w:cs="Myriad Pro"/>
          <w:sz w:val="26"/>
          <w:szCs w:val="26"/>
        </w:rPr>
        <w:t>или</w:t>
      </w:r>
      <w:r w:rsidRPr="001B25A8">
        <w:rPr>
          <w:rFonts w:ascii="Myriad Pro" w:hAnsi="Myriad Pro"/>
          <w:sz w:val="26"/>
          <w:szCs w:val="26"/>
        </w:rPr>
        <w:t xml:space="preserve">) </w:t>
      </w:r>
      <w:r w:rsidRPr="001B25A8">
        <w:rPr>
          <w:rFonts w:ascii="Myriad Pro" w:hAnsi="Myriad Pro" w:cs="Myriad Pro"/>
          <w:sz w:val="26"/>
          <w:szCs w:val="26"/>
        </w:rPr>
        <w:t>технологическому</w:t>
      </w:r>
      <w:r w:rsidRPr="001B25A8">
        <w:rPr>
          <w:rFonts w:ascii="Myriad Pro" w:hAnsi="Myriad Pro"/>
          <w:sz w:val="26"/>
          <w:szCs w:val="26"/>
        </w:rPr>
        <w:t xml:space="preserve"> </w:t>
      </w:r>
      <w:r w:rsidRPr="001B25A8">
        <w:rPr>
          <w:rFonts w:ascii="Myriad Pro" w:hAnsi="Myriad Pro" w:cs="Myriad Pro"/>
          <w:sz w:val="26"/>
          <w:szCs w:val="26"/>
        </w:rPr>
        <w:t>присоединению</w:t>
      </w:r>
      <w:r w:rsidRPr="001B25A8">
        <w:rPr>
          <w:rFonts w:ascii="Myriad Pro" w:hAnsi="Myriad Pro"/>
          <w:sz w:val="26"/>
          <w:szCs w:val="26"/>
        </w:rPr>
        <w:t>;</w:t>
      </w:r>
    </w:p>
    <w:p w14:paraId="5C4F4401" w14:textId="77777777" w:rsidR="00A8289D" w:rsidRPr="001B25A8" w:rsidRDefault="0081024F" w:rsidP="009B0BC1">
      <w:pPr>
        <w:pStyle w:val="a4"/>
        <w:numPr>
          <w:ilvl w:val="0"/>
          <w:numId w:val="7"/>
        </w:numPr>
        <w:tabs>
          <w:tab w:val="left" w:pos="1134"/>
        </w:tabs>
        <w:spacing w:after="0" w:line="360" w:lineRule="auto"/>
        <w:ind w:left="0" w:firstLine="567"/>
        <w:jc w:val="both"/>
        <w:rPr>
          <w:rFonts w:ascii="Myriad Pro" w:hAnsi="Myriad Pro"/>
          <w:sz w:val="26"/>
          <w:szCs w:val="26"/>
        </w:rPr>
      </w:pPr>
      <w:r w:rsidRPr="001B25A8">
        <w:rPr>
          <w:rFonts w:ascii="Myriad Pro" w:hAnsi="Myriad Pro"/>
          <w:sz w:val="26"/>
          <w:szCs w:val="26"/>
        </w:rPr>
        <w:t>Копии документов, подтверждающих право собственности, с использованием которых филиал оказывает услуги по передаче электрической энергии</w:t>
      </w:r>
      <w:r w:rsidR="00E34B69" w:rsidRPr="001B25A8">
        <w:rPr>
          <w:rFonts w:ascii="Myriad Pro" w:hAnsi="Myriad Pro"/>
          <w:sz w:val="26"/>
          <w:szCs w:val="26"/>
        </w:rPr>
        <w:t>.</w:t>
      </w:r>
      <w:r w:rsidR="00150E4E" w:rsidRPr="001B25A8">
        <w:rPr>
          <w:rFonts w:ascii="Myriad Pro" w:hAnsi="Myriad Pro"/>
          <w:sz w:val="26"/>
          <w:szCs w:val="26"/>
        </w:rPr>
        <w:t xml:space="preserve">    </w:t>
      </w:r>
    </w:p>
    <w:p w14:paraId="72A76E54" w14:textId="77777777" w:rsidR="00E34B69" w:rsidRPr="00C04ABD" w:rsidRDefault="00E34B69"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 xml:space="preserve">Представленные документы в части расчетов потребности в материалах подписаны руководителями соответствующих структурных подразделений. </w:t>
      </w:r>
    </w:p>
    <w:p w14:paraId="20B2685C" w14:textId="5933C52F" w:rsidR="007C7928" w:rsidRPr="00C04ABD" w:rsidRDefault="006531CD"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Постатейный анализ документов</w:t>
      </w:r>
      <w:r w:rsidR="000F67E2" w:rsidRPr="00C04ABD">
        <w:rPr>
          <w:rFonts w:ascii="Myriad Pro" w:eastAsia="Calibri" w:hAnsi="Myriad Pro" w:cs="Times New Roman"/>
          <w:sz w:val="26"/>
          <w:szCs w:val="26"/>
        </w:rPr>
        <w:t xml:space="preserve">, предоставленных </w:t>
      </w:r>
      <w:r w:rsidR="00B376BC" w:rsidRPr="00C04ABD">
        <w:rPr>
          <w:rFonts w:ascii="Myriad Pro" w:eastAsia="Calibri" w:hAnsi="Myriad Pro" w:cs="Times New Roman"/>
          <w:sz w:val="26"/>
          <w:szCs w:val="26"/>
        </w:rPr>
        <w:t xml:space="preserve">филиалом </w:t>
      </w:r>
      <w:r w:rsidR="00350B0A" w:rsidRPr="00C04ABD">
        <w:rPr>
          <w:rFonts w:ascii="Myriad Pro" w:eastAsia="Calibri" w:hAnsi="Myriad Pro" w:cs="Times New Roman"/>
          <w:sz w:val="26"/>
          <w:szCs w:val="26"/>
        </w:rPr>
        <w:t xml:space="preserve">ПАО </w:t>
      </w:r>
      <w:r w:rsidR="00655FFA" w:rsidRPr="00C04ABD">
        <w:rPr>
          <w:rFonts w:ascii="Myriad Pro" w:eastAsia="Calibri" w:hAnsi="Myriad Pro" w:cs="Times New Roman"/>
          <w:sz w:val="26"/>
          <w:szCs w:val="26"/>
        </w:rPr>
        <w:t>«</w:t>
      </w:r>
      <w:r w:rsidR="00350B0A" w:rsidRPr="00C04ABD">
        <w:rPr>
          <w:rFonts w:ascii="Myriad Pro" w:eastAsia="Calibri" w:hAnsi="Myriad Pro" w:cs="Times New Roman"/>
          <w:sz w:val="26"/>
          <w:szCs w:val="26"/>
        </w:rPr>
        <w:t>МРСК Северо-Запада</w:t>
      </w:r>
      <w:r w:rsidR="00655FFA" w:rsidRPr="00C04ABD">
        <w:rPr>
          <w:rFonts w:ascii="Myriad Pro" w:eastAsia="Calibri" w:hAnsi="Myriad Pro" w:cs="Times New Roman"/>
          <w:sz w:val="26"/>
          <w:szCs w:val="26"/>
        </w:rPr>
        <w:t>»</w:t>
      </w:r>
      <w:r w:rsidR="00350B0A" w:rsidRPr="00C04ABD">
        <w:rPr>
          <w:rFonts w:ascii="Myriad Pro" w:eastAsia="Calibri" w:hAnsi="Myriad Pro" w:cs="Times New Roman"/>
          <w:sz w:val="26"/>
          <w:szCs w:val="26"/>
        </w:rPr>
        <w:t xml:space="preserve"> </w:t>
      </w:r>
      <w:r w:rsidR="00655FFA" w:rsidRPr="00C04ABD">
        <w:rPr>
          <w:rFonts w:ascii="Myriad Pro" w:eastAsia="Calibri" w:hAnsi="Myriad Pro" w:cs="Times New Roman"/>
          <w:sz w:val="26"/>
          <w:szCs w:val="26"/>
        </w:rPr>
        <w:t>«</w:t>
      </w:r>
      <w:r w:rsidR="00350B0A" w:rsidRPr="00C04ABD">
        <w:rPr>
          <w:rFonts w:ascii="Myriad Pro" w:eastAsia="Calibri" w:hAnsi="Myriad Pro" w:cs="Times New Roman"/>
          <w:sz w:val="26"/>
          <w:szCs w:val="26"/>
        </w:rPr>
        <w:t>Колэнерго</w:t>
      </w:r>
      <w:r w:rsidR="00655FFA" w:rsidRPr="00C04ABD">
        <w:rPr>
          <w:rFonts w:ascii="Myriad Pro" w:eastAsia="Calibri" w:hAnsi="Myriad Pro" w:cs="Times New Roman"/>
          <w:sz w:val="26"/>
          <w:szCs w:val="26"/>
        </w:rPr>
        <w:t>»</w:t>
      </w:r>
      <w:r w:rsidR="000F67E2" w:rsidRPr="00C04ABD">
        <w:rPr>
          <w:rFonts w:ascii="Myriad Pro" w:eastAsia="Calibri" w:hAnsi="Myriad Pro" w:cs="Times New Roman"/>
          <w:sz w:val="26"/>
          <w:szCs w:val="26"/>
        </w:rPr>
        <w:t xml:space="preserve"> в обоснование предложения по тарифам на 2019 год, </w:t>
      </w:r>
      <w:r w:rsidRPr="00C04ABD">
        <w:rPr>
          <w:rFonts w:ascii="Myriad Pro" w:eastAsia="Calibri" w:hAnsi="Myriad Pro" w:cs="Times New Roman"/>
          <w:sz w:val="26"/>
          <w:szCs w:val="26"/>
        </w:rPr>
        <w:t xml:space="preserve">отражен </w:t>
      </w:r>
      <w:r w:rsidR="000F67E2" w:rsidRPr="00C04ABD">
        <w:rPr>
          <w:rFonts w:ascii="Myriad Pro" w:eastAsia="Calibri" w:hAnsi="Myriad Pro" w:cs="Times New Roman"/>
          <w:sz w:val="26"/>
          <w:szCs w:val="26"/>
        </w:rPr>
        <w:t>в соответствующих разделах настоящего Отчета.</w:t>
      </w:r>
    </w:p>
    <w:p w14:paraId="1C9AAE6D" w14:textId="0A637453" w:rsidR="004D7D17" w:rsidRPr="002D6C17" w:rsidRDefault="00311D4E" w:rsidP="00F37216">
      <w:pPr>
        <w:pStyle w:val="3"/>
        <w:numPr>
          <w:ilvl w:val="0"/>
          <w:numId w:val="67"/>
        </w:numPr>
        <w:spacing w:line="360" w:lineRule="auto"/>
        <w:jc w:val="both"/>
        <w:rPr>
          <w:rFonts w:ascii="Myriad Pro" w:hAnsi="Myriad Pro"/>
          <w:b/>
          <w:color w:val="4F6228" w:themeColor="accent3" w:themeShade="80"/>
          <w:sz w:val="28"/>
          <w:szCs w:val="28"/>
        </w:rPr>
      </w:pPr>
      <w:r w:rsidRPr="00C04ABD">
        <w:rPr>
          <w:rFonts w:ascii="Myriad Pro" w:hAnsi="Myriad Pro"/>
          <w:b/>
          <w:color w:val="auto"/>
          <w:sz w:val="26"/>
          <w:szCs w:val="26"/>
        </w:rPr>
        <w:br w:type="page"/>
      </w:r>
      <w:bookmarkStart w:id="32" w:name="_Toc40797956"/>
      <w:r w:rsidR="004D7D17" w:rsidRPr="002D6C17">
        <w:rPr>
          <w:rFonts w:ascii="Myriad Pro" w:hAnsi="Myriad Pro"/>
          <w:b/>
          <w:color w:val="4F6228" w:themeColor="accent3" w:themeShade="80"/>
          <w:sz w:val="28"/>
          <w:szCs w:val="28"/>
        </w:rPr>
        <w:lastRenderedPageBreak/>
        <w:t xml:space="preserve">Экспертиза обоснованности принятых </w:t>
      </w:r>
      <w:r w:rsidR="00BC5FB5" w:rsidRPr="002D6C17">
        <w:rPr>
          <w:rFonts w:ascii="Myriad Pro" w:hAnsi="Myriad Pro"/>
          <w:b/>
          <w:color w:val="4F6228" w:themeColor="accent3" w:themeShade="80"/>
          <w:sz w:val="28"/>
          <w:szCs w:val="28"/>
        </w:rPr>
        <w:t>Комитетом по тарифному регулированию Мурманской области</w:t>
      </w:r>
      <w:r w:rsidR="004D7D17" w:rsidRPr="002D6C17">
        <w:rPr>
          <w:rFonts w:ascii="Myriad Pro" w:hAnsi="Myriad Pro"/>
          <w:b/>
          <w:color w:val="4F6228" w:themeColor="accent3" w:themeShade="80"/>
          <w:sz w:val="28"/>
          <w:szCs w:val="28"/>
        </w:rPr>
        <w:t xml:space="preserve"> в расчет тарифов на 2019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bookmarkEnd w:id="32"/>
    </w:p>
    <w:p w14:paraId="2F130E7A" w14:textId="77777777" w:rsidR="000030E2" w:rsidRPr="00FB0A3A" w:rsidRDefault="000030E2" w:rsidP="00C04ABD">
      <w:pPr>
        <w:tabs>
          <w:tab w:val="left" w:pos="1134"/>
        </w:tabs>
        <w:autoSpaceDE w:val="0"/>
        <w:autoSpaceDN w:val="0"/>
        <w:adjustRightInd w:val="0"/>
        <w:spacing w:after="0" w:line="360" w:lineRule="auto"/>
        <w:ind w:firstLine="567"/>
        <w:jc w:val="both"/>
        <w:rPr>
          <w:rFonts w:ascii="Myriad Pro" w:hAnsi="Myriad Pro"/>
          <w:sz w:val="26"/>
          <w:szCs w:val="26"/>
        </w:rPr>
      </w:pPr>
      <w:r w:rsidRPr="00FB0A3A">
        <w:rPr>
          <w:rFonts w:ascii="Myriad Pro" w:hAnsi="Myriad Pro"/>
          <w:sz w:val="26"/>
          <w:szCs w:val="26"/>
        </w:rPr>
        <w:t xml:space="preserve">Одним из долгосрочных параметров регулирования для территориальных сетевых организаций, согласно пунктам 33 и 38 Основ ценообразования в области регулируемых цен (тарифов) в электроэнергетике, утвержденных постановлением Правительства Российской Федерации от 29.12.2011 № 1178 (далее – Основы ценообразования № 1178), </w:t>
      </w:r>
      <w:r w:rsidRPr="00193ACF">
        <w:rPr>
          <w:rFonts w:ascii="Myriad Pro" w:hAnsi="Myriad Pro"/>
          <w:b/>
          <w:sz w:val="26"/>
          <w:szCs w:val="26"/>
          <w:u w:val="single"/>
        </w:rPr>
        <w:t>является уровень потерь электрической энергии при ее передаче по электрическим сетям.</w:t>
      </w:r>
      <w:r w:rsidRPr="00FB0A3A">
        <w:rPr>
          <w:rFonts w:ascii="Myriad Pro" w:hAnsi="Myriad Pro"/>
          <w:sz w:val="26"/>
          <w:szCs w:val="26"/>
        </w:rPr>
        <w:t xml:space="preserve"> При этом уровень потерь электрической энергии при ее передаче по электрическим сетям на первый год долгосрочного периода регулирования рассчитывается по пункту 40 (1) Основ ценообразования № 1178, и не изменяется в течение долгосрочного периода регулирования, за исключением случаев, предусмотренных пунктом 12 Основ ценообразования № 1178.</w:t>
      </w:r>
      <w:r w:rsidRPr="00FB0A3A" w:rsidDel="00E1126F">
        <w:rPr>
          <w:rFonts w:ascii="Myriad Pro" w:hAnsi="Myriad Pro"/>
          <w:sz w:val="26"/>
          <w:szCs w:val="26"/>
        </w:rPr>
        <w:t xml:space="preserve"> </w:t>
      </w:r>
    </w:p>
    <w:p w14:paraId="091F24D5" w14:textId="77777777" w:rsidR="000030E2" w:rsidRPr="00FB0A3A" w:rsidRDefault="000030E2" w:rsidP="00C04ABD">
      <w:pPr>
        <w:tabs>
          <w:tab w:val="left" w:pos="1134"/>
        </w:tabs>
        <w:autoSpaceDE w:val="0"/>
        <w:autoSpaceDN w:val="0"/>
        <w:adjustRightInd w:val="0"/>
        <w:spacing w:after="0" w:line="360" w:lineRule="auto"/>
        <w:ind w:firstLine="567"/>
        <w:jc w:val="both"/>
        <w:rPr>
          <w:rFonts w:ascii="Myriad Pro" w:hAnsi="Myriad Pro"/>
          <w:sz w:val="26"/>
          <w:szCs w:val="26"/>
        </w:rPr>
      </w:pPr>
      <w:r w:rsidRPr="00FB0A3A">
        <w:rPr>
          <w:rFonts w:ascii="Myriad Pro" w:hAnsi="Myriad Pro"/>
          <w:sz w:val="26"/>
          <w:szCs w:val="26"/>
        </w:rPr>
        <w:t xml:space="preserve">В соответствии с пунктом 40(1) </w:t>
      </w:r>
      <w:r w:rsidRPr="00FB0A3A">
        <w:rPr>
          <w:rFonts w:ascii="Myriad Pro" w:eastAsia="Calibri" w:hAnsi="Myriad Pro" w:cs="Times New Roman"/>
          <w:sz w:val="26"/>
          <w:szCs w:val="26"/>
        </w:rPr>
        <w:t>Основ ценообразования №1178 у</w:t>
      </w:r>
      <w:r w:rsidRPr="00FB0A3A">
        <w:rPr>
          <w:rFonts w:ascii="Myriad Pro" w:hAnsi="Myriad Pro"/>
          <w:sz w:val="26"/>
          <w:szCs w:val="26"/>
        </w:rPr>
        <w:t>ровень потерь электрической энергии при ее передаче по электрическим сетям территориальной сетевой организации в процентах от величины суммарного отпуска электрической энергии в сеть территориальной сетевой организации органами исполнительной власти субъектов Российской Федерации в области государственного регулирования тарифов определяется по формуле:</w:t>
      </w:r>
    </w:p>
    <w:p w14:paraId="0AD4AFF0" w14:textId="77777777" w:rsidR="000030E2" w:rsidRPr="00FB0A3A" w:rsidRDefault="000030E2" w:rsidP="00A31747">
      <w:pPr>
        <w:tabs>
          <w:tab w:val="left" w:pos="1134"/>
        </w:tabs>
        <w:autoSpaceDE w:val="0"/>
        <w:autoSpaceDN w:val="0"/>
        <w:adjustRightInd w:val="0"/>
        <w:spacing w:after="0" w:line="360" w:lineRule="auto"/>
        <w:jc w:val="center"/>
        <w:rPr>
          <w:rFonts w:ascii="Myriad Pro" w:hAnsi="Myriad Pro"/>
          <w:sz w:val="26"/>
          <w:szCs w:val="26"/>
        </w:rPr>
      </w:pPr>
      <w:r w:rsidRPr="00FB0A3A">
        <w:rPr>
          <w:rFonts w:ascii="Myriad Pro" w:hAnsi="Myriad Pro"/>
          <w:noProof/>
          <w:sz w:val="26"/>
          <w:szCs w:val="26"/>
          <w:lang w:eastAsia="ru-RU"/>
        </w:rPr>
        <w:drawing>
          <wp:inline distT="0" distB="0" distL="0" distR="0" wp14:anchorId="06D61AA2" wp14:editId="5EC872C5">
            <wp:extent cx="2027555" cy="580390"/>
            <wp:effectExtent l="0" t="0" r="0" b="0"/>
            <wp:docPr id="1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2027555" cy="580390"/>
                    </a:xfrm>
                    <a:prstGeom prst="rect">
                      <a:avLst/>
                    </a:prstGeom>
                    <a:noFill/>
                    <a:ln w="9525">
                      <a:noFill/>
                      <a:miter lim="800000"/>
                      <a:headEnd/>
                      <a:tailEnd/>
                    </a:ln>
                  </pic:spPr>
                </pic:pic>
              </a:graphicData>
            </a:graphic>
          </wp:inline>
        </w:drawing>
      </w:r>
    </w:p>
    <w:p w14:paraId="1C6E3247" w14:textId="77777777" w:rsidR="000030E2" w:rsidRPr="00FB0A3A" w:rsidRDefault="000030E2" w:rsidP="00A31747">
      <w:pPr>
        <w:tabs>
          <w:tab w:val="left" w:pos="1134"/>
        </w:tabs>
        <w:autoSpaceDE w:val="0"/>
        <w:autoSpaceDN w:val="0"/>
        <w:adjustRightInd w:val="0"/>
        <w:spacing w:after="0" w:line="360" w:lineRule="auto"/>
        <w:ind w:firstLine="567"/>
        <w:jc w:val="both"/>
        <w:rPr>
          <w:rFonts w:ascii="Myriad Pro" w:hAnsi="Myriad Pro"/>
          <w:sz w:val="26"/>
          <w:szCs w:val="26"/>
        </w:rPr>
      </w:pPr>
      <w:r w:rsidRPr="00FB0A3A">
        <w:rPr>
          <w:rFonts w:ascii="Myriad Pro" w:hAnsi="Myriad Pro"/>
          <w:sz w:val="26"/>
          <w:szCs w:val="26"/>
        </w:rPr>
        <w:t>где:</w:t>
      </w:r>
    </w:p>
    <w:p w14:paraId="4A8B8816" w14:textId="77777777" w:rsidR="000030E2" w:rsidRPr="00FB0A3A" w:rsidRDefault="000030E2" w:rsidP="00A31747">
      <w:pPr>
        <w:tabs>
          <w:tab w:val="left" w:pos="1134"/>
        </w:tabs>
        <w:autoSpaceDE w:val="0"/>
        <w:autoSpaceDN w:val="0"/>
        <w:adjustRightInd w:val="0"/>
        <w:spacing w:after="0" w:line="360" w:lineRule="auto"/>
        <w:ind w:firstLine="567"/>
        <w:jc w:val="both"/>
        <w:rPr>
          <w:rFonts w:ascii="Myriad Pro" w:hAnsi="Myriad Pro"/>
          <w:sz w:val="26"/>
          <w:szCs w:val="26"/>
        </w:rPr>
      </w:pPr>
      <w:r w:rsidRPr="00FB0A3A">
        <w:rPr>
          <w:rFonts w:ascii="Myriad Pro" w:hAnsi="Myriad Pro"/>
          <w:sz w:val="26"/>
          <w:szCs w:val="26"/>
        </w:rPr>
        <w:t>i - уровень напряжения;</w:t>
      </w:r>
    </w:p>
    <w:p w14:paraId="65F099F8" w14:textId="77777777" w:rsidR="000030E2" w:rsidRPr="00FB0A3A" w:rsidRDefault="000030E2" w:rsidP="00A31747">
      <w:pPr>
        <w:tabs>
          <w:tab w:val="left" w:pos="1134"/>
        </w:tabs>
        <w:autoSpaceDE w:val="0"/>
        <w:autoSpaceDN w:val="0"/>
        <w:adjustRightInd w:val="0"/>
        <w:spacing w:after="0" w:line="360" w:lineRule="auto"/>
        <w:ind w:firstLine="567"/>
        <w:jc w:val="both"/>
        <w:rPr>
          <w:rFonts w:ascii="Myriad Pro" w:hAnsi="Myriad Pro"/>
          <w:sz w:val="26"/>
          <w:szCs w:val="26"/>
        </w:rPr>
      </w:pPr>
      <w:r w:rsidRPr="00FB0A3A">
        <w:rPr>
          <w:rFonts w:ascii="Myriad Pro" w:hAnsi="Myriad Pro"/>
          <w:sz w:val="26"/>
          <w:szCs w:val="26"/>
        </w:rPr>
        <w:t>W</w:t>
      </w:r>
      <w:r w:rsidRPr="00FB0A3A">
        <w:rPr>
          <w:rFonts w:ascii="Myriad Pro" w:hAnsi="Myriad Pro"/>
          <w:i/>
          <w:sz w:val="26"/>
          <w:szCs w:val="26"/>
          <w:vertAlign w:val="subscript"/>
        </w:rPr>
        <w:t>ОСi</w:t>
      </w:r>
      <w:r w:rsidRPr="00FB0A3A">
        <w:rPr>
          <w:rFonts w:ascii="Myriad Pro" w:hAnsi="Myriad Pro"/>
          <w:sz w:val="26"/>
          <w:szCs w:val="26"/>
        </w:rPr>
        <w:t xml:space="preserve"> - величина отпуска электрической энергии в сеть территориальной сетевой организации за последний истекший год по соответствующему уровню напряжения за вычетом объема переданной электрической энергии потребителям, непосредственно подключенным к объектам единой </w:t>
      </w:r>
      <w:r w:rsidRPr="00FB0A3A">
        <w:rPr>
          <w:rFonts w:ascii="Myriad Pro" w:hAnsi="Myriad Pro"/>
          <w:sz w:val="26"/>
          <w:szCs w:val="26"/>
        </w:rPr>
        <w:lastRenderedPageBreak/>
        <w:t>национальной (общероссийской) электрической сети, переданным в аренду территориальным сетевым организациям, и объема переданной электрической энергии потребителям, непосредственно подключенным к шинам трансформаторных подстанций на соответствующем уровне напряжения (тыс. кВт·ч);</w:t>
      </w:r>
    </w:p>
    <w:p w14:paraId="5A4FA119" w14:textId="77777777" w:rsidR="000030E2" w:rsidRPr="00FB0A3A" w:rsidRDefault="000030E2" w:rsidP="00A31747">
      <w:pPr>
        <w:tabs>
          <w:tab w:val="left" w:pos="1134"/>
        </w:tabs>
        <w:autoSpaceDE w:val="0"/>
        <w:autoSpaceDN w:val="0"/>
        <w:adjustRightInd w:val="0"/>
        <w:spacing w:after="0" w:line="360" w:lineRule="auto"/>
        <w:ind w:firstLine="567"/>
        <w:jc w:val="both"/>
        <w:rPr>
          <w:rFonts w:ascii="Myriad Pro" w:hAnsi="Myriad Pro"/>
          <w:sz w:val="26"/>
          <w:szCs w:val="26"/>
        </w:rPr>
      </w:pPr>
      <w:r w:rsidRPr="00FB0A3A">
        <w:rPr>
          <w:rFonts w:ascii="Myriad Pro" w:hAnsi="Myriad Pro"/>
          <w:sz w:val="26"/>
          <w:szCs w:val="26"/>
        </w:rPr>
        <w:t>W</w:t>
      </w:r>
      <w:r w:rsidRPr="00FB0A3A">
        <w:rPr>
          <w:rFonts w:ascii="Myriad Pro" w:hAnsi="Myriad Pro"/>
          <w:i/>
          <w:sz w:val="26"/>
          <w:szCs w:val="26"/>
          <w:vertAlign w:val="subscript"/>
        </w:rPr>
        <w:t>ОСсумм</w:t>
      </w:r>
      <w:r w:rsidRPr="00FB0A3A">
        <w:rPr>
          <w:rFonts w:ascii="Myriad Pro" w:hAnsi="Myriad Pro"/>
          <w:sz w:val="26"/>
          <w:szCs w:val="26"/>
        </w:rPr>
        <w:t xml:space="preserve"> - величина суммарного отпуска электрической энергии в сеть территориальной сетевой организации за последний истекший год за вычетом объема переданной электрической энергии потребителям, непосредственно подключенным к объектам единой национальной (общероссийской) электрической сети, переданным в аренду территориальным сетевым организациям (тыс. кВт·ч);</w:t>
      </w:r>
    </w:p>
    <w:p w14:paraId="3BE42C66" w14:textId="77777777" w:rsidR="000030E2" w:rsidRPr="00FB0A3A" w:rsidRDefault="000030E2" w:rsidP="00A31747">
      <w:pPr>
        <w:tabs>
          <w:tab w:val="left" w:pos="1134"/>
        </w:tabs>
        <w:autoSpaceDE w:val="0"/>
        <w:autoSpaceDN w:val="0"/>
        <w:adjustRightInd w:val="0"/>
        <w:spacing w:after="0" w:line="360" w:lineRule="auto"/>
        <w:ind w:firstLine="567"/>
        <w:jc w:val="both"/>
        <w:rPr>
          <w:rFonts w:ascii="Myriad Pro" w:hAnsi="Myriad Pro"/>
          <w:sz w:val="26"/>
          <w:szCs w:val="26"/>
        </w:rPr>
      </w:pPr>
      <w:r w:rsidRPr="00FB0A3A">
        <w:rPr>
          <w:rFonts w:ascii="Myriad Pro" w:hAnsi="Myriad Pro"/>
          <w:i/>
          <w:sz w:val="26"/>
          <w:szCs w:val="26"/>
        </w:rPr>
        <w:t>n</w:t>
      </w:r>
      <w:r w:rsidRPr="00FB0A3A">
        <w:rPr>
          <w:rFonts w:ascii="Myriad Pro" w:hAnsi="Myriad Pro"/>
          <w:i/>
          <w:sz w:val="26"/>
          <w:szCs w:val="26"/>
          <w:vertAlign w:val="subscript"/>
        </w:rPr>
        <w:t>i</w:t>
      </w:r>
      <w:r w:rsidRPr="00FB0A3A">
        <w:rPr>
          <w:rFonts w:ascii="Myriad Pro" w:hAnsi="Myriad Pro"/>
          <w:sz w:val="26"/>
          <w:szCs w:val="26"/>
        </w:rPr>
        <w:t xml:space="preserve"> - минимальное значение из норматива потерь электрической энергии при ее передаче по электрическим сетям для соответствующей группы территориальных сетевых организаций на соответствующем уровне напряжения, утвержденного Министерством энергетики Российской Федерации, и уровня фактических потерь электрической энергии при ее передаче по электрическим сетям территориальной сетевой организации на соответствующем уровне напряжения за последний истекший год.</w:t>
      </w:r>
    </w:p>
    <w:p w14:paraId="3B88299C" w14:textId="77777777" w:rsidR="000030E2" w:rsidRPr="00FB0A3A" w:rsidRDefault="000030E2" w:rsidP="00A31747">
      <w:pPr>
        <w:tabs>
          <w:tab w:val="left" w:pos="1134"/>
        </w:tabs>
        <w:autoSpaceDE w:val="0"/>
        <w:autoSpaceDN w:val="0"/>
        <w:adjustRightInd w:val="0"/>
        <w:spacing w:after="0" w:line="360" w:lineRule="auto"/>
        <w:ind w:firstLine="567"/>
        <w:jc w:val="both"/>
        <w:rPr>
          <w:rFonts w:ascii="Myriad Pro" w:hAnsi="Myriad Pro"/>
          <w:sz w:val="26"/>
          <w:szCs w:val="26"/>
        </w:rPr>
      </w:pPr>
      <w:r w:rsidRPr="00FB0A3A">
        <w:rPr>
          <w:rFonts w:ascii="Myriad Pro" w:hAnsi="Myriad Pro"/>
          <w:sz w:val="26"/>
          <w:szCs w:val="26"/>
        </w:rPr>
        <w:t>Минимальное значение из норматива потерь электрической энергии при ее передаче по электрическим сетям для соответствующей группы территориальных сетевых организаций на соответствующем уровне напряжения, утвержденного Министерством энергетики Российской Федерации, и уровня фактических потерь электрической энергии при ее передаче по электрическим сетям территориальной сетевой организации на соответствующем уровне напряжения за последний истекший год определяется по формуле:</w:t>
      </w:r>
    </w:p>
    <w:p w14:paraId="71B1165E" w14:textId="77777777" w:rsidR="000030E2" w:rsidRPr="00FB0A3A" w:rsidRDefault="000030E2" w:rsidP="00A31747">
      <w:pPr>
        <w:tabs>
          <w:tab w:val="left" w:pos="1134"/>
        </w:tabs>
        <w:autoSpaceDE w:val="0"/>
        <w:autoSpaceDN w:val="0"/>
        <w:adjustRightInd w:val="0"/>
        <w:spacing w:after="0" w:line="360" w:lineRule="auto"/>
        <w:jc w:val="center"/>
        <w:rPr>
          <w:rFonts w:ascii="Myriad Pro" w:hAnsi="Myriad Pro"/>
          <w:sz w:val="26"/>
          <w:szCs w:val="26"/>
        </w:rPr>
      </w:pPr>
      <w:r w:rsidRPr="00FB0A3A">
        <w:rPr>
          <w:rFonts w:ascii="Myriad Pro" w:hAnsi="Myriad Pro"/>
          <w:noProof/>
          <w:sz w:val="26"/>
          <w:szCs w:val="26"/>
          <w:lang w:eastAsia="ru-RU"/>
        </w:rPr>
        <w:drawing>
          <wp:inline distT="0" distB="0" distL="0" distR="0" wp14:anchorId="4AE7D911" wp14:editId="3B7F316D">
            <wp:extent cx="2862580" cy="636270"/>
            <wp:effectExtent l="19050" t="0" r="0" b="0"/>
            <wp:docPr id="1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2862580" cy="636270"/>
                    </a:xfrm>
                    <a:prstGeom prst="rect">
                      <a:avLst/>
                    </a:prstGeom>
                    <a:noFill/>
                    <a:ln w="9525">
                      <a:noFill/>
                      <a:miter lim="800000"/>
                      <a:headEnd/>
                      <a:tailEnd/>
                    </a:ln>
                  </pic:spPr>
                </pic:pic>
              </a:graphicData>
            </a:graphic>
          </wp:inline>
        </w:drawing>
      </w:r>
      <w:r w:rsidRPr="00FB0A3A">
        <w:rPr>
          <w:rFonts w:ascii="Myriad Pro" w:hAnsi="Myriad Pro"/>
          <w:sz w:val="26"/>
          <w:szCs w:val="26"/>
        </w:rPr>
        <w:t>,</w:t>
      </w:r>
    </w:p>
    <w:p w14:paraId="31B4060A" w14:textId="77777777" w:rsidR="000030E2" w:rsidRPr="00FB0A3A" w:rsidRDefault="000030E2" w:rsidP="00A31747">
      <w:pPr>
        <w:tabs>
          <w:tab w:val="left" w:pos="1134"/>
        </w:tabs>
        <w:autoSpaceDE w:val="0"/>
        <w:autoSpaceDN w:val="0"/>
        <w:adjustRightInd w:val="0"/>
        <w:spacing w:after="0" w:line="360" w:lineRule="auto"/>
        <w:ind w:firstLine="567"/>
        <w:jc w:val="both"/>
        <w:rPr>
          <w:rFonts w:ascii="Myriad Pro" w:hAnsi="Myriad Pro"/>
          <w:sz w:val="26"/>
          <w:szCs w:val="26"/>
        </w:rPr>
      </w:pPr>
      <w:r w:rsidRPr="00FB0A3A">
        <w:rPr>
          <w:rFonts w:ascii="Myriad Pro" w:hAnsi="Myriad Pro"/>
          <w:sz w:val="26"/>
          <w:szCs w:val="26"/>
        </w:rPr>
        <w:t>где:</w:t>
      </w:r>
    </w:p>
    <w:p w14:paraId="62588B11" w14:textId="77777777" w:rsidR="000030E2" w:rsidRPr="00FB0A3A" w:rsidRDefault="000030E2" w:rsidP="00A31747">
      <w:pPr>
        <w:tabs>
          <w:tab w:val="left" w:pos="1134"/>
        </w:tabs>
        <w:autoSpaceDE w:val="0"/>
        <w:autoSpaceDN w:val="0"/>
        <w:adjustRightInd w:val="0"/>
        <w:spacing w:after="0" w:line="360" w:lineRule="auto"/>
        <w:ind w:firstLine="567"/>
        <w:jc w:val="both"/>
        <w:rPr>
          <w:rFonts w:ascii="Myriad Pro" w:hAnsi="Myriad Pro"/>
          <w:sz w:val="26"/>
          <w:szCs w:val="26"/>
        </w:rPr>
      </w:pPr>
      <w:r w:rsidRPr="00FB0A3A">
        <w:rPr>
          <w:rFonts w:ascii="Myriad Pro" w:hAnsi="Myriad Pro"/>
          <w:noProof/>
          <w:sz w:val="26"/>
          <w:szCs w:val="26"/>
          <w:lang w:eastAsia="ru-RU"/>
        </w:rPr>
        <w:lastRenderedPageBreak/>
        <w:drawing>
          <wp:inline distT="0" distB="0" distL="0" distR="0" wp14:anchorId="1997EAAE" wp14:editId="7412E502">
            <wp:extent cx="397510" cy="302260"/>
            <wp:effectExtent l="0" t="0" r="2540" b="0"/>
            <wp:docPr id="1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srcRect/>
                    <a:stretch>
                      <a:fillRect/>
                    </a:stretch>
                  </pic:blipFill>
                  <pic:spPr bwMode="auto">
                    <a:xfrm>
                      <a:off x="0" y="0"/>
                      <a:ext cx="397510" cy="302260"/>
                    </a:xfrm>
                    <a:prstGeom prst="rect">
                      <a:avLst/>
                    </a:prstGeom>
                    <a:noFill/>
                    <a:ln w="9525">
                      <a:noFill/>
                      <a:miter lim="800000"/>
                      <a:headEnd/>
                      <a:tailEnd/>
                    </a:ln>
                  </pic:spPr>
                </pic:pic>
              </a:graphicData>
            </a:graphic>
          </wp:inline>
        </w:drawing>
      </w:r>
      <w:r w:rsidRPr="00FB0A3A">
        <w:rPr>
          <w:rFonts w:ascii="Myriad Pro" w:hAnsi="Myriad Pro"/>
          <w:sz w:val="26"/>
          <w:szCs w:val="26"/>
        </w:rPr>
        <w:t xml:space="preserve"> - величина фактических потерь электрической энергии при ее передаче по электрическим сетям территориальной сетевой организации за последний истекший год по соответствующему уровню напряжения (тыс. кВт·ч);</w:t>
      </w:r>
    </w:p>
    <w:p w14:paraId="79DBF86B" w14:textId="77777777" w:rsidR="000030E2" w:rsidRPr="00FB0A3A" w:rsidRDefault="000030E2" w:rsidP="00A31747">
      <w:pPr>
        <w:tabs>
          <w:tab w:val="left" w:pos="1134"/>
        </w:tabs>
        <w:autoSpaceDE w:val="0"/>
        <w:autoSpaceDN w:val="0"/>
        <w:adjustRightInd w:val="0"/>
        <w:spacing w:after="0" w:line="360" w:lineRule="auto"/>
        <w:ind w:firstLine="567"/>
        <w:jc w:val="both"/>
        <w:rPr>
          <w:rFonts w:ascii="Myriad Pro" w:hAnsi="Myriad Pro"/>
          <w:sz w:val="26"/>
          <w:szCs w:val="26"/>
        </w:rPr>
      </w:pPr>
      <w:r w:rsidRPr="00FB0A3A">
        <w:rPr>
          <w:rFonts w:ascii="Myriad Pro" w:hAnsi="Myriad Pro"/>
          <w:noProof/>
          <w:sz w:val="26"/>
          <w:szCs w:val="26"/>
          <w:lang w:eastAsia="ru-RU"/>
        </w:rPr>
        <w:drawing>
          <wp:inline distT="0" distB="0" distL="0" distR="0" wp14:anchorId="13E868BA" wp14:editId="560669BB">
            <wp:extent cx="795020" cy="318135"/>
            <wp:effectExtent l="19050" t="0" r="5080" b="0"/>
            <wp:docPr id="1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795020" cy="318135"/>
                    </a:xfrm>
                    <a:prstGeom prst="rect">
                      <a:avLst/>
                    </a:prstGeom>
                    <a:noFill/>
                    <a:ln w="9525">
                      <a:noFill/>
                      <a:miter lim="800000"/>
                      <a:headEnd/>
                      <a:tailEnd/>
                    </a:ln>
                  </pic:spPr>
                </pic:pic>
              </a:graphicData>
            </a:graphic>
          </wp:inline>
        </w:drawing>
      </w:r>
      <w:r w:rsidRPr="00FB0A3A">
        <w:rPr>
          <w:rFonts w:ascii="Myriad Pro" w:hAnsi="Myriad Pro"/>
          <w:sz w:val="26"/>
          <w:szCs w:val="26"/>
        </w:rPr>
        <w:t xml:space="preserve"> - норматив потерь электрической энергии при ее передаче по электрическим сетям территориальных сетевых организаций на соответствующем уровне напряжения, утвержденный Министерством энергетики Российской Федерации, для j-ой группы</w:t>
      </w:r>
      <w:r w:rsidRPr="00FB0A3A">
        <w:rPr>
          <w:rFonts w:ascii="Myriad Pro" w:hAnsi="Myriad Pro" w:cs="Myriad Pro"/>
          <w:b/>
          <w:bCs/>
          <w:sz w:val="26"/>
          <w:szCs w:val="26"/>
        </w:rPr>
        <w:t xml:space="preserve"> </w:t>
      </w:r>
      <w:r w:rsidRPr="00FB0A3A">
        <w:rPr>
          <w:rFonts w:ascii="Myriad Pro" w:hAnsi="Myriad Pro"/>
          <w:sz w:val="26"/>
          <w:szCs w:val="26"/>
        </w:rPr>
        <w:t>территориальных сетевых организаций, определяемой по данным за последний истекший год.</w:t>
      </w:r>
    </w:p>
    <w:p w14:paraId="54DB060E" w14:textId="77777777" w:rsidR="00C8112F" w:rsidRPr="00FB0A3A" w:rsidRDefault="00C8112F" w:rsidP="00A31747">
      <w:pPr>
        <w:tabs>
          <w:tab w:val="left" w:pos="1134"/>
        </w:tabs>
        <w:autoSpaceDE w:val="0"/>
        <w:autoSpaceDN w:val="0"/>
        <w:adjustRightInd w:val="0"/>
        <w:spacing w:after="0" w:line="360" w:lineRule="auto"/>
        <w:ind w:firstLine="567"/>
        <w:jc w:val="both"/>
        <w:rPr>
          <w:rFonts w:ascii="Myriad Pro" w:hAnsi="Myriad Pro" w:cs="Times New Roman"/>
          <w:sz w:val="26"/>
          <w:szCs w:val="26"/>
        </w:rPr>
      </w:pPr>
    </w:p>
    <w:p w14:paraId="4B1019DD" w14:textId="228F0D34" w:rsidR="006A568D" w:rsidRPr="00FB0A3A" w:rsidRDefault="00C8112F" w:rsidP="00A31747">
      <w:pPr>
        <w:tabs>
          <w:tab w:val="left" w:pos="1134"/>
        </w:tabs>
        <w:autoSpaceDE w:val="0"/>
        <w:autoSpaceDN w:val="0"/>
        <w:adjustRightInd w:val="0"/>
        <w:spacing w:after="0" w:line="360" w:lineRule="auto"/>
        <w:jc w:val="both"/>
        <w:rPr>
          <w:rFonts w:ascii="Myriad Pro" w:hAnsi="Myriad Pro" w:cs="Times New Roman"/>
          <w:b/>
          <w:bCs/>
          <w:sz w:val="26"/>
          <w:szCs w:val="26"/>
        </w:rPr>
      </w:pPr>
      <w:r w:rsidRPr="00FB0A3A">
        <w:rPr>
          <w:rFonts w:ascii="Myriad Pro" w:hAnsi="Myriad Pro" w:cs="Times New Roman"/>
          <w:b/>
          <w:bCs/>
          <w:sz w:val="26"/>
          <w:szCs w:val="26"/>
        </w:rPr>
        <w:t>ПОЗИЦИЯ ТЕРРИТОРИАЛЬНОЙ СЕТЕВОЙ ОРГАНИЗАЦИИ</w:t>
      </w:r>
    </w:p>
    <w:p w14:paraId="58C5CC65" w14:textId="1909BC0F" w:rsidR="00294703" w:rsidRPr="00FB0A3A" w:rsidRDefault="00294703" w:rsidP="00A31747">
      <w:pPr>
        <w:tabs>
          <w:tab w:val="left" w:pos="1134"/>
        </w:tabs>
        <w:autoSpaceDE w:val="0"/>
        <w:autoSpaceDN w:val="0"/>
        <w:adjustRightInd w:val="0"/>
        <w:spacing w:after="0" w:line="360" w:lineRule="auto"/>
        <w:ind w:firstLine="567"/>
        <w:jc w:val="both"/>
        <w:rPr>
          <w:rFonts w:ascii="Myriad Pro" w:hAnsi="Myriad Pro" w:cs="Times New Roman"/>
          <w:sz w:val="26"/>
          <w:szCs w:val="26"/>
        </w:rPr>
      </w:pPr>
      <w:r w:rsidRPr="00FB0A3A">
        <w:rPr>
          <w:rFonts w:ascii="Myriad Pro" w:hAnsi="Myriad Pro" w:cs="Times New Roman"/>
          <w:sz w:val="26"/>
          <w:szCs w:val="26"/>
        </w:rPr>
        <w:t xml:space="preserve">Таблицы П1.4, П1.5 филиала ПАО </w:t>
      </w:r>
      <w:r w:rsidR="00655FFA" w:rsidRPr="00FB0A3A">
        <w:rPr>
          <w:rFonts w:ascii="Myriad Pro" w:hAnsi="Myriad Pro" w:cs="Times New Roman"/>
          <w:sz w:val="26"/>
          <w:szCs w:val="26"/>
        </w:rPr>
        <w:t>«</w:t>
      </w:r>
      <w:r w:rsidRPr="00FB0A3A">
        <w:rPr>
          <w:rFonts w:ascii="Myriad Pro" w:hAnsi="Myriad Pro" w:cs="Times New Roman"/>
          <w:sz w:val="26"/>
          <w:szCs w:val="26"/>
        </w:rPr>
        <w:t>МРСК Северо-Запада</w:t>
      </w:r>
      <w:r w:rsidR="00655FFA" w:rsidRPr="00FB0A3A">
        <w:rPr>
          <w:rFonts w:ascii="Myriad Pro" w:hAnsi="Myriad Pro" w:cs="Times New Roman"/>
          <w:sz w:val="26"/>
          <w:szCs w:val="26"/>
        </w:rPr>
        <w:t>»</w:t>
      </w:r>
      <w:r w:rsidRPr="00FB0A3A">
        <w:rPr>
          <w:rFonts w:ascii="Myriad Pro" w:hAnsi="Myriad Pro" w:cs="Times New Roman"/>
          <w:sz w:val="26"/>
          <w:szCs w:val="26"/>
        </w:rPr>
        <w:t xml:space="preserve"> </w:t>
      </w:r>
      <w:r w:rsidR="00655FFA" w:rsidRPr="00FB0A3A">
        <w:rPr>
          <w:rFonts w:ascii="Myriad Pro" w:hAnsi="Myriad Pro" w:cs="Times New Roman"/>
          <w:sz w:val="26"/>
          <w:szCs w:val="26"/>
        </w:rPr>
        <w:t>«</w:t>
      </w:r>
      <w:r w:rsidRPr="00FB0A3A">
        <w:rPr>
          <w:rFonts w:ascii="Myriad Pro" w:hAnsi="Myriad Pro" w:cs="Times New Roman"/>
          <w:sz w:val="26"/>
          <w:szCs w:val="26"/>
        </w:rPr>
        <w:t>Колэнерго</w:t>
      </w:r>
      <w:r w:rsidR="00655FFA" w:rsidRPr="00FB0A3A">
        <w:rPr>
          <w:rFonts w:ascii="Myriad Pro" w:hAnsi="Myriad Pro" w:cs="Times New Roman"/>
          <w:sz w:val="26"/>
          <w:szCs w:val="26"/>
        </w:rPr>
        <w:t>»</w:t>
      </w:r>
      <w:r w:rsidRPr="00FB0A3A">
        <w:rPr>
          <w:rFonts w:ascii="Myriad Pro" w:hAnsi="Myriad Pro" w:cs="Times New Roman"/>
          <w:sz w:val="26"/>
          <w:szCs w:val="26"/>
        </w:rPr>
        <w:t xml:space="preserve"> по балансу электрической энергии (мощности) по уровням напряжения на 2019 год сформированы по границам балансовой принадлежности филиала </w:t>
      </w:r>
      <w:r w:rsidR="0056641A" w:rsidRPr="00FB0A3A">
        <w:rPr>
          <w:rFonts w:ascii="Myriad Pro" w:hAnsi="Myriad Pro" w:cs="Times New Roman"/>
          <w:sz w:val="26"/>
          <w:szCs w:val="26"/>
        </w:rPr>
        <w:t xml:space="preserve">ПАО </w:t>
      </w:r>
      <w:r w:rsidR="00655FFA" w:rsidRPr="00FB0A3A">
        <w:rPr>
          <w:rFonts w:ascii="Myriad Pro" w:hAnsi="Myriad Pro" w:cs="Times New Roman"/>
          <w:sz w:val="26"/>
          <w:szCs w:val="26"/>
        </w:rPr>
        <w:t>«</w:t>
      </w:r>
      <w:r w:rsidR="0056641A" w:rsidRPr="00FB0A3A">
        <w:rPr>
          <w:rFonts w:ascii="Myriad Pro" w:hAnsi="Myriad Pro" w:cs="Times New Roman"/>
          <w:sz w:val="26"/>
          <w:szCs w:val="26"/>
        </w:rPr>
        <w:t>МРСК Северо-Запада</w:t>
      </w:r>
      <w:r w:rsidR="00655FFA" w:rsidRPr="00FB0A3A">
        <w:rPr>
          <w:rFonts w:ascii="Myriad Pro" w:hAnsi="Myriad Pro" w:cs="Times New Roman"/>
          <w:sz w:val="26"/>
          <w:szCs w:val="26"/>
        </w:rPr>
        <w:t>»</w:t>
      </w:r>
      <w:r w:rsidR="0056641A" w:rsidRPr="00FB0A3A">
        <w:rPr>
          <w:rFonts w:ascii="Myriad Pro" w:hAnsi="Myriad Pro" w:cs="Times New Roman"/>
          <w:sz w:val="26"/>
          <w:szCs w:val="26"/>
        </w:rPr>
        <w:t xml:space="preserve"> </w:t>
      </w:r>
      <w:r w:rsidR="00655FFA" w:rsidRPr="00FB0A3A">
        <w:rPr>
          <w:rFonts w:ascii="Myriad Pro" w:hAnsi="Myriad Pro" w:cs="Times New Roman"/>
          <w:sz w:val="26"/>
          <w:szCs w:val="26"/>
        </w:rPr>
        <w:t>«</w:t>
      </w:r>
      <w:r w:rsidRPr="00FB0A3A">
        <w:rPr>
          <w:rFonts w:ascii="Myriad Pro" w:hAnsi="Myriad Pro" w:cs="Times New Roman"/>
          <w:sz w:val="26"/>
          <w:szCs w:val="26"/>
        </w:rPr>
        <w:t>Колэнерго</w:t>
      </w:r>
      <w:r w:rsidR="00655FFA" w:rsidRPr="00FB0A3A">
        <w:rPr>
          <w:rFonts w:ascii="Myriad Pro" w:hAnsi="Myriad Pro" w:cs="Times New Roman"/>
          <w:sz w:val="26"/>
          <w:szCs w:val="26"/>
        </w:rPr>
        <w:t>»</w:t>
      </w:r>
      <w:r w:rsidRPr="00FB0A3A">
        <w:rPr>
          <w:rFonts w:ascii="Myriad Pro" w:hAnsi="Myriad Pro" w:cs="Times New Roman"/>
          <w:sz w:val="26"/>
          <w:szCs w:val="26"/>
        </w:rPr>
        <w:t xml:space="preserve"> (с учетом положений главы VIII </w:t>
      </w:r>
      <w:r w:rsidR="00655FFA" w:rsidRPr="00FB0A3A">
        <w:rPr>
          <w:rFonts w:ascii="Myriad Pro" w:hAnsi="Myriad Pro" w:cs="Times New Roman"/>
          <w:sz w:val="26"/>
          <w:szCs w:val="26"/>
        </w:rPr>
        <w:t>«</w:t>
      </w:r>
      <w:r w:rsidRPr="00FB0A3A">
        <w:rPr>
          <w:rFonts w:ascii="Myriad Pro" w:hAnsi="Myriad Pro" w:cs="Times New Roman"/>
          <w:sz w:val="26"/>
          <w:szCs w:val="26"/>
        </w:rPr>
        <w:t>Расчёт тарифа на услуги по передаче электрической энергии по региональным электрическим сетям</w:t>
      </w:r>
      <w:r w:rsidR="00655FFA" w:rsidRPr="00FB0A3A">
        <w:rPr>
          <w:rFonts w:ascii="Myriad Pro" w:hAnsi="Myriad Pro" w:cs="Times New Roman"/>
          <w:sz w:val="26"/>
          <w:szCs w:val="26"/>
        </w:rPr>
        <w:t>»</w:t>
      </w:r>
      <w:r w:rsidRPr="00FB0A3A">
        <w:rPr>
          <w:rFonts w:ascii="Myriad Pro" w:hAnsi="Myriad Pro" w:cs="Times New Roman"/>
          <w:sz w:val="26"/>
          <w:szCs w:val="26"/>
        </w:rPr>
        <w:t xml:space="preserve"> Методических указаний 20-э/2) и соответствуют предложениям филиала ПАО </w:t>
      </w:r>
      <w:r w:rsidR="00655FFA" w:rsidRPr="00FB0A3A">
        <w:rPr>
          <w:rFonts w:ascii="Myriad Pro" w:hAnsi="Myriad Pro" w:cs="Times New Roman"/>
          <w:sz w:val="26"/>
          <w:szCs w:val="26"/>
        </w:rPr>
        <w:t>«</w:t>
      </w:r>
      <w:r w:rsidRPr="00FB0A3A">
        <w:rPr>
          <w:rFonts w:ascii="Myriad Pro" w:hAnsi="Myriad Pro" w:cs="Times New Roman"/>
          <w:sz w:val="26"/>
          <w:szCs w:val="26"/>
        </w:rPr>
        <w:t>МРСК Северо-Запада</w:t>
      </w:r>
      <w:r w:rsidR="00655FFA" w:rsidRPr="00FB0A3A">
        <w:rPr>
          <w:rFonts w:ascii="Myriad Pro" w:hAnsi="Myriad Pro" w:cs="Times New Roman"/>
          <w:sz w:val="26"/>
          <w:szCs w:val="26"/>
        </w:rPr>
        <w:t>»</w:t>
      </w:r>
      <w:r w:rsidRPr="00FB0A3A">
        <w:rPr>
          <w:rFonts w:ascii="Myriad Pro" w:hAnsi="Myriad Pro" w:cs="Times New Roman"/>
          <w:sz w:val="26"/>
          <w:szCs w:val="26"/>
        </w:rPr>
        <w:t xml:space="preserve"> </w:t>
      </w:r>
      <w:r w:rsidR="00655FFA" w:rsidRPr="00FB0A3A">
        <w:rPr>
          <w:rFonts w:ascii="Myriad Pro" w:hAnsi="Myriad Pro" w:cs="Times New Roman"/>
          <w:sz w:val="26"/>
          <w:szCs w:val="26"/>
        </w:rPr>
        <w:t>«</w:t>
      </w:r>
      <w:r w:rsidRPr="00FB0A3A">
        <w:rPr>
          <w:rFonts w:ascii="Myriad Pro" w:hAnsi="Myriad Pro" w:cs="Times New Roman"/>
          <w:sz w:val="26"/>
          <w:szCs w:val="26"/>
        </w:rPr>
        <w:t>Колэнерго</w:t>
      </w:r>
      <w:r w:rsidR="00655FFA" w:rsidRPr="00FB0A3A">
        <w:rPr>
          <w:rFonts w:ascii="Myriad Pro" w:hAnsi="Myriad Pro" w:cs="Times New Roman"/>
          <w:sz w:val="26"/>
          <w:szCs w:val="26"/>
        </w:rPr>
        <w:t>»</w:t>
      </w:r>
      <w:r w:rsidRPr="00FB0A3A">
        <w:rPr>
          <w:rFonts w:ascii="Myriad Pro" w:hAnsi="Myriad Pro" w:cs="Times New Roman"/>
          <w:sz w:val="26"/>
          <w:szCs w:val="26"/>
        </w:rPr>
        <w:t>, представленным в К</w:t>
      </w:r>
      <w:r w:rsidR="006A568D" w:rsidRPr="00FB0A3A">
        <w:rPr>
          <w:rFonts w:ascii="Myriad Pro" w:hAnsi="Myriad Pro" w:cs="Times New Roman"/>
          <w:sz w:val="26"/>
          <w:szCs w:val="26"/>
        </w:rPr>
        <w:t>омитет по тарифному регулированию</w:t>
      </w:r>
      <w:r w:rsidRPr="00FB0A3A">
        <w:rPr>
          <w:rFonts w:ascii="Myriad Pro" w:hAnsi="Myriad Pro" w:cs="Times New Roman"/>
          <w:sz w:val="26"/>
          <w:szCs w:val="26"/>
        </w:rPr>
        <w:t xml:space="preserve"> Мурманской области в формате шаблонов ЕИАС – Форма 3.1. на 2019 год.</w:t>
      </w:r>
    </w:p>
    <w:p w14:paraId="373F299D" w14:textId="1222E2F9" w:rsidR="00294703" w:rsidRPr="00FB0A3A" w:rsidRDefault="00294703" w:rsidP="00A31747">
      <w:pPr>
        <w:tabs>
          <w:tab w:val="left" w:pos="1134"/>
        </w:tabs>
        <w:autoSpaceDE w:val="0"/>
        <w:autoSpaceDN w:val="0"/>
        <w:adjustRightInd w:val="0"/>
        <w:spacing w:after="0" w:line="360" w:lineRule="auto"/>
        <w:ind w:firstLine="567"/>
        <w:jc w:val="both"/>
        <w:rPr>
          <w:rFonts w:ascii="Myriad Pro" w:hAnsi="Myriad Pro" w:cs="Times New Roman"/>
          <w:sz w:val="26"/>
          <w:szCs w:val="26"/>
        </w:rPr>
      </w:pPr>
      <w:r w:rsidRPr="00FB0A3A">
        <w:rPr>
          <w:rFonts w:ascii="Myriad Pro" w:hAnsi="Myriad Pro" w:cs="Times New Roman"/>
          <w:sz w:val="26"/>
          <w:szCs w:val="26"/>
        </w:rPr>
        <w:t xml:space="preserve">На основе проведенного анализа и представленных заявок, прогнозируемая величина отпуска электроэнергии из сетей филиала </w:t>
      </w:r>
      <w:r w:rsidR="0056641A" w:rsidRPr="00FB0A3A">
        <w:rPr>
          <w:rFonts w:ascii="Myriad Pro" w:hAnsi="Myriad Pro" w:cs="Times New Roman"/>
          <w:sz w:val="26"/>
          <w:szCs w:val="26"/>
        </w:rPr>
        <w:t xml:space="preserve">ПАО </w:t>
      </w:r>
      <w:r w:rsidR="00655FFA" w:rsidRPr="00FB0A3A">
        <w:rPr>
          <w:rFonts w:ascii="Myriad Pro" w:hAnsi="Myriad Pro" w:cs="Times New Roman"/>
          <w:sz w:val="26"/>
          <w:szCs w:val="26"/>
        </w:rPr>
        <w:t>«</w:t>
      </w:r>
      <w:r w:rsidR="0056641A" w:rsidRPr="00FB0A3A">
        <w:rPr>
          <w:rFonts w:ascii="Myriad Pro" w:hAnsi="Myriad Pro" w:cs="Times New Roman"/>
          <w:sz w:val="26"/>
          <w:szCs w:val="26"/>
        </w:rPr>
        <w:t>МРСК Северо-Запада</w:t>
      </w:r>
      <w:r w:rsidR="00655FFA" w:rsidRPr="00FB0A3A">
        <w:rPr>
          <w:rFonts w:ascii="Myriad Pro" w:hAnsi="Myriad Pro" w:cs="Times New Roman"/>
          <w:sz w:val="26"/>
          <w:szCs w:val="26"/>
        </w:rPr>
        <w:t>»</w:t>
      </w:r>
      <w:r w:rsidR="0056641A" w:rsidRPr="00FB0A3A">
        <w:rPr>
          <w:rFonts w:ascii="Myriad Pro" w:hAnsi="Myriad Pro" w:cs="Times New Roman"/>
          <w:sz w:val="26"/>
          <w:szCs w:val="26"/>
        </w:rPr>
        <w:t xml:space="preserve"> </w:t>
      </w:r>
      <w:r w:rsidR="00655FFA" w:rsidRPr="00FB0A3A">
        <w:rPr>
          <w:rFonts w:ascii="Myriad Pro" w:hAnsi="Myriad Pro" w:cs="Times New Roman"/>
          <w:sz w:val="26"/>
          <w:szCs w:val="26"/>
        </w:rPr>
        <w:t>«</w:t>
      </w:r>
      <w:r w:rsidRPr="00FB0A3A">
        <w:rPr>
          <w:rFonts w:ascii="Myriad Pro" w:hAnsi="Myriad Pro" w:cs="Times New Roman"/>
          <w:sz w:val="26"/>
          <w:szCs w:val="26"/>
        </w:rPr>
        <w:t>Колэнерго</w:t>
      </w:r>
      <w:r w:rsidR="00655FFA" w:rsidRPr="00FB0A3A">
        <w:rPr>
          <w:rFonts w:ascii="Myriad Pro" w:hAnsi="Myriad Pro" w:cs="Times New Roman"/>
          <w:sz w:val="26"/>
          <w:szCs w:val="26"/>
        </w:rPr>
        <w:t>»</w:t>
      </w:r>
      <w:r w:rsidRPr="00FB0A3A">
        <w:rPr>
          <w:rFonts w:ascii="Myriad Pro" w:hAnsi="Myriad Pro" w:cs="Times New Roman"/>
          <w:sz w:val="26"/>
          <w:szCs w:val="26"/>
        </w:rPr>
        <w:t xml:space="preserve"> 2019 год принята в размере 10 841,3380 млн.кВт</w:t>
      </w:r>
      <w:r w:rsidR="00311D4E" w:rsidRPr="00FB0A3A">
        <w:rPr>
          <w:rFonts w:ascii="Myriad Pro" w:hAnsi="Myriad Pro" w:cs="Times New Roman"/>
          <w:sz w:val="26"/>
          <w:szCs w:val="26"/>
        </w:rPr>
        <w:t>*</w:t>
      </w:r>
      <w:r w:rsidRPr="00FB0A3A">
        <w:rPr>
          <w:rFonts w:ascii="Myriad Pro" w:hAnsi="Myriad Pro" w:cs="Times New Roman"/>
          <w:sz w:val="26"/>
          <w:szCs w:val="26"/>
        </w:rPr>
        <w:t xml:space="preserve">ч. </w:t>
      </w:r>
    </w:p>
    <w:p w14:paraId="0D2C4D98" w14:textId="02C23498" w:rsidR="00294703" w:rsidRPr="00FB0A3A" w:rsidRDefault="00294703" w:rsidP="00A31747">
      <w:pPr>
        <w:tabs>
          <w:tab w:val="left" w:pos="1134"/>
        </w:tabs>
        <w:autoSpaceDE w:val="0"/>
        <w:autoSpaceDN w:val="0"/>
        <w:adjustRightInd w:val="0"/>
        <w:spacing w:after="0" w:line="360" w:lineRule="auto"/>
        <w:ind w:firstLine="567"/>
        <w:jc w:val="both"/>
        <w:rPr>
          <w:rFonts w:ascii="Myriad Pro" w:hAnsi="Myriad Pro" w:cs="Times New Roman"/>
          <w:sz w:val="26"/>
          <w:szCs w:val="26"/>
        </w:rPr>
      </w:pPr>
      <w:r w:rsidRPr="00FB0A3A">
        <w:rPr>
          <w:rFonts w:ascii="Myriad Pro" w:hAnsi="Myriad Pro" w:cs="Times New Roman"/>
          <w:sz w:val="26"/>
          <w:szCs w:val="26"/>
        </w:rPr>
        <w:t xml:space="preserve">Порядок и результаты объема отпуска электрической энергии из сетей филиала </w:t>
      </w:r>
      <w:r w:rsidR="0056641A" w:rsidRPr="00FB0A3A">
        <w:rPr>
          <w:rFonts w:ascii="Myriad Pro" w:hAnsi="Myriad Pro" w:cs="Times New Roman"/>
          <w:sz w:val="26"/>
          <w:szCs w:val="26"/>
        </w:rPr>
        <w:t xml:space="preserve">ПАО </w:t>
      </w:r>
      <w:r w:rsidR="00655FFA" w:rsidRPr="00FB0A3A">
        <w:rPr>
          <w:rFonts w:ascii="Myriad Pro" w:hAnsi="Myriad Pro" w:cs="Times New Roman"/>
          <w:sz w:val="26"/>
          <w:szCs w:val="26"/>
        </w:rPr>
        <w:t>«</w:t>
      </w:r>
      <w:r w:rsidR="0056641A" w:rsidRPr="00FB0A3A">
        <w:rPr>
          <w:rFonts w:ascii="Myriad Pro" w:hAnsi="Myriad Pro" w:cs="Times New Roman"/>
          <w:sz w:val="26"/>
          <w:szCs w:val="26"/>
        </w:rPr>
        <w:t>МРСК Северо-Запада</w:t>
      </w:r>
      <w:r w:rsidR="00655FFA" w:rsidRPr="00FB0A3A">
        <w:rPr>
          <w:rFonts w:ascii="Myriad Pro" w:hAnsi="Myriad Pro" w:cs="Times New Roman"/>
          <w:sz w:val="26"/>
          <w:szCs w:val="26"/>
        </w:rPr>
        <w:t>»</w:t>
      </w:r>
      <w:r w:rsidR="0056641A" w:rsidRPr="00FB0A3A">
        <w:rPr>
          <w:rFonts w:ascii="Myriad Pro" w:hAnsi="Myriad Pro" w:cs="Times New Roman"/>
          <w:sz w:val="26"/>
          <w:szCs w:val="26"/>
        </w:rPr>
        <w:t xml:space="preserve"> </w:t>
      </w:r>
      <w:r w:rsidR="00655FFA" w:rsidRPr="00FB0A3A">
        <w:rPr>
          <w:rFonts w:ascii="Myriad Pro" w:hAnsi="Myriad Pro" w:cs="Times New Roman"/>
          <w:sz w:val="26"/>
          <w:szCs w:val="26"/>
        </w:rPr>
        <w:t>«</w:t>
      </w:r>
      <w:r w:rsidRPr="00FB0A3A">
        <w:rPr>
          <w:rFonts w:ascii="Myriad Pro" w:hAnsi="Myriad Pro" w:cs="Times New Roman"/>
          <w:sz w:val="26"/>
          <w:szCs w:val="26"/>
        </w:rPr>
        <w:t>Колэнерго</w:t>
      </w:r>
      <w:r w:rsidR="00655FFA" w:rsidRPr="00FB0A3A">
        <w:rPr>
          <w:rFonts w:ascii="Myriad Pro" w:hAnsi="Myriad Pro" w:cs="Times New Roman"/>
          <w:sz w:val="26"/>
          <w:szCs w:val="26"/>
        </w:rPr>
        <w:t>»</w:t>
      </w:r>
      <w:r w:rsidRPr="00FB0A3A">
        <w:rPr>
          <w:rFonts w:ascii="Myriad Pro" w:hAnsi="Myriad Pro" w:cs="Times New Roman"/>
          <w:sz w:val="26"/>
          <w:szCs w:val="26"/>
        </w:rPr>
        <w:t xml:space="preserve"> по границам балансовой принадлежности филиала </w:t>
      </w:r>
      <w:r w:rsidR="0056641A" w:rsidRPr="00FB0A3A">
        <w:rPr>
          <w:rFonts w:ascii="Myriad Pro" w:hAnsi="Myriad Pro" w:cs="Times New Roman"/>
          <w:sz w:val="26"/>
          <w:szCs w:val="26"/>
        </w:rPr>
        <w:t xml:space="preserve">ПАО </w:t>
      </w:r>
      <w:r w:rsidR="00655FFA" w:rsidRPr="00FB0A3A">
        <w:rPr>
          <w:rFonts w:ascii="Myriad Pro" w:hAnsi="Myriad Pro" w:cs="Times New Roman"/>
          <w:sz w:val="26"/>
          <w:szCs w:val="26"/>
        </w:rPr>
        <w:t>«</w:t>
      </w:r>
      <w:r w:rsidR="0056641A" w:rsidRPr="00FB0A3A">
        <w:rPr>
          <w:rFonts w:ascii="Myriad Pro" w:hAnsi="Myriad Pro" w:cs="Times New Roman"/>
          <w:sz w:val="26"/>
          <w:szCs w:val="26"/>
        </w:rPr>
        <w:t>МРСК Северо-Запада</w:t>
      </w:r>
      <w:r w:rsidR="00655FFA" w:rsidRPr="00FB0A3A">
        <w:rPr>
          <w:rFonts w:ascii="Myriad Pro" w:hAnsi="Myriad Pro" w:cs="Times New Roman"/>
          <w:sz w:val="26"/>
          <w:szCs w:val="26"/>
        </w:rPr>
        <w:t>»</w:t>
      </w:r>
      <w:r w:rsidR="0056641A" w:rsidRPr="00FB0A3A">
        <w:rPr>
          <w:rFonts w:ascii="Myriad Pro" w:hAnsi="Myriad Pro" w:cs="Times New Roman"/>
          <w:sz w:val="26"/>
          <w:szCs w:val="26"/>
        </w:rPr>
        <w:t xml:space="preserve"> </w:t>
      </w:r>
      <w:r w:rsidR="00655FFA" w:rsidRPr="00FB0A3A">
        <w:rPr>
          <w:rFonts w:ascii="Myriad Pro" w:hAnsi="Myriad Pro" w:cs="Times New Roman"/>
          <w:sz w:val="26"/>
          <w:szCs w:val="26"/>
        </w:rPr>
        <w:t>«</w:t>
      </w:r>
      <w:r w:rsidRPr="00FB0A3A">
        <w:rPr>
          <w:rFonts w:ascii="Myriad Pro" w:hAnsi="Myriad Pro" w:cs="Times New Roman"/>
          <w:sz w:val="26"/>
          <w:szCs w:val="26"/>
        </w:rPr>
        <w:t>Колэнерго</w:t>
      </w:r>
      <w:r w:rsidR="00655FFA" w:rsidRPr="00FB0A3A">
        <w:rPr>
          <w:rFonts w:ascii="Myriad Pro" w:hAnsi="Myriad Pro" w:cs="Times New Roman"/>
          <w:sz w:val="26"/>
          <w:szCs w:val="26"/>
        </w:rPr>
        <w:t>»</w:t>
      </w:r>
      <w:r w:rsidRPr="00FB0A3A">
        <w:rPr>
          <w:rFonts w:ascii="Myriad Pro" w:hAnsi="Myriad Pro" w:cs="Times New Roman"/>
          <w:sz w:val="26"/>
          <w:szCs w:val="26"/>
        </w:rPr>
        <w:t xml:space="preserve"> по уровням напряжения на 2019 год приведены в </w:t>
      </w:r>
      <w:r w:rsidR="00311D4E" w:rsidRPr="00FB0A3A">
        <w:rPr>
          <w:rFonts w:ascii="Myriad Pro" w:hAnsi="Myriad Pro" w:cs="Times New Roman"/>
          <w:sz w:val="26"/>
          <w:szCs w:val="26"/>
        </w:rPr>
        <w:t>таблице</w:t>
      </w:r>
      <w:r w:rsidRPr="00FB0A3A">
        <w:rPr>
          <w:rFonts w:ascii="Myriad Pro" w:hAnsi="Myriad Pro" w:cs="Times New Roman"/>
          <w:sz w:val="26"/>
          <w:szCs w:val="26"/>
        </w:rPr>
        <w:t>.</w:t>
      </w:r>
    </w:p>
    <w:p w14:paraId="3DA2647D" w14:textId="06D7DA36" w:rsidR="00294703" w:rsidRPr="00FB0A3A" w:rsidRDefault="00294703" w:rsidP="00A31747">
      <w:pPr>
        <w:pStyle w:val="afff4"/>
        <w:tabs>
          <w:tab w:val="left" w:pos="1134"/>
        </w:tabs>
        <w:rPr>
          <w:lang w:val="ru-RU"/>
        </w:rPr>
      </w:pPr>
      <w:r w:rsidRPr="00FB0A3A">
        <w:rPr>
          <w:b/>
          <w:lang w:val="ru-RU"/>
        </w:rPr>
        <w:t xml:space="preserve">Объемы полезного отпуска электрической энергии по границам балансовой принадлежности </w:t>
      </w:r>
      <w:r w:rsidR="0025782C" w:rsidRPr="00FB0A3A">
        <w:rPr>
          <w:b/>
          <w:lang w:val="ru-RU"/>
        </w:rPr>
        <w:t>ф</w:t>
      </w:r>
      <w:r w:rsidRPr="00FB0A3A">
        <w:rPr>
          <w:b/>
          <w:lang w:val="ru-RU"/>
        </w:rPr>
        <w:t xml:space="preserve">илиала </w:t>
      </w:r>
      <w:r w:rsidR="0056641A" w:rsidRPr="00FB0A3A">
        <w:rPr>
          <w:b/>
          <w:lang w:val="ru-RU"/>
        </w:rPr>
        <w:t xml:space="preserve">ПАО </w:t>
      </w:r>
      <w:r w:rsidR="00655FFA" w:rsidRPr="00FB0A3A">
        <w:rPr>
          <w:b/>
          <w:lang w:val="ru-RU"/>
        </w:rPr>
        <w:t>«</w:t>
      </w:r>
      <w:r w:rsidR="0056641A" w:rsidRPr="00FB0A3A">
        <w:rPr>
          <w:b/>
          <w:lang w:val="ru-RU"/>
        </w:rPr>
        <w:t>МРСК Северо-Запада</w:t>
      </w:r>
      <w:r w:rsidR="00655FFA" w:rsidRPr="00FB0A3A">
        <w:rPr>
          <w:b/>
          <w:lang w:val="ru-RU"/>
        </w:rPr>
        <w:t>»</w:t>
      </w:r>
      <w:r w:rsidR="0056641A" w:rsidRPr="00FB0A3A">
        <w:rPr>
          <w:b/>
          <w:lang w:val="ru-RU"/>
        </w:rPr>
        <w:t xml:space="preserve"> </w:t>
      </w:r>
      <w:r w:rsidR="00655FFA" w:rsidRPr="00FB0A3A">
        <w:rPr>
          <w:b/>
          <w:lang w:val="ru-RU"/>
        </w:rPr>
        <w:t>«</w:t>
      </w:r>
      <w:r w:rsidRPr="00FB0A3A">
        <w:rPr>
          <w:b/>
          <w:lang w:val="ru-RU"/>
        </w:rPr>
        <w:t>Колэнерго</w:t>
      </w:r>
      <w:r w:rsidR="00655FFA" w:rsidRPr="00FB0A3A">
        <w:rPr>
          <w:b/>
          <w:lang w:val="ru-RU"/>
        </w:rPr>
        <w:t>»</w:t>
      </w:r>
      <w:r w:rsidRPr="00FB0A3A">
        <w:rPr>
          <w:b/>
          <w:lang w:val="ru-RU"/>
        </w:rPr>
        <w:t xml:space="preserve"> по уровням напряжения на 2019 год на основании фактических объемов полезного отпуска электрической энергии за 2017 год</w:t>
      </w:r>
    </w:p>
    <w:tbl>
      <w:tblPr>
        <w:tblStyle w:val="afff6"/>
        <w:tblW w:w="5000" w:type="pct"/>
        <w:tblLook w:val="04A0" w:firstRow="1" w:lastRow="0" w:firstColumn="1" w:lastColumn="0" w:noHBand="0" w:noVBand="1"/>
      </w:tblPr>
      <w:tblGrid>
        <w:gridCol w:w="2075"/>
        <w:gridCol w:w="3892"/>
        <w:gridCol w:w="3377"/>
      </w:tblGrid>
      <w:tr w:rsidR="00F05B70" w:rsidRPr="00FB0A3A" w14:paraId="1C48B805" w14:textId="77777777" w:rsidTr="00A308AB">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9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084D2195" w14:textId="58A47E09" w:rsidR="00F05B70" w:rsidRPr="00FB0A3A" w:rsidRDefault="00F05B70" w:rsidP="00A31747">
            <w:pPr>
              <w:tabs>
                <w:tab w:val="left" w:pos="1134"/>
              </w:tabs>
              <w:contextualSpacing/>
              <w:jc w:val="center"/>
              <w:rPr>
                <w:rFonts w:cs="Times New Roman"/>
                <w:sz w:val="20"/>
                <w:szCs w:val="20"/>
              </w:rPr>
            </w:pPr>
            <w:r w:rsidRPr="00FB0A3A">
              <w:rPr>
                <w:rFonts w:cs="Times New Roman"/>
                <w:sz w:val="20"/>
                <w:szCs w:val="20"/>
              </w:rPr>
              <w:lastRenderedPageBreak/>
              <w:t>Уровень напряжения</w:t>
            </w:r>
          </w:p>
        </w:tc>
        <w:tc>
          <w:tcPr>
            <w:tcW w:w="20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120E10BF" w14:textId="77777777" w:rsidR="00F05B70" w:rsidRPr="00FB0A3A" w:rsidRDefault="00F05B70" w:rsidP="00A31747">
            <w:pPr>
              <w:tabs>
                <w:tab w:val="left" w:pos="1134"/>
              </w:tabs>
              <w:contextualSpacing/>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FB0A3A">
              <w:rPr>
                <w:rFonts w:cs="Times New Roman"/>
                <w:sz w:val="20"/>
                <w:szCs w:val="20"/>
              </w:rPr>
              <w:t>Факт полезного отпуска ЭЭ</w:t>
            </w:r>
          </w:p>
          <w:p w14:paraId="40A52B08" w14:textId="77777777" w:rsidR="00F05B70" w:rsidRPr="00FB0A3A" w:rsidRDefault="00F05B70" w:rsidP="00A31747">
            <w:pPr>
              <w:tabs>
                <w:tab w:val="left" w:pos="1134"/>
              </w:tabs>
              <w:contextualSpacing/>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FB0A3A">
              <w:rPr>
                <w:rFonts w:cs="Times New Roman"/>
                <w:sz w:val="20"/>
                <w:szCs w:val="20"/>
              </w:rPr>
              <w:t>за 2017 г. (с Х.Н.)</w:t>
            </w:r>
          </w:p>
        </w:tc>
        <w:tc>
          <w:tcPr>
            <w:tcW w:w="18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1B709BDD" w14:textId="77777777" w:rsidR="00F05B70" w:rsidRPr="00FB0A3A" w:rsidRDefault="00F05B70" w:rsidP="00A31747">
            <w:pPr>
              <w:tabs>
                <w:tab w:val="left" w:pos="1134"/>
              </w:tabs>
              <w:contextualSpacing/>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FB0A3A">
              <w:rPr>
                <w:rFonts w:cs="Times New Roman"/>
                <w:sz w:val="20"/>
                <w:szCs w:val="20"/>
              </w:rPr>
              <w:t>План полезного отпуска ЭЭ</w:t>
            </w:r>
          </w:p>
          <w:p w14:paraId="4A182B7A" w14:textId="77777777" w:rsidR="00F05B70" w:rsidRPr="00FB0A3A" w:rsidRDefault="00F05B70" w:rsidP="00A31747">
            <w:pPr>
              <w:tabs>
                <w:tab w:val="left" w:pos="1134"/>
              </w:tabs>
              <w:contextualSpacing/>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FB0A3A">
              <w:rPr>
                <w:rFonts w:cs="Times New Roman"/>
                <w:sz w:val="20"/>
                <w:szCs w:val="20"/>
              </w:rPr>
              <w:t>на 2019 г. (с Х.Н.)</w:t>
            </w:r>
          </w:p>
        </w:tc>
      </w:tr>
      <w:tr w:rsidR="00F05B70" w:rsidRPr="00FB0A3A" w14:paraId="666ADD27" w14:textId="77777777" w:rsidTr="00A308AB">
        <w:trPr>
          <w:trHeight w:val="336"/>
        </w:trPr>
        <w:tc>
          <w:tcPr>
            <w:cnfStyle w:val="001000000000" w:firstRow="0" w:lastRow="0" w:firstColumn="1" w:lastColumn="0" w:oddVBand="0" w:evenVBand="0" w:oddHBand="0" w:evenHBand="0" w:firstRowFirstColumn="0" w:firstRowLastColumn="0" w:lastRowFirstColumn="0" w:lastRowLastColumn="0"/>
            <w:tcW w:w="109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2CC86358" w14:textId="66D66755" w:rsidR="00F05B70" w:rsidRPr="00FB0A3A" w:rsidRDefault="00F05B70" w:rsidP="00A31747">
            <w:pPr>
              <w:tabs>
                <w:tab w:val="left" w:pos="1134"/>
              </w:tabs>
              <w:contextualSpacing/>
              <w:rPr>
                <w:rFonts w:cs="Times New Roman"/>
                <w:sz w:val="20"/>
                <w:szCs w:val="20"/>
              </w:rPr>
            </w:pPr>
          </w:p>
        </w:tc>
        <w:tc>
          <w:tcPr>
            <w:tcW w:w="20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1E980468" w14:textId="77777777" w:rsidR="00F05B70" w:rsidRPr="00FB0A3A" w:rsidRDefault="00F05B70" w:rsidP="00A31747">
            <w:pPr>
              <w:tabs>
                <w:tab w:val="left" w:pos="1134"/>
              </w:tabs>
              <w:contextualSpacing/>
              <w:cnfStyle w:val="000000000000" w:firstRow="0" w:lastRow="0" w:firstColumn="0" w:lastColumn="0" w:oddVBand="0" w:evenVBand="0" w:oddHBand="0" w:evenHBand="0" w:firstRowFirstColumn="0" w:firstRowLastColumn="0" w:lastRowFirstColumn="0" w:lastRowLastColumn="0"/>
              <w:rPr>
                <w:rFonts w:cs="Times New Roman"/>
                <w:color w:val="FFFFFF" w:themeColor="background1"/>
                <w:sz w:val="20"/>
                <w:szCs w:val="20"/>
              </w:rPr>
            </w:pPr>
            <w:r w:rsidRPr="00FB0A3A">
              <w:rPr>
                <w:rFonts w:cs="Times New Roman"/>
                <w:color w:val="FFFFFF" w:themeColor="background1"/>
                <w:sz w:val="20"/>
                <w:szCs w:val="20"/>
              </w:rPr>
              <w:t>Объемы, млн кВтч</w:t>
            </w:r>
          </w:p>
        </w:tc>
        <w:tc>
          <w:tcPr>
            <w:tcW w:w="18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48EDD0AA" w14:textId="77777777" w:rsidR="00F05B70" w:rsidRPr="00FB0A3A" w:rsidRDefault="00F05B70" w:rsidP="00A31747">
            <w:pPr>
              <w:tabs>
                <w:tab w:val="left" w:pos="1134"/>
              </w:tabs>
              <w:contextualSpacing/>
              <w:cnfStyle w:val="000000000000" w:firstRow="0" w:lastRow="0" w:firstColumn="0" w:lastColumn="0" w:oddVBand="0" w:evenVBand="0" w:oddHBand="0" w:evenHBand="0" w:firstRowFirstColumn="0" w:firstRowLastColumn="0" w:lastRowFirstColumn="0" w:lastRowLastColumn="0"/>
              <w:rPr>
                <w:rFonts w:cs="Times New Roman"/>
                <w:color w:val="FFFFFF" w:themeColor="background1"/>
                <w:sz w:val="20"/>
                <w:szCs w:val="20"/>
              </w:rPr>
            </w:pPr>
            <w:r w:rsidRPr="00FB0A3A">
              <w:rPr>
                <w:rFonts w:cs="Times New Roman"/>
                <w:color w:val="FFFFFF" w:themeColor="background1"/>
                <w:sz w:val="20"/>
                <w:szCs w:val="20"/>
              </w:rPr>
              <w:t>Объемы, млн кВтч</w:t>
            </w:r>
          </w:p>
        </w:tc>
      </w:tr>
      <w:tr w:rsidR="00F05B70" w:rsidRPr="00FB0A3A" w14:paraId="1CC253E0" w14:textId="77777777" w:rsidTr="00A308AB">
        <w:trPr>
          <w:trHeight w:val="20"/>
        </w:trPr>
        <w:tc>
          <w:tcPr>
            <w:cnfStyle w:val="001000000000" w:firstRow="0" w:lastRow="0" w:firstColumn="1" w:lastColumn="0" w:oddVBand="0" w:evenVBand="0" w:oddHBand="0" w:evenHBand="0" w:firstRowFirstColumn="0" w:firstRowLastColumn="0" w:lastRowFirstColumn="0" w:lastRowLastColumn="0"/>
            <w:tcW w:w="1094" w:type="pct"/>
            <w:tcBorders>
              <w:top w:val="single" w:sz="4" w:space="0" w:color="FFFFFF" w:themeColor="background1"/>
            </w:tcBorders>
            <w:noWrap/>
            <w:hideMark/>
          </w:tcPr>
          <w:p w14:paraId="2CB30161" w14:textId="77777777" w:rsidR="00294703" w:rsidRPr="00FB0A3A" w:rsidRDefault="00294703" w:rsidP="00A31747">
            <w:pPr>
              <w:tabs>
                <w:tab w:val="left" w:pos="1134"/>
              </w:tabs>
              <w:contextualSpacing/>
              <w:rPr>
                <w:rFonts w:cs="Times New Roman"/>
                <w:sz w:val="20"/>
                <w:szCs w:val="20"/>
              </w:rPr>
            </w:pPr>
            <w:r w:rsidRPr="00FB0A3A">
              <w:rPr>
                <w:rFonts w:cs="Times New Roman"/>
                <w:sz w:val="20"/>
                <w:szCs w:val="20"/>
              </w:rPr>
              <w:t>ВН</w:t>
            </w:r>
          </w:p>
        </w:tc>
        <w:tc>
          <w:tcPr>
            <w:tcW w:w="2091" w:type="pct"/>
            <w:tcBorders>
              <w:top w:val="single" w:sz="4" w:space="0" w:color="FFFFFF" w:themeColor="background1"/>
            </w:tcBorders>
            <w:noWrap/>
            <w:hideMark/>
          </w:tcPr>
          <w:p w14:paraId="6A48A267" w14:textId="77777777" w:rsidR="00294703" w:rsidRPr="00FB0A3A" w:rsidRDefault="00294703" w:rsidP="00A31747">
            <w:pPr>
              <w:tabs>
                <w:tab w:val="left" w:pos="1134"/>
              </w:tabs>
              <w:contextualSpacing/>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FB0A3A">
              <w:rPr>
                <w:rFonts w:cs="Times New Roman"/>
                <w:sz w:val="20"/>
                <w:szCs w:val="20"/>
              </w:rPr>
              <w:t>9 522,7963</w:t>
            </w:r>
          </w:p>
        </w:tc>
        <w:tc>
          <w:tcPr>
            <w:tcW w:w="1815" w:type="pct"/>
            <w:tcBorders>
              <w:top w:val="single" w:sz="4" w:space="0" w:color="FFFFFF" w:themeColor="background1"/>
            </w:tcBorders>
            <w:noWrap/>
            <w:hideMark/>
          </w:tcPr>
          <w:p w14:paraId="7F8B4426" w14:textId="77777777" w:rsidR="00294703" w:rsidRPr="00FB0A3A" w:rsidRDefault="00294703" w:rsidP="00A31747">
            <w:pPr>
              <w:tabs>
                <w:tab w:val="left" w:pos="1134"/>
              </w:tabs>
              <w:contextualSpacing/>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FB0A3A">
              <w:rPr>
                <w:rFonts w:cs="Times New Roman"/>
                <w:sz w:val="20"/>
                <w:szCs w:val="20"/>
              </w:rPr>
              <w:t>9 403,8138</w:t>
            </w:r>
          </w:p>
        </w:tc>
      </w:tr>
      <w:tr w:rsidR="00F05B70" w:rsidRPr="00FB0A3A" w14:paraId="02951D3E" w14:textId="77777777" w:rsidTr="00F05B70">
        <w:trPr>
          <w:trHeight w:val="20"/>
        </w:trPr>
        <w:tc>
          <w:tcPr>
            <w:cnfStyle w:val="001000000000" w:firstRow="0" w:lastRow="0" w:firstColumn="1" w:lastColumn="0" w:oddVBand="0" w:evenVBand="0" w:oddHBand="0" w:evenHBand="0" w:firstRowFirstColumn="0" w:firstRowLastColumn="0" w:lastRowFirstColumn="0" w:lastRowLastColumn="0"/>
            <w:tcW w:w="1094" w:type="pct"/>
            <w:noWrap/>
            <w:hideMark/>
          </w:tcPr>
          <w:p w14:paraId="66188BC5" w14:textId="77777777" w:rsidR="00294703" w:rsidRPr="00FB0A3A" w:rsidRDefault="00294703" w:rsidP="00A31747">
            <w:pPr>
              <w:tabs>
                <w:tab w:val="left" w:pos="1134"/>
              </w:tabs>
              <w:contextualSpacing/>
              <w:rPr>
                <w:rFonts w:cs="Times New Roman"/>
                <w:sz w:val="20"/>
                <w:szCs w:val="20"/>
              </w:rPr>
            </w:pPr>
            <w:r w:rsidRPr="00FB0A3A">
              <w:rPr>
                <w:rFonts w:cs="Times New Roman"/>
                <w:sz w:val="20"/>
                <w:szCs w:val="20"/>
              </w:rPr>
              <w:t>СН-1</w:t>
            </w:r>
          </w:p>
        </w:tc>
        <w:tc>
          <w:tcPr>
            <w:tcW w:w="2091" w:type="pct"/>
            <w:noWrap/>
            <w:hideMark/>
          </w:tcPr>
          <w:p w14:paraId="56B6E4C6" w14:textId="77777777" w:rsidR="00294703" w:rsidRPr="00FB0A3A" w:rsidRDefault="00294703" w:rsidP="00A31747">
            <w:pPr>
              <w:tabs>
                <w:tab w:val="left" w:pos="1134"/>
              </w:tabs>
              <w:contextualSpacing/>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FB0A3A">
              <w:rPr>
                <w:rFonts w:cs="Times New Roman"/>
                <w:sz w:val="20"/>
                <w:szCs w:val="20"/>
              </w:rPr>
              <w:t>963,3810</w:t>
            </w:r>
          </w:p>
        </w:tc>
        <w:tc>
          <w:tcPr>
            <w:tcW w:w="1815" w:type="pct"/>
            <w:noWrap/>
            <w:hideMark/>
          </w:tcPr>
          <w:p w14:paraId="41736276" w14:textId="77777777" w:rsidR="00294703" w:rsidRPr="00FB0A3A" w:rsidRDefault="00294703" w:rsidP="00A31747">
            <w:pPr>
              <w:tabs>
                <w:tab w:val="left" w:pos="1134"/>
              </w:tabs>
              <w:contextualSpacing/>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FB0A3A">
              <w:rPr>
                <w:rFonts w:cs="Times New Roman"/>
                <w:sz w:val="20"/>
                <w:szCs w:val="20"/>
              </w:rPr>
              <w:t>950,3187</w:t>
            </w:r>
          </w:p>
        </w:tc>
      </w:tr>
      <w:tr w:rsidR="00F05B70" w:rsidRPr="00FB0A3A" w14:paraId="05C185FB" w14:textId="77777777" w:rsidTr="00F05B70">
        <w:trPr>
          <w:trHeight w:val="20"/>
        </w:trPr>
        <w:tc>
          <w:tcPr>
            <w:cnfStyle w:val="001000000000" w:firstRow="0" w:lastRow="0" w:firstColumn="1" w:lastColumn="0" w:oddVBand="0" w:evenVBand="0" w:oddHBand="0" w:evenHBand="0" w:firstRowFirstColumn="0" w:firstRowLastColumn="0" w:lastRowFirstColumn="0" w:lastRowLastColumn="0"/>
            <w:tcW w:w="1094" w:type="pct"/>
            <w:noWrap/>
            <w:hideMark/>
          </w:tcPr>
          <w:p w14:paraId="2D8F74DE" w14:textId="77777777" w:rsidR="00294703" w:rsidRPr="00FB0A3A" w:rsidRDefault="00294703" w:rsidP="00A31747">
            <w:pPr>
              <w:tabs>
                <w:tab w:val="left" w:pos="1134"/>
              </w:tabs>
              <w:contextualSpacing/>
              <w:rPr>
                <w:rFonts w:cs="Times New Roman"/>
                <w:sz w:val="20"/>
                <w:szCs w:val="20"/>
              </w:rPr>
            </w:pPr>
            <w:r w:rsidRPr="00FB0A3A">
              <w:rPr>
                <w:rFonts w:cs="Times New Roman"/>
                <w:sz w:val="20"/>
                <w:szCs w:val="20"/>
              </w:rPr>
              <w:t>СН-2</w:t>
            </w:r>
          </w:p>
        </w:tc>
        <w:tc>
          <w:tcPr>
            <w:tcW w:w="2091" w:type="pct"/>
            <w:noWrap/>
            <w:hideMark/>
          </w:tcPr>
          <w:p w14:paraId="73833BF8" w14:textId="77777777" w:rsidR="00294703" w:rsidRPr="00FB0A3A" w:rsidRDefault="00294703" w:rsidP="00A31747">
            <w:pPr>
              <w:tabs>
                <w:tab w:val="left" w:pos="1134"/>
              </w:tabs>
              <w:contextualSpacing/>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FB0A3A">
              <w:rPr>
                <w:rFonts w:cs="Times New Roman"/>
                <w:sz w:val="20"/>
                <w:szCs w:val="20"/>
              </w:rPr>
              <w:t>347,5087</w:t>
            </w:r>
          </w:p>
        </w:tc>
        <w:tc>
          <w:tcPr>
            <w:tcW w:w="1815" w:type="pct"/>
            <w:noWrap/>
            <w:hideMark/>
          </w:tcPr>
          <w:p w14:paraId="0CA08957" w14:textId="77777777" w:rsidR="00294703" w:rsidRPr="00FB0A3A" w:rsidRDefault="00294703" w:rsidP="00A31747">
            <w:pPr>
              <w:tabs>
                <w:tab w:val="left" w:pos="1134"/>
              </w:tabs>
              <w:contextualSpacing/>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FB0A3A">
              <w:rPr>
                <w:rFonts w:cs="Times New Roman"/>
                <w:sz w:val="20"/>
                <w:szCs w:val="20"/>
              </w:rPr>
              <w:t>341,5049</w:t>
            </w:r>
          </w:p>
        </w:tc>
      </w:tr>
      <w:tr w:rsidR="00F05B70" w:rsidRPr="00FB0A3A" w14:paraId="4C7493E6" w14:textId="77777777" w:rsidTr="00F05B70">
        <w:trPr>
          <w:trHeight w:val="20"/>
        </w:trPr>
        <w:tc>
          <w:tcPr>
            <w:cnfStyle w:val="001000000000" w:firstRow="0" w:lastRow="0" w:firstColumn="1" w:lastColumn="0" w:oddVBand="0" w:evenVBand="0" w:oddHBand="0" w:evenHBand="0" w:firstRowFirstColumn="0" w:firstRowLastColumn="0" w:lastRowFirstColumn="0" w:lastRowLastColumn="0"/>
            <w:tcW w:w="1094" w:type="pct"/>
            <w:noWrap/>
            <w:hideMark/>
          </w:tcPr>
          <w:p w14:paraId="6C3DAA93" w14:textId="77777777" w:rsidR="00294703" w:rsidRPr="00FB0A3A" w:rsidRDefault="00294703" w:rsidP="00A31747">
            <w:pPr>
              <w:tabs>
                <w:tab w:val="left" w:pos="1134"/>
              </w:tabs>
              <w:contextualSpacing/>
              <w:rPr>
                <w:rFonts w:cs="Times New Roman"/>
                <w:sz w:val="20"/>
                <w:szCs w:val="20"/>
              </w:rPr>
            </w:pPr>
            <w:r w:rsidRPr="00FB0A3A">
              <w:rPr>
                <w:rFonts w:cs="Times New Roman"/>
                <w:sz w:val="20"/>
                <w:szCs w:val="20"/>
              </w:rPr>
              <w:t>НН</w:t>
            </w:r>
          </w:p>
        </w:tc>
        <w:tc>
          <w:tcPr>
            <w:tcW w:w="2091" w:type="pct"/>
            <w:noWrap/>
            <w:hideMark/>
          </w:tcPr>
          <w:p w14:paraId="14C5B2AE" w14:textId="77777777" w:rsidR="00294703" w:rsidRPr="00FB0A3A" w:rsidRDefault="00294703" w:rsidP="00A31747">
            <w:pPr>
              <w:tabs>
                <w:tab w:val="left" w:pos="1134"/>
              </w:tabs>
              <w:contextualSpacing/>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FB0A3A">
              <w:rPr>
                <w:rFonts w:cs="Times New Roman"/>
                <w:sz w:val="20"/>
                <w:szCs w:val="20"/>
              </w:rPr>
              <w:t>152,4633</w:t>
            </w:r>
          </w:p>
        </w:tc>
        <w:tc>
          <w:tcPr>
            <w:tcW w:w="1815" w:type="pct"/>
            <w:noWrap/>
            <w:hideMark/>
          </w:tcPr>
          <w:p w14:paraId="7F6478A0" w14:textId="77777777" w:rsidR="00294703" w:rsidRPr="00FB0A3A" w:rsidRDefault="00294703" w:rsidP="00A31747">
            <w:pPr>
              <w:tabs>
                <w:tab w:val="left" w:pos="1134"/>
              </w:tabs>
              <w:contextualSpacing/>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FB0A3A">
              <w:rPr>
                <w:rFonts w:cs="Times New Roman"/>
                <w:sz w:val="20"/>
                <w:szCs w:val="20"/>
              </w:rPr>
              <w:t>145,7006</w:t>
            </w:r>
          </w:p>
        </w:tc>
      </w:tr>
      <w:tr w:rsidR="00F05B70" w:rsidRPr="00FB0A3A" w14:paraId="52113C06" w14:textId="77777777" w:rsidTr="00F05B70">
        <w:trPr>
          <w:trHeight w:val="20"/>
        </w:trPr>
        <w:tc>
          <w:tcPr>
            <w:cnfStyle w:val="001000000000" w:firstRow="0" w:lastRow="0" w:firstColumn="1" w:lastColumn="0" w:oddVBand="0" w:evenVBand="0" w:oddHBand="0" w:evenHBand="0" w:firstRowFirstColumn="0" w:firstRowLastColumn="0" w:lastRowFirstColumn="0" w:lastRowLastColumn="0"/>
            <w:tcW w:w="1094" w:type="pct"/>
            <w:noWrap/>
            <w:hideMark/>
          </w:tcPr>
          <w:p w14:paraId="2F5ACF79" w14:textId="77777777" w:rsidR="00294703" w:rsidRPr="00FB0A3A" w:rsidRDefault="00294703" w:rsidP="00A31747">
            <w:pPr>
              <w:tabs>
                <w:tab w:val="left" w:pos="1134"/>
              </w:tabs>
              <w:contextualSpacing/>
              <w:rPr>
                <w:rFonts w:cs="Times New Roman"/>
                <w:b/>
                <w:sz w:val="20"/>
                <w:szCs w:val="20"/>
              </w:rPr>
            </w:pPr>
            <w:r w:rsidRPr="00FB0A3A">
              <w:rPr>
                <w:rFonts w:cs="Times New Roman"/>
                <w:b/>
                <w:sz w:val="20"/>
                <w:szCs w:val="20"/>
              </w:rPr>
              <w:t>Всего</w:t>
            </w:r>
          </w:p>
        </w:tc>
        <w:tc>
          <w:tcPr>
            <w:tcW w:w="2091" w:type="pct"/>
            <w:noWrap/>
            <w:hideMark/>
          </w:tcPr>
          <w:p w14:paraId="49D62488" w14:textId="77777777" w:rsidR="00294703" w:rsidRPr="00FB0A3A" w:rsidRDefault="00294703" w:rsidP="00A31747">
            <w:pPr>
              <w:tabs>
                <w:tab w:val="left" w:pos="1134"/>
              </w:tabs>
              <w:contextualSpacing/>
              <w:cnfStyle w:val="000000000000" w:firstRow="0" w:lastRow="0" w:firstColumn="0" w:lastColumn="0" w:oddVBand="0" w:evenVBand="0" w:oddHBand="0" w:evenHBand="0" w:firstRowFirstColumn="0" w:firstRowLastColumn="0" w:lastRowFirstColumn="0" w:lastRowLastColumn="0"/>
              <w:rPr>
                <w:rFonts w:cs="Times New Roman"/>
                <w:b/>
                <w:sz w:val="20"/>
                <w:szCs w:val="20"/>
              </w:rPr>
            </w:pPr>
            <w:r w:rsidRPr="00FB0A3A">
              <w:rPr>
                <w:rFonts w:cs="Times New Roman"/>
                <w:b/>
                <w:sz w:val="20"/>
                <w:szCs w:val="20"/>
              </w:rPr>
              <w:t>10 986,1493</w:t>
            </w:r>
          </w:p>
        </w:tc>
        <w:tc>
          <w:tcPr>
            <w:tcW w:w="1815" w:type="pct"/>
            <w:noWrap/>
            <w:hideMark/>
          </w:tcPr>
          <w:p w14:paraId="37444B80" w14:textId="77777777" w:rsidR="00294703" w:rsidRPr="00FB0A3A" w:rsidRDefault="00294703" w:rsidP="00A31747">
            <w:pPr>
              <w:tabs>
                <w:tab w:val="left" w:pos="1134"/>
              </w:tabs>
              <w:contextualSpacing/>
              <w:cnfStyle w:val="000000000000" w:firstRow="0" w:lastRow="0" w:firstColumn="0" w:lastColumn="0" w:oddVBand="0" w:evenVBand="0" w:oddHBand="0" w:evenHBand="0" w:firstRowFirstColumn="0" w:firstRowLastColumn="0" w:lastRowFirstColumn="0" w:lastRowLastColumn="0"/>
              <w:rPr>
                <w:rFonts w:cs="Times New Roman"/>
                <w:b/>
                <w:sz w:val="20"/>
                <w:szCs w:val="20"/>
              </w:rPr>
            </w:pPr>
            <w:r w:rsidRPr="00FB0A3A">
              <w:rPr>
                <w:rFonts w:cs="Times New Roman"/>
                <w:b/>
                <w:sz w:val="20"/>
                <w:szCs w:val="20"/>
              </w:rPr>
              <w:t>10 841,338</w:t>
            </w:r>
          </w:p>
        </w:tc>
      </w:tr>
    </w:tbl>
    <w:p w14:paraId="687155B1" w14:textId="64BD587C" w:rsidR="00294703" w:rsidRPr="00FB0A3A" w:rsidRDefault="00294703" w:rsidP="00C04ABD">
      <w:pPr>
        <w:pStyle w:val="afff7"/>
        <w:tabs>
          <w:tab w:val="left" w:pos="1134"/>
        </w:tabs>
      </w:pPr>
      <w:r w:rsidRPr="00FB0A3A">
        <w:t>Распределение по уровням напряжения заявленной мощности потребителей на 2019 год определено на основании планового объема отпуска электрической энергии, дифференцированного по уровням напряжения, и числа часов использования мощности на каждом уровне напряжения.</w:t>
      </w:r>
    </w:p>
    <w:p w14:paraId="7622388C" w14:textId="558C4949" w:rsidR="00F05B70" w:rsidRPr="00FB0A3A" w:rsidRDefault="00294703" w:rsidP="00C04ABD">
      <w:pPr>
        <w:tabs>
          <w:tab w:val="left" w:pos="1134"/>
        </w:tabs>
        <w:autoSpaceDE w:val="0"/>
        <w:autoSpaceDN w:val="0"/>
        <w:adjustRightInd w:val="0"/>
        <w:spacing w:after="0" w:line="360" w:lineRule="auto"/>
        <w:ind w:firstLine="567"/>
        <w:jc w:val="both"/>
        <w:rPr>
          <w:rFonts w:ascii="Myriad Pro" w:hAnsi="Myriad Pro" w:cs="Times New Roman"/>
          <w:sz w:val="26"/>
          <w:szCs w:val="26"/>
        </w:rPr>
      </w:pPr>
      <w:r w:rsidRPr="00FB0A3A">
        <w:rPr>
          <w:rFonts w:ascii="Myriad Pro" w:hAnsi="Myriad Pro" w:cs="Times New Roman"/>
          <w:sz w:val="26"/>
          <w:szCs w:val="26"/>
        </w:rPr>
        <w:t xml:space="preserve">Число часов использования мощности на каждом уровне напряжения определено в результате анализа, проведенного специалистами </w:t>
      </w:r>
      <w:r w:rsidR="0025782C" w:rsidRPr="00FB0A3A">
        <w:rPr>
          <w:rFonts w:ascii="Myriad Pro" w:hAnsi="Myriad Pro" w:cs="Times New Roman"/>
          <w:sz w:val="26"/>
          <w:szCs w:val="26"/>
        </w:rPr>
        <w:t>ф</w:t>
      </w:r>
      <w:r w:rsidRPr="00FB0A3A">
        <w:rPr>
          <w:rFonts w:ascii="Myriad Pro" w:hAnsi="Myriad Pro" w:cs="Times New Roman"/>
          <w:sz w:val="26"/>
          <w:szCs w:val="26"/>
        </w:rPr>
        <w:t xml:space="preserve">илиала </w:t>
      </w:r>
      <w:r w:rsidR="00655FFA" w:rsidRPr="00FB0A3A">
        <w:rPr>
          <w:rFonts w:ascii="Myriad Pro" w:hAnsi="Myriad Pro" w:cs="Times New Roman"/>
          <w:sz w:val="26"/>
          <w:szCs w:val="26"/>
        </w:rPr>
        <w:t>ПАО</w:t>
      </w:r>
      <w:r w:rsidR="00996030">
        <w:rPr>
          <w:rFonts w:ascii="Myriad Pro" w:hAnsi="Myriad Pro" w:cs="Times New Roman"/>
          <w:sz w:val="26"/>
          <w:szCs w:val="26"/>
        </w:rPr>
        <w:t> </w:t>
      </w:r>
      <w:r w:rsidR="00655FFA" w:rsidRPr="00FB0A3A">
        <w:rPr>
          <w:rFonts w:ascii="Myriad Pro" w:hAnsi="Myriad Pro" w:cs="Times New Roman"/>
          <w:sz w:val="26"/>
          <w:szCs w:val="26"/>
        </w:rPr>
        <w:t xml:space="preserve">«МРСК </w:t>
      </w:r>
      <w:r w:rsidRPr="00FB0A3A">
        <w:rPr>
          <w:rFonts w:ascii="Myriad Pro" w:hAnsi="Myriad Pro" w:cs="Times New Roman"/>
          <w:sz w:val="26"/>
          <w:szCs w:val="26"/>
        </w:rPr>
        <w:t>Северо-Запада</w:t>
      </w:r>
      <w:r w:rsidR="00655FFA" w:rsidRPr="00FB0A3A">
        <w:rPr>
          <w:rFonts w:ascii="Myriad Pro" w:hAnsi="Myriad Pro" w:cs="Times New Roman"/>
          <w:sz w:val="26"/>
          <w:szCs w:val="26"/>
        </w:rPr>
        <w:t>»</w:t>
      </w:r>
      <w:r w:rsidRPr="00FB0A3A">
        <w:rPr>
          <w:rFonts w:ascii="Myriad Pro" w:hAnsi="Myriad Pro" w:cs="Times New Roman"/>
          <w:sz w:val="26"/>
          <w:szCs w:val="26"/>
        </w:rPr>
        <w:t xml:space="preserve"> </w:t>
      </w:r>
      <w:r w:rsidR="00655FFA" w:rsidRPr="00FB0A3A">
        <w:rPr>
          <w:rFonts w:ascii="Myriad Pro" w:hAnsi="Myriad Pro" w:cs="Times New Roman"/>
          <w:sz w:val="26"/>
          <w:szCs w:val="26"/>
        </w:rPr>
        <w:t>«</w:t>
      </w:r>
      <w:r w:rsidRPr="00FB0A3A">
        <w:rPr>
          <w:rFonts w:ascii="Myriad Pro" w:hAnsi="Myriad Pro" w:cs="Times New Roman"/>
          <w:sz w:val="26"/>
          <w:szCs w:val="26"/>
        </w:rPr>
        <w:t>Колэнерго</w:t>
      </w:r>
      <w:r w:rsidR="00655FFA" w:rsidRPr="00FB0A3A">
        <w:rPr>
          <w:rFonts w:ascii="Myriad Pro" w:hAnsi="Myriad Pro" w:cs="Times New Roman"/>
          <w:sz w:val="26"/>
          <w:szCs w:val="26"/>
        </w:rPr>
        <w:t>»</w:t>
      </w:r>
      <w:r w:rsidRPr="00FB0A3A">
        <w:rPr>
          <w:rFonts w:ascii="Myriad Pro" w:hAnsi="Myriad Pro" w:cs="Times New Roman"/>
          <w:sz w:val="26"/>
          <w:szCs w:val="26"/>
        </w:rPr>
        <w:t xml:space="preserve"> на основании опыта предыдущих периодов регулирования (2010-2017 гг.) и исходя из максимального годового числа часов использования мощности 8760. Результаты расчета объемов заявленной мощности, дифференцированных по уровням напряжения, и числа часов использования заявленной мощности для каждого уровня напряжения отражены в </w:t>
      </w:r>
      <w:r w:rsidR="001538BD" w:rsidRPr="00FB0A3A">
        <w:rPr>
          <w:rFonts w:ascii="Myriad Pro" w:hAnsi="Myriad Pro" w:cs="Times New Roman"/>
          <w:sz w:val="26"/>
          <w:szCs w:val="26"/>
        </w:rPr>
        <w:t>таблице</w:t>
      </w:r>
      <w:r w:rsidRPr="00FB0A3A">
        <w:rPr>
          <w:rFonts w:ascii="Myriad Pro" w:hAnsi="Myriad Pro" w:cs="Times New Roman"/>
          <w:sz w:val="26"/>
          <w:szCs w:val="26"/>
        </w:rPr>
        <w:t>.</w:t>
      </w:r>
    </w:p>
    <w:p w14:paraId="441C4175" w14:textId="79A16AD6" w:rsidR="00294703" w:rsidRPr="00FB0A3A" w:rsidRDefault="00294703" w:rsidP="00C04ABD">
      <w:pPr>
        <w:tabs>
          <w:tab w:val="left" w:pos="1134"/>
        </w:tabs>
        <w:spacing w:line="360" w:lineRule="auto"/>
        <w:ind w:right="-6" w:firstLine="567"/>
        <w:jc w:val="both"/>
        <w:rPr>
          <w:rFonts w:ascii="Myriad Pro" w:hAnsi="Myriad Pro" w:cs="Times New Roman"/>
          <w:b/>
          <w:bCs/>
          <w:sz w:val="26"/>
          <w:szCs w:val="26"/>
        </w:rPr>
      </w:pPr>
      <w:r w:rsidRPr="00FB0A3A">
        <w:rPr>
          <w:rFonts w:ascii="Myriad Pro" w:hAnsi="Myriad Pro" w:cs="Times New Roman"/>
          <w:b/>
          <w:bCs/>
          <w:sz w:val="26"/>
          <w:szCs w:val="26"/>
        </w:rPr>
        <w:t xml:space="preserve">Дифференциация объема заявленной мощности по границам балансовой принадлежности филиала </w:t>
      </w:r>
      <w:r w:rsidR="0056641A" w:rsidRPr="00FB0A3A">
        <w:rPr>
          <w:rFonts w:ascii="Myriad Pro" w:hAnsi="Myriad Pro" w:cs="Times New Roman"/>
          <w:b/>
          <w:bCs/>
          <w:sz w:val="26"/>
          <w:szCs w:val="26"/>
        </w:rPr>
        <w:t xml:space="preserve">ПАО </w:t>
      </w:r>
      <w:r w:rsidR="00655FFA" w:rsidRPr="00FB0A3A">
        <w:rPr>
          <w:rFonts w:ascii="Myriad Pro" w:hAnsi="Myriad Pro" w:cs="Times New Roman"/>
          <w:b/>
          <w:bCs/>
          <w:sz w:val="26"/>
          <w:szCs w:val="26"/>
        </w:rPr>
        <w:t>«</w:t>
      </w:r>
      <w:r w:rsidR="0056641A" w:rsidRPr="00FB0A3A">
        <w:rPr>
          <w:rFonts w:ascii="Myriad Pro" w:hAnsi="Myriad Pro" w:cs="Times New Roman"/>
          <w:b/>
          <w:bCs/>
          <w:sz w:val="26"/>
          <w:szCs w:val="26"/>
        </w:rPr>
        <w:t>МРСК Северо-Запада</w:t>
      </w:r>
      <w:r w:rsidR="00655FFA" w:rsidRPr="00FB0A3A">
        <w:rPr>
          <w:rFonts w:ascii="Myriad Pro" w:hAnsi="Myriad Pro" w:cs="Times New Roman"/>
          <w:b/>
          <w:bCs/>
          <w:sz w:val="26"/>
          <w:szCs w:val="26"/>
        </w:rPr>
        <w:t>»</w:t>
      </w:r>
      <w:r w:rsidR="0056641A" w:rsidRPr="00FB0A3A">
        <w:rPr>
          <w:rFonts w:ascii="Myriad Pro" w:hAnsi="Myriad Pro" w:cs="Times New Roman"/>
          <w:b/>
          <w:bCs/>
          <w:sz w:val="26"/>
          <w:szCs w:val="26"/>
        </w:rPr>
        <w:t xml:space="preserve"> </w:t>
      </w:r>
      <w:r w:rsidR="00655FFA" w:rsidRPr="00FB0A3A">
        <w:rPr>
          <w:rFonts w:ascii="Myriad Pro" w:hAnsi="Myriad Pro" w:cs="Times New Roman"/>
          <w:b/>
          <w:bCs/>
          <w:sz w:val="26"/>
          <w:szCs w:val="26"/>
        </w:rPr>
        <w:t>«</w:t>
      </w:r>
      <w:r w:rsidRPr="00FB0A3A">
        <w:rPr>
          <w:rFonts w:ascii="Myriad Pro" w:hAnsi="Myriad Pro" w:cs="Times New Roman"/>
          <w:b/>
          <w:bCs/>
          <w:sz w:val="26"/>
          <w:szCs w:val="26"/>
        </w:rPr>
        <w:t>Колэнерго</w:t>
      </w:r>
      <w:r w:rsidR="00655FFA" w:rsidRPr="00FB0A3A">
        <w:rPr>
          <w:rFonts w:ascii="Myriad Pro" w:hAnsi="Myriad Pro" w:cs="Times New Roman"/>
          <w:b/>
          <w:bCs/>
          <w:sz w:val="26"/>
          <w:szCs w:val="26"/>
        </w:rPr>
        <w:t>»</w:t>
      </w:r>
      <w:r w:rsidRPr="00FB0A3A">
        <w:rPr>
          <w:rFonts w:ascii="Myriad Pro" w:hAnsi="Myriad Pro" w:cs="Times New Roman"/>
          <w:b/>
          <w:bCs/>
          <w:sz w:val="26"/>
          <w:szCs w:val="26"/>
        </w:rPr>
        <w:t xml:space="preserve"> по уровням напряжения на 2019 год.</w:t>
      </w:r>
    </w:p>
    <w:tbl>
      <w:tblPr>
        <w:tblStyle w:val="afff6"/>
        <w:tblW w:w="5000" w:type="pct"/>
        <w:tblLook w:val="04A0" w:firstRow="1" w:lastRow="0" w:firstColumn="1" w:lastColumn="0" w:noHBand="0" w:noVBand="1"/>
      </w:tblPr>
      <w:tblGrid>
        <w:gridCol w:w="3079"/>
        <w:gridCol w:w="1887"/>
        <w:gridCol w:w="2491"/>
        <w:gridCol w:w="1887"/>
      </w:tblGrid>
      <w:tr w:rsidR="00F05B70" w:rsidRPr="00FB0A3A" w14:paraId="3E573C9D" w14:textId="77777777" w:rsidTr="00A308AB">
        <w:trPr>
          <w:cnfStyle w:val="100000000000" w:firstRow="1" w:lastRow="0" w:firstColumn="0" w:lastColumn="0" w:oddVBand="0" w:evenVBand="0" w:oddHBand="0" w:evenHBand="0" w:firstRowFirstColumn="0" w:firstRowLastColumn="0" w:lastRowFirstColumn="0" w:lastRowLastColumn="0"/>
          <w:trHeight w:val="783"/>
        </w:trPr>
        <w:tc>
          <w:tcPr>
            <w:cnfStyle w:val="001000000000" w:firstRow="0" w:lastRow="0" w:firstColumn="1" w:lastColumn="0" w:oddVBand="0" w:evenVBand="0" w:oddHBand="0" w:evenHBand="0" w:firstRowFirstColumn="0" w:firstRowLastColumn="0" w:lastRowFirstColumn="0" w:lastRowLastColumn="0"/>
            <w:tcW w:w="164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4BE18FE4" w14:textId="0EAAC79B" w:rsidR="00F05B70" w:rsidRPr="00FB0A3A" w:rsidRDefault="00F05B70" w:rsidP="00A31747">
            <w:pPr>
              <w:tabs>
                <w:tab w:val="left" w:pos="1134"/>
              </w:tabs>
              <w:ind w:right="-6"/>
              <w:contextualSpacing/>
              <w:jc w:val="center"/>
              <w:rPr>
                <w:rFonts w:cs="Times New Roman"/>
                <w:sz w:val="20"/>
                <w:szCs w:val="20"/>
              </w:rPr>
            </w:pPr>
            <w:r w:rsidRPr="00FB0A3A">
              <w:rPr>
                <w:rFonts w:cs="Times New Roman"/>
                <w:sz w:val="20"/>
                <w:szCs w:val="20"/>
              </w:rPr>
              <w:t>Уровень напряжения </w:t>
            </w:r>
          </w:p>
        </w:tc>
        <w:tc>
          <w:tcPr>
            <w:tcW w:w="10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14BC5B3" w14:textId="77777777" w:rsidR="00F05B70" w:rsidRPr="00FB0A3A" w:rsidRDefault="00F05B70" w:rsidP="00A31747">
            <w:pPr>
              <w:tabs>
                <w:tab w:val="left" w:pos="1134"/>
              </w:tabs>
              <w:ind w:right="-6"/>
              <w:contextualSpacing/>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FB0A3A">
              <w:rPr>
                <w:rFonts w:cs="Times New Roman"/>
                <w:sz w:val="20"/>
                <w:szCs w:val="20"/>
              </w:rPr>
              <w:t xml:space="preserve">План полезного отпуска </w:t>
            </w:r>
          </w:p>
          <w:p w14:paraId="275A047B" w14:textId="5EB7EEAA" w:rsidR="00F05B70" w:rsidRPr="00FB0A3A" w:rsidRDefault="00F05B70" w:rsidP="00A31747">
            <w:pPr>
              <w:tabs>
                <w:tab w:val="left" w:pos="1134"/>
              </w:tabs>
              <w:ind w:right="-6"/>
              <w:contextualSpacing/>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FB0A3A">
              <w:rPr>
                <w:rFonts w:cs="Times New Roman"/>
                <w:sz w:val="20"/>
                <w:szCs w:val="20"/>
              </w:rPr>
              <w:t xml:space="preserve">на 2019 г.    </w:t>
            </w:r>
          </w:p>
        </w:tc>
        <w:tc>
          <w:tcPr>
            <w:tcW w:w="13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36AB6AE" w14:textId="77777777" w:rsidR="00F05B70" w:rsidRPr="00FB0A3A" w:rsidRDefault="00F05B70" w:rsidP="00A31747">
            <w:pPr>
              <w:tabs>
                <w:tab w:val="left" w:pos="1134"/>
              </w:tabs>
              <w:ind w:right="-6"/>
              <w:contextualSpacing/>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FB0A3A">
              <w:rPr>
                <w:rFonts w:cs="Times New Roman"/>
                <w:sz w:val="20"/>
                <w:szCs w:val="20"/>
              </w:rPr>
              <w:t>Число часов использования мощности (ЧЧИМ)</w:t>
            </w:r>
          </w:p>
        </w:tc>
        <w:tc>
          <w:tcPr>
            <w:tcW w:w="10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FEEFC70" w14:textId="77777777" w:rsidR="00F05B70" w:rsidRPr="00FB0A3A" w:rsidRDefault="00F05B70" w:rsidP="00A31747">
            <w:pPr>
              <w:tabs>
                <w:tab w:val="left" w:pos="1134"/>
              </w:tabs>
              <w:ind w:right="-6"/>
              <w:contextualSpacing/>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FB0A3A">
              <w:rPr>
                <w:rFonts w:cs="Times New Roman"/>
                <w:sz w:val="20"/>
                <w:szCs w:val="20"/>
              </w:rPr>
              <w:t>План заявленной мощности потребителей на 2019 г.</w:t>
            </w:r>
          </w:p>
        </w:tc>
      </w:tr>
      <w:tr w:rsidR="00F05B70" w:rsidRPr="00FB0A3A" w14:paraId="32BC05A3" w14:textId="77777777" w:rsidTr="00A308AB">
        <w:trPr>
          <w:trHeight w:val="271"/>
        </w:trPr>
        <w:tc>
          <w:tcPr>
            <w:cnfStyle w:val="001000000000" w:firstRow="0" w:lastRow="0" w:firstColumn="1" w:lastColumn="0" w:oddVBand="0" w:evenVBand="0" w:oddHBand="0" w:evenHBand="0" w:firstRowFirstColumn="0" w:firstRowLastColumn="0" w:lastRowFirstColumn="0" w:lastRowLastColumn="0"/>
            <w:tcW w:w="164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33BD2A7A" w14:textId="57E9C7EB" w:rsidR="00F05B70" w:rsidRPr="00FB0A3A" w:rsidRDefault="00F05B70" w:rsidP="00A31747">
            <w:pPr>
              <w:tabs>
                <w:tab w:val="left" w:pos="1134"/>
              </w:tabs>
              <w:ind w:right="-6"/>
              <w:contextualSpacing/>
              <w:rPr>
                <w:rFonts w:cs="Times New Roman"/>
                <w:color w:val="FFFFFF" w:themeColor="background1"/>
                <w:sz w:val="20"/>
                <w:szCs w:val="20"/>
              </w:rPr>
            </w:pPr>
          </w:p>
        </w:tc>
        <w:tc>
          <w:tcPr>
            <w:tcW w:w="10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7B13632F" w14:textId="1826D8A3" w:rsidR="00F05B70" w:rsidRPr="00FB0A3A" w:rsidRDefault="00F05B70" w:rsidP="00A31747">
            <w:pPr>
              <w:tabs>
                <w:tab w:val="left" w:pos="1134"/>
              </w:tabs>
              <w:ind w:right="-6"/>
              <w:contextualSpacing/>
              <w:cnfStyle w:val="000000000000" w:firstRow="0" w:lastRow="0" w:firstColumn="0" w:lastColumn="0" w:oddVBand="0" w:evenVBand="0" w:oddHBand="0" w:evenHBand="0" w:firstRowFirstColumn="0" w:firstRowLastColumn="0" w:lastRowFirstColumn="0" w:lastRowLastColumn="0"/>
              <w:rPr>
                <w:rFonts w:cs="Times New Roman"/>
                <w:color w:val="FFFFFF" w:themeColor="background1"/>
                <w:sz w:val="20"/>
                <w:szCs w:val="20"/>
              </w:rPr>
            </w:pPr>
            <w:r w:rsidRPr="00FB0A3A">
              <w:rPr>
                <w:rFonts w:cs="Times New Roman"/>
                <w:color w:val="FFFFFF" w:themeColor="background1"/>
                <w:sz w:val="20"/>
                <w:szCs w:val="20"/>
              </w:rPr>
              <w:t xml:space="preserve">Объемы, млн кВт*ч  </w:t>
            </w:r>
          </w:p>
        </w:tc>
        <w:tc>
          <w:tcPr>
            <w:tcW w:w="13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31D0EC40" w14:textId="77777777" w:rsidR="00F05B70" w:rsidRPr="00FB0A3A" w:rsidRDefault="00F05B70" w:rsidP="00A31747">
            <w:pPr>
              <w:tabs>
                <w:tab w:val="left" w:pos="1134"/>
              </w:tabs>
              <w:ind w:right="-6"/>
              <w:contextualSpacing/>
              <w:cnfStyle w:val="000000000000" w:firstRow="0" w:lastRow="0" w:firstColumn="0" w:lastColumn="0" w:oddVBand="0" w:evenVBand="0" w:oddHBand="0" w:evenHBand="0" w:firstRowFirstColumn="0" w:firstRowLastColumn="0" w:lastRowFirstColumn="0" w:lastRowLastColumn="0"/>
              <w:rPr>
                <w:rFonts w:cs="Times New Roman"/>
                <w:color w:val="FFFFFF" w:themeColor="background1"/>
                <w:sz w:val="20"/>
                <w:szCs w:val="20"/>
              </w:rPr>
            </w:pPr>
            <w:r w:rsidRPr="00FB0A3A">
              <w:rPr>
                <w:rFonts w:cs="Times New Roman"/>
                <w:color w:val="FFFFFF" w:themeColor="background1"/>
                <w:sz w:val="20"/>
                <w:szCs w:val="20"/>
              </w:rPr>
              <w:t>Количество, час</w:t>
            </w:r>
          </w:p>
        </w:tc>
        <w:tc>
          <w:tcPr>
            <w:tcW w:w="10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37041590" w14:textId="77777777" w:rsidR="00F05B70" w:rsidRPr="00FB0A3A" w:rsidRDefault="00F05B70" w:rsidP="00A31747">
            <w:pPr>
              <w:tabs>
                <w:tab w:val="left" w:pos="1134"/>
              </w:tabs>
              <w:ind w:right="-6"/>
              <w:contextualSpacing/>
              <w:cnfStyle w:val="000000000000" w:firstRow="0" w:lastRow="0" w:firstColumn="0" w:lastColumn="0" w:oddVBand="0" w:evenVBand="0" w:oddHBand="0" w:evenHBand="0" w:firstRowFirstColumn="0" w:firstRowLastColumn="0" w:lastRowFirstColumn="0" w:lastRowLastColumn="0"/>
              <w:rPr>
                <w:rFonts w:cs="Times New Roman"/>
                <w:color w:val="FFFFFF" w:themeColor="background1"/>
                <w:sz w:val="20"/>
                <w:szCs w:val="20"/>
              </w:rPr>
            </w:pPr>
            <w:r w:rsidRPr="00FB0A3A">
              <w:rPr>
                <w:rFonts w:cs="Times New Roman"/>
                <w:color w:val="FFFFFF" w:themeColor="background1"/>
                <w:sz w:val="20"/>
                <w:szCs w:val="20"/>
              </w:rPr>
              <w:t>Величина,  МВт</w:t>
            </w:r>
          </w:p>
        </w:tc>
      </w:tr>
      <w:tr w:rsidR="00F05B70" w:rsidRPr="00FB0A3A" w14:paraId="15EA42ED" w14:textId="77777777" w:rsidTr="00A308AB">
        <w:trPr>
          <w:trHeight w:val="271"/>
        </w:trPr>
        <w:tc>
          <w:tcPr>
            <w:cnfStyle w:val="001000000000" w:firstRow="0" w:lastRow="0" w:firstColumn="1" w:lastColumn="0" w:oddVBand="0" w:evenVBand="0" w:oddHBand="0" w:evenHBand="0" w:firstRowFirstColumn="0" w:firstRowLastColumn="0" w:lastRowFirstColumn="0" w:lastRowLastColumn="0"/>
            <w:tcW w:w="1647" w:type="pct"/>
            <w:tcBorders>
              <w:top w:val="single" w:sz="4" w:space="0" w:color="FFFFFF" w:themeColor="background1"/>
            </w:tcBorders>
            <w:noWrap/>
            <w:hideMark/>
          </w:tcPr>
          <w:p w14:paraId="72310D43" w14:textId="77777777" w:rsidR="00294703" w:rsidRPr="00FB0A3A" w:rsidRDefault="00294703" w:rsidP="00A31747">
            <w:pPr>
              <w:tabs>
                <w:tab w:val="left" w:pos="1134"/>
              </w:tabs>
              <w:ind w:right="-6"/>
              <w:contextualSpacing/>
              <w:rPr>
                <w:rFonts w:cs="Times New Roman"/>
                <w:sz w:val="20"/>
                <w:szCs w:val="20"/>
              </w:rPr>
            </w:pPr>
            <w:r w:rsidRPr="00FB0A3A">
              <w:rPr>
                <w:rFonts w:cs="Times New Roman"/>
                <w:sz w:val="20"/>
                <w:szCs w:val="20"/>
              </w:rPr>
              <w:t>ВН</w:t>
            </w:r>
          </w:p>
        </w:tc>
        <w:tc>
          <w:tcPr>
            <w:tcW w:w="1010" w:type="pct"/>
            <w:tcBorders>
              <w:top w:val="single" w:sz="4" w:space="0" w:color="FFFFFF" w:themeColor="background1"/>
            </w:tcBorders>
            <w:noWrap/>
            <w:hideMark/>
          </w:tcPr>
          <w:p w14:paraId="5ED6B561" w14:textId="77777777" w:rsidR="00294703" w:rsidRPr="00FB0A3A" w:rsidRDefault="00294703" w:rsidP="00A31747">
            <w:pPr>
              <w:tabs>
                <w:tab w:val="left" w:pos="1134"/>
              </w:tabs>
              <w:ind w:right="-6"/>
              <w:contextualSpacing/>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FB0A3A">
              <w:rPr>
                <w:rFonts w:cs="Times New Roman"/>
                <w:sz w:val="20"/>
                <w:szCs w:val="20"/>
              </w:rPr>
              <w:t>9 403,8138</w:t>
            </w:r>
          </w:p>
        </w:tc>
        <w:tc>
          <w:tcPr>
            <w:tcW w:w="1333" w:type="pct"/>
            <w:tcBorders>
              <w:top w:val="single" w:sz="4" w:space="0" w:color="FFFFFF" w:themeColor="background1"/>
            </w:tcBorders>
            <w:noWrap/>
            <w:hideMark/>
          </w:tcPr>
          <w:p w14:paraId="6DF935C2" w14:textId="2551B5B1" w:rsidR="00294703" w:rsidRPr="00FB0A3A" w:rsidRDefault="00294703" w:rsidP="00A31747">
            <w:pPr>
              <w:tabs>
                <w:tab w:val="left" w:pos="1134"/>
              </w:tabs>
              <w:ind w:right="-6"/>
              <w:contextualSpacing/>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FB0A3A">
              <w:rPr>
                <w:rFonts w:cs="Times New Roman"/>
                <w:sz w:val="20"/>
                <w:szCs w:val="20"/>
              </w:rPr>
              <w:t>7</w:t>
            </w:r>
            <w:r w:rsidR="001538BD" w:rsidRPr="00FB0A3A">
              <w:rPr>
                <w:rFonts w:cs="Times New Roman"/>
                <w:sz w:val="20"/>
                <w:szCs w:val="20"/>
              </w:rPr>
              <w:t> </w:t>
            </w:r>
            <w:r w:rsidRPr="00FB0A3A">
              <w:rPr>
                <w:rFonts w:cs="Times New Roman"/>
                <w:sz w:val="20"/>
                <w:szCs w:val="20"/>
              </w:rPr>
              <w:t>743,82</w:t>
            </w:r>
          </w:p>
        </w:tc>
        <w:tc>
          <w:tcPr>
            <w:tcW w:w="1010" w:type="pct"/>
            <w:tcBorders>
              <w:top w:val="single" w:sz="4" w:space="0" w:color="FFFFFF" w:themeColor="background1"/>
            </w:tcBorders>
            <w:hideMark/>
          </w:tcPr>
          <w:p w14:paraId="0C90466C" w14:textId="01F0519C" w:rsidR="00294703" w:rsidRPr="00FB0A3A" w:rsidRDefault="00294703" w:rsidP="00A31747">
            <w:pPr>
              <w:tabs>
                <w:tab w:val="left" w:pos="1134"/>
              </w:tabs>
              <w:ind w:right="-6"/>
              <w:contextualSpacing/>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FB0A3A">
              <w:rPr>
                <w:rFonts w:cs="Times New Roman"/>
                <w:sz w:val="20"/>
                <w:szCs w:val="20"/>
              </w:rPr>
              <w:t>1</w:t>
            </w:r>
            <w:r w:rsidR="001538BD" w:rsidRPr="00FB0A3A">
              <w:rPr>
                <w:rFonts w:cs="Times New Roman"/>
                <w:sz w:val="20"/>
                <w:szCs w:val="20"/>
              </w:rPr>
              <w:t> </w:t>
            </w:r>
            <w:r w:rsidRPr="00FB0A3A">
              <w:rPr>
                <w:rFonts w:cs="Times New Roman"/>
                <w:sz w:val="20"/>
                <w:szCs w:val="20"/>
              </w:rPr>
              <w:t>214,3642</w:t>
            </w:r>
          </w:p>
        </w:tc>
      </w:tr>
      <w:tr w:rsidR="00F05B70" w:rsidRPr="00FB0A3A" w14:paraId="42C23EB7" w14:textId="77777777" w:rsidTr="00F05B70">
        <w:trPr>
          <w:trHeight w:val="271"/>
        </w:trPr>
        <w:tc>
          <w:tcPr>
            <w:cnfStyle w:val="001000000000" w:firstRow="0" w:lastRow="0" w:firstColumn="1" w:lastColumn="0" w:oddVBand="0" w:evenVBand="0" w:oddHBand="0" w:evenHBand="0" w:firstRowFirstColumn="0" w:firstRowLastColumn="0" w:lastRowFirstColumn="0" w:lastRowLastColumn="0"/>
            <w:tcW w:w="1647" w:type="pct"/>
            <w:noWrap/>
            <w:hideMark/>
          </w:tcPr>
          <w:p w14:paraId="57163F95" w14:textId="77777777" w:rsidR="00294703" w:rsidRPr="00FB0A3A" w:rsidRDefault="00294703" w:rsidP="00A31747">
            <w:pPr>
              <w:tabs>
                <w:tab w:val="left" w:pos="1134"/>
              </w:tabs>
              <w:ind w:right="-6"/>
              <w:contextualSpacing/>
              <w:rPr>
                <w:rFonts w:cs="Times New Roman"/>
                <w:sz w:val="20"/>
                <w:szCs w:val="20"/>
              </w:rPr>
            </w:pPr>
            <w:r w:rsidRPr="00FB0A3A">
              <w:rPr>
                <w:rFonts w:cs="Times New Roman"/>
                <w:sz w:val="20"/>
                <w:szCs w:val="20"/>
              </w:rPr>
              <w:t>СН-1</w:t>
            </w:r>
          </w:p>
        </w:tc>
        <w:tc>
          <w:tcPr>
            <w:tcW w:w="1010" w:type="pct"/>
            <w:noWrap/>
            <w:hideMark/>
          </w:tcPr>
          <w:p w14:paraId="0B922DE5" w14:textId="77777777" w:rsidR="00294703" w:rsidRPr="00FB0A3A" w:rsidRDefault="00294703" w:rsidP="00A31747">
            <w:pPr>
              <w:tabs>
                <w:tab w:val="left" w:pos="1134"/>
              </w:tabs>
              <w:ind w:right="-6"/>
              <w:contextualSpacing/>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FB0A3A">
              <w:rPr>
                <w:rFonts w:cs="Times New Roman"/>
                <w:sz w:val="20"/>
                <w:szCs w:val="20"/>
              </w:rPr>
              <w:t>950,3187</w:t>
            </w:r>
          </w:p>
        </w:tc>
        <w:tc>
          <w:tcPr>
            <w:tcW w:w="1333" w:type="pct"/>
            <w:noWrap/>
            <w:hideMark/>
          </w:tcPr>
          <w:p w14:paraId="01F759DA" w14:textId="4AB3FDEC" w:rsidR="00294703" w:rsidRPr="00FB0A3A" w:rsidRDefault="00294703" w:rsidP="00A31747">
            <w:pPr>
              <w:tabs>
                <w:tab w:val="left" w:pos="1134"/>
              </w:tabs>
              <w:ind w:right="-6"/>
              <w:contextualSpacing/>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FB0A3A">
              <w:rPr>
                <w:rFonts w:cs="Times New Roman"/>
                <w:sz w:val="20"/>
                <w:szCs w:val="20"/>
              </w:rPr>
              <w:t>6</w:t>
            </w:r>
            <w:r w:rsidR="001538BD" w:rsidRPr="00FB0A3A">
              <w:rPr>
                <w:rFonts w:cs="Times New Roman"/>
                <w:sz w:val="20"/>
                <w:szCs w:val="20"/>
              </w:rPr>
              <w:t> </w:t>
            </w:r>
            <w:r w:rsidRPr="00FB0A3A">
              <w:rPr>
                <w:rFonts w:cs="Times New Roman"/>
                <w:sz w:val="20"/>
                <w:szCs w:val="20"/>
              </w:rPr>
              <w:t>078,21</w:t>
            </w:r>
          </w:p>
        </w:tc>
        <w:tc>
          <w:tcPr>
            <w:tcW w:w="1010" w:type="pct"/>
            <w:hideMark/>
          </w:tcPr>
          <w:p w14:paraId="093EA164" w14:textId="77777777" w:rsidR="00294703" w:rsidRPr="00FB0A3A" w:rsidRDefault="00294703" w:rsidP="00A31747">
            <w:pPr>
              <w:tabs>
                <w:tab w:val="left" w:pos="1134"/>
              </w:tabs>
              <w:ind w:right="-6"/>
              <w:contextualSpacing/>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FB0A3A">
              <w:rPr>
                <w:rFonts w:cs="Times New Roman"/>
                <w:sz w:val="20"/>
                <w:szCs w:val="20"/>
              </w:rPr>
              <w:t>156,3484</w:t>
            </w:r>
          </w:p>
        </w:tc>
      </w:tr>
      <w:tr w:rsidR="00F05B70" w:rsidRPr="00FB0A3A" w14:paraId="3E54BBA4" w14:textId="77777777" w:rsidTr="00F05B70">
        <w:trPr>
          <w:trHeight w:val="271"/>
        </w:trPr>
        <w:tc>
          <w:tcPr>
            <w:cnfStyle w:val="001000000000" w:firstRow="0" w:lastRow="0" w:firstColumn="1" w:lastColumn="0" w:oddVBand="0" w:evenVBand="0" w:oddHBand="0" w:evenHBand="0" w:firstRowFirstColumn="0" w:firstRowLastColumn="0" w:lastRowFirstColumn="0" w:lastRowLastColumn="0"/>
            <w:tcW w:w="1647" w:type="pct"/>
            <w:noWrap/>
            <w:hideMark/>
          </w:tcPr>
          <w:p w14:paraId="30ECC498" w14:textId="77777777" w:rsidR="00294703" w:rsidRPr="00FB0A3A" w:rsidRDefault="00294703" w:rsidP="00A31747">
            <w:pPr>
              <w:tabs>
                <w:tab w:val="left" w:pos="1134"/>
              </w:tabs>
              <w:ind w:right="-6"/>
              <w:contextualSpacing/>
              <w:rPr>
                <w:rFonts w:cs="Times New Roman"/>
                <w:sz w:val="20"/>
                <w:szCs w:val="20"/>
              </w:rPr>
            </w:pPr>
            <w:r w:rsidRPr="00FB0A3A">
              <w:rPr>
                <w:rFonts w:cs="Times New Roman"/>
                <w:sz w:val="20"/>
                <w:szCs w:val="20"/>
              </w:rPr>
              <w:t>СН-2</w:t>
            </w:r>
          </w:p>
        </w:tc>
        <w:tc>
          <w:tcPr>
            <w:tcW w:w="1010" w:type="pct"/>
            <w:noWrap/>
            <w:hideMark/>
          </w:tcPr>
          <w:p w14:paraId="063EC8C6" w14:textId="77777777" w:rsidR="00294703" w:rsidRPr="00FB0A3A" w:rsidRDefault="00294703" w:rsidP="00A31747">
            <w:pPr>
              <w:tabs>
                <w:tab w:val="left" w:pos="1134"/>
              </w:tabs>
              <w:ind w:right="-6"/>
              <w:contextualSpacing/>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FB0A3A">
              <w:rPr>
                <w:rFonts w:cs="Times New Roman"/>
                <w:sz w:val="20"/>
                <w:szCs w:val="20"/>
              </w:rPr>
              <w:t>341,5049</w:t>
            </w:r>
          </w:p>
        </w:tc>
        <w:tc>
          <w:tcPr>
            <w:tcW w:w="1333" w:type="pct"/>
            <w:noWrap/>
            <w:hideMark/>
          </w:tcPr>
          <w:p w14:paraId="31A90755" w14:textId="76213088" w:rsidR="00294703" w:rsidRPr="00FB0A3A" w:rsidRDefault="00294703" w:rsidP="00A31747">
            <w:pPr>
              <w:tabs>
                <w:tab w:val="left" w:pos="1134"/>
              </w:tabs>
              <w:ind w:right="-6"/>
              <w:contextualSpacing/>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FB0A3A">
              <w:rPr>
                <w:rFonts w:cs="Times New Roman"/>
                <w:sz w:val="20"/>
                <w:szCs w:val="20"/>
              </w:rPr>
              <w:t>4</w:t>
            </w:r>
            <w:r w:rsidR="001538BD" w:rsidRPr="00FB0A3A">
              <w:rPr>
                <w:rFonts w:cs="Times New Roman"/>
                <w:sz w:val="20"/>
                <w:szCs w:val="20"/>
              </w:rPr>
              <w:t> </w:t>
            </w:r>
            <w:r w:rsidRPr="00FB0A3A">
              <w:rPr>
                <w:rFonts w:cs="Times New Roman"/>
                <w:sz w:val="20"/>
                <w:szCs w:val="20"/>
              </w:rPr>
              <w:t>865,46</w:t>
            </w:r>
          </w:p>
        </w:tc>
        <w:tc>
          <w:tcPr>
            <w:tcW w:w="1010" w:type="pct"/>
            <w:hideMark/>
          </w:tcPr>
          <w:p w14:paraId="3C8B1295" w14:textId="77777777" w:rsidR="00294703" w:rsidRPr="00FB0A3A" w:rsidRDefault="00294703" w:rsidP="00A31747">
            <w:pPr>
              <w:tabs>
                <w:tab w:val="left" w:pos="1134"/>
              </w:tabs>
              <w:ind w:right="-6"/>
              <w:contextualSpacing/>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FB0A3A">
              <w:rPr>
                <w:rFonts w:cs="Times New Roman"/>
                <w:sz w:val="20"/>
                <w:szCs w:val="20"/>
              </w:rPr>
              <w:t>70,1896</w:t>
            </w:r>
          </w:p>
        </w:tc>
      </w:tr>
      <w:tr w:rsidR="00F05B70" w:rsidRPr="00FB0A3A" w14:paraId="27073404" w14:textId="77777777" w:rsidTr="00F05B70">
        <w:trPr>
          <w:trHeight w:val="271"/>
        </w:trPr>
        <w:tc>
          <w:tcPr>
            <w:cnfStyle w:val="001000000000" w:firstRow="0" w:lastRow="0" w:firstColumn="1" w:lastColumn="0" w:oddVBand="0" w:evenVBand="0" w:oddHBand="0" w:evenHBand="0" w:firstRowFirstColumn="0" w:firstRowLastColumn="0" w:lastRowFirstColumn="0" w:lastRowLastColumn="0"/>
            <w:tcW w:w="1647" w:type="pct"/>
            <w:noWrap/>
            <w:hideMark/>
          </w:tcPr>
          <w:p w14:paraId="53AF506E" w14:textId="77777777" w:rsidR="00294703" w:rsidRPr="00FB0A3A" w:rsidRDefault="00294703" w:rsidP="00A31747">
            <w:pPr>
              <w:tabs>
                <w:tab w:val="left" w:pos="1134"/>
              </w:tabs>
              <w:ind w:right="-6"/>
              <w:contextualSpacing/>
              <w:rPr>
                <w:rFonts w:cs="Times New Roman"/>
                <w:sz w:val="20"/>
                <w:szCs w:val="20"/>
              </w:rPr>
            </w:pPr>
            <w:r w:rsidRPr="00FB0A3A">
              <w:rPr>
                <w:rFonts w:cs="Times New Roman"/>
                <w:sz w:val="20"/>
                <w:szCs w:val="20"/>
              </w:rPr>
              <w:t>НН</w:t>
            </w:r>
          </w:p>
        </w:tc>
        <w:tc>
          <w:tcPr>
            <w:tcW w:w="1010" w:type="pct"/>
            <w:noWrap/>
            <w:hideMark/>
          </w:tcPr>
          <w:p w14:paraId="07AD5B3D" w14:textId="77777777" w:rsidR="00294703" w:rsidRPr="00FB0A3A" w:rsidRDefault="00294703" w:rsidP="00A31747">
            <w:pPr>
              <w:tabs>
                <w:tab w:val="left" w:pos="1134"/>
              </w:tabs>
              <w:ind w:right="-6"/>
              <w:contextualSpacing/>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FB0A3A">
              <w:rPr>
                <w:rFonts w:cs="Times New Roman"/>
                <w:sz w:val="20"/>
                <w:szCs w:val="20"/>
              </w:rPr>
              <w:t>145,7006</w:t>
            </w:r>
          </w:p>
        </w:tc>
        <w:tc>
          <w:tcPr>
            <w:tcW w:w="1333" w:type="pct"/>
            <w:noWrap/>
            <w:hideMark/>
          </w:tcPr>
          <w:p w14:paraId="2091ED62" w14:textId="724FBD86" w:rsidR="00294703" w:rsidRPr="00FB0A3A" w:rsidRDefault="00294703" w:rsidP="00A31747">
            <w:pPr>
              <w:tabs>
                <w:tab w:val="left" w:pos="1134"/>
              </w:tabs>
              <w:ind w:right="-6"/>
              <w:contextualSpacing/>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FB0A3A">
              <w:rPr>
                <w:rFonts w:cs="Times New Roman"/>
                <w:sz w:val="20"/>
                <w:szCs w:val="20"/>
              </w:rPr>
              <w:t>4</w:t>
            </w:r>
            <w:r w:rsidR="001538BD" w:rsidRPr="00FB0A3A">
              <w:rPr>
                <w:rFonts w:cs="Times New Roman"/>
                <w:sz w:val="20"/>
                <w:szCs w:val="20"/>
              </w:rPr>
              <w:t> </w:t>
            </w:r>
            <w:r w:rsidRPr="00FB0A3A">
              <w:rPr>
                <w:rFonts w:cs="Times New Roman"/>
                <w:sz w:val="20"/>
                <w:szCs w:val="20"/>
              </w:rPr>
              <w:t>997,31</w:t>
            </w:r>
          </w:p>
        </w:tc>
        <w:tc>
          <w:tcPr>
            <w:tcW w:w="1010" w:type="pct"/>
            <w:hideMark/>
          </w:tcPr>
          <w:p w14:paraId="194C8140" w14:textId="77777777" w:rsidR="00294703" w:rsidRPr="00FB0A3A" w:rsidRDefault="00294703" w:rsidP="00A31747">
            <w:pPr>
              <w:tabs>
                <w:tab w:val="left" w:pos="1134"/>
              </w:tabs>
              <w:ind w:right="-6"/>
              <w:contextualSpacing/>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FB0A3A">
              <w:rPr>
                <w:rFonts w:cs="Times New Roman"/>
                <w:sz w:val="20"/>
                <w:szCs w:val="20"/>
              </w:rPr>
              <w:t>29,1558</w:t>
            </w:r>
          </w:p>
        </w:tc>
      </w:tr>
      <w:tr w:rsidR="00F05B70" w:rsidRPr="00FB0A3A" w14:paraId="5C1730DB" w14:textId="77777777" w:rsidTr="00F05B70">
        <w:trPr>
          <w:trHeight w:val="331"/>
        </w:trPr>
        <w:tc>
          <w:tcPr>
            <w:cnfStyle w:val="001000000000" w:firstRow="0" w:lastRow="0" w:firstColumn="1" w:lastColumn="0" w:oddVBand="0" w:evenVBand="0" w:oddHBand="0" w:evenHBand="0" w:firstRowFirstColumn="0" w:firstRowLastColumn="0" w:lastRowFirstColumn="0" w:lastRowLastColumn="0"/>
            <w:tcW w:w="1647" w:type="pct"/>
            <w:noWrap/>
            <w:hideMark/>
          </w:tcPr>
          <w:p w14:paraId="5A634708" w14:textId="77777777" w:rsidR="00294703" w:rsidRPr="00FB0A3A" w:rsidRDefault="00294703" w:rsidP="00A31747">
            <w:pPr>
              <w:tabs>
                <w:tab w:val="left" w:pos="1134"/>
              </w:tabs>
              <w:ind w:right="-6"/>
              <w:contextualSpacing/>
              <w:rPr>
                <w:rFonts w:cs="Times New Roman"/>
                <w:sz w:val="20"/>
                <w:szCs w:val="20"/>
              </w:rPr>
            </w:pPr>
            <w:r w:rsidRPr="00FB0A3A">
              <w:rPr>
                <w:rFonts w:cs="Times New Roman"/>
                <w:sz w:val="20"/>
                <w:szCs w:val="20"/>
              </w:rPr>
              <w:t>Всего</w:t>
            </w:r>
          </w:p>
        </w:tc>
        <w:tc>
          <w:tcPr>
            <w:tcW w:w="1010" w:type="pct"/>
            <w:noWrap/>
            <w:hideMark/>
          </w:tcPr>
          <w:p w14:paraId="2DA8E5FC" w14:textId="77777777" w:rsidR="00294703" w:rsidRPr="00FB0A3A" w:rsidRDefault="00294703" w:rsidP="00A31747">
            <w:pPr>
              <w:tabs>
                <w:tab w:val="left" w:pos="1134"/>
              </w:tabs>
              <w:ind w:right="-6"/>
              <w:contextualSpacing/>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FB0A3A">
              <w:rPr>
                <w:rFonts w:cs="Times New Roman"/>
                <w:sz w:val="20"/>
                <w:szCs w:val="20"/>
              </w:rPr>
              <w:t>10 841,338</w:t>
            </w:r>
          </w:p>
        </w:tc>
        <w:tc>
          <w:tcPr>
            <w:tcW w:w="1333" w:type="pct"/>
            <w:noWrap/>
            <w:hideMark/>
          </w:tcPr>
          <w:p w14:paraId="438BB37D" w14:textId="7826C213" w:rsidR="00294703" w:rsidRPr="00FB0A3A" w:rsidRDefault="00294703" w:rsidP="00A31747">
            <w:pPr>
              <w:tabs>
                <w:tab w:val="left" w:pos="1134"/>
              </w:tabs>
              <w:ind w:right="-6"/>
              <w:contextualSpacing/>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FB0A3A">
              <w:rPr>
                <w:rFonts w:cs="Times New Roman"/>
                <w:sz w:val="20"/>
                <w:szCs w:val="20"/>
              </w:rPr>
              <w:t>7</w:t>
            </w:r>
            <w:r w:rsidR="001538BD" w:rsidRPr="00FB0A3A">
              <w:rPr>
                <w:rFonts w:cs="Times New Roman"/>
                <w:sz w:val="20"/>
                <w:szCs w:val="20"/>
              </w:rPr>
              <w:t> </w:t>
            </w:r>
            <w:r w:rsidRPr="00FB0A3A">
              <w:rPr>
                <w:rFonts w:cs="Times New Roman"/>
                <w:sz w:val="20"/>
                <w:szCs w:val="20"/>
              </w:rPr>
              <w:t>374,77</w:t>
            </w:r>
          </w:p>
        </w:tc>
        <w:tc>
          <w:tcPr>
            <w:tcW w:w="1010" w:type="pct"/>
            <w:noWrap/>
            <w:hideMark/>
          </w:tcPr>
          <w:p w14:paraId="61718C10" w14:textId="77777777" w:rsidR="00294703" w:rsidRPr="00FB0A3A" w:rsidRDefault="00294703" w:rsidP="00A31747">
            <w:pPr>
              <w:tabs>
                <w:tab w:val="left" w:pos="1134"/>
              </w:tabs>
              <w:ind w:right="-6"/>
              <w:contextualSpacing/>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FB0A3A">
              <w:rPr>
                <w:rFonts w:cs="Times New Roman"/>
                <w:sz w:val="20"/>
                <w:szCs w:val="20"/>
              </w:rPr>
              <w:t>1 470,058</w:t>
            </w:r>
          </w:p>
        </w:tc>
      </w:tr>
    </w:tbl>
    <w:p w14:paraId="7FD39D0D" w14:textId="6CA0B051" w:rsidR="00294703" w:rsidRPr="00FB0A3A" w:rsidRDefault="00294703" w:rsidP="00C04ABD">
      <w:pPr>
        <w:pStyle w:val="afff7"/>
        <w:tabs>
          <w:tab w:val="clear" w:pos="960"/>
          <w:tab w:val="left" w:pos="1134"/>
        </w:tabs>
      </w:pPr>
      <w:r w:rsidRPr="00FB0A3A">
        <w:lastRenderedPageBreak/>
        <w:t xml:space="preserve">Таким образом, плановые объемы полезного отпуска электрической энергии и мощности на 2019 год определены в границах балансовой принадлежности </w:t>
      </w:r>
      <w:r w:rsidR="0025782C" w:rsidRPr="00FB0A3A">
        <w:t>ф</w:t>
      </w:r>
      <w:r w:rsidRPr="00FB0A3A">
        <w:t xml:space="preserve">илиала </w:t>
      </w:r>
      <w:r w:rsidR="0056641A" w:rsidRPr="00FB0A3A">
        <w:t xml:space="preserve">ПАО </w:t>
      </w:r>
      <w:r w:rsidR="00655FFA" w:rsidRPr="00FB0A3A">
        <w:t>«</w:t>
      </w:r>
      <w:r w:rsidR="0056641A" w:rsidRPr="00FB0A3A">
        <w:t>МРСК Северо-Запада</w:t>
      </w:r>
      <w:r w:rsidR="00655FFA" w:rsidRPr="00FB0A3A">
        <w:t>»</w:t>
      </w:r>
      <w:r w:rsidR="0056641A" w:rsidRPr="00FB0A3A">
        <w:t xml:space="preserve"> </w:t>
      </w:r>
      <w:r w:rsidR="00655FFA" w:rsidRPr="00FB0A3A">
        <w:t>«</w:t>
      </w:r>
      <w:r w:rsidRPr="00FB0A3A">
        <w:t>Колэнерго</w:t>
      </w:r>
      <w:r w:rsidR="00655FFA" w:rsidRPr="00FB0A3A">
        <w:t>»</w:t>
      </w:r>
      <w:r w:rsidRPr="00FB0A3A">
        <w:t xml:space="preserve"> с учетом имеющихся в </w:t>
      </w:r>
      <w:r w:rsidR="0025782C" w:rsidRPr="00FB0A3A">
        <w:t>ф</w:t>
      </w:r>
      <w:r w:rsidRPr="00FB0A3A">
        <w:t xml:space="preserve">илиале </w:t>
      </w:r>
      <w:r w:rsidR="0056641A" w:rsidRPr="00FB0A3A">
        <w:t xml:space="preserve">ПАО </w:t>
      </w:r>
      <w:r w:rsidR="00655FFA" w:rsidRPr="00FB0A3A">
        <w:t>«</w:t>
      </w:r>
      <w:r w:rsidR="0056641A" w:rsidRPr="00FB0A3A">
        <w:t>МРСК Северо-Запада</w:t>
      </w:r>
      <w:r w:rsidR="00655FFA" w:rsidRPr="00FB0A3A">
        <w:t>»</w:t>
      </w:r>
      <w:r w:rsidR="0056641A" w:rsidRPr="00FB0A3A">
        <w:t xml:space="preserve"> </w:t>
      </w:r>
      <w:r w:rsidR="00655FFA" w:rsidRPr="00FB0A3A">
        <w:t>«</w:t>
      </w:r>
      <w:r w:rsidRPr="00FB0A3A">
        <w:t>Колэнерго</w:t>
      </w:r>
      <w:r w:rsidR="00655FFA" w:rsidRPr="00FB0A3A">
        <w:t>»</w:t>
      </w:r>
      <w:r w:rsidRPr="00FB0A3A">
        <w:t xml:space="preserve"> фактических данных по объемам полезного отпуска электроэнергии.</w:t>
      </w:r>
    </w:p>
    <w:p w14:paraId="743CE73E" w14:textId="3B0650FD" w:rsidR="00294703" w:rsidRPr="00FB0A3A" w:rsidRDefault="00294703" w:rsidP="00C04ABD">
      <w:pPr>
        <w:tabs>
          <w:tab w:val="left" w:pos="1134"/>
        </w:tabs>
        <w:spacing w:after="0" w:line="360" w:lineRule="auto"/>
        <w:ind w:right="-6" w:firstLine="567"/>
        <w:jc w:val="both"/>
        <w:rPr>
          <w:rFonts w:ascii="Myriad Pro" w:hAnsi="Myriad Pro" w:cs="Times New Roman"/>
          <w:sz w:val="26"/>
          <w:szCs w:val="26"/>
        </w:rPr>
      </w:pPr>
      <w:r w:rsidRPr="00FB0A3A">
        <w:rPr>
          <w:rFonts w:ascii="Myriad Pro" w:hAnsi="Myriad Pro" w:cs="Times New Roman"/>
          <w:sz w:val="26"/>
          <w:szCs w:val="26"/>
        </w:rPr>
        <w:t xml:space="preserve">На основании указанных плановых объемов полезного отпуска электрической энергии и мощности сформированы балансы электрической энергии и мощности по границам балансовой принадлежности </w:t>
      </w:r>
      <w:r w:rsidR="0025782C" w:rsidRPr="00FB0A3A">
        <w:rPr>
          <w:rFonts w:ascii="Myriad Pro" w:hAnsi="Myriad Pro" w:cs="Times New Roman"/>
          <w:sz w:val="26"/>
          <w:szCs w:val="26"/>
        </w:rPr>
        <w:t>ф</w:t>
      </w:r>
      <w:r w:rsidRPr="00FB0A3A">
        <w:rPr>
          <w:rFonts w:ascii="Myriad Pro" w:hAnsi="Myriad Pro" w:cs="Times New Roman"/>
          <w:sz w:val="26"/>
          <w:szCs w:val="26"/>
        </w:rPr>
        <w:t xml:space="preserve">илиала </w:t>
      </w:r>
      <w:r w:rsidR="00655FFA" w:rsidRPr="00FB0A3A">
        <w:rPr>
          <w:rFonts w:ascii="Myriad Pro" w:hAnsi="Myriad Pro" w:cs="Times New Roman"/>
          <w:sz w:val="26"/>
          <w:szCs w:val="26"/>
        </w:rPr>
        <w:t>ПАО</w:t>
      </w:r>
      <w:r w:rsidR="00A308AB">
        <w:rPr>
          <w:rFonts w:ascii="Myriad Pro" w:hAnsi="Myriad Pro" w:cs="Times New Roman"/>
          <w:sz w:val="26"/>
          <w:szCs w:val="26"/>
        </w:rPr>
        <w:t> </w:t>
      </w:r>
      <w:r w:rsidR="00655FFA" w:rsidRPr="00FB0A3A">
        <w:rPr>
          <w:rFonts w:ascii="Myriad Pro" w:hAnsi="Myriad Pro" w:cs="Times New Roman"/>
          <w:sz w:val="26"/>
          <w:szCs w:val="26"/>
        </w:rPr>
        <w:t xml:space="preserve">«МРСК </w:t>
      </w:r>
      <w:r w:rsidR="0056641A" w:rsidRPr="00FB0A3A">
        <w:rPr>
          <w:rFonts w:ascii="Myriad Pro" w:hAnsi="Myriad Pro" w:cs="Times New Roman"/>
          <w:sz w:val="26"/>
          <w:szCs w:val="26"/>
        </w:rPr>
        <w:t>Северо-Запада</w:t>
      </w:r>
      <w:r w:rsidR="00655FFA" w:rsidRPr="00FB0A3A">
        <w:rPr>
          <w:rFonts w:ascii="Myriad Pro" w:hAnsi="Myriad Pro" w:cs="Times New Roman"/>
          <w:sz w:val="26"/>
          <w:szCs w:val="26"/>
        </w:rPr>
        <w:t>»</w:t>
      </w:r>
      <w:r w:rsidR="0056641A" w:rsidRPr="00FB0A3A">
        <w:rPr>
          <w:rFonts w:ascii="Myriad Pro" w:hAnsi="Myriad Pro" w:cs="Times New Roman"/>
          <w:sz w:val="26"/>
          <w:szCs w:val="26"/>
        </w:rPr>
        <w:t xml:space="preserve"> </w:t>
      </w:r>
      <w:r w:rsidR="00655FFA" w:rsidRPr="00FB0A3A">
        <w:rPr>
          <w:rFonts w:ascii="Myriad Pro" w:hAnsi="Myriad Pro" w:cs="Times New Roman"/>
          <w:sz w:val="26"/>
          <w:szCs w:val="26"/>
        </w:rPr>
        <w:t>«</w:t>
      </w:r>
      <w:r w:rsidRPr="00FB0A3A">
        <w:rPr>
          <w:rFonts w:ascii="Myriad Pro" w:hAnsi="Myriad Pro" w:cs="Times New Roman"/>
          <w:sz w:val="26"/>
          <w:szCs w:val="26"/>
        </w:rPr>
        <w:t>Колэнерго</w:t>
      </w:r>
      <w:r w:rsidR="00655FFA" w:rsidRPr="00FB0A3A">
        <w:rPr>
          <w:rFonts w:ascii="Myriad Pro" w:hAnsi="Myriad Pro" w:cs="Times New Roman"/>
          <w:sz w:val="26"/>
          <w:szCs w:val="26"/>
        </w:rPr>
        <w:t>»</w:t>
      </w:r>
      <w:r w:rsidRPr="00FB0A3A">
        <w:rPr>
          <w:rFonts w:ascii="Myriad Pro" w:hAnsi="Myriad Pro" w:cs="Times New Roman"/>
          <w:sz w:val="26"/>
          <w:szCs w:val="26"/>
        </w:rPr>
        <w:t xml:space="preserve"> (по формам Таблиц П1.4. и П1.5.), в которых в качестве полезного отпуска принят плановый переток электрической энергии и мощности непосредственно из сетей </w:t>
      </w:r>
      <w:r w:rsidR="0025782C" w:rsidRPr="00FB0A3A">
        <w:rPr>
          <w:rFonts w:ascii="Myriad Pro" w:hAnsi="Myriad Pro" w:cs="Times New Roman"/>
          <w:sz w:val="26"/>
          <w:szCs w:val="26"/>
        </w:rPr>
        <w:t>ф</w:t>
      </w:r>
      <w:r w:rsidRPr="00FB0A3A">
        <w:rPr>
          <w:rFonts w:ascii="Myriad Pro" w:hAnsi="Myriad Pro" w:cs="Times New Roman"/>
          <w:sz w:val="26"/>
          <w:szCs w:val="26"/>
        </w:rPr>
        <w:t xml:space="preserve">илиала </w:t>
      </w:r>
      <w:r w:rsidR="0056641A" w:rsidRPr="00FB0A3A">
        <w:rPr>
          <w:rFonts w:ascii="Myriad Pro" w:hAnsi="Myriad Pro" w:cs="Times New Roman"/>
          <w:sz w:val="26"/>
          <w:szCs w:val="26"/>
        </w:rPr>
        <w:t xml:space="preserve">ПАО </w:t>
      </w:r>
      <w:r w:rsidR="00655FFA" w:rsidRPr="00FB0A3A">
        <w:rPr>
          <w:rFonts w:ascii="Myriad Pro" w:hAnsi="Myriad Pro" w:cs="Times New Roman"/>
          <w:sz w:val="26"/>
          <w:szCs w:val="26"/>
        </w:rPr>
        <w:t>«</w:t>
      </w:r>
      <w:r w:rsidR="0056641A" w:rsidRPr="00FB0A3A">
        <w:rPr>
          <w:rFonts w:ascii="Myriad Pro" w:hAnsi="Myriad Pro" w:cs="Times New Roman"/>
          <w:sz w:val="26"/>
          <w:szCs w:val="26"/>
        </w:rPr>
        <w:t>МРСК Северо-Запада</w:t>
      </w:r>
      <w:r w:rsidR="00655FFA" w:rsidRPr="00FB0A3A">
        <w:rPr>
          <w:rFonts w:ascii="Myriad Pro" w:hAnsi="Myriad Pro" w:cs="Times New Roman"/>
          <w:sz w:val="26"/>
          <w:szCs w:val="26"/>
        </w:rPr>
        <w:t>»</w:t>
      </w:r>
      <w:r w:rsidR="0056641A" w:rsidRPr="00FB0A3A">
        <w:rPr>
          <w:rFonts w:ascii="Myriad Pro" w:hAnsi="Myriad Pro" w:cs="Times New Roman"/>
          <w:sz w:val="26"/>
          <w:szCs w:val="26"/>
        </w:rPr>
        <w:t xml:space="preserve"> </w:t>
      </w:r>
      <w:r w:rsidR="00655FFA" w:rsidRPr="00FB0A3A">
        <w:rPr>
          <w:rFonts w:ascii="Myriad Pro" w:hAnsi="Myriad Pro" w:cs="Times New Roman"/>
          <w:sz w:val="26"/>
          <w:szCs w:val="26"/>
        </w:rPr>
        <w:t>«</w:t>
      </w:r>
      <w:r w:rsidRPr="00FB0A3A">
        <w:rPr>
          <w:rFonts w:ascii="Myriad Pro" w:hAnsi="Myriad Pro" w:cs="Times New Roman"/>
          <w:sz w:val="26"/>
          <w:szCs w:val="26"/>
        </w:rPr>
        <w:t>Колэнерго</w:t>
      </w:r>
      <w:r w:rsidR="00655FFA" w:rsidRPr="00FB0A3A">
        <w:rPr>
          <w:rFonts w:ascii="Myriad Pro" w:hAnsi="Myriad Pro" w:cs="Times New Roman"/>
          <w:sz w:val="26"/>
          <w:szCs w:val="26"/>
        </w:rPr>
        <w:t>»</w:t>
      </w:r>
      <w:r w:rsidRPr="00FB0A3A">
        <w:rPr>
          <w:rFonts w:ascii="Myriad Pro" w:hAnsi="Myriad Pro" w:cs="Times New Roman"/>
          <w:sz w:val="26"/>
          <w:szCs w:val="26"/>
        </w:rPr>
        <w:t xml:space="preserve"> по границам балансовой принадлежности в ТСО, выбравшие схемы взаиморасчетов с </w:t>
      </w:r>
      <w:r w:rsidR="0025782C" w:rsidRPr="00FB0A3A">
        <w:rPr>
          <w:rFonts w:ascii="Myriad Pro" w:hAnsi="Myriad Pro" w:cs="Times New Roman"/>
          <w:sz w:val="26"/>
          <w:szCs w:val="26"/>
        </w:rPr>
        <w:t>ф</w:t>
      </w:r>
      <w:r w:rsidRPr="00FB0A3A">
        <w:rPr>
          <w:rFonts w:ascii="Myriad Pro" w:hAnsi="Myriad Pro" w:cs="Times New Roman"/>
          <w:sz w:val="26"/>
          <w:szCs w:val="26"/>
        </w:rPr>
        <w:t xml:space="preserve">илиалом </w:t>
      </w:r>
      <w:r w:rsidR="0056641A" w:rsidRPr="00FB0A3A">
        <w:rPr>
          <w:rFonts w:ascii="Myriad Pro" w:hAnsi="Myriad Pro" w:cs="Times New Roman"/>
          <w:sz w:val="26"/>
          <w:szCs w:val="26"/>
        </w:rPr>
        <w:t xml:space="preserve">ПАО </w:t>
      </w:r>
      <w:r w:rsidR="00655FFA" w:rsidRPr="00FB0A3A">
        <w:rPr>
          <w:rFonts w:ascii="Myriad Pro" w:hAnsi="Myriad Pro" w:cs="Times New Roman"/>
          <w:sz w:val="26"/>
          <w:szCs w:val="26"/>
        </w:rPr>
        <w:t>«</w:t>
      </w:r>
      <w:r w:rsidR="0056641A" w:rsidRPr="00FB0A3A">
        <w:rPr>
          <w:rFonts w:ascii="Myriad Pro" w:hAnsi="Myriad Pro" w:cs="Times New Roman"/>
          <w:sz w:val="26"/>
          <w:szCs w:val="26"/>
        </w:rPr>
        <w:t>МРСК Северо-Запада</w:t>
      </w:r>
      <w:r w:rsidR="00655FFA" w:rsidRPr="00FB0A3A">
        <w:rPr>
          <w:rFonts w:ascii="Myriad Pro" w:hAnsi="Myriad Pro" w:cs="Times New Roman"/>
          <w:sz w:val="26"/>
          <w:szCs w:val="26"/>
        </w:rPr>
        <w:t>»</w:t>
      </w:r>
      <w:r w:rsidR="0056641A" w:rsidRPr="00FB0A3A">
        <w:rPr>
          <w:rFonts w:ascii="Myriad Pro" w:hAnsi="Myriad Pro" w:cs="Times New Roman"/>
          <w:sz w:val="26"/>
          <w:szCs w:val="26"/>
        </w:rPr>
        <w:t xml:space="preserve"> </w:t>
      </w:r>
      <w:r w:rsidR="00655FFA" w:rsidRPr="00FB0A3A">
        <w:rPr>
          <w:rFonts w:ascii="Myriad Pro" w:hAnsi="Myriad Pro" w:cs="Times New Roman"/>
          <w:sz w:val="26"/>
          <w:szCs w:val="26"/>
        </w:rPr>
        <w:t>«</w:t>
      </w:r>
      <w:r w:rsidRPr="00FB0A3A">
        <w:rPr>
          <w:rFonts w:ascii="Myriad Pro" w:hAnsi="Myriad Pro" w:cs="Times New Roman"/>
          <w:sz w:val="26"/>
          <w:szCs w:val="26"/>
        </w:rPr>
        <w:t>Колэнерго</w:t>
      </w:r>
      <w:r w:rsidR="00655FFA" w:rsidRPr="00FB0A3A">
        <w:rPr>
          <w:rFonts w:ascii="Myriad Pro" w:hAnsi="Myriad Pro" w:cs="Times New Roman"/>
          <w:sz w:val="26"/>
          <w:szCs w:val="26"/>
        </w:rPr>
        <w:t>»</w:t>
      </w:r>
      <w:r w:rsidRPr="00FB0A3A">
        <w:rPr>
          <w:rFonts w:ascii="Myriad Pro" w:hAnsi="Myriad Pro" w:cs="Times New Roman"/>
          <w:sz w:val="26"/>
          <w:szCs w:val="26"/>
        </w:rPr>
        <w:t xml:space="preserve"> - </w:t>
      </w:r>
      <w:r w:rsidR="00655FFA" w:rsidRPr="00FB0A3A">
        <w:rPr>
          <w:rFonts w:ascii="Myriad Pro" w:hAnsi="Myriad Pro" w:cs="Times New Roman"/>
          <w:sz w:val="26"/>
          <w:szCs w:val="26"/>
        </w:rPr>
        <w:t>«</w:t>
      </w:r>
      <w:r w:rsidRPr="00FB0A3A">
        <w:rPr>
          <w:rFonts w:ascii="Myriad Pro" w:hAnsi="Myriad Pro" w:cs="Times New Roman"/>
          <w:sz w:val="26"/>
          <w:szCs w:val="26"/>
        </w:rPr>
        <w:t>расчеты сверху</w:t>
      </w:r>
      <w:r w:rsidR="00655FFA" w:rsidRPr="00FB0A3A">
        <w:rPr>
          <w:rFonts w:ascii="Myriad Pro" w:hAnsi="Myriad Pro" w:cs="Times New Roman"/>
          <w:sz w:val="26"/>
          <w:szCs w:val="26"/>
        </w:rPr>
        <w:t>»</w:t>
      </w:r>
      <w:r w:rsidRPr="00FB0A3A">
        <w:rPr>
          <w:rFonts w:ascii="Myriad Pro" w:hAnsi="Myriad Pro" w:cs="Times New Roman"/>
          <w:sz w:val="26"/>
          <w:szCs w:val="26"/>
        </w:rPr>
        <w:t xml:space="preserve"> и </w:t>
      </w:r>
      <w:r w:rsidR="00655FFA" w:rsidRPr="00FB0A3A">
        <w:rPr>
          <w:rFonts w:ascii="Myriad Pro" w:hAnsi="Myriad Pro" w:cs="Times New Roman"/>
          <w:sz w:val="26"/>
          <w:szCs w:val="26"/>
        </w:rPr>
        <w:t>«</w:t>
      </w:r>
      <w:r w:rsidRPr="00FB0A3A">
        <w:rPr>
          <w:rFonts w:ascii="Myriad Pro" w:hAnsi="Myriad Pro" w:cs="Times New Roman"/>
          <w:sz w:val="26"/>
          <w:szCs w:val="26"/>
        </w:rPr>
        <w:t>расчеты снизу</w:t>
      </w:r>
      <w:r w:rsidR="00655FFA" w:rsidRPr="00FB0A3A">
        <w:rPr>
          <w:rFonts w:ascii="Myriad Pro" w:hAnsi="Myriad Pro" w:cs="Times New Roman"/>
          <w:sz w:val="26"/>
          <w:szCs w:val="26"/>
        </w:rPr>
        <w:t>»</w:t>
      </w:r>
      <w:r w:rsidRPr="00FB0A3A">
        <w:rPr>
          <w:rFonts w:ascii="Myriad Pro" w:hAnsi="Myriad Pro" w:cs="Times New Roman"/>
          <w:sz w:val="26"/>
          <w:szCs w:val="26"/>
        </w:rPr>
        <w:t xml:space="preserve">, и полезный отпуск электрической энергии (мощности) конечным потребителям, непосредственно присоединенным к сетям </w:t>
      </w:r>
      <w:r w:rsidR="0025782C" w:rsidRPr="00FB0A3A">
        <w:rPr>
          <w:rFonts w:ascii="Myriad Pro" w:hAnsi="Myriad Pro" w:cs="Times New Roman"/>
          <w:sz w:val="26"/>
          <w:szCs w:val="26"/>
        </w:rPr>
        <w:t>ф</w:t>
      </w:r>
      <w:r w:rsidRPr="00FB0A3A">
        <w:rPr>
          <w:rFonts w:ascii="Myriad Pro" w:hAnsi="Myriad Pro" w:cs="Times New Roman"/>
          <w:sz w:val="26"/>
          <w:szCs w:val="26"/>
        </w:rPr>
        <w:t xml:space="preserve">илиала </w:t>
      </w:r>
      <w:r w:rsidR="0056641A" w:rsidRPr="00FB0A3A">
        <w:rPr>
          <w:rFonts w:ascii="Myriad Pro" w:hAnsi="Myriad Pro" w:cs="Times New Roman"/>
          <w:sz w:val="26"/>
          <w:szCs w:val="26"/>
        </w:rPr>
        <w:t>ПАО</w:t>
      </w:r>
      <w:r w:rsidR="00A308AB">
        <w:rPr>
          <w:rFonts w:ascii="Myriad Pro" w:hAnsi="Myriad Pro" w:cs="Times New Roman"/>
          <w:sz w:val="26"/>
          <w:szCs w:val="26"/>
        </w:rPr>
        <w:t> </w:t>
      </w:r>
      <w:r w:rsidR="00655FFA" w:rsidRPr="00FB0A3A">
        <w:rPr>
          <w:rFonts w:ascii="Myriad Pro" w:hAnsi="Myriad Pro" w:cs="Times New Roman"/>
          <w:sz w:val="26"/>
          <w:szCs w:val="26"/>
        </w:rPr>
        <w:t>«</w:t>
      </w:r>
      <w:r w:rsidR="0056641A" w:rsidRPr="00FB0A3A">
        <w:rPr>
          <w:rFonts w:ascii="Myriad Pro" w:hAnsi="Myriad Pro" w:cs="Times New Roman"/>
          <w:sz w:val="26"/>
          <w:szCs w:val="26"/>
        </w:rPr>
        <w:t>МРСК Северо-Запада</w:t>
      </w:r>
      <w:r w:rsidR="00655FFA" w:rsidRPr="00FB0A3A">
        <w:rPr>
          <w:rFonts w:ascii="Myriad Pro" w:hAnsi="Myriad Pro" w:cs="Times New Roman"/>
          <w:sz w:val="26"/>
          <w:szCs w:val="26"/>
        </w:rPr>
        <w:t>»</w:t>
      </w:r>
      <w:r w:rsidR="0056641A" w:rsidRPr="00FB0A3A">
        <w:rPr>
          <w:rFonts w:ascii="Myriad Pro" w:hAnsi="Myriad Pro" w:cs="Times New Roman"/>
          <w:sz w:val="26"/>
          <w:szCs w:val="26"/>
        </w:rPr>
        <w:t xml:space="preserve"> </w:t>
      </w:r>
      <w:r w:rsidR="00655FFA" w:rsidRPr="00FB0A3A">
        <w:rPr>
          <w:rFonts w:ascii="Myriad Pro" w:hAnsi="Myriad Pro" w:cs="Times New Roman"/>
          <w:sz w:val="26"/>
          <w:szCs w:val="26"/>
        </w:rPr>
        <w:t>«</w:t>
      </w:r>
      <w:r w:rsidRPr="00FB0A3A">
        <w:rPr>
          <w:rFonts w:ascii="Myriad Pro" w:hAnsi="Myriad Pro" w:cs="Times New Roman"/>
          <w:sz w:val="26"/>
          <w:szCs w:val="26"/>
        </w:rPr>
        <w:t>Колэнерго</w:t>
      </w:r>
      <w:r w:rsidR="00655FFA" w:rsidRPr="00FB0A3A">
        <w:rPr>
          <w:rFonts w:ascii="Myriad Pro" w:hAnsi="Myriad Pro" w:cs="Times New Roman"/>
          <w:sz w:val="26"/>
          <w:szCs w:val="26"/>
        </w:rPr>
        <w:t>»</w:t>
      </w:r>
      <w:r w:rsidRPr="00FB0A3A">
        <w:rPr>
          <w:rFonts w:ascii="Myriad Pro" w:hAnsi="Myriad Pro" w:cs="Times New Roman"/>
          <w:sz w:val="26"/>
          <w:szCs w:val="26"/>
        </w:rPr>
        <w:t>.</w:t>
      </w:r>
    </w:p>
    <w:p w14:paraId="5F803413" w14:textId="77777777" w:rsidR="00294703" w:rsidRPr="00FB0A3A" w:rsidRDefault="00294703" w:rsidP="00C04ABD">
      <w:pPr>
        <w:tabs>
          <w:tab w:val="left" w:pos="1134"/>
        </w:tabs>
        <w:spacing w:after="0" w:line="360" w:lineRule="auto"/>
        <w:ind w:right="-6" w:firstLine="567"/>
        <w:jc w:val="both"/>
        <w:rPr>
          <w:rFonts w:ascii="Myriad Pro" w:hAnsi="Myriad Pro" w:cs="Times New Roman"/>
          <w:sz w:val="26"/>
          <w:szCs w:val="26"/>
        </w:rPr>
      </w:pPr>
      <w:r w:rsidRPr="00FB0A3A">
        <w:rPr>
          <w:rFonts w:ascii="Myriad Pro" w:hAnsi="Myriad Pro" w:cs="Times New Roman"/>
          <w:sz w:val="26"/>
          <w:szCs w:val="26"/>
        </w:rPr>
        <w:t xml:space="preserve">Структура полезного отпуска электрической энергии (мощности) по группам потребителей Таблица П1.6 на 2019 год сформирована на основании Формы 3.1, Таблиц П1.4. и П1.5 и прогноза электрической энергии и мощности по группам потребителей. </w:t>
      </w:r>
    </w:p>
    <w:p w14:paraId="545AB529" w14:textId="00411663" w:rsidR="00294703" w:rsidRPr="00FB0A3A" w:rsidRDefault="00294703" w:rsidP="00C04ABD">
      <w:pPr>
        <w:tabs>
          <w:tab w:val="left" w:pos="1134"/>
        </w:tabs>
        <w:spacing w:after="0" w:line="360" w:lineRule="auto"/>
        <w:ind w:right="-6" w:firstLine="567"/>
        <w:jc w:val="both"/>
        <w:rPr>
          <w:rFonts w:ascii="Myriad Pro" w:hAnsi="Myriad Pro" w:cs="Times New Roman"/>
          <w:sz w:val="26"/>
          <w:szCs w:val="26"/>
        </w:rPr>
      </w:pPr>
      <w:r w:rsidRPr="00FB0A3A">
        <w:rPr>
          <w:rFonts w:ascii="Myriad Pro" w:hAnsi="Myriad Pro" w:cs="Times New Roman"/>
          <w:sz w:val="26"/>
          <w:szCs w:val="26"/>
        </w:rPr>
        <w:t xml:space="preserve">Отпуск (передача) электроэнергии филиалом </w:t>
      </w:r>
      <w:r w:rsidR="0056641A" w:rsidRPr="00FB0A3A">
        <w:rPr>
          <w:rFonts w:ascii="Myriad Pro" w:hAnsi="Myriad Pro" w:cs="Times New Roman"/>
          <w:sz w:val="26"/>
          <w:szCs w:val="26"/>
        </w:rPr>
        <w:t xml:space="preserve">ПАО </w:t>
      </w:r>
      <w:r w:rsidR="00655FFA" w:rsidRPr="00FB0A3A">
        <w:rPr>
          <w:rFonts w:ascii="Myriad Pro" w:hAnsi="Myriad Pro" w:cs="Times New Roman"/>
          <w:sz w:val="26"/>
          <w:szCs w:val="26"/>
        </w:rPr>
        <w:t>«</w:t>
      </w:r>
      <w:r w:rsidR="0056641A" w:rsidRPr="00FB0A3A">
        <w:rPr>
          <w:rFonts w:ascii="Myriad Pro" w:hAnsi="Myriad Pro" w:cs="Times New Roman"/>
          <w:sz w:val="26"/>
          <w:szCs w:val="26"/>
        </w:rPr>
        <w:t>МРСК Северо-Запада</w:t>
      </w:r>
      <w:r w:rsidR="00655FFA" w:rsidRPr="00FB0A3A">
        <w:rPr>
          <w:rFonts w:ascii="Myriad Pro" w:hAnsi="Myriad Pro" w:cs="Times New Roman"/>
          <w:sz w:val="26"/>
          <w:szCs w:val="26"/>
        </w:rPr>
        <w:t>»</w:t>
      </w:r>
      <w:r w:rsidR="0056641A" w:rsidRPr="00FB0A3A">
        <w:rPr>
          <w:rFonts w:ascii="Myriad Pro" w:hAnsi="Myriad Pro" w:cs="Times New Roman"/>
          <w:sz w:val="26"/>
          <w:szCs w:val="26"/>
        </w:rPr>
        <w:t xml:space="preserve"> </w:t>
      </w:r>
      <w:r w:rsidR="00655FFA" w:rsidRPr="00FB0A3A">
        <w:rPr>
          <w:rFonts w:ascii="Myriad Pro" w:hAnsi="Myriad Pro" w:cs="Times New Roman"/>
          <w:sz w:val="26"/>
          <w:szCs w:val="26"/>
        </w:rPr>
        <w:t>«</w:t>
      </w:r>
      <w:r w:rsidRPr="00FB0A3A">
        <w:rPr>
          <w:rFonts w:ascii="Myriad Pro" w:hAnsi="Myriad Pro" w:cs="Times New Roman"/>
          <w:sz w:val="26"/>
          <w:szCs w:val="26"/>
        </w:rPr>
        <w:t>Колэнерго</w:t>
      </w:r>
      <w:r w:rsidR="00655FFA" w:rsidRPr="00FB0A3A">
        <w:rPr>
          <w:rFonts w:ascii="Myriad Pro" w:hAnsi="Myriad Pro" w:cs="Times New Roman"/>
          <w:sz w:val="26"/>
          <w:szCs w:val="26"/>
        </w:rPr>
        <w:t>»</w:t>
      </w:r>
      <w:r w:rsidRPr="00FB0A3A">
        <w:rPr>
          <w:rFonts w:ascii="Myriad Pro" w:hAnsi="Myriad Pro" w:cs="Times New Roman"/>
          <w:sz w:val="26"/>
          <w:szCs w:val="26"/>
        </w:rPr>
        <w:t xml:space="preserve"> на 2019 год в формате таблицы П1.30 сформирован на основании таблиц П1.4, П1.5 и таблиц П1.30 по ТСО на 2019 год. </w:t>
      </w:r>
    </w:p>
    <w:p w14:paraId="36E4D431" w14:textId="5793A183" w:rsidR="00294703" w:rsidRPr="00FB0A3A" w:rsidRDefault="00294703" w:rsidP="00C04ABD">
      <w:pPr>
        <w:pStyle w:val="afff4"/>
        <w:tabs>
          <w:tab w:val="left" w:pos="1134"/>
        </w:tabs>
        <w:rPr>
          <w:lang w:val="ru-RU"/>
        </w:rPr>
      </w:pPr>
      <w:r w:rsidRPr="00FB0A3A">
        <w:rPr>
          <w:lang w:val="ru-RU"/>
        </w:rPr>
        <w:t xml:space="preserve">Филиалом </w:t>
      </w:r>
      <w:r w:rsidR="0056641A" w:rsidRPr="00FB0A3A">
        <w:rPr>
          <w:lang w:val="ru-RU"/>
        </w:rPr>
        <w:t xml:space="preserve">ПАО </w:t>
      </w:r>
      <w:r w:rsidR="00655FFA" w:rsidRPr="00FB0A3A">
        <w:rPr>
          <w:lang w:val="ru-RU"/>
        </w:rPr>
        <w:t>«</w:t>
      </w:r>
      <w:r w:rsidR="0056641A" w:rsidRPr="00FB0A3A">
        <w:rPr>
          <w:lang w:val="ru-RU"/>
        </w:rPr>
        <w:t>МРСК Северо-Запада</w:t>
      </w:r>
      <w:r w:rsidR="00655FFA" w:rsidRPr="00FB0A3A">
        <w:rPr>
          <w:lang w:val="ru-RU"/>
        </w:rPr>
        <w:t>»</w:t>
      </w:r>
      <w:r w:rsidR="0056641A" w:rsidRPr="00FB0A3A">
        <w:rPr>
          <w:lang w:val="ru-RU"/>
        </w:rPr>
        <w:t xml:space="preserve"> </w:t>
      </w:r>
      <w:r w:rsidR="00655FFA" w:rsidRPr="00FB0A3A">
        <w:rPr>
          <w:lang w:val="ru-RU"/>
        </w:rPr>
        <w:t>«</w:t>
      </w:r>
      <w:r w:rsidRPr="00FB0A3A">
        <w:rPr>
          <w:lang w:val="ru-RU"/>
        </w:rPr>
        <w:t>Колэнерго</w:t>
      </w:r>
      <w:r w:rsidR="00655FFA" w:rsidRPr="00FB0A3A">
        <w:rPr>
          <w:lang w:val="ru-RU"/>
        </w:rPr>
        <w:t>»</w:t>
      </w:r>
      <w:r w:rsidRPr="00FB0A3A">
        <w:rPr>
          <w:lang w:val="ru-RU"/>
        </w:rPr>
        <w:t xml:space="preserve"> с учетом норматива технологических потерь электрической энергии при её передаче по электрическим сетям территориальных сетевых организаций, утвержденных приказом Министерства энергетики России от 26 сентября 2017 года № 887 был проведен расчёт нормативных потерь электрической энергии в сетях филиала ПАО </w:t>
      </w:r>
      <w:r w:rsidR="00655FFA" w:rsidRPr="00FB0A3A">
        <w:rPr>
          <w:lang w:val="ru-RU"/>
        </w:rPr>
        <w:t>«</w:t>
      </w:r>
      <w:r w:rsidRPr="00FB0A3A">
        <w:rPr>
          <w:lang w:val="ru-RU"/>
        </w:rPr>
        <w:t>МРСК Северо-Запада</w:t>
      </w:r>
      <w:r w:rsidR="00655FFA" w:rsidRPr="00FB0A3A">
        <w:rPr>
          <w:lang w:val="ru-RU"/>
        </w:rPr>
        <w:t>»</w:t>
      </w:r>
      <w:r w:rsidRPr="00FB0A3A">
        <w:rPr>
          <w:lang w:val="ru-RU"/>
        </w:rPr>
        <w:t xml:space="preserve"> </w:t>
      </w:r>
      <w:r w:rsidR="00655FFA" w:rsidRPr="00FB0A3A">
        <w:rPr>
          <w:lang w:val="ru-RU"/>
        </w:rPr>
        <w:t>«</w:t>
      </w:r>
      <w:r w:rsidRPr="00FB0A3A">
        <w:rPr>
          <w:lang w:val="ru-RU"/>
        </w:rPr>
        <w:t>Колэнерго</w:t>
      </w:r>
      <w:r w:rsidR="00655FFA" w:rsidRPr="00FB0A3A">
        <w:rPr>
          <w:lang w:val="ru-RU"/>
        </w:rPr>
        <w:t>»</w:t>
      </w:r>
      <w:r w:rsidRPr="00FB0A3A">
        <w:rPr>
          <w:lang w:val="ru-RU"/>
        </w:rPr>
        <w:t xml:space="preserve">. Расчет нормативных потерь электроэнергии был проведен на основании данных по оборудованию (ВЛ, КЛ и номинальных мощностей силовых трансформаторов), а также фактических данных </w:t>
      </w:r>
      <w:r w:rsidRPr="00FB0A3A">
        <w:rPr>
          <w:lang w:val="ru-RU"/>
        </w:rPr>
        <w:lastRenderedPageBreak/>
        <w:t xml:space="preserve">по отпуску электроэнергии в сеть филиала </w:t>
      </w:r>
      <w:r w:rsidR="00655FFA" w:rsidRPr="00FB0A3A">
        <w:rPr>
          <w:lang w:val="ru-RU"/>
        </w:rPr>
        <w:t>«</w:t>
      </w:r>
      <w:r w:rsidRPr="00FB0A3A">
        <w:rPr>
          <w:lang w:val="ru-RU"/>
        </w:rPr>
        <w:t>Колэнерго</w:t>
      </w:r>
      <w:r w:rsidR="00655FFA" w:rsidRPr="00FB0A3A">
        <w:rPr>
          <w:lang w:val="ru-RU"/>
        </w:rPr>
        <w:t>»</w:t>
      </w:r>
      <w:r w:rsidRPr="00FB0A3A">
        <w:rPr>
          <w:lang w:val="ru-RU"/>
        </w:rPr>
        <w:t xml:space="preserve"> за 2017 год. Расчетные нормативные потери на 2019 год составили 3,507</w:t>
      </w:r>
      <w:r w:rsidR="008B0532" w:rsidRPr="00FB0A3A">
        <w:rPr>
          <w:lang w:val="ru-RU"/>
        </w:rPr>
        <w:t>2%</w:t>
      </w:r>
      <w:r w:rsidRPr="00FB0A3A">
        <w:rPr>
          <w:lang w:val="ru-RU"/>
        </w:rPr>
        <w:t>.</w:t>
      </w:r>
    </w:p>
    <w:tbl>
      <w:tblPr>
        <w:tblStyle w:val="afff6"/>
        <w:tblW w:w="5000" w:type="pct"/>
        <w:tblLook w:val="04A0" w:firstRow="1" w:lastRow="0" w:firstColumn="1" w:lastColumn="0" w:noHBand="0" w:noVBand="1"/>
      </w:tblPr>
      <w:tblGrid>
        <w:gridCol w:w="2687"/>
        <w:gridCol w:w="1113"/>
        <w:gridCol w:w="1253"/>
        <w:gridCol w:w="1253"/>
        <w:gridCol w:w="1069"/>
        <w:gridCol w:w="1031"/>
        <w:gridCol w:w="938"/>
      </w:tblGrid>
      <w:tr w:rsidR="00F05B70" w:rsidRPr="00FB0A3A" w14:paraId="10252729" w14:textId="77777777" w:rsidTr="00DE3D46">
        <w:trPr>
          <w:cnfStyle w:val="100000000000" w:firstRow="1" w:lastRow="0" w:firstColumn="0" w:lastColumn="0" w:oddVBand="0" w:evenVBand="0" w:oddHBand="0"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0B11F99" w14:textId="77777777" w:rsidR="008B0532" w:rsidRPr="00FB0A3A" w:rsidRDefault="008B0532" w:rsidP="00A31747">
            <w:pPr>
              <w:tabs>
                <w:tab w:val="left" w:pos="1134"/>
              </w:tabs>
              <w:jc w:val="center"/>
              <w:rPr>
                <w:rFonts w:cs="Times New Roman"/>
                <w:szCs w:val="18"/>
              </w:rPr>
            </w:pPr>
            <w:r w:rsidRPr="00FB0A3A">
              <w:rPr>
                <w:rFonts w:cs="Times New Roman"/>
                <w:szCs w:val="18"/>
              </w:rPr>
              <w:t>Наименование показателя</w:t>
            </w: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615FB70" w14:textId="77777777" w:rsidR="008B0532" w:rsidRPr="00FB0A3A" w:rsidRDefault="008B0532" w:rsidP="00A31747">
            <w:pPr>
              <w:tabs>
                <w:tab w:val="left" w:pos="1134"/>
              </w:tabs>
              <w:cnfStyle w:val="100000000000" w:firstRow="1"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Ед. измерения</w:t>
            </w: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45BBCC5" w14:textId="77777777" w:rsidR="008B0532" w:rsidRPr="00FB0A3A" w:rsidRDefault="008B0532" w:rsidP="00A31747">
            <w:pPr>
              <w:tabs>
                <w:tab w:val="left" w:pos="1134"/>
              </w:tabs>
              <w:cnfStyle w:val="100000000000" w:firstRow="1"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Всего</w:t>
            </w:r>
          </w:p>
        </w:tc>
        <w:tc>
          <w:tcPr>
            <w:tcW w:w="0" w:type="auto"/>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E65BD8A" w14:textId="77777777" w:rsidR="008B0532" w:rsidRPr="00FB0A3A" w:rsidRDefault="008B0532" w:rsidP="00A31747">
            <w:pPr>
              <w:tabs>
                <w:tab w:val="left" w:pos="1134"/>
              </w:tabs>
              <w:cnfStyle w:val="100000000000" w:firstRow="1"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В том числе по уровню напряжения</w:t>
            </w:r>
          </w:p>
        </w:tc>
      </w:tr>
      <w:tr w:rsidR="00F05B70" w:rsidRPr="00FB0A3A" w14:paraId="44384E8F" w14:textId="77777777" w:rsidTr="00DE3D46">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C5C0311" w14:textId="77777777" w:rsidR="008B0532" w:rsidRPr="00FB0A3A" w:rsidRDefault="008B0532" w:rsidP="00A31747">
            <w:pPr>
              <w:tabs>
                <w:tab w:val="left" w:pos="1134"/>
              </w:tabs>
              <w:jc w:val="center"/>
              <w:rPr>
                <w:rFonts w:cs="Times New Roman"/>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0EEA5B3" w14:textId="77777777"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E57AE0E" w14:textId="77777777"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54BD0376" w14:textId="77777777"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color w:val="FFFFFF" w:themeColor="background1"/>
                <w:szCs w:val="18"/>
              </w:rPr>
            </w:pPr>
            <w:r w:rsidRPr="00FB0A3A">
              <w:rPr>
                <w:rFonts w:cs="Times New Roman"/>
                <w:color w:val="FFFFFF" w:themeColor="background1"/>
                <w:szCs w:val="18"/>
              </w:rPr>
              <w:t>ВН</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723A9E6E" w14:textId="77777777"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color w:val="FFFFFF" w:themeColor="background1"/>
                <w:szCs w:val="18"/>
              </w:rPr>
            </w:pPr>
            <w:r w:rsidRPr="00FB0A3A">
              <w:rPr>
                <w:rFonts w:cs="Times New Roman"/>
                <w:color w:val="FFFFFF" w:themeColor="background1"/>
                <w:szCs w:val="18"/>
              </w:rPr>
              <w:t>СН1</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4DDCD6A0" w14:textId="77777777"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color w:val="FFFFFF" w:themeColor="background1"/>
                <w:szCs w:val="18"/>
              </w:rPr>
            </w:pPr>
            <w:r w:rsidRPr="00FB0A3A">
              <w:rPr>
                <w:rFonts w:cs="Times New Roman"/>
                <w:color w:val="FFFFFF" w:themeColor="background1"/>
                <w:szCs w:val="18"/>
              </w:rPr>
              <w:t>СН2</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2C228AEC" w14:textId="77777777"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color w:val="FFFFFF" w:themeColor="background1"/>
                <w:szCs w:val="18"/>
              </w:rPr>
            </w:pPr>
            <w:r w:rsidRPr="00FB0A3A">
              <w:rPr>
                <w:rFonts w:cs="Times New Roman"/>
                <w:color w:val="FFFFFF" w:themeColor="background1"/>
                <w:szCs w:val="18"/>
              </w:rPr>
              <w:t>НН</w:t>
            </w:r>
          </w:p>
        </w:tc>
      </w:tr>
      <w:tr w:rsidR="00F05B70" w:rsidRPr="00FB0A3A" w14:paraId="1D334C99" w14:textId="77777777" w:rsidTr="00296C71">
        <w:tc>
          <w:tcPr>
            <w:cnfStyle w:val="001000000000" w:firstRow="0" w:lastRow="0" w:firstColumn="1" w:lastColumn="0" w:oddVBand="0" w:evenVBand="0" w:oddHBand="0" w:evenHBand="0" w:firstRowFirstColumn="0" w:firstRowLastColumn="0" w:lastRowFirstColumn="0" w:lastRowLastColumn="0"/>
            <w:tcW w:w="0" w:type="auto"/>
            <w:gridSpan w:val="7"/>
            <w:tcBorders>
              <w:top w:val="single" w:sz="4" w:space="0" w:color="FFFFFF" w:themeColor="background1"/>
            </w:tcBorders>
            <w:shd w:val="clear" w:color="auto" w:fill="D6E3BC" w:themeFill="accent3" w:themeFillTint="66"/>
            <w:hideMark/>
          </w:tcPr>
          <w:p w14:paraId="21783FC6" w14:textId="77777777" w:rsidR="008B0532" w:rsidRPr="00FB0A3A" w:rsidRDefault="008B0532" w:rsidP="00A31747">
            <w:pPr>
              <w:tabs>
                <w:tab w:val="left" w:pos="1134"/>
              </w:tabs>
              <w:jc w:val="center"/>
              <w:rPr>
                <w:rFonts w:cs="Times New Roman"/>
                <w:b/>
                <w:szCs w:val="18"/>
              </w:rPr>
            </w:pPr>
            <w:r w:rsidRPr="00FB0A3A">
              <w:rPr>
                <w:rFonts w:cs="Times New Roman"/>
                <w:b/>
                <w:szCs w:val="18"/>
              </w:rPr>
              <w:t>Базовый период (2017 год)</w:t>
            </w:r>
          </w:p>
        </w:tc>
      </w:tr>
      <w:tr w:rsidR="00F05B70" w:rsidRPr="00FB0A3A" w14:paraId="2AD15C56" w14:textId="77777777" w:rsidTr="00F05B70">
        <w:tc>
          <w:tcPr>
            <w:cnfStyle w:val="001000000000" w:firstRow="0" w:lastRow="0" w:firstColumn="1" w:lastColumn="0" w:oddVBand="0" w:evenVBand="0" w:oddHBand="0" w:evenHBand="0" w:firstRowFirstColumn="0" w:firstRowLastColumn="0" w:lastRowFirstColumn="0" w:lastRowLastColumn="0"/>
            <w:tcW w:w="0" w:type="auto"/>
            <w:hideMark/>
          </w:tcPr>
          <w:p w14:paraId="540E4FDD" w14:textId="6CF56944" w:rsidR="008B0532" w:rsidRPr="00FB0A3A" w:rsidRDefault="008B0532" w:rsidP="00A31747">
            <w:pPr>
              <w:tabs>
                <w:tab w:val="left" w:pos="1134"/>
              </w:tabs>
              <w:rPr>
                <w:rFonts w:cs="Times New Roman"/>
                <w:szCs w:val="18"/>
              </w:rPr>
            </w:pPr>
            <w:r w:rsidRPr="00FB0A3A">
              <w:rPr>
                <w:rFonts w:cs="Times New Roman"/>
                <w:szCs w:val="18"/>
              </w:rPr>
              <w:t>Поступление в сеть из других организаций, в том числе:</w:t>
            </w:r>
          </w:p>
        </w:tc>
        <w:tc>
          <w:tcPr>
            <w:tcW w:w="0" w:type="auto"/>
            <w:hideMark/>
          </w:tcPr>
          <w:p w14:paraId="441AB9A9" w14:textId="77777777"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тыс. кВт ч</w:t>
            </w:r>
          </w:p>
        </w:tc>
        <w:tc>
          <w:tcPr>
            <w:tcW w:w="0" w:type="auto"/>
            <w:noWrap/>
            <w:hideMark/>
          </w:tcPr>
          <w:p w14:paraId="50516335" w14:textId="77777777"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11 385 813,20</w:t>
            </w:r>
          </w:p>
        </w:tc>
        <w:tc>
          <w:tcPr>
            <w:tcW w:w="0" w:type="auto"/>
            <w:noWrap/>
            <w:hideMark/>
          </w:tcPr>
          <w:p w14:paraId="5D57C7C9" w14:textId="77777777"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11 118 422,61</w:t>
            </w:r>
          </w:p>
        </w:tc>
        <w:tc>
          <w:tcPr>
            <w:tcW w:w="0" w:type="auto"/>
            <w:noWrap/>
            <w:hideMark/>
          </w:tcPr>
          <w:p w14:paraId="0B985A91" w14:textId="77777777"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224 261,88</w:t>
            </w:r>
          </w:p>
        </w:tc>
        <w:tc>
          <w:tcPr>
            <w:tcW w:w="0" w:type="auto"/>
            <w:noWrap/>
            <w:hideMark/>
          </w:tcPr>
          <w:p w14:paraId="6ED71968" w14:textId="77777777"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43 128,72</w:t>
            </w:r>
          </w:p>
        </w:tc>
        <w:tc>
          <w:tcPr>
            <w:tcW w:w="0" w:type="auto"/>
            <w:noWrap/>
            <w:hideMark/>
          </w:tcPr>
          <w:p w14:paraId="4CF6957B" w14:textId="77777777"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0,00</w:t>
            </w:r>
          </w:p>
        </w:tc>
      </w:tr>
      <w:tr w:rsidR="00F05B70" w:rsidRPr="00FB0A3A" w14:paraId="367F3548" w14:textId="77777777" w:rsidTr="00F05B70">
        <w:tc>
          <w:tcPr>
            <w:cnfStyle w:val="001000000000" w:firstRow="0" w:lastRow="0" w:firstColumn="1" w:lastColumn="0" w:oddVBand="0" w:evenVBand="0" w:oddHBand="0" w:evenHBand="0" w:firstRowFirstColumn="0" w:firstRowLastColumn="0" w:lastRowFirstColumn="0" w:lastRowLastColumn="0"/>
            <w:tcW w:w="0" w:type="auto"/>
            <w:hideMark/>
          </w:tcPr>
          <w:p w14:paraId="3CD0221D" w14:textId="77777777" w:rsidR="008B0532" w:rsidRPr="00FB0A3A" w:rsidRDefault="008B0532" w:rsidP="00A31747">
            <w:pPr>
              <w:tabs>
                <w:tab w:val="left" w:pos="1134"/>
              </w:tabs>
              <w:ind w:left="306"/>
              <w:rPr>
                <w:rFonts w:cs="Times New Roman"/>
                <w:szCs w:val="18"/>
              </w:rPr>
            </w:pPr>
            <w:r w:rsidRPr="00FB0A3A">
              <w:rPr>
                <w:rFonts w:cs="Times New Roman"/>
                <w:szCs w:val="18"/>
              </w:rPr>
              <w:t>из сетей ФСК</w:t>
            </w:r>
          </w:p>
        </w:tc>
        <w:tc>
          <w:tcPr>
            <w:tcW w:w="0" w:type="auto"/>
            <w:hideMark/>
          </w:tcPr>
          <w:p w14:paraId="17B98855" w14:textId="77777777"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тыс. кВт ч</w:t>
            </w:r>
          </w:p>
        </w:tc>
        <w:tc>
          <w:tcPr>
            <w:tcW w:w="0" w:type="auto"/>
            <w:noWrap/>
            <w:hideMark/>
          </w:tcPr>
          <w:p w14:paraId="43AFD788" w14:textId="77777777"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5 969 160,22</w:t>
            </w:r>
          </w:p>
        </w:tc>
        <w:tc>
          <w:tcPr>
            <w:tcW w:w="0" w:type="auto"/>
            <w:noWrap/>
            <w:hideMark/>
          </w:tcPr>
          <w:p w14:paraId="4BEC4E27" w14:textId="77777777"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5 842 804,04</w:t>
            </w:r>
          </w:p>
        </w:tc>
        <w:tc>
          <w:tcPr>
            <w:tcW w:w="0" w:type="auto"/>
            <w:noWrap/>
            <w:hideMark/>
          </w:tcPr>
          <w:p w14:paraId="437F0E87" w14:textId="77777777"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114 947,96</w:t>
            </w:r>
          </w:p>
        </w:tc>
        <w:tc>
          <w:tcPr>
            <w:tcW w:w="0" w:type="auto"/>
            <w:noWrap/>
            <w:hideMark/>
          </w:tcPr>
          <w:p w14:paraId="7C5D1B25" w14:textId="77777777"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11 408,22</w:t>
            </w:r>
          </w:p>
        </w:tc>
        <w:tc>
          <w:tcPr>
            <w:tcW w:w="0" w:type="auto"/>
            <w:noWrap/>
            <w:hideMark/>
          </w:tcPr>
          <w:p w14:paraId="1AE74CEF" w14:textId="77777777"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0,00</w:t>
            </w:r>
          </w:p>
        </w:tc>
      </w:tr>
      <w:tr w:rsidR="00F05B70" w:rsidRPr="00FB0A3A" w14:paraId="072C3807" w14:textId="77777777" w:rsidTr="00F05B70">
        <w:tc>
          <w:tcPr>
            <w:cnfStyle w:val="001000000000" w:firstRow="0" w:lastRow="0" w:firstColumn="1" w:lastColumn="0" w:oddVBand="0" w:evenVBand="0" w:oddHBand="0" w:evenHBand="0" w:firstRowFirstColumn="0" w:firstRowLastColumn="0" w:lastRowFirstColumn="0" w:lastRowLastColumn="0"/>
            <w:tcW w:w="0" w:type="auto"/>
            <w:hideMark/>
          </w:tcPr>
          <w:p w14:paraId="492BD76F" w14:textId="77777777" w:rsidR="008B0532" w:rsidRPr="00FB0A3A" w:rsidRDefault="008B0532" w:rsidP="00A31747">
            <w:pPr>
              <w:tabs>
                <w:tab w:val="left" w:pos="1134"/>
              </w:tabs>
              <w:ind w:left="306"/>
              <w:rPr>
                <w:rFonts w:cs="Times New Roman"/>
                <w:szCs w:val="18"/>
              </w:rPr>
            </w:pPr>
            <w:r w:rsidRPr="00FB0A3A">
              <w:rPr>
                <w:rFonts w:cs="Times New Roman"/>
                <w:szCs w:val="18"/>
              </w:rPr>
              <w:t>от генерирующих компаний и блок-станций</w:t>
            </w:r>
          </w:p>
        </w:tc>
        <w:tc>
          <w:tcPr>
            <w:tcW w:w="0" w:type="auto"/>
            <w:hideMark/>
          </w:tcPr>
          <w:p w14:paraId="31F493B8" w14:textId="77777777"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тыс. кВт ч</w:t>
            </w:r>
          </w:p>
        </w:tc>
        <w:tc>
          <w:tcPr>
            <w:tcW w:w="0" w:type="auto"/>
            <w:noWrap/>
            <w:hideMark/>
          </w:tcPr>
          <w:p w14:paraId="0ED3BDE2" w14:textId="77777777"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5 609 251,95</w:t>
            </w:r>
          </w:p>
        </w:tc>
        <w:tc>
          <w:tcPr>
            <w:tcW w:w="0" w:type="auto"/>
            <w:noWrap/>
            <w:hideMark/>
          </w:tcPr>
          <w:p w14:paraId="6C2837E1" w14:textId="77777777"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5 468 217,53</w:t>
            </w:r>
          </w:p>
        </w:tc>
        <w:tc>
          <w:tcPr>
            <w:tcW w:w="0" w:type="auto"/>
            <w:noWrap/>
            <w:hideMark/>
          </w:tcPr>
          <w:p w14:paraId="5DF49617" w14:textId="77777777"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109 313,92</w:t>
            </w:r>
          </w:p>
        </w:tc>
        <w:tc>
          <w:tcPr>
            <w:tcW w:w="0" w:type="auto"/>
            <w:noWrap/>
            <w:hideMark/>
          </w:tcPr>
          <w:p w14:paraId="0B2EEB2B" w14:textId="77777777"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31 720,49</w:t>
            </w:r>
          </w:p>
        </w:tc>
        <w:tc>
          <w:tcPr>
            <w:tcW w:w="0" w:type="auto"/>
            <w:noWrap/>
            <w:hideMark/>
          </w:tcPr>
          <w:p w14:paraId="220078EF" w14:textId="77777777"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0,00</w:t>
            </w:r>
          </w:p>
        </w:tc>
      </w:tr>
      <w:tr w:rsidR="00F05B70" w:rsidRPr="00FB0A3A" w14:paraId="08B2AA0D" w14:textId="77777777" w:rsidTr="00F05B70">
        <w:tc>
          <w:tcPr>
            <w:cnfStyle w:val="001000000000" w:firstRow="0" w:lastRow="0" w:firstColumn="1" w:lastColumn="0" w:oddVBand="0" w:evenVBand="0" w:oddHBand="0" w:evenHBand="0" w:firstRowFirstColumn="0" w:firstRowLastColumn="0" w:lastRowFirstColumn="0" w:lastRowLastColumn="0"/>
            <w:tcW w:w="0" w:type="auto"/>
            <w:hideMark/>
          </w:tcPr>
          <w:p w14:paraId="466E17CB" w14:textId="77777777" w:rsidR="008B0532" w:rsidRPr="00FB0A3A" w:rsidRDefault="008B0532" w:rsidP="00A31747">
            <w:pPr>
              <w:tabs>
                <w:tab w:val="left" w:pos="1134"/>
              </w:tabs>
              <w:ind w:left="306"/>
              <w:rPr>
                <w:rFonts w:cs="Times New Roman"/>
                <w:szCs w:val="18"/>
              </w:rPr>
            </w:pPr>
            <w:r w:rsidRPr="00FB0A3A">
              <w:rPr>
                <w:rFonts w:cs="Times New Roman"/>
                <w:szCs w:val="18"/>
              </w:rPr>
              <w:t>от смежных сетевых организаций</w:t>
            </w:r>
          </w:p>
        </w:tc>
        <w:tc>
          <w:tcPr>
            <w:tcW w:w="0" w:type="auto"/>
            <w:hideMark/>
          </w:tcPr>
          <w:p w14:paraId="0893A9E1" w14:textId="77777777"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тыс. кВт ч</w:t>
            </w:r>
          </w:p>
        </w:tc>
        <w:tc>
          <w:tcPr>
            <w:tcW w:w="0" w:type="auto"/>
            <w:noWrap/>
            <w:hideMark/>
          </w:tcPr>
          <w:p w14:paraId="23E8DC21" w14:textId="77777777"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-192 598,97</w:t>
            </w:r>
          </w:p>
        </w:tc>
        <w:tc>
          <w:tcPr>
            <w:tcW w:w="0" w:type="auto"/>
            <w:noWrap/>
            <w:hideMark/>
          </w:tcPr>
          <w:p w14:paraId="3751AB17" w14:textId="77777777"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-192 598,97</w:t>
            </w:r>
          </w:p>
        </w:tc>
        <w:tc>
          <w:tcPr>
            <w:tcW w:w="0" w:type="auto"/>
            <w:noWrap/>
            <w:hideMark/>
          </w:tcPr>
          <w:p w14:paraId="531D67AC" w14:textId="1DD445B9"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p>
        </w:tc>
        <w:tc>
          <w:tcPr>
            <w:tcW w:w="0" w:type="auto"/>
            <w:noWrap/>
            <w:hideMark/>
          </w:tcPr>
          <w:p w14:paraId="2A1F14EA" w14:textId="738392F6"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p>
        </w:tc>
        <w:tc>
          <w:tcPr>
            <w:tcW w:w="0" w:type="auto"/>
            <w:noWrap/>
            <w:hideMark/>
          </w:tcPr>
          <w:p w14:paraId="05723046" w14:textId="19A9CF85"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p>
        </w:tc>
      </w:tr>
      <w:tr w:rsidR="00F05B70" w:rsidRPr="00FB0A3A" w14:paraId="431339AA" w14:textId="77777777" w:rsidTr="00F05B70">
        <w:tc>
          <w:tcPr>
            <w:cnfStyle w:val="001000000000" w:firstRow="0" w:lastRow="0" w:firstColumn="1" w:lastColumn="0" w:oddVBand="0" w:evenVBand="0" w:oddHBand="0" w:evenHBand="0" w:firstRowFirstColumn="0" w:firstRowLastColumn="0" w:lastRowFirstColumn="0" w:lastRowLastColumn="0"/>
            <w:tcW w:w="0" w:type="auto"/>
            <w:hideMark/>
          </w:tcPr>
          <w:p w14:paraId="4932662D" w14:textId="77777777" w:rsidR="008B0532" w:rsidRPr="00FB0A3A" w:rsidRDefault="008B0532" w:rsidP="00A31747">
            <w:pPr>
              <w:tabs>
                <w:tab w:val="left" w:pos="1134"/>
              </w:tabs>
              <w:rPr>
                <w:rFonts w:cs="Times New Roman"/>
                <w:szCs w:val="18"/>
              </w:rPr>
            </w:pPr>
            <w:r w:rsidRPr="00FB0A3A">
              <w:rPr>
                <w:rFonts w:cs="Times New Roman"/>
                <w:szCs w:val="18"/>
              </w:rPr>
              <w:t>Поступление в сеть из других уровней напряжения (трансформация)</w:t>
            </w:r>
          </w:p>
        </w:tc>
        <w:tc>
          <w:tcPr>
            <w:tcW w:w="0" w:type="auto"/>
            <w:hideMark/>
          </w:tcPr>
          <w:p w14:paraId="2D86A1B1" w14:textId="77777777"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тыс. кВт ч</w:t>
            </w:r>
          </w:p>
        </w:tc>
        <w:tc>
          <w:tcPr>
            <w:tcW w:w="0" w:type="auto"/>
            <w:noWrap/>
            <w:hideMark/>
          </w:tcPr>
          <w:p w14:paraId="20F5D8DF" w14:textId="77777777"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1 513 851,75</w:t>
            </w:r>
          </w:p>
        </w:tc>
        <w:tc>
          <w:tcPr>
            <w:tcW w:w="0" w:type="auto"/>
            <w:noWrap/>
            <w:hideMark/>
          </w:tcPr>
          <w:p w14:paraId="128DA720" w14:textId="77777777"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0,00</w:t>
            </w:r>
          </w:p>
        </w:tc>
        <w:tc>
          <w:tcPr>
            <w:tcW w:w="0" w:type="auto"/>
            <w:noWrap/>
            <w:hideMark/>
          </w:tcPr>
          <w:p w14:paraId="5F512E5F" w14:textId="77777777"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859 539,01</w:t>
            </w:r>
          </w:p>
        </w:tc>
        <w:tc>
          <w:tcPr>
            <w:tcW w:w="0" w:type="auto"/>
            <w:noWrap/>
            <w:hideMark/>
          </w:tcPr>
          <w:p w14:paraId="486CD1BF" w14:textId="77777777"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493 210,64</w:t>
            </w:r>
          </w:p>
        </w:tc>
        <w:tc>
          <w:tcPr>
            <w:tcW w:w="0" w:type="auto"/>
            <w:noWrap/>
            <w:hideMark/>
          </w:tcPr>
          <w:p w14:paraId="11B7610F" w14:textId="64C932B5"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161 102,1</w:t>
            </w:r>
          </w:p>
        </w:tc>
      </w:tr>
      <w:tr w:rsidR="00F05B70" w:rsidRPr="00FB0A3A" w14:paraId="0C69E266" w14:textId="77777777" w:rsidTr="00F05B70">
        <w:tc>
          <w:tcPr>
            <w:cnfStyle w:val="001000000000" w:firstRow="0" w:lastRow="0" w:firstColumn="1" w:lastColumn="0" w:oddVBand="0" w:evenVBand="0" w:oddHBand="0" w:evenHBand="0" w:firstRowFirstColumn="0" w:firstRowLastColumn="0" w:lastRowFirstColumn="0" w:lastRowLastColumn="0"/>
            <w:tcW w:w="0" w:type="auto"/>
            <w:hideMark/>
          </w:tcPr>
          <w:p w14:paraId="539817F5" w14:textId="77777777" w:rsidR="008B0532" w:rsidRPr="00FB0A3A" w:rsidRDefault="008B0532" w:rsidP="00A31747">
            <w:pPr>
              <w:tabs>
                <w:tab w:val="left" w:pos="1134"/>
              </w:tabs>
              <w:rPr>
                <w:rFonts w:cs="Times New Roman"/>
                <w:szCs w:val="18"/>
              </w:rPr>
            </w:pPr>
            <w:r w:rsidRPr="00FB0A3A">
              <w:rPr>
                <w:rFonts w:cs="Times New Roman"/>
                <w:szCs w:val="18"/>
              </w:rPr>
              <w:t>Отпуск электроэнергии в сеть</w:t>
            </w:r>
          </w:p>
        </w:tc>
        <w:tc>
          <w:tcPr>
            <w:tcW w:w="0" w:type="auto"/>
            <w:hideMark/>
          </w:tcPr>
          <w:p w14:paraId="0CDBECBF" w14:textId="77777777"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тыс. кВт ч</w:t>
            </w:r>
          </w:p>
        </w:tc>
        <w:tc>
          <w:tcPr>
            <w:tcW w:w="0" w:type="auto"/>
            <w:noWrap/>
            <w:hideMark/>
          </w:tcPr>
          <w:p w14:paraId="6C160D96" w14:textId="77777777"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11 385 813,20</w:t>
            </w:r>
          </w:p>
        </w:tc>
        <w:tc>
          <w:tcPr>
            <w:tcW w:w="0" w:type="auto"/>
            <w:noWrap/>
            <w:hideMark/>
          </w:tcPr>
          <w:p w14:paraId="25142828" w14:textId="77777777"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11 118 422,61</w:t>
            </w:r>
          </w:p>
        </w:tc>
        <w:tc>
          <w:tcPr>
            <w:tcW w:w="0" w:type="auto"/>
            <w:noWrap/>
            <w:hideMark/>
          </w:tcPr>
          <w:p w14:paraId="11555955" w14:textId="0D4F7E1A"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1 083 800,8</w:t>
            </w:r>
          </w:p>
        </w:tc>
        <w:tc>
          <w:tcPr>
            <w:tcW w:w="0" w:type="auto"/>
            <w:noWrap/>
            <w:hideMark/>
          </w:tcPr>
          <w:p w14:paraId="1250BA58" w14:textId="77777777"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536 339,35</w:t>
            </w:r>
          </w:p>
        </w:tc>
        <w:tc>
          <w:tcPr>
            <w:tcW w:w="0" w:type="auto"/>
            <w:noWrap/>
            <w:hideMark/>
          </w:tcPr>
          <w:p w14:paraId="3E0978BE" w14:textId="27C688A1"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161 102,1</w:t>
            </w:r>
          </w:p>
        </w:tc>
      </w:tr>
      <w:tr w:rsidR="00F05B70" w:rsidRPr="00FB0A3A" w14:paraId="31EECC05" w14:textId="77777777" w:rsidTr="00F05B70">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551F2092" w14:textId="77777777" w:rsidR="008B0532" w:rsidRPr="00FB0A3A" w:rsidRDefault="008B0532" w:rsidP="00A31747">
            <w:pPr>
              <w:tabs>
                <w:tab w:val="left" w:pos="1134"/>
              </w:tabs>
              <w:rPr>
                <w:rFonts w:cs="Times New Roman"/>
                <w:szCs w:val="18"/>
              </w:rPr>
            </w:pPr>
            <w:r w:rsidRPr="00FB0A3A">
              <w:rPr>
                <w:rFonts w:cs="Times New Roman"/>
                <w:szCs w:val="18"/>
              </w:rPr>
              <w:t>Фактические потери электроэнергии</w:t>
            </w:r>
          </w:p>
        </w:tc>
        <w:tc>
          <w:tcPr>
            <w:tcW w:w="0" w:type="auto"/>
            <w:hideMark/>
          </w:tcPr>
          <w:p w14:paraId="26315FC0" w14:textId="77777777"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тыс. кВт ч</w:t>
            </w:r>
          </w:p>
        </w:tc>
        <w:tc>
          <w:tcPr>
            <w:tcW w:w="0" w:type="auto"/>
            <w:noWrap/>
            <w:hideMark/>
          </w:tcPr>
          <w:p w14:paraId="4F331301" w14:textId="77777777"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399 663,90</w:t>
            </w:r>
          </w:p>
        </w:tc>
        <w:tc>
          <w:tcPr>
            <w:tcW w:w="0" w:type="auto"/>
            <w:noWrap/>
            <w:hideMark/>
          </w:tcPr>
          <w:p w14:paraId="756CE76D" w14:textId="77777777"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338 116,45</w:t>
            </w:r>
          </w:p>
        </w:tc>
        <w:tc>
          <w:tcPr>
            <w:tcW w:w="0" w:type="auto"/>
            <w:noWrap/>
            <w:hideMark/>
          </w:tcPr>
          <w:p w14:paraId="6DF7272C" w14:textId="77777777"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25 180,10</w:t>
            </w:r>
          </w:p>
        </w:tc>
        <w:tc>
          <w:tcPr>
            <w:tcW w:w="0" w:type="auto"/>
            <w:noWrap/>
            <w:hideMark/>
          </w:tcPr>
          <w:p w14:paraId="3DA6B673" w14:textId="77777777"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27 728,57</w:t>
            </w:r>
          </w:p>
        </w:tc>
        <w:tc>
          <w:tcPr>
            <w:tcW w:w="0" w:type="auto"/>
            <w:noWrap/>
            <w:hideMark/>
          </w:tcPr>
          <w:p w14:paraId="3FB2302C" w14:textId="77777777"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8 638,80</w:t>
            </w:r>
          </w:p>
        </w:tc>
      </w:tr>
      <w:tr w:rsidR="00F05B70" w:rsidRPr="00FB0A3A" w14:paraId="41929AF5" w14:textId="77777777" w:rsidTr="00F05B70">
        <w:tc>
          <w:tcPr>
            <w:cnfStyle w:val="001000000000" w:firstRow="0" w:lastRow="0" w:firstColumn="1" w:lastColumn="0" w:oddVBand="0" w:evenVBand="0" w:oddHBand="0" w:evenHBand="0" w:firstRowFirstColumn="0" w:firstRowLastColumn="0" w:lastRowFirstColumn="0" w:lastRowLastColumn="0"/>
            <w:tcW w:w="0" w:type="auto"/>
            <w:vMerge/>
            <w:hideMark/>
          </w:tcPr>
          <w:p w14:paraId="3115B2F6" w14:textId="77777777" w:rsidR="008B0532" w:rsidRPr="00FB0A3A" w:rsidRDefault="008B0532" w:rsidP="00A31747">
            <w:pPr>
              <w:tabs>
                <w:tab w:val="left" w:pos="1134"/>
              </w:tabs>
              <w:rPr>
                <w:rFonts w:cs="Times New Roman"/>
                <w:szCs w:val="18"/>
              </w:rPr>
            </w:pPr>
          </w:p>
        </w:tc>
        <w:tc>
          <w:tcPr>
            <w:tcW w:w="0" w:type="auto"/>
            <w:hideMark/>
          </w:tcPr>
          <w:p w14:paraId="287F445C" w14:textId="77777777"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w:t>
            </w:r>
          </w:p>
        </w:tc>
        <w:tc>
          <w:tcPr>
            <w:tcW w:w="0" w:type="auto"/>
            <w:noWrap/>
            <w:hideMark/>
          </w:tcPr>
          <w:p w14:paraId="356E51B8" w14:textId="77777777"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3,51</w:t>
            </w:r>
          </w:p>
        </w:tc>
        <w:tc>
          <w:tcPr>
            <w:tcW w:w="0" w:type="auto"/>
            <w:noWrap/>
            <w:hideMark/>
          </w:tcPr>
          <w:p w14:paraId="6441C094" w14:textId="77777777"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3,04</w:t>
            </w:r>
          </w:p>
        </w:tc>
        <w:tc>
          <w:tcPr>
            <w:tcW w:w="0" w:type="auto"/>
            <w:noWrap/>
            <w:hideMark/>
          </w:tcPr>
          <w:p w14:paraId="4985EB92" w14:textId="77777777"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2,32</w:t>
            </w:r>
          </w:p>
        </w:tc>
        <w:tc>
          <w:tcPr>
            <w:tcW w:w="0" w:type="auto"/>
            <w:noWrap/>
            <w:hideMark/>
          </w:tcPr>
          <w:p w14:paraId="31AB18E8" w14:textId="77777777"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5,17</w:t>
            </w:r>
          </w:p>
        </w:tc>
        <w:tc>
          <w:tcPr>
            <w:tcW w:w="0" w:type="auto"/>
            <w:noWrap/>
            <w:hideMark/>
          </w:tcPr>
          <w:p w14:paraId="0BE74018" w14:textId="77777777"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5,36</w:t>
            </w:r>
          </w:p>
        </w:tc>
      </w:tr>
      <w:tr w:rsidR="00F05B70" w:rsidRPr="00FB0A3A" w14:paraId="62FECD8F" w14:textId="77777777" w:rsidTr="00F05B70">
        <w:tc>
          <w:tcPr>
            <w:cnfStyle w:val="001000000000" w:firstRow="0" w:lastRow="0" w:firstColumn="1" w:lastColumn="0" w:oddVBand="0" w:evenVBand="0" w:oddHBand="0" w:evenHBand="0" w:firstRowFirstColumn="0" w:firstRowLastColumn="0" w:lastRowFirstColumn="0" w:lastRowLastColumn="0"/>
            <w:tcW w:w="0" w:type="auto"/>
            <w:hideMark/>
          </w:tcPr>
          <w:p w14:paraId="304F725C" w14:textId="77777777" w:rsidR="008B0532" w:rsidRPr="00FB0A3A" w:rsidRDefault="008B0532" w:rsidP="00A31747">
            <w:pPr>
              <w:tabs>
                <w:tab w:val="left" w:pos="1134"/>
              </w:tabs>
              <w:rPr>
                <w:rFonts w:cs="Times New Roman"/>
                <w:szCs w:val="18"/>
              </w:rPr>
            </w:pPr>
            <w:r w:rsidRPr="00FB0A3A">
              <w:rPr>
                <w:rFonts w:cs="Times New Roman"/>
                <w:szCs w:val="18"/>
              </w:rPr>
              <w:t>Протяженность линий (воздушных и кабельных) электропередачи в одноцепном выражении</w:t>
            </w:r>
          </w:p>
        </w:tc>
        <w:tc>
          <w:tcPr>
            <w:tcW w:w="0" w:type="auto"/>
            <w:hideMark/>
          </w:tcPr>
          <w:p w14:paraId="72E30697" w14:textId="77777777"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км</w:t>
            </w:r>
          </w:p>
        </w:tc>
        <w:tc>
          <w:tcPr>
            <w:tcW w:w="0" w:type="auto"/>
            <w:noWrap/>
            <w:hideMark/>
          </w:tcPr>
          <w:p w14:paraId="0A80C086" w14:textId="77777777"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6 310,80</w:t>
            </w:r>
          </w:p>
        </w:tc>
        <w:tc>
          <w:tcPr>
            <w:tcW w:w="0" w:type="auto"/>
            <w:noWrap/>
            <w:hideMark/>
          </w:tcPr>
          <w:p w14:paraId="08669D4A" w14:textId="77777777"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4 493,80</w:t>
            </w:r>
          </w:p>
        </w:tc>
        <w:tc>
          <w:tcPr>
            <w:tcW w:w="0" w:type="auto"/>
            <w:noWrap/>
            <w:hideMark/>
          </w:tcPr>
          <w:p w14:paraId="63ACD3BB" w14:textId="77777777"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908,80</w:t>
            </w:r>
          </w:p>
        </w:tc>
        <w:tc>
          <w:tcPr>
            <w:tcW w:w="0" w:type="auto"/>
            <w:noWrap/>
            <w:hideMark/>
          </w:tcPr>
          <w:p w14:paraId="7843A172" w14:textId="77777777"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634,79</w:t>
            </w:r>
          </w:p>
        </w:tc>
        <w:tc>
          <w:tcPr>
            <w:tcW w:w="0" w:type="auto"/>
            <w:noWrap/>
            <w:hideMark/>
          </w:tcPr>
          <w:p w14:paraId="55957D8F" w14:textId="77777777"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273,41</w:t>
            </w:r>
          </w:p>
        </w:tc>
      </w:tr>
      <w:tr w:rsidR="00F05B70" w:rsidRPr="00FB0A3A" w14:paraId="0CF515D5" w14:textId="77777777" w:rsidTr="00F05B70">
        <w:tc>
          <w:tcPr>
            <w:cnfStyle w:val="001000000000" w:firstRow="0" w:lastRow="0" w:firstColumn="1" w:lastColumn="0" w:oddVBand="0" w:evenVBand="0" w:oddHBand="0" w:evenHBand="0" w:firstRowFirstColumn="0" w:firstRowLastColumn="0" w:lastRowFirstColumn="0" w:lastRowLastColumn="0"/>
            <w:tcW w:w="0" w:type="auto"/>
            <w:hideMark/>
          </w:tcPr>
          <w:p w14:paraId="6420D564" w14:textId="77777777" w:rsidR="008B0532" w:rsidRPr="00FB0A3A" w:rsidRDefault="008B0532" w:rsidP="00A31747">
            <w:pPr>
              <w:tabs>
                <w:tab w:val="left" w:pos="1134"/>
              </w:tabs>
              <w:rPr>
                <w:rFonts w:cs="Times New Roman"/>
                <w:szCs w:val="18"/>
              </w:rPr>
            </w:pPr>
            <w:r w:rsidRPr="00FB0A3A">
              <w:rPr>
                <w:rFonts w:cs="Times New Roman"/>
                <w:szCs w:val="18"/>
              </w:rPr>
              <w:t>Протяженность воздушных линий электропередачи в одноцепном выражении</w:t>
            </w:r>
          </w:p>
        </w:tc>
        <w:tc>
          <w:tcPr>
            <w:tcW w:w="0" w:type="auto"/>
            <w:hideMark/>
          </w:tcPr>
          <w:p w14:paraId="5AA7537D" w14:textId="77777777"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км</w:t>
            </w:r>
          </w:p>
        </w:tc>
        <w:tc>
          <w:tcPr>
            <w:tcW w:w="0" w:type="auto"/>
            <w:noWrap/>
            <w:hideMark/>
          </w:tcPr>
          <w:p w14:paraId="603ACD68" w14:textId="77777777"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5 962,40</w:t>
            </w:r>
          </w:p>
        </w:tc>
        <w:tc>
          <w:tcPr>
            <w:tcW w:w="0" w:type="auto"/>
            <w:noWrap/>
            <w:hideMark/>
          </w:tcPr>
          <w:p w14:paraId="4AE6F74E" w14:textId="77777777"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4 493,80</w:t>
            </w:r>
          </w:p>
        </w:tc>
        <w:tc>
          <w:tcPr>
            <w:tcW w:w="0" w:type="auto"/>
            <w:noWrap/>
            <w:hideMark/>
          </w:tcPr>
          <w:p w14:paraId="19AA5417" w14:textId="77777777"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908,00</w:t>
            </w:r>
          </w:p>
        </w:tc>
        <w:tc>
          <w:tcPr>
            <w:tcW w:w="0" w:type="auto"/>
            <w:noWrap/>
            <w:hideMark/>
          </w:tcPr>
          <w:p w14:paraId="3668A749" w14:textId="77777777"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452,59</w:t>
            </w:r>
          </w:p>
        </w:tc>
        <w:tc>
          <w:tcPr>
            <w:tcW w:w="0" w:type="auto"/>
            <w:noWrap/>
            <w:hideMark/>
          </w:tcPr>
          <w:p w14:paraId="67E66672" w14:textId="77777777"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108,01</w:t>
            </w:r>
          </w:p>
        </w:tc>
      </w:tr>
      <w:tr w:rsidR="00F05B70" w:rsidRPr="00FB0A3A" w14:paraId="6EB8A031" w14:textId="77777777" w:rsidTr="00F05B70">
        <w:tc>
          <w:tcPr>
            <w:cnfStyle w:val="001000000000" w:firstRow="0" w:lastRow="0" w:firstColumn="1" w:lastColumn="0" w:oddVBand="0" w:evenVBand="0" w:oddHBand="0" w:evenHBand="0" w:firstRowFirstColumn="0" w:firstRowLastColumn="0" w:lastRowFirstColumn="0" w:lastRowLastColumn="0"/>
            <w:tcW w:w="0" w:type="auto"/>
            <w:hideMark/>
          </w:tcPr>
          <w:p w14:paraId="31534DDE" w14:textId="77777777" w:rsidR="008B0532" w:rsidRPr="00FB0A3A" w:rsidRDefault="008B0532" w:rsidP="00A31747">
            <w:pPr>
              <w:tabs>
                <w:tab w:val="left" w:pos="1134"/>
              </w:tabs>
              <w:rPr>
                <w:rFonts w:cs="Times New Roman"/>
                <w:szCs w:val="18"/>
              </w:rPr>
            </w:pPr>
            <w:r w:rsidRPr="00FB0A3A">
              <w:rPr>
                <w:rFonts w:cs="Times New Roman"/>
                <w:szCs w:val="18"/>
              </w:rPr>
              <w:t>Соотношение протяженности воздушных и кабельных линий электропередачи в одноцепном выражении (доля ВЛ)</w:t>
            </w:r>
          </w:p>
        </w:tc>
        <w:tc>
          <w:tcPr>
            <w:tcW w:w="0" w:type="auto"/>
            <w:hideMark/>
          </w:tcPr>
          <w:p w14:paraId="63DF0E0B" w14:textId="77777777"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w:t>
            </w:r>
          </w:p>
        </w:tc>
        <w:tc>
          <w:tcPr>
            <w:tcW w:w="0" w:type="auto"/>
            <w:noWrap/>
            <w:hideMark/>
          </w:tcPr>
          <w:p w14:paraId="7F2AB860" w14:textId="228AE760"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p>
        </w:tc>
        <w:tc>
          <w:tcPr>
            <w:tcW w:w="0" w:type="auto"/>
            <w:noWrap/>
            <w:hideMark/>
          </w:tcPr>
          <w:p w14:paraId="24F028CC" w14:textId="45DB2158"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p>
        </w:tc>
        <w:tc>
          <w:tcPr>
            <w:tcW w:w="0" w:type="auto"/>
            <w:noWrap/>
            <w:hideMark/>
          </w:tcPr>
          <w:p w14:paraId="2C59DF92" w14:textId="029B1426"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p>
        </w:tc>
        <w:tc>
          <w:tcPr>
            <w:tcW w:w="0" w:type="auto"/>
            <w:noWrap/>
            <w:hideMark/>
          </w:tcPr>
          <w:p w14:paraId="0EE2A621" w14:textId="77777777"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71,30</w:t>
            </w:r>
          </w:p>
        </w:tc>
        <w:tc>
          <w:tcPr>
            <w:tcW w:w="0" w:type="auto"/>
            <w:noWrap/>
            <w:hideMark/>
          </w:tcPr>
          <w:p w14:paraId="280BFB69" w14:textId="77777777"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39,50</w:t>
            </w:r>
          </w:p>
        </w:tc>
      </w:tr>
      <w:tr w:rsidR="00F05B70" w:rsidRPr="00FB0A3A" w14:paraId="36F74855" w14:textId="77777777" w:rsidTr="00F05B70">
        <w:tc>
          <w:tcPr>
            <w:cnfStyle w:val="001000000000" w:firstRow="0" w:lastRow="0" w:firstColumn="1" w:lastColumn="0" w:oddVBand="0" w:evenVBand="0" w:oddHBand="0" w:evenHBand="0" w:firstRowFirstColumn="0" w:firstRowLastColumn="0" w:lastRowFirstColumn="0" w:lastRowLastColumn="0"/>
            <w:tcW w:w="0" w:type="auto"/>
            <w:hideMark/>
          </w:tcPr>
          <w:p w14:paraId="3BE668B8" w14:textId="7F9FB741" w:rsidR="008B0532" w:rsidRPr="00FB0A3A" w:rsidRDefault="008B0532" w:rsidP="00A31747">
            <w:pPr>
              <w:tabs>
                <w:tab w:val="left" w:pos="1134"/>
              </w:tabs>
              <w:rPr>
                <w:rFonts w:cs="Times New Roman"/>
                <w:szCs w:val="18"/>
              </w:rPr>
            </w:pPr>
            <w:r w:rsidRPr="00FB0A3A">
              <w:rPr>
                <w:rFonts w:cs="Times New Roman"/>
                <w:szCs w:val="18"/>
              </w:rPr>
              <w:t>Отпуск э/э в сеть/суммарная протяженность воздушных и кабельных линий (для ВН и СН-1)</w:t>
            </w:r>
          </w:p>
        </w:tc>
        <w:tc>
          <w:tcPr>
            <w:tcW w:w="0" w:type="auto"/>
            <w:hideMark/>
          </w:tcPr>
          <w:p w14:paraId="114C2A7F" w14:textId="1260ADDB"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p>
        </w:tc>
        <w:tc>
          <w:tcPr>
            <w:tcW w:w="0" w:type="auto"/>
            <w:noWrap/>
            <w:hideMark/>
          </w:tcPr>
          <w:p w14:paraId="320700D6" w14:textId="21FA58F2"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p>
        </w:tc>
        <w:tc>
          <w:tcPr>
            <w:tcW w:w="0" w:type="auto"/>
            <w:noWrap/>
            <w:hideMark/>
          </w:tcPr>
          <w:p w14:paraId="51B7DC25" w14:textId="77777777"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2 474,17</w:t>
            </w:r>
          </w:p>
        </w:tc>
        <w:tc>
          <w:tcPr>
            <w:tcW w:w="0" w:type="auto"/>
            <w:noWrap/>
            <w:hideMark/>
          </w:tcPr>
          <w:p w14:paraId="15855F72" w14:textId="77777777"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1 192,56</w:t>
            </w:r>
          </w:p>
        </w:tc>
        <w:tc>
          <w:tcPr>
            <w:tcW w:w="0" w:type="auto"/>
            <w:noWrap/>
            <w:hideMark/>
          </w:tcPr>
          <w:p w14:paraId="38AB5063" w14:textId="1C32F0BE"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p>
        </w:tc>
        <w:tc>
          <w:tcPr>
            <w:tcW w:w="0" w:type="auto"/>
            <w:noWrap/>
            <w:hideMark/>
          </w:tcPr>
          <w:p w14:paraId="1F37B3BE" w14:textId="694A5EAB"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p>
        </w:tc>
      </w:tr>
      <w:tr w:rsidR="00F05B70" w:rsidRPr="00FB0A3A" w14:paraId="6F57B3B8" w14:textId="77777777" w:rsidTr="00F05B70">
        <w:tc>
          <w:tcPr>
            <w:cnfStyle w:val="001000000000" w:firstRow="0" w:lastRow="0" w:firstColumn="1" w:lastColumn="0" w:oddVBand="0" w:evenVBand="0" w:oddHBand="0" w:evenHBand="0" w:firstRowFirstColumn="0" w:firstRowLastColumn="0" w:lastRowFirstColumn="0" w:lastRowLastColumn="0"/>
            <w:tcW w:w="0" w:type="auto"/>
            <w:hideMark/>
          </w:tcPr>
          <w:p w14:paraId="479EA338" w14:textId="5CEEFF2B" w:rsidR="008B0532" w:rsidRPr="00FB0A3A" w:rsidRDefault="00375FAD" w:rsidP="00A31747">
            <w:pPr>
              <w:tabs>
                <w:tab w:val="left" w:pos="1134"/>
              </w:tabs>
              <w:rPr>
                <w:rFonts w:cs="Times New Roman"/>
                <w:szCs w:val="18"/>
              </w:rPr>
            </w:pPr>
            <w:r w:rsidRPr="00FB0A3A">
              <w:rPr>
                <w:rFonts w:cs="Times New Roman"/>
                <w:szCs w:val="18"/>
              </w:rPr>
              <w:t>Мощности силовы</w:t>
            </w:r>
            <w:r w:rsidR="008B0532" w:rsidRPr="00FB0A3A">
              <w:rPr>
                <w:rFonts w:cs="Times New Roman"/>
                <w:szCs w:val="18"/>
              </w:rPr>
              <w:t>х трансформаторов, МВА</w:t>
            </w:r>
          </w:p>
        </w:tc>
        <w:tc>
          <w:tcPr>
            <w:tcW w:w="0" w:type="auto"/>
            <w:hideMark/>
          </w:tcPr>
          <w:p w14:paraId="2BE879FB" w14:textId="651EC86B"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p>
        </w:tc>
        <w:tc>
          <w:tcPr>
            <w:tcW w:w="0" w:type="auto"/>
            <w:noWrap/>
            <w:hideMark/>
          </w:tcPr>
          <w:p w14:paraId="109C5579" w14:textId="77777777"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5 612,94</w:t>
            </w:r>
          </w:p>
        </w:tc>
        <w:tc>
          <w:tcPr>
            <w:tcW w:w="0" w:type="auto"/>
            <w:noWrap/>
            <w:hideMark/>
          </w:tcPr>
          <w:p w14:paraId="5887BAC7" w14:textId="77777777"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4 469,10</w:t>
            </w:r>
          </w:p>
        </w:tc>
        <w:tc>
          <w:tcPr>
            <w:tcW w:w="0" w:type="auto"/>
            <w:noWrap/>
            <w:hideMark/>
          </w:tcPr>
          <w:p w14:paraId="6A154A7E" w14:textId="77777777"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853,00</w:t>
            </w:r>
          </w:p>
        </w:tc>
        <w:tc>
          <w:tcPr>
            <w:tcW w:w="0" w:type="auto"/>
            <w:noWrap/>
            <w:hideMark/>
          </w:tcPr>
          <w:p w14:paraId="4DD7BAAF" w14:textId="77777777"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290,84</w:t>
            </w:r>
          </w:p>
        </w:tc>
        <w:tc>
          <w:tcPr>
            <w:tcW w:w="0" w:type="auto"/>
            <w:noWrap/>
            <w:hideMark/>
          </w:tcPr>
          <w:p w14:paraId="6821AF87" w14:textId="68FBAC33"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p>
        </w:tc>
      </w:tr>
      <w:tr w:rsidR="00F05B70" w:rsidRPr="00FB0A3A" w14:paraId="204F7795" w14:textId="77777777" w:rsidTr="00F05B70">
        <w:tc>
          <w:tcPr>
            <w:cnfStyle w:val="001000000000" w:firstRow="0" w:lastRow="0" w:firstColumn="1" w:lastColumn="0" w:oddVBand="0" w:evenVBand="0" w:oddHBand="0" w:evenHBand="0" w:firstRowFirstColumn="0" w:firstRowLastColumn="0" w:lastRowFirstColumn="0" w:lastRowLastColumn="0"/>
            <w:tcW w:w="0" w:type="auto"/>
            <w:hideMark/>
          </w:tcPr>
          <w:p w14:paraId="12968658" w14:textId="154D1127" w:rsidR="008B0532" w:rsidRPr="00FB0A3A" w:rsidRDefault="008B0532" w:rsidP="00A31747">
            <w:pPr>
              <w:tabs>
                <w:tab w:val="left" w:pos="1134"/>
              </w:tabs>
              <w:rPr>
                <w:rFonts w:cs="Times New Roman"/>
                <w:szCs w:val="18"/>
              </w:rPr>
            </w:pPr>
            <w:r w:rsidRPr="00FB0A3A">
              <w:rPr>
                <w:rFonts w:cs="Times New Roman"/>
                <w:szCs w:val="18"/>
              </w:rPr>
              <w:t>Соотношение величины отпуска э/э в сеть и суммы номинальных мощностей силовых трансформаторов</w:t>
            </w:r>
          </w:p>
        </w:tc>
        <w:tc>
          <w:tcPr>
            <w:tcW w:w="0" w:type="auto"/>
            <w:hideMark/>
          </w:tcPr>
          <w:p w14:paraId="33AC920C" w14:textId="1A0A1FFC"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p>
        </w:tc>
        <w:tc>
          <w:tcPr>
            <w:tcW w:w="0" w:type="auto"/>
            <w:noWrap/>
            <w:hideMark/>
          </w:tcPr>
          <w:p w14:paraId="7E6B930C" w14:textId="1179B8E7"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p>
        </w:tc>
        <w:tc>
          <w:tcPr>
            <w:tcW w:w="0" w:type="auto"/>
            <w:noWrap/>
            <w:hideMark/>
          </w:tcPr>
          <w:p w14:paraId="7FF53881" w14:textId="77777777"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2 487,84</w:t>
            </w:r>
          </w:p>
        </w:tc>
        <w:tc>
          <w:tcPr>
            <w:tcW w:w="0" w:type="auto"/>
            <w:noWrap/>
            <w:hideMark/>
          </w:tcPr>
          <w:p w14:paraId="7D85A485" w14:textId="77777777"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1 270,58</w:t>
            </w:r>
          </w:p>
        </w:tc>
        <w:tc>
          <w:tcPr>
            <w:tcW w:w="0" w:type="auto"/>
            <w:noWrap/>
            <w:hideMark/>
          </w:tcPr>
          <w:p w14:paraId="0B0585AB" w14:textId="77777777"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1 844,12</w:t>
            </w:r>
          </w:p>
        </w:tc>
        <w:tc>
          <w:tcPr>
            <w:tcW w:w="0" w:type="auto"/>
            <w:noWrap/>
            <w:hideMark/>
          </w:tcPr>
          <w:p w14:paraId="6DE5B4A1" w14:textId="05B72BCC"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p>
        </w:tc>
      </w:tr>
      <w:tr w:rsidR="00F05B70" w:rsidRPr="00FB0A3A" w14:paraId="7C7ABB7E" w14:textId="77777777" w:rsidTr="00F05B70">
        <w:tc>
          <w:tcPr>
            <w:cnfStyle w:val="001000000000" w:firstRow="0" w:lastRow="0" w:firstColumn="1" w:lastColumn="0" w:oddVBand="0" w:evenVBand="0" w:oddHBand="0" w:evenHBand="0" w:firstRowFirstColumn="0" w:firstRowLastColumn="0" w:lastRowFirstColumn="0" w:lastRowLastColumn="0"/>
            <w:tcW w:w="0" w:type="auto"/>
            <w:hideMark/>
          </w:tcPr>
          <w:p w14:paraId="23AB429B" w14:textId="446FA4BF" w:rsidR="008B0532" w:rsidRPr="00FB0A3A" w:rsidRDefault="008B0532" w:rsidP="00A31747">
            <w:pPr>
              <w:tabs>
                <w:tab w:val="left" w:pos="1134"/>
              </w:tabs>
              <w:rPr>
                <w:rFonts w:cs="Times New Roman"/>
                <w:szCs w:val="18"/>
              </w:rPr>
            </w:pPr>
            <w:r w:rsidRPr="00FB0A3A">
              <w:rPr>
                <w:rFonts w:cs="Times New Roman"/>
                <w:szCs w:val="18"/>
              </w:rPr>
              <w:t>Норматив потерь э/э по приказу Минэнерго России от 26.09.2017 № 887</w:t>
            </w:r>
          </w:p>
        </w:tc>
        <w:tc>
          <w:tcPr>
            <w:tcW w:w="0" w:type="auto"/>
            <w:hideMark/>
          </w:tcPr>
          <w:p w14:paraId="7C2705FA" w14:textId="77777777"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w:t>
            </w:r>
          </w:p>
        </w:tc>
        <w:tc>
          <w:tcPr>
            <w:tcW w:w="0" w:type="auto"/>
            <w:noWrap/>
            <w:hideMark/>
          </w:tcPr>
          <w:p w14:paraId="001D4794" w14:textId="5F17D539"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p>
        </w:tc>
        <w:tc>
          <w:tcPr>
            <w:tcW w:w="0" w:type="auto"/>
            <w:noWrap/>
            <w:hideMark/>
          </w:tcPr>
          <w:p w14:paraId="7E4FA0B3" w14:textId="77777777"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4,75</w:t>
            </w:r>
          </w:p>
        </w:tc>
        <w:tc>
          <w:tcPr>
            <w:tcW w:w="0" w:type="auto"/>
            <w:noWrap/>
            <w:hideMark/>
          </w:tcPr>
          <w:p w14:paraId="4FD4EC1D" w14:textId="77777777"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5,45</w:t>
            </w:r>
          </w:p>
        </w:tc>
        <w:tc>
          <w:tcPr>
            <w:tcW w:w="0" w:type="auto"/>
            <w:noWrap/>
            <w:hideMark/>
          </w:tcPr>
          <w:p w14:paraId="3672EAC7" w14:textId="77777777"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8,49</w:t>
            </w:r>
          </w:p>
        </w:tc>
        <w:tc>
          <w:tcPr>
            <w:tcW w:w="0" w:type="auto"/>
            <w:noWrap/>
            <w:hideMark/>
          </w:tcPr>
          <w:p w14:paraId="71A5B0C0" w14:textId="77777777"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13,49</w:t>
            </w:r>
          </w:p>
        </w:tc>
      </w:tr>
      <w:tr w:rsidR="00F05B70" w:rsidRPr="00FB0A3A" w14:paraId="0FEC094F" w14:textId="77777777" w:rsidTr="00296C71">
        <w:tc>
          <w:tcPr>
            <w:cnfStyle w:val="001000000000" w:firstRow="0" w:lastRow="0" w:firstColumn="1" w:lastColumn="0" w:oddVBand="0" w:evenVBand="0" w:oddHBand="0" w:evenHBand="0" w:firstRowFirstColumn="0" w:firstRowLastColumn="0" w:lastRowFirstColumn="0" w:lastRowLastColumn="0"/>
            <w:tcW w:w="0" w:type="auto"/>
            <w:gridSpan w:val="7"/>
            <w:shd w:val="clear" w:color="auto" w:fill="D6E3BC" w:themeFill="accent3" w:themeFillTint="66"/>
            <w:hideMark/>
          </w:tcPr>
          <w:p w14:paraId="0B77D9D2" w14:textId="77777777" w:rsidR="008B0532" w:rsidRPr="00FB0A3A" w:rsidRDefault="008B0532" w:rsidP="00A31747">
            <w:pPr>
              <w:tabs>
                <w:tab w:val="left" w:pos="1134"/>
              </w:tabs>
              <w:jc w:val="center"/>
              <w:rPr>
                <w:rFonts w:cs="Times New Roman"/>
                <w:b/>
                <w:szCs w:val="18"/>
              </w:rPr>
            </w:pPr>
            <w:r w:rsidRPr="00FB0A3A">
              <w:rPr>
                <w:rFonts w:cs="Times New Roman"/>
                <w:b/>
                <w:szCs w:val="18"/>
              </w:rPr>
              <w:t>Регулируемый период (2019 год)</w:t>
            </w:r>
          </w:p>
        </w:tc>
      </w:tr>
      <w:tr w:rsidR="00F05B70" w:rsidRPr="00FB0A3A" w14:paraId="3405378D" w14:textId="77777777" w:rsidTr="00F05B70">
        <w:tc>
          <w:tcPr>
            <w:cnfStyle w:val="001000000000" w:firstRow="0" w:lastRow="0" w:firstColumn="1" w:lastColumn="0" w:oddVBand="0" w:evenVBand="0" w:oddHBand="0" w:evenHBand="0" w:firstRowFirstColumn="0" w:firstRowLastColumn="0" w:lastRowFirstColumn="0" w:lastRowLastColumn="0"/>
            <w:tcW w:w="0" w:type="auto"/>
            <w:hideMark/>
          </w:tcPr>
          <w:p w14:paraId="6D2DE221" w14:textId="305BDAAD" w:rsidR="008B0532" w:rsidRPr="00FB0A3A" w:rsidRDefault="008B0532" w:rsidP="00A31747">
            <w:pPr>
              <w:tabs>
                <w:tab w:val="left" w:pos="1134"/>
              </w:tabs>
              <w:rPr>
                <w:rFonts w:cs="Times New Roman"/>
                <w:szCs w:val="18"/>
              </w:rPr>
            </w:pPr>
            <w:r w:rsidRPr="00FB0A3A">
              <w:rPr>
                <w:rFonts w:cs="Times New Roman"/>
                <w:szCs w:val="18"/>
              </w:rPr>
              <w:t>Поступление в сеть из других организаций, в том числе:</w:t>
            </w:r>
          </w:p>
        </w:tc>
        <w:tc>
          <w:tcPr>
            <w:tcW w:w="0" w:type="auto"/>
            <w:hideMark/>
          </w:tcPr>
          <w:p w14:paraId="1449024E" w14:textId="77777777"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тыс. кВт ч</w:t>
            </w:r>
          </w:p>
        </w:tc>
        <w:tc>
          <w:tcPr>
            <w:tcW w:w="0" w:type="auto"/>
            <w:noWrap/>
            <w:hideMark/>
          </w:tcPr>
          <w:p w14:paraId="4FEA169E" w14:textId="77777777"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11 235 338,04</w:t>
            </w:r>
          </w:p>
        </w:tc>
        <w:tc>
          <w:tcPr>
            <w:tcW w:w="0" w:type="auto"/>
            <w:noWrap/>
            <w:hideMark/>
          </w:tcPr>
          <w:p w14:paraId="627292A6" w14:textId="77777777"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10 972 338,04</w:t>
            </w:r>
          </w:p>
        </w:tc>
        <w:tc>
          <w:tcPr>
            <w:tcW w:w="0" w:type="auto"/>
            <w:noWrap/>
            <w:hideMark/>
          </w:tcPr>
          <w:p w14:paraId="6070CFAE" w14:textId="77777777"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220 000,00</w:t>
            </w:r>
          </w:p>
        </w:tc>
        <w:tc>
          <w:tcPr>
            <w:tcW w:w="0" w:type="auto"/>
            <w:noWrap/>
            <w:hideMark/>
          </w:tcPr>
          <w:p w14:paraId="62DC3D32" w14:textId="77777777"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43 000,00</w:t>
            </w:r>
          </w:p>
        </w:tc>
        <w:tc>
          <w:tcPr>
            <w:tcW w:w="0" w:type="auto"/>
            <w:noWrap/>
            <w:hideMark/>
          </w:tcPr>
          <w:p w14:paraId="36249216" w14:textId="77777777"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0,00</w:t>
            </w:r>
          </w:p>
        </w:tc>
      </w:tr>
      <w:tr w:rsidR="00F05B70" w:rsidRPr="00FB0A3A" w14:paraId="3F17068F" w14:textId="77777777" w:rsidTr="00F05B70">
        <w:tc>
          <w:tcPr>
            <w:cnfStyle w:val="001000000000" w:firstRow="0" w:lastRow="0" w:firstColumn="1" w:lastColumn="0" w:oddVBand="0" w:evenVBand="0" w:oddHBand="0" w:evenHBand="0" w:firstRowFirstColumn="0" w:firstRowLastColumn="0" w:lastRowFirstColumn="0" w:lastRowLastColumn="0"/>
            <w:tcW w:w="0" w:type="auto"/>
            <w:hideMark/>
          </w:tcPr>
          <w:p w14:paraId="4730E2BB" w14:textId="77777777" w:rsidR="008B0532" w:rsidRPr="00FB0A3A" w:rsidRDefault="008B0532" w:rsidP="00A31747">
            <w:pPr>
              <w:tabs>
                <w:tab w:val="left" w:pos="1134"/>
              </w:tabs>
              <w:ind w:left="306"/>
              <w:rPr>
                <w:rFonts w:cs="Times New Roman"/>
                <w:szCs w:val="18"/>
              </w:rPr>
            </w:pPr>
            <w:r w:rsidRPr="00FB0A3A">
              <w:rPr>
                <w:rFonts w:cs="Times New Roman"/>
                <w:szCs w:val="18"/>
              </w:rPr>
              <w:t>из сетей ФСК</w:t>
            </w:r>
          </w:p>
        </w:tc>
        <w:tc>
          <w:tcPr>
            <w:tcW w:w="0" w:type="auto"/>
            <w:hideMark/>
          </w:tcPr>
          <w:p w14:paraId="3976F6DA" w14:textId="77777777"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тыс. кВт ч</w:t>
            </w:r>
          </w:p>
        </w:tc>
        <w:tc>
          <w:tcPr>
            <w:tcW w:w="0" w:type="auto"/>
            <w:noWrap/>
            <w:hideMark/>
          </w:tcPr>
          <w:p w14:paraId="23E8D7A6" w14:textId="77777777"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5 969 160,22</w:t>
            </w:r>
          </w:p>
        </w:tc>
        <w:tc>
          <w:tcPr>
            <w:tcW w:w="0" w:type="auto"/>
            <w:noWrap/>
            <w:hideMark/>
          </w:tcPr>
          <w:p w14:paraId="36A5B59A" w14:textId="77777777"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5 842 804,04</w:t>
            </w:r>
          </w:p>
        </w:tc>
        <w:tc>
          <w:tcPr>
            <w:tcW w:w="0" w:type="auto"/>
            <w:noWrap/>
            <w:hideMark/>
          </w:tcPr>
          <w:p w14:paraId="0E349490" w14:textId="77777777"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114 947,96</w:t>
            </w:r>
          </w:p>
        </w:tc>
        <w:tc>
          <w:tcPr>
            <w:tcW w:w="0" w:type="auto"/>
            <w:noWrap/>
            <w:hideMark/>
          </w:tcPr>
          <w:p w14:paraId="123413F5" w14:textId="77777777"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11 408,22</w:t>
            </w:r>
          </w:p>
        </w:tc>
        <w:tc>
          <w:tcPr>
            <w:tcW w:w="0" w:type="auto"/>
            <w:noWrap/>
            <w:hideMark/>
          </w:tcPr>
          <w:p w14:paraId="72EE67F5" w14:textId="77777777"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0,00</w:t>
            </w:r>
          </w:p>
        </w:tc>
      </w:tr>
      <w:tr w:rsidR="00F05B70" w:rsidRPr="00FB0A3A" w14:paraId="7F7E446B" w14:textId="77777777" w:rsidTr="00F05B70">
        <w:tc>
          <w:tcPr>
            <w:cnfStyle w:val="001000000000" w:firstRow="0" w:lastRow="0" w:firstColumn="1" w:lastColumn="0" w:oddVBand="0" w:evenVBand="0" w:oddHBand="0" w:evenHBand="0" w:firstRowFirstColumn="0" w:firstRowLastColumn="0" w:lastRowFirstColumn="0" w:lastRowLastColumn="0"/>
            <w:tcW w:w="0" w:type="auto"/>
            <w:hideMark/>
          </w:tcPr>
          <w:p w14:paraId="71636CCB" w14:textId="77777777" w:rsidR="008B0532" w:rsidRPr="00FB0A3A" w:rsidRDefault="008B0532" w:rsidP="00A31747">
            <w:pPr>
              <w:tabs>
                <w:tab w:val="left" w:pos="1134"/>
              </w:tabs>
              <w:ind w:left="306"/>
              <w:rPr>
                <w:rFonts w:cs="Times New Roman"/>
                <w:szCs w:val="18"/>
              </w:rPr>
            </w:pPr>
            <w:r w:rsidRPr="00FB0A3A">
              <w:rPr>
                <w:rFonts w:cs="Times New Roman"/>
                <w:szCs w:val="18"/>
              </w:rPr>
              <w:t>от генерирующих компаний и блок-станций</w:t>
            </w:r>
          </w:p>
        </w:tc>
        <w:tc>
          <w:tcPr>
            <w:tcW w:w="0" w:type="auto"/>
            <w:hideMark/>
          </w:tcPr>
          <w:p w14:paraId="0E51A794" w14:textId="77777777"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тыс. кВт ч</w:t>
            </w:r>
          </w:p>
        </w:tc>
        <w:tc>
          <w:tcPr>
            <w:tcW w:w="0" w:type="auto"/>
            <w:noWrap/>
            <w:hideMark/>
          </w:tcPr>
          <w:p w14:paraId="6D9687BE" w14:textId="77777777"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5 456 177,82</w:t>
            </w:r>
          </w:p>
        </w:tc>
        <w:tc>
          <w:tcPr>
            <w:tcW w:w="0" w:type="auto"/>
            <w:noWrap/>
            <w:hideMark/>
          </w:tcPr>
          <w:p w14:paraId="42E27FF4" w14:textId="77777777"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5 319 534,00</w:t>
            </w:r>
          </w:p>
        </w:tc>
        <w:tc>
          <w:tcPr>
            <w:tcW w:w="0" w:type="auto"/>
            <w:noWrap/>
            <w:hideMark/>
          </w:tcPr>
          <w:p w14:paraId="06539E44" w14:textId="77777777"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105 052,04</w:t>
            </w:r>
          </w:p>
        </w:tc>
        <w:tc>
          <w:tcPr>
            <w:tcW w:w="0" w:type="auto"/>
            <w:noWrap/>
            <w:hideMark/>
          </w:tcPr>
          <w:p w14:paraId="50EB5C63" w14:textId="77777777"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31 591,78</w:t>
            </w:r>
          </w:p>
        </w:tc>
        <w:tc>
          <w:tcPr>
            <w:tcW w:w="0" w:type="auto"/>
            <w:noWrap/>
            <w:hideMark/>
          </w:tcPr>
          <w:p w14:paraId="704418F4" w14:textId="77777777"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0,00</w:t>
            </w:r>
          </w:p>
        </w:tc>
      </w:tr>
      <w:tr w:rsidR="00F05B70" w:rsidRPr="00FB0A3A" w14:paraId="02B09E5B" w14:textId="77777777" w:rsidTr="00F05B70">
        <w:tc>
          <w:tcPr>
            <w:cnfStyle w:val="001000000000" w:firstRow="0" w:lastRow="0" w:firstColumn="1" w:lastColumn="0" w:oddVBand="0" w:evenVBand="0" w:oddHBand="0" w:evenHBand="0" w:firstRowFirstColumn="0" w:firstRowLastColumn="0" w:lastRowFirstColumn="0" w:lastRowLastColumn="0"/>
            <w:tcW w:w="0" w:type="auto"/>
            <w:hideMark/>
          </w:tcPr>
          <w:p w14:paraId="2A13BFC6" w14:textId="77777777" w:rsidR="008B0532" w:rsidRPr="00FB0A3A" w:rsidRDefault="008B0532" w:rsidP="00A31747">
            <w:pPr>
              <w:tabs>
                <w:tab w:val="left" w:pos="1134"/>
              </w:tabs>
              <w:ind w:left="306"/>
              <w:rPr>
                <w:rFonts w:cs="Times New Roman"/>
                <w:szCs w:val="18"/>
              </w:rPr>
            </w:pPr>
            <w:r w:rsidRPr="00FB0A3A">
              <w:rPr>
                <w:rFonts w:cs="Times New Roman"/>
                <w:szCs w:val="18"/>
              </w:rPr>
              <w:lastRenderedPageBreak/>
              <w:t>от смежных сетевых организаций</w:t>
            </w:r>
          </w:p>
        </w:tc>
        <w:tc>
          <w:tcPr>
            <w:tcW w:w="0" w:type="auto"/>
            <w:hideMark/>
          </w:tcPr>
          <w:p w14:paraId="52B0CEFE" w14:textId="77777777"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тыс. кВт ч</w:t>
            </w:r>
          </w:p>
        </w:tc>
        <w:tc>
          <w:tcPr>
            <w:tcW w:w="0" w:type="auto"/>
            <w:noWrap/>
            <w:hideMark/>
          </w:tcPr>
          <w:p w14:paraId="6401CBB9" w14:textId="77777777"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-190 000,00</w:t>
            </w:r>
          </w:p>
        </w:tc>
        <w:tc>
          <w:tcPr>
            <w:tcW w:w="0" w:type="auto"/>
            <w:noWrap/>
            <w:hideMark/>
          </w:tcPr>
          <w:p w14:paraId="33F1762A" w14:textId="77777777"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-190 000,00</w:t>
            </w:r>
          </w:p>
        </w:tc>
        <w:tc>
          <w:tcPr>
            <w:tcW w:w="0" w:type="auto"/>
            <w:noWrap/>
            <w:hideMark/>
          </w:tcPr>
          <w:p w14:paraId="514EE9B2" w14:textId="4EE0F910"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p>
        </w:tc>
        <w:tc>
          <w:tcPr>
            <w:tcW w:w="0" w:type="auto"/>
            <w:noWrap/>
            <w:hideMark/>
          </w:tcPr>
          <w:p w14:paraId="5B683398" w14:textId="27BFA8F7"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p>
        </w:tc>
        <w:tc>
          <w:tcPr>
            <w:tcW w:w="0" w:type="auto"/>
            <w:noWrap/>
            <w:hideMark/>
          </w:tcPr>
          <w:p w14:paraId="47903791" w14:textId="7EC1D083"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p>
        </w:tc>
      </w:tr>
      <w:tr w:rsidR="00F05B70" w:rsidRPr="00FB0A3A" w14:paraId="238C5EB0" w14:textId="77777777" w:rsidTr="00F05B70">
        <w:tc>
          <w:tcPr>
            <w:cnfStyle w:val="001000000000" w:firstRow="0" w:lastRow="0" w:firstColumn="1" w:lastColumn="0" w:oddVBand="0" w:evenVBand="0" w:oddHBand="0" w:evenHBand="0" w:firstRowFirstColumn="0" w:firstRowLastColumn="0" w:lastRowFirstColumn="0" w:lastRowLastColumn="0"/>
            <w:tcW w:w="0" w:type="auto"/>
            <w:hideMark/>
          </w:tcPr>
          <w:p w14:paraId="4CB7B305" w14:textId="77777777" w:rsidR="008B0532" w:rsidRPr="00FB0A3A" w:rsidRDefault="008B0532" w:rsidP="00A31747">
            <w:pPr>
              <w:tabs>
                <w:tab w:val="left" w:pos="1134"/>
              </w:tabs>
              <w:rPr>
                <w:rFonts w:cs="Times New Roman"/>
                <w:szCs w:val="18"/>
              </w:rPr>
            </w:pPr>
            <w:r w:rsidRPr="00FB0A3A">
              <w:rPr>
                <w:rFonts w:cs="Times New Roman"/>
                <w:szCs w:val="18"/>
              </w:rPr>
              <w:t>Поступление в сеть из других уровней напряжения (трансформация)</w:t>
            </w:r>
          </w:p>
        </w:tc>
        <w:tc>
          <w:tcPr>
            <w:tcW w:w="0" w:type="auto"/>
            <w:hideMark/>
          </w:tcPr>
          <w:p w14:paraId="3E5B95DE" w14:textId="77777777"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тыс. кВт ч</w:t>
            </w:r>
          </w:p>
        </w:tc>
        <w:tc>
          <w:tcPr>
            <w:tcW w:w="0" w:type="auto"/>
            <w:noWrap/>
            <w:hideMark/>
          </w:tcPr>
          <w:p w14:paraId="5A914854" w14:textId="77777777"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1 485 430,34</w:t>
            </w:r>
          </w:p>
        </w:tc>
        <w:tc>
          <w:tcPr>
            <w:tcW w:w="0" w:type="auto"/>
            <w:noWrap/>
            <w:hideMark/>
          </w:tcPr>
          <w:p w14:paraId="1290A0D3" w14:textId="6C69280D"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p>
        </w:tc>
        <w:tc>
          <w:tcPr>
            <w:tcW w:w="0" w:type="auto"/>
            <w:noWrap/>
            <w:hideMark/>
          </w:tcPr>
          <w:p w14:paraId="51767E1E" w14:textId="77777777"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845 524,24</w:t>
            </w:r>
          </w:p>
        </w:tc>
        <w:tc>
          <w:tcPr>
            <w:tcW w:w="0" w:type="auto"/>
            <w:noWrap/>
            <w:hideMark/>
          </w:tcPr>
          <w:p w14:paraId="49D118F8" w14:textId="77777777"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477 205,48</w:t>
            </w:r>
          </w:p>
        </w:tc>
        <w:tc>
          <w:tcPr>
            <w:tcW w:w="0" w:type="auto"/>
            <w:noWrap/>
            <w:hideMark/>
          </w:tcPr>
          <w:p w14:paraId="75B7B44A" w14:textId="2A92E7E3" w:rsidR="008B0532" w:rsidRPr="00FB0A3A" w:rsidRDefault="0056641A"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162 700,6</w:t>
            </w:r>
          </w:p>
        </w:tc>
      </w:tr>
      <w:tr w:rsidR="00F05B70" w:rsidRPr="00FB0A3A" w14:paraId="3AFD6DA4" w14:textId="77777777" w:rsidTr="00F05B70">
        <w:tc>
          <w:tcPr>
            <w:cnfStyle w:val="001000000000" w:firstRow="0" w:lastRow="0" w:firstColumn="1" w:lastColumn="0" w:oddVBand="0" w:evenVBand="0" w:oddHBand="0" w:evenHBand="0" w:firstRowFirstColumn="0" w:firstRowLastColumn="0" w:lastRowFirstColumn="0" w:lastRowLastColumn="0"/>
            <w:tcW w:w="0" w:type="auto"/>
            <w:hideMark/>
          </w:tcPr>
          <w:p w14:paraId="5B195DAD" w14:textId="77777777" w:rsidR="008B0532" w:rsidRPr="00FB0A3A" w:rsidRDefault="008B0532" w:rsidP="00A31747">
            <w:pPr>
              <w:tabs>
                <w:tab w:val="left" w:pos="1134"/>
              </w:tabs>
              <w:rPr>
                <w:rFonts w:cs="Times New Roman"/>
                <w:szCs w:val="18"/>
              </w:rPr>
            </w:pPr>
            <w:r w:rsidRPr="00FB0A3A">
              <w:rPr>
                <w:rFonts w:cs="Times New Roman"/>
                <w:szCs w:val="18"/>
              </w:rPr>
              <w:t>Плановый отпуск электроэнергии в сеть</w:t>
            </w:r>
          </w:p>
        </w:tc>
        <w:tc>
          <w:tcPr>
            <w:tcW w:w="0" w:type="auto"/>
            <w:hideMark/>
          </w:tcPr>
          <w:p w14:paraId="772BAA95" w14:textId="77777777"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тыс. кВт ч</w:t>
            </w:r>
          </w:p>
        </w:tc>
        <w:tc>
          <w:tcPr>
            <w:tcW w:w="0" w:type="auto"/>
            <w:noWrap/>
            <w:hideMark/>
          </w:tcPr>
          <w:p w14:paraId="613C162E" w14:textId="77777777"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11 235 338,04</w:t>
            </w:r>
          </w:p>
        </w:tc>
        <w:tc>
          <w:tcPr>
            <w:tcW w:w="0" w:type="auto"/>
            <w:noWrap/>
            <w:hideMark/>
          </w:tcPr>
          <w:p w14:paraId="592BCCE2" w14:textId="77777777"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10 972 338,04</w:t>
            </w:r>
          </w:p>
        </w:tc>
        <w:tc>
          <w:tcPr>
            <w:tcW w:w="0" w:type="auto"/>
            <w:noWrap/>
            <w:hideMark/>
          </w:tcPr>
          <w:p w14:paraId="005FE2B5" w14:textId="3CEE0AB2" w:rsidR="008B0532" w:rsidRPr="00FB0A3A" w:rsidRDefault="0056641A"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1 065 524,2</w:t>
            </w:r>
          </w:p>
        </w:tc>
        <w:tc>
          <w:tcPr>
            <w:tcW w:w="0" w:type="auto"/>
            <w:noWrap/>
            <w:hideMark/>
          </w:tcPr>
          <w:p w14:paraId="7988DCBE" w14:textId="77777777"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520 205,48</w:t>
            </w:r>
          </w:p>
        </w:tc>
        <w:tc>
          <w:tcPr>
            <w:tcW w:w="0" w:type="auto"/>
            <w:noWrap/>
            <w:hideMark/>
          </w:tcPr>
          <w:p w14:paraId="12895E90" w14:textId="6CC9A353" w:rsidR="008B0532" w:rsidRPr="00FB0A3A" w:rsidRDefault="0056641A"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162 700,6</w:t>
            </w:r>
          </w:p>
        </w:tc>
      </w:tr>
      <w:tr w:rsidR="00F05B70" w:rsidRPr="00FB0A3A" w14:paraId="4C9254BD" w14:textId="77777777" w:rsidTr="00F05B70">
        <w:tc>
          <w:tcPr>
            <w:cnfStyle w:val="001000000000" w:firstRow="0" w:lastRow="0" w:firstColumn="1" w:lastColumn="0" w:oddVBand="0" w:evenVBand="0" w:oddHBand="0" w:evenHBand="0" w:firstRowFirstColumn="0" w:firstRowLastColumn="0" w:lastRowFirstColumn="0" w:lastRowLastColumn="0"/>
            <w:tcW w:w="0" w:type="auto"/>
            <w:hideMark/>
          </w:tcPr>
          <w:p w14:paraId="2763F051" w14:textId="77777777" w:rsidR="008B0532" w:rsidRPr="00FB0A3A" w:rsidRDefault="008B0532" w:rsidP="00A31747">
            <w:pPr>
              <w:tabs>
                <w:tab w:val="left" w:pos="1134"/>
              </w:tabs>
              <w:rPr>
                <w:rFonts w:cs="Times New Roman"/>
                <w:szCs w:val="18"/>
              </w:rPr>
            </w:pPr>
            <w:r w:rsidRPr="00FB0A3A">
              <w:rPr>
                <w:rFonts w:cs="Times New Roman"/>
                <w:szCs w:val="18"/>
              </w:rPr>
              <w:t>Уровень потерь электроэнергии</w:t>
            </w:r>
          </w:p>
        </w:tc>
        <w:tc>
          <w:tcPr>
            <w:tcW w:w="0" w:type="auto"/>
            <w:hideMark/>
          </w:tcPr>
          <w:p w14:paraId="40070EB2" w14:textId="77777777"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w:t>
            </w:r>
          </w:p>
        </w:tc>
        <w:tc>
          <w:tcPr>
            <w:tcW w:w="0" w:type="auto"/>
            <w:noWrap/>
            <w:hideMark/>
          </w:tcPr>
          <w:p w14:paraId="69CB9023" w14:textId="77777777"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3,5072</w:t>
            </w:r>
          </w:p>
        </w:tc>
        <w:tc>
          <w:tcPr>
            <w:tcW w:w="0" w:type="auto"/>
            <w:noWrap/>
            <w:hideMark/>
          </w:tcPr>
          <w:p w14:paraId="416587E0" w14:textId="77777777"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3,04</w:t>
            </w:r>
          </w:p>
        </w:tc>
        <w:tc>
          <w:tcPr>
            <w:tcW w:w="0" w:type="auto"/>
            <w:noWrap/>
            <w:hideMark/>
          </w:tcPr>
          <w:p w14:paraId="6F1A6B32" w14:textId="77777777"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2,32</w:t>
            </w:r>
          </w:p>
        </w:tc>
        <w:tc>
          <w:tcPr>
            <w:tcW w:w="0" w:type="auto"/>
            <w:noWrap/>
            <w:hideMark/>
          </w:tcPr>
          <w:p w14:paraId="638F60A9" w14:textId="77777777"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5,17</w:t>
            </w:r>
          </w:p>
        </w:tc>
        <w:tc>
          <w:tcPr>
            <w:tcW w:w="0" w:type="auto"/>
            <w:noWrap/>
            <w:hideMark/>
          </w:tcPr>
          <w:p w14:paraId="0E7C2B35" w14:textId="77777777"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5,36</w:t>
            </w:r>
          </w:p>
        </w:tc>
      </w:tr>
      <w:tr w:rsidR="00F05B70" w:rsidRPr="00FB0A3A" w14:paraId="4A8FE923" w14:textId="77777777" w:rsidTr="00F05B70">
        <w:tc>
          <w:tcPr>
            <w:cnfStyle w:val="001000000000" w:firstRow="0" w:lastRow="0" w:firstColumn="1" w:lastColumn="0" w:oddVBand="0" w:evenVBand="0" w:oddHBand="0" w:evenHBand="0" w:firstRowFirstColumn="0" w:firstRowLastColumn="0" w:lastRowFirstColumn="0" w:lastRowLastColumn="0"/>
            <w:tcW w:w="0" w:type="auto"/>
            <w:hideMark/>
          </w:tcPr>
          <w:p w14:paraId="24C9B140" w14:textId="77777777" w:rsidR="008B0532" w:rsidRPr="00FB0A3A" w:rsidRDefault="008B0532" w:rsidP="00A31747">
            <w:pPr>
              <w:tabs>
                <w:tab w:val="left" w:pos="1134"/>
              </w:tabs>
              <w:rPr>
                <w:rFonts w:cs="Times New Roman"/>
                <w:szCs w:val="18"/>
              </w:rPr>
            </w:pPr>
            <w:r w:rsidRPr="00FB0A3A">
              <w:rPr>
                <w:rFonts w:cs="Times New Roman"/>
                <w:szCs w:val="18"/>
              </w:rPr>
              <w:t>Величина потерь электроэнергии</w:t>
            </w:r>
          </w:p>
        </w:tc>
        <w:tc>
          <w:tcPr>
            <w:tcW w:w="0" w:type="auto"/>
            <w:hideMark/>
          </w:tcPr>
          <w:p w14:paraId="68A1AEE0" w14:textId="77777777"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тыс. кВт ч</w:t>
            </w:r>
          </w:p>
        </w:tc>
        <w:tc>
          <w:tcPr>
            <w:tcW w:w="0" w:type="auto"/>
            <w:noWrap/>
            <w:hideMark/>
          </w:tcPr>
          <w:p w14:paraId="1DBEC448" w14:textId="77777777"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394 048,38</w:t>
            </w:r>
          </w:p>
        </w:tc>
        <w:tc>
          <w:tcPr>
            <w:tcW w:w="0" w:type="auto"/>
            <w:noWrap/>
            <w:hideMark/>
          </w:tcPr>
          <w:p w14:paraId="3A7CD021" w14:textId="77777777"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333 673,95</w:t>
            </w:r>
          </w:p>
        </w:tc>
        <w:tc>
          <w:tcPr>
            <w:tcW w:w="0" w:type="auto"/>
            <w:noWrap/>
            <w:hideMark/>
          </w:tcPr>
          <w:p w14:paraId="614950E3" w14:textId="77777777"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24 755,47</w:t>
            </w:r>
          </w:p>
        </w:tc>
        <w:tc>
          <w:tcPr>
            <w:tcW w:w="0" w:type="auto"/>
            <w:noWrap/>
            <w:hideMark/>
          </w:tcPr>
          <w:p w14:paraId="54B0F891" w14:textId="77777777"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26 894,45</w:t>
            </w:r>
          </w:p>
        </w:tc>
        <w:tc>
          <w:tcPr>
            <w:tcW w:w="0" w:type="auto"/>
            <w:noWrap/>
            <w:hideMark/>
          </w:tcPr>
          <w:p w14:paraId="243CC64B" w14:textId="77777777" w:rsidR="008B0532" w:rsidRPr="00FB0A3A" w:rsidRDefault="008B0532"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8 724,51</w:t>
            </w:r>
          </w:p>
        </w:tc>
      </w:tr>
    </w:tbl>
    <w:p w14:paraId="03AD1DAB" w14:textId="3AA0A1D5" w:rsidR="00294703" w:rsidRPr="00FB0A3A" w:rsidRDefault="00294703" w:rsidP="00A31747">
      <w:pPr>
        <w:pStyle w:val="afff7"/>
        <w:tabs>
          <w:tab w:val="left" w:pos="1134"/>
        </w:tabs>
      </w:pPr>
      <w:r w:rsidRPr="00FB0A3A">
        <w:t xml:space="preserve">Филиалом </w:t>
      </w:r>
      <w:r w:rsidR="0056641A" w:rsidRPr="00FB0A3A">
        <w:t xml:space="preserve">ПАО </w:t>
      </w:r>
      <w:r w:rsidR="00655FFA" w:rsidRPr="00FB0A3A">
        <w:t>«</w:t>
      </w:r>
      <w:r w:rsidR="0056641A" w:rsidRPr="00FB0A3A">
        <w:t>МРСК Северо-Запада</w:t>
      </w:r>
      <w:r w:rsidR="00655FFA" w:rsidRPr="00FB0A3A">
        <w:t>»</w:t>
      </w:r>
      <w:r w:rsidR="0056641A" w:rsidRPr="00FB0A3A">
        <w:t xml:space="preserve"> </w:t>
      </w:r>
      <w:r w:rsidR="00655FFA" w:rsidRPr="00FB0A3A">
        <w:t>«</w:t>
      </w:r>
      <w:r w:rsidRPr="00FB0A3A">
        <w:t>Колэнерго</w:t>
      </w:r>
      <w:r w:rsidR="00655FFA" w:rsidRPr="00FB0A3A">
        <w:t>»</w:t>
      </w:r>
      <w:r w:rsidRPr="00FB0A3A">
        <w:t xml:space="preserve"> проведен дополнительный расчет нормативных потерь электрической энергии в сетях филиала ПАО </w:t>
      </w:r>
      <w:r w:rsidR="00655FFA" w:rsidRPr="00FB0A3A">
        <w:t>«</w:t>
      </w:r>
      <w:r w:rsidRPr="00FB0A3A">
        <w:t>МРСК Северо-Запада</w:t>
      </w:r>
      <w:r w:rsidR="00655FFA" w:rsidRPr="00FB0A3A">
        <w:t>»</w:t>
      </w:r>
      <w:r w:rsidRPr="00FB0A3A">
        <w:t xml:space="preserve"> </w:t>
      </w:r>
      <w:r w:rsidR="00655FFA" w:rsidRPr="00FB0A3A">
        <w:t>«</w:t>
      </w:r>
      <w:r w:rsidRPr="00FB0A3A">
        <w:t>Колэнерго</w:t>
      </w:r>
      <w:r w:rsidR="00655FFA" w:rsidRPr="00FB0A3A">
        <w:t>»</w:t>
      </w:r>
      <w:r w:rsidRPr="00FB0A3A">
        <w:t xml:space="preserve"> по приведенному факту 2017 год (1 полугодие 2017 года приведено к факту 2 полугодия 2017 года). Корректировка коснулась только распределительной сети 10/0,4 кВ филиала и связана с заключением договора аренды распределительной сети п. Зареченска и п.</w:t>
      </w:r>
      <w:r w:rsidR="001B2104" w:rsidRPr="00FB0A3A">
        <w:t> </w:t>
      </w:r>
      <w:r w:rsidRPr="00FB0A3A">
        <w:t xml:space="preserve">Ковдозеро, изменением методики расчета потерь и формирования балансов в АИС </w:t>
      </w:r>
      <w:r w:rsidR="00655FFA" w:rsidRPr="00FB0A3A">
        <w:t>«</w:t>
      </w:r>
      <w:r w:rsidRPr="00FB0A3A">
        <w:t>Транспорта электроэнергии</w:t>
      </w:r>
      <w:r w:rsidR="00655FFA" w:rsidRPr="00FB0A3A">
        <w:t>»</w:t>
      </w:r>
      <w:r w:rsidRPr="00FB0A3A">
        <w:t xml:space="preserve"> с июля 2017 года (расчет приведен в таблице).</w:t>
      </w:r>
    </w:p>
    <w:p w14:paraId="2357CFA3" w14:textId="6E168B00" w:rsidR="00294703" w:rsidRPr="00FB0A3A" w:rsidRDefault="00294703" w:rsidP="00A31747">
      <w:pPr>
        <w:tabs>
          <w:tab w:val="left" w:pos="1134"/>
        </w:tabs>
        <w:spacing w:after="0" w:line="360" w:lineRule="auto"/>
        <w:ind w:right="-6" w:firstLine="567"/>
        <w:jc w:val="both"/>
        <w:rPr>
          <w:rFonts w:ascii="Myriad Pro" w:hAnsi="Myriad Pro" w:cs="Times New Roman"/>
          <w:sz w:val="26"/>
          <w:szCs w:val="26"/>
        </w:rPr>
      </w:pPr>
      <w:r w:rsidRPr="00FB0A3A">
        <w:rPr>
          <w:rFonts w:ascii="Myriad Pro" w:hAnsi="Myriad Pro" w:cs="Times New Roman"/>
          <w:sz w:val="26"/>
          <w:szCs w:val="26"/>
        </w:rPr>
        <w:t xml:space="preserve">Таким образам, по филиалу </w:t>
      </w:r>
      <w:r w:rsidR="00ED7A8D" w:rsidRPr="00FB0A3A">
        <w:rPr>
          <w:rFonts w:ascii="Myriad Pro" w:hAnsi="Myriad Pro" w:cs="Times New Roman"/>
          <w:sz w:val="26"/>
          <w:szCs w:val="26"/>
        </w:rPr>
        <w:t xml:space="preserve">ПАО </w:t>
      </w:r>
      <w:r w:rsidR="00655FFA" w:rsidRPr="00FB0A3A">
        <w:rPr>
          <w:rFonts w:ascii="Myriad Pro" w:hAnsi="Myriad Pro" w:cs="Times New Roman"/>
          <w:sz w:val="26"/>
          <w:szCs w:val="26"/>
        </w:rPr>
        <w:t>«</w:t>
      </w:r>
      <w:r w:rsidR="00ED7A8D" w:rsidRPr="00FB0A3A">
        <w:rPr>
          <w:rFonts w:ascii="Myriad Pro" w:hAnsi="Myriad Pro" w:cs="Times New Roman"/>
          <w:sz w:val="26"/>
          <w:szCs w:val="26"/>
        </w:rPr>
        <w:t>МРСК Северо-Запада</w:t>
      </w:r>
      <w:r w:rsidR="00655FFA" w:rsidRPr="00FB0A3A">
        <w:rPr>
          <w:rFonts w:ascii="Myriad Pro" w:hAnsi="Myriad Pro" w:cs="Times New Roman"/>
          <w:sz w:val="26"/>
          <w:szCs w:val="26"/>
        </w:rPr>
        <w:t>»</w:t>
      </w:r>
      <w:r w:rsidR="00ED7A8D" w:rsidRPr="00FB0A3A">
        <w:rPr>
          <w:rFonts w:ascii="Myriad Pro" w:hAnsi="Myriad Pro" w:cs="Times New Roman"/>
          <w:sz w:val="26"/>
          <w:szCs w:val="26"/>
        </w:rPr>
        <w:t xml:space="preserve"> </w:t>
      </w:r>
      <w:r w:rsidR="00655FFA" w:rsidRPr="00FB0A3A">
        <w:rPr>
          <w:rFonts w:ascii="Myriad Pro" w:hAnsi="Myriad Pro" w:cs="Times New Roman"/>
          <w:sz w:val="26"/>
          <w:szCs w:val="26"/>
        </w:rPr>
        <w:t>«</w:t>
      </w:r>
      <w:r w:rsidRPr="00FB0A3A">
        <w:rPr>
          <w:rFonts w:ascii="Myriad Pro" w:hAnsi="Myriad Pro" w:cs="Times New Roman"/>
          <w:sz w:val="26"/>
          <w:szCs w:val="26"/>
        </w:rPr>
        <w:t>Колэнерго</w:t>
      </w:r>
      <w:r w:rsidR="00655FFA" w:rsidRPr="00FB0A3A">
        <w:rPr>
          <w:rFonts w:ascii="Myriad Pro" w:hAnsi="Myriad Pro" w:cs="Times New Roman"/>
          <w:sz w:val="26"/>
          <w:szCs w:val="26"/>
        </w:rPr>
        <w:t>»</w:t>
      </w:r>
      <w:r w:rsidRPr="00FB0A3A">
        <w:rPr>
          <w:rFonts w:ascii="Myriad Pro" w:hAnsi="Myriad Pro" w:cs="Times New Roman"/>
          <w:sz w:val="26"/>
          <w:szCs w:val="26"/>
        </w:rPr>
        <w:t xml:space="preserve"> на 2019 </w:t>
      </w:r>
      <w:r w:rsidRPr="002D1F40">
        <w:rPr>
          <w:rFonts w:ascii="Myriad Pro" w:hAnsi="Myriad Pro" w:cs="Times New Roman"/>
          <w:sz w:val="26"/>
          <w:szCs w:val="26"/>
        </w:rPr>
        <w:t>год должна быть учтена</w:t>
      </w:r>
      <w:r w:rsidRPr="00FB0A3A">
        <w:rPr>
          <w:rFonts w:ascii="Myriad Pro" w:hAnsi="Myriad Pro" w:cs="Times New Roman"/>
          <w:sz w:val="26"/>
          <w:szCs w:val="26"/>
        </w:rPr>
        <w:t xml:space="preserve"> плановая величина потерь электроэнергии 394 млн. кВтч (3,51%). </w:t>
      </w:r>
    </w:p>
    <w:p w14:paraId="7AC561A0" w14:textId="77777777" w:rsidR="00294703" w:rsidRPr="00FB0A3A" w:rsidRDefault="00294703" w:rsidP="00A31747">
      <w:pPr>
        <w:pStyle w:val="afff4"/>
        <w:tabs>
          <w:tab w:val="left" w:pos="1134"/>
        </w:tabs>
        <w:rPr>
          <w:lang w:val="ru-RU"/>
        </w:rPr>
      </w:pPr>
      <w:r w:rsidRPr="00FB0A3A">
        <w:rPr>
          <w:lang w:val="ru-RU"/>
        </w:rPr>
        <w:t>Филиал на период регулирования предлагает принять величину потерь электроэнергии на 2019-2023 гг. в следующих размерах:</w:t>
      </w:r>
    </w:p>
    <w:tbl>
      <w:tblPr>
        <w:tblStyle w:val="afff6"/>
        <w:tblW w:w="5000" w:type="pct"/>
        <w:tblLook w:val="04A0" w:firstRow="1" w:lastRow="0" w:firstColumn="1" w:lastColumn="0" w:noHBand="0" w:noVBand="1"/>
      </w:tblPr>
      <w:tblGrid>
        <w:gridCol w:w="1030"/>
        <w:gridCol w:w="1462"/>
        <w:gridCol w:w="3953"/>
        <w:gridCol w:w="2899"/>
      </w:tblGrid>
      <w:tr w:rsidR="00294703" w:rsidRPr="00FB0A3A" w14:paraId="11BF6BC7" w14:textId="77777777" w:rsidTr="00DE3D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13F26EC" w14:textId="77777777" w:rsidR="00294703" w:rsidRPr="00FB0A3A" w:rsidRDefault="00294703" w:rsidP="00A31747">
            <w:pPr>
              <w:tabs>
                <w:tab w:val="left" w:pos="1134"/>
              </w:tabs>
              <w:ind w:left="20" w:firstLine="2"/>
              <w:contextualSpacing/>
              <w:jc w:val="center"/>
              <w:rPr>
                <w:rFonts w:cs="Times New Roman"/>
                <w:szCs w:val="18"/>
              </w:rPr>
            </w:pPr>
            <w:r w:rsidRPr="00FB0A3A">
              <w:rPr>
                <w:rFonts w:cs="Times New Roman"/>
                <w:szCs w:val="18"/>
              </w:rPr>
              <w:t>Год</w:t>
            </w:r>
          </w:p>
        </w:tc>
        <w:tc>
          <w:tcPr>
            <w:tcW w:w="4308"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EC4DF82" w14:textId="77777777" w:rsidR="00294703" w:rsidRPr="00FB0A3A" w:rsidRDefault="00294703" w:rsidP="00A31747">
            <w:pPr>
              <w:tabs>
                <w:tab w:val="left" w:pos="1134"/>
              </w:tabs>
              <w:ind w:left="20" w:firstLine="2"/>
              <w:contextualSpacing/>
              <w:cnfStyle w:val="100000000000" w:firstRow="1"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 xml:space="preserve">Предложение </w:t>
            </w:r>
          </w:p>
        </w:tc>
      </w:tr>
      <w:tr w:rsidR="00294703" w:rsidRPr="00FB0A3A" w14:paraId="371817BF" w14:textId="77777777" w:rsidTr="00DE3D46">
        <w:tc>
          <w:tcPr>
            <w:cnfStyle w:val="001000000000" w:firstRow="0" w:lastRow="0" w:firstColumn="1" w:lastColumn="0" w:oddVBand="0" w:evenVBand="0" w:oddHBand="0" w:evenHBand="0" w:firstRowFirstColumn="0" w:firstRowLastColumn="0" w:lastRowFirstColumn="0" w:lastRowLastColumn="0"/>
            <w:tcW w:w="69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7965F5F" w14:textId="77777777" w:rsidR="00294703" w:rsidRPr="00FB0A3A" w:rsidRDefault="00294703" w:rsidP="00A31747">
            <w:pPr>
              <w:tabs>
                <w:tab w:val="left" w:pos="1134"/>
              </w:tabs>
              <w:ind w:left="20" w:firstLine="2"/>
              <w:contextualSpacing/>
              <w:jc w:val="right"/>
              <w:rPr>
                <w:rFonts w:cs="Times New Roman"/>
                <w:szCs w:val="18"/>
              </w:rPr>
            </w:pPr>
          </w:p>
        </w:tc>
        <w:tc>
          <w:tcPr>
            <w:tcW w:w="9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ED5B48C" w14:textId="77777777" w:rsidR="00294703" w:rsidRPr="00FB0A3A" w:rsidRDefault="00294703" w:rsidP="00A31747">
            <w:pPr>
              <w:tabs>
                <w:tab w:val="left" w:pos="1134"/>
              </w:tabs>
              <w:ind w:left="20" w:firstLine="2"/>
              <w:contextualSpacing/>
              <w:cnfStyle w:val="000000000000" w:firstRow="0" w:lastRow="0" w:firstColumn="0" w:lastColumn="0" w:oddVBand="0" w:evenVBand="0" w:oddHBand="0" w:evenHBand="0" w:firstRowFirstColumn="0" w:firstRowLastColumn="0" w:lastRowFirstColumn="0" w:lastRowLastColumn="0"/>
              <w:rPr>
                <w:rFonts w:cs="Times New Roman"/>
                <w:color w:val="FFFFFF" w:themeColor="background1"/>
                <w:szCs w:val="18"/>
              </w:rPr>
            </w:pPr>
            <w:r w:rsidRPr="00FB0A3A">
              <w:rPr>
                <w:rFonts w:cs="Times New Roman"/>
                <w:color w:val="FFFFFF" w:themeColor="background1"/>
                <w:szCs w:val="18"/>
              </w:rPr>
              <w:t>млн  кВтч</w:t>
            </w:r>
          </w:p>
        </w:tc>
        <w:tc>
          <w:tcPr>
            <w:tcW w:w="16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tcPr>
          <w:p w14:paraId="477C5492" w14:textId="77777777" w:rsidR="00294703" w:rsidRPr="00FB0A3A" w:rsidRDefault="00294703" w:rsidP="00A31747">
            <w:pPr>
              <w:tabs>
                <w:tab w:val="left" w:pos="1134"/>
              </w:tabs>
              <w:ind w:left="20" w:firstLine="2"/>
              <w:contextualSpacing/>
              <w:cnfStyle w:val="000000000000" w:firstRow="0" w:lastRow="0" w:firstColumn="0" w:lastColumn="0" w:oddVBand="0" w:evenVBand="0" w:oddHBand="0" w:evenHBand="0" w:firstRowFirstColumn="0" w:firstRowLastColumn="0" w:lastRowFirstColumn="0" w:lastRowLastColumn="0"/>
              <w:rPr>
                <w:rFonts w:cs="Times New Roman"/>
                <w:color w:val="FFFFFF" w:themeColor="background1"/>
                <w:szCs w:val="18"/>
              </w:rPr>
            </w:pPr>
            <w:r w:rsidRPr="00FB0A3A">
              <w:rPr>
                <w:rFonts w:cs="Times New Roman"/>
                <w:color w:val="FFFFFF" w:themeColor="background1"/>
                <w:szCs w:val="18"/>
              </w:rPr>
              <w:t>%  к отпущенной в сеть электрической энергии</w:t>
            </w:r>
          </w:p>
        </w:tc>
        <w:tc>
          <w:tcPr>
            <w:tcW w:w="16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7C54C98" w14:textId="77777777" w:rsidR="00294703" w:rsidRPr="00FB0A3A" w:rsidRDefault="00294703" w:rsidP="00A31747">
            <w:pPr>
              <w:tabs>
                <w:tab w:val="left" w:pos="1134"/>
              </w:tabs>
              <w:ind w:left="20" w:firstLine="2"/>
              <w:contextualSpacing/>
              <w:cnfStyle w:val="000000000000" w:firstRow="0" w:lastRow="0" w:firstColumn="0" w:lastColumn="0" w:oddVBand="0" w:evenVBand="0" w:oddHBand="0" w:evenHBand="0" w:firstRowFirstColumn="0" w:firstRowLastColumn="0" w:lastRowFirstColumn="0" w:lastRowLastColumn="0"/>
              <w:rPr>
                <w:rFonts w:cs="Times New Roman"/>
                <w:color w:val="FFFFFF" w:themeColor="background1"/>
                <w:szCs w:val="18"/>
              </w:rPr>
            </w:pPr>
            <w:r w:rsidRPr="00FB0A3A">
              <w:rPr>
                <w:rFonts w:cs="Times New Roman"/>
                <w:color w:val="FFFFFF" w:themeColor="background1"/>
                <w:szCs w:val="18"/>
              </w:rPr>
              <w:t>Отпуск в сеть филиала</w:t>
            </w:r>
          </w:p>
        </w:tc>
      </w:tr>
      <w:tr w:rsidR="00294703" w:rsidRPr="00FB0A3A" w14:paraId="23E75890" w14:textId="77777777" w:rsidTr="00DE3D46">
        <w:tc>
          <w:tcPr>
            <w:cnfStyle w:val="001000000000" w:firstRow="0" w:lastRow="0" w:firstColumn="1" w:lastColumn="0" w:oddVBand="0" w:evenVBand="0" w:oddHBand="0" w:evenHBand="0" w:firstRowFirstColumn="0" w:firstRowLastColumn="0" w:lastRowFirstColumn="0" w:lastRowLastColumn="0"/>
            <w:tcW w:w="692" w:type="pct"/>
            <w:tcBorders>
              <w:top w:val="single" w:sz="4" w:space="0" w:color="FFFFFF" w:themeColor="background1"/>
            </w:tcBorders>
          </w:tcPr>
          <w:p w14:paraId="3253BA87" w14:textId="77777777" w:rsidR="00294703" w:rsidRPr="00FB0A3A" w:rsidRDefault="00294703" w:rsidP="00A31747">
            <w:pPr>
              <w:tabs>
                <w:tab w:val="left" w:pos="1134"/>
              </w:tabs>
              <w:ind w:left="20" w:firstLine="2"/>
              <w:contextualSpacing/>
              <w:jc w:val="center"/>
              <w:rPr>
                <w:rFonts w:cs="Times New Roman"/>
                <w:szCs w:val="18"/>
              </w:rPr>
            </w:pPr>
            <w:r w:rsidRPr="00FB0A3A">
              <w:rPr>
                <w:rFonts w:cs="Times New Roman"/>
                <w:szCs w:val="18"/>
              </w:rPr>
              <w:t>2019</w:t>
            </w:r>
          </w:p>
        </w:tc>
        <w:tc>
          <w:tcPr>
            <w:tcW w:w="923" w:type="pct"/>
            <w:tcBorders>
              <w:top w:val="single" w:sz="4" w:space="0" w:color="FFFFFF" w:themeColor="background1"/>
            </w:tcBorders>
          </w:tcPr>
          <w:p w14:paraId="5127931A" w14:textId="77777777" w:rsidR="00294703" w:rsidRPr="00FB0A3A" w:rsidRDefault="00294703" w:rsidP="00A31747">
            <w:pPr>
              <w:tabs>
                <w:tab w:val="left" w:pos="1134"/>
              </w:tabs>
              <w:ind w:left="20" w:firstLine="2"/>
              <w:contextualSpacing/>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394,00</w:t>
            </w:r>
          </w:p>
        </w:tc>
        <w:tc>
          <w:tcPr>
            <w:tcW w:w="1693" w:type="pct"/>
            <w:tcBorders>
              <w:top w:val="single" w:sz="4" w:space="0" w:color="FFFFFF" w:themeColor="background1"/>
            </w:tcBorders>
            <w:noWrap/>
          </w:tcPr>
          <w:p w14:paraId="76431FEA" w14:textId="77777777" w:rsidR="00294703" w:rsidRPr="00FB0A3A" w:rsidRDefault="00294703" w:rsidP="00A31747">
            <w:pPr>
              <w:tabs>
                <w:tab w:val="left" w:pos="1134"/>
              </w:tabs>
              <w:ind w:left="20" w:firstLine="2"/>
              <w:contextualSpacing/>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3,51</w:t>
            </w:r>
          </w:p>
        </w:tc>
        <w:tc>
          <w:tcPr>
            <w:tcW w:w="1692" w:type="pct"/>
            <w:tcBorders>
              <w:top w:val="single" w:sz="4" w:space="0" w:color="FFFFFF" w:themeColor="background1"/>
            </w:tcBorders>
          </w:tcPr>
          <w:p w14:paraId="082C3B30" w14:textId="77777777" w:rsidR="00294703" w:rsidRPr="00FB0A3A" w:rsidRDefault="00294703" w:rsidP="00A31747">
            <w:pPr>
              <w:tabs>
                <w:tab w:val="left" w:pos="1134"/>
              </w:tabs>
              <w:ind w:left="20" w:firstLine="2"/>
              <w:contextualSpacing/>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 xml:space="preserve"> 11 235,338</w:t>
            </w:r>
          </w:p>
        </w:tc>
      </w:tr>
      <w:tr w:rsidR="00294703" w:rsidRPr="00FB0A3A" w14:paraId="663B1ABA" w14:textId="77777777" w:rsidTr="00981F0E">
        <w:tc>
          <w:tcPr>
            <w:cnfStyle w:val="001000000000" w:firstRow="0" w:lastRow="0" w:firstColumn="1" w:lastColumn="0" w:oddVBand="0" w:evenVBand="0" w:oddHBand="0" w:evenHBand="0" w:firstRowFirstColumn="0" w:firstRowLastColumn="0" w:lastRowFirstColumn="0" w:lastRowLastColumn="0"/>
            <w:tcW w:w="692" w:type="pct"/>
          </w:tcPr>
          <w:p w14:paraId="7D3D41A8" w14:textId="77777777" w:rsidR="00294703" w:rsidRPr="00FB0A3A" w:rsidRDefault="00294703" w:rsidP="00A31747">
            <w:pPr>
              <w:tabs>
                <w:tab w:val="left" w:pos="1134"/>
              </w:tabs>
              <w:ind w:left="20" w:firstLine="2"/>
              <w:contextualSpacing/>
              <w:jc w:val="center"/>
              <w:rPr>
                <w:rFonts w:cs="Times New Roman"/>
                <w:szCs w:val="18"/>
              </w:rPr>
            </w:pPr>
            <w:r w:rsidRPr="00FB0A3A">
              <w:rPr>
                <w:rFonts w:cs="Times New Roman"/>
                <w:szCs w:val="18"/>
              </w:rPr>
              <w:t>2020</w:t>
            </w:r>
          </w:p>
        </w:tc>
        <w:tc>
          <w:tcPr>
            <w:tcW w:w="923" w:type="pct"/>
          </w:tcPr>
          <w:p w14:paraId="320CD6D3" w14:textId="77777777" w:rsidR="00294703" w:rsidRPr="00FB0A3A" w:rsidRDefault="00294703" w:rsidP="00A31747">
            <w:pPr>
              <w:tabs>
                <w:tab w:val="left" w:pos="1134"/>
              </w:tabs>
              <w:ind w:left="20" w:firstLine="2"/>
              <w:contextualSpacing/>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395,42</w:t>
            </w:r>
          </w:p>
        </w:tc>
        <w:tc>
          <w:tcPr>
            <w:tcW w:w="1693" w:type="pct"/>
            <w:noWrap/>
          </w:tcPr>
          <w:p w14:paraId="319A1BD1" w14:textId="77777777" w:rsidR="00294703" w:rsidRPr="00FB0A3A" w:rsidRDefault="00294703" w:rsidP="00A31747">
            <w:pPr>
              <w:tabs>
                <w:tab w:val="left" w:pos="1134"/>
              </w:tabs>
              <w:ind w:left="20" w:firstLine="2"/>
              <w:contextualSpacing/>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3,51</w:t>
            </w:r>
          </w:p>
        </w:tc>
        <w:tc>
          <w:tcPr>
            <w:tcW w:w="1692" w:type="pct"/>
          </w:tcPr>
          <w:p w14:paraId="0029FF7D" w14:textId="77777777" w:rsidR="00294703" w:rsidRPr="00FB0A3A" w:rsidRDefault="00294703" w:rsidP="00A31747">
            <w:pPr>
              <w:tabs>
                <w:tab w:val="left" w:pos="1134"/>
              </w:tabs>
              <w:ind w:left="20" w:firstLine="2"/>
              <w:contextualSpacing/>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11 275,77</w:t>
            </w:r>
          </w:p>
        </w:tc>
      </w:tr>
      <w:tr w:rsidR="00294703" w:rsidRPr="00FB0A3A" w14:paraId="06D7360D" w14:textId="77777777" w:rsidTr="00981F0E">
        <w:tc>
          <w:tcPr>
            <w:cnfStyle w:val="001000000000" w:firstRow="0" w:lastRow="0" w:firstColumn="1" w:lastColumn="0" w:oddVBand="0" w:evenVBand="0" w:oddHBand="0" w:evenHBand="0" w:firstRowFirstColumn="0" w:firstRowLastColumn="0" w:lastRowFirstColumn="0" w:lastRowLastColumn="0"/>
            <w:tcW w:w="692" w:type="pct"/>
          </w:tcPr>
          <w:p w14:paraId="047D33E2" w14:textId="77777777" w:rsidR="00294703" w:rsidRPr="00FB0A3A" w:rsidRDefault="00294703" w:rsidP="00A31747">
            <w:pPr>
              <w:tabs>
                <w:tab w:val="left" w:pos="1134"/>
              </w:tabs>
              <w:ind w:left="20" w:firstLine="2"/>
              <w:contextualSpacing/>
              <w:jc w:val="center"/>
              <w:rPr>
                <w:rFonts w:cs="Times New Roman"/>
                <w:szCs w:val="18"/>
              </w:rPr>
            </w:pPr>
            <w:r w:rsidRPr="00FB0A3A">
              <w:rPr>
                <w:rFonts w:cs="Times New Roman"/>
                <w:szCs w:val="18"/>
              </w:rPr>
              <w:t>2021</w:t>
            </w:r>
          </w:p>
        </w:tc>
        <w:tc>
          <w:tcPr>
            <w:tcW w:w="923" w:type="pct"/>
          </w:tcPr>
          <w:p w14:paraId="523C0C97" w14:textId="77777777" w:rsidR="00294703" w:rsidRPr="00FB0A3A" w:rsidRDefault="00294703" w:rsidP="00A31747">
            <w:pPr>
              <w:tabs>
                <w:tab w:val="left" w:pos="1134"/>
              </w:tabs>
              <w:ind w:left="20" w:firstLine="2"/>
              <w:contextualSpacing/>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395,66</w:t>
            </w:r>
          </w:p>
        </w:tc>
        <w:tc>
          <w:tcPr>
            <w:tcW w:w="1693" w:type="pct"/>
            <w:noWrap/>
          </w:tcPr>
          <w:p w14:paraId="64BBCC21" w14:textId="77777777" w:rsidR="00294703" w:rsidRPr="00FB0A3A" w:rsidRDefault="00294703" w:rsidP="00A31747">
            <w:pPr>
              <w:tabs>
                <w:tab w:val="left" w:pos="1134"/>
              </w:tabs>
              <w:ind w:left="20" w:firstLine="2"/>
              <w:contextualSpacing/>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3,51</w:t>
            </w:r>
          </w:p>
        </w:tc>
        <w:tc>
          <w:tcPr>
            <w:tcW w:w="1692" w:type="pct"/>
          </w:tcPr>
          <w:p w14:paraId="1392EE93" w14:textId="77777777" w:rsidR="00294703" w:rsidRPr="00FB0A3A" w:rsidRDefault="00294703" w:rsidP="00A31747">
            <w:pPr>
              <w:tabs>
                <w:tab w:val="left" w:pos="1134"/>
              </w:tabs>
              <w:ind w:left="20" w:firstLine="2"/>
              <w:contextualSpacing/>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11 282,56</w:t>
            </w:r>
          </w:p>
        </w:tc>
      </w:tr>
      <w:tr w:rsidR="00294703" w:rsidRPr="00FB0A3A" w14:paraId="17F779DA" w14:textId="77777777" w:rsidTr="00981F0E">
        <w:tc>
          <w:tcPr>
            <w:cnfStyle w:val="001000000000" w:firstRow="0" w:lastRow="0" w:firstColumn="1" w:lastColumn="0" w:oddVBand="0" w:evenVBand="0" w:oddHBand="0" w:evenHBand="0" w:firstRowFirstColumn="0" w:firstRowLastColumn="0" w:lastRowFirstColumn="0" w:lastRowLastColumn="0"/>
            <w:tcW w:w="692" w:type="pct"/>
          </w:tcPr>
          <w:p w14:paraId="0941507E" w14:textId="77777777" w:rsidR="00294703" w:rsidRPr="00FB0A3A" w:rsidRDefault="00294703" w:rsidP="00A31747">
            <w:pPr>
              <w:tabs>
                <w:tab w:val="left" w:pos="1134"/>
              </w:tabs>
              <w:ind w:left="20" w:firstLine="2"/>
              <w:contextualSpacing/>
              <w:jc w:val="center"/>
              <w:rPr>
                <w:rFonts w:cs="Times New Roman"/>
                <w:szCs w:val="18"/>
              </w:rPr>
            </w:pPr>
            <w:r w:rsidRPr="00FB0A3A">
              <w:rPr>
                <w:rFonts w:cs="Times New Roman"/>
                <w:szCs w:val="18"/>
              </w:rPr>
              <w:t>2022</w:t>
            </w:r>
          </w:p>
        </w:tc>
        <w:tc>
          <w:tcPr>
            <w:tcW w:w="923" w:type="pct"/>
          </w:tcPr>
          <w:p w14:paraId="29B994FE" w14:textId="77777777" w:rsidR="00294703" w:rsidRPr="00FB0A3A" w:rsidRDefault="00294703" w:rsidP="00A31747">
            <w:pPr>
              <w:tabs>
                <w:tab w:val="left" w:pos="1134"/>
              </w:tabs>
              <w:ind w:left="20" w:firstLine="2"/>
              <w:contextualSpacing/>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396,29</w:t>
            </w:r>
          </w:p>
        </w:tc>
        <w:tc>
          <w:tcPr>
            <w:tcW w:w="1693" w:type="pct"/>
            <w:noWrap/>
          </w:tcPr>
          <w:p w14:paraId="4F9595FC" w14:textId="77777777" w:rsidR="00294703" w:rsidRPr="00FB0A3A" w:rsidRDefault="00294703" w:rsidP="00A31747">
            <w:pPr>
              <w:tabs>
                <w:tab w:val="left" w:pos="1134"/>
              </w:tabs>
              <w:ind w:left="20" w:firstLine="2"/>
              <w:contextualSpacing/>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3,51</w:t>
            </w:r>
          </w:p>
        </w:tc>
        <w:tc>
          <w:tcPr>
            <w:tcW w:w="1692" w:type="pct"/>
          </w:tcPr>
          <w:p w14:paraId="38A7C9DA" w14:textId="77777777" w:rsidR="00294703" w:rsidRPr="00FB0A3A" w:rsidRDefault="00294703" w:rsidP="00A31747">
            <w:pPr>
              <w:tabs>
                <w:tab w:val="left" w:pos="1134"/>
              </w:tabs>
              <w:ind w:left="20" w:firstLine="2"/>
              <w:contextualSpacing/>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11 300,64</w:t>
            </w:r>
          </w:p>
        </w:tc>
      </w:tr>
      <w:tr w:rsidR="00294703" w:rsidRPr="00FB0A3A" w14:paraId="5BBAE78B" w14:textId="77777777" w:rsidTr="00981F0E">
        <w:tc>
          <w:tcPr>
            <w:cnfStyle w:val="001000000000" w:firstRow="0" w:lastRow="0" w:firstColumn="1" w:lastColumn="0" w:oddVBand="0" w:evenVBand="0" w:oddHBand="0" w:evenHBand="0" w:firstRowFirstColumn="0" w:firstRowLastColumn="0" w:lastRowFirstColumn="0" w:lastRowLastColumn="0"/>
            <w:tcW w:w="692" w:type="pct"/>
          </w:tcPr>
          <w:p w14:paraId="0C0A68E1" w14:textId="77777777" w:rsidR="00294703" w:rsidRPr="00FB0A3A" w:rsidRDefault="00294703" w:rsidP="00A31747">
            <w:pPr>
              <w:tabs>
                <w:tab w:val="left" w:pos="1134"/>
              </w:tabs>
              <w:ind w:left="20" w:firstLine="2"/>
              <w:contextualSpacing/>
              <w:jc w:val="center"/>
              <w:rPr>
                <w:rFonts w:cs="Times New Roman"/>
                <w:szCs w:val="18"/>
              </w:rPr>
            </w:pPr>
            <w:r w:rsidRPr="00FB0A3A">
              <w:rPr>
                <w:rFonts w:cs="Times New Roman"/>
                <w:szCs w:val="18"/>
              </w:rPr>
              <w:t>2023</w:t>
            </w:r>
          </w:p>
        </w:tc>
        <w:tc>
          <w:tcPr>
            <w:tcW w:w="923" w:type="pct"/>
          </w:tcPr>
          <w:p w14:paraId="06663A90" w14:textId="77777777" w:rsidR="00294703" w:rsidRPr="00FB0A3A" w:rsidRDefault="00294703" w:rsidP="00A31747">
            <w:pPr>
              <w:tabs>
                <w:tab w:val="left" w:pos="1134"/>
              </w:tabs>
              <w:ind w:left="20" w:firstLine="2"/>
              <w:contextualSpacing/>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396,92</w:t>
            </w:r>
          </w:p>
        </w:tc>
        <w:tc>
          <w:tcPr>
            <w:tcW w:w="1693" w:type="pct"/>
            <w:noWrap/>
          </w:tcPr>
          <w:p w14:paraId="1AE149FB" w14:textId="77777777" w:rsidR="00294703" w:rsidRPr="00FB0A3A" w:rsidRDefault="00294703" w:rsidP="00A31747">
            <w:pPr>
              <w:tabs>
                <w:tab w:val="left" w:pos="1134"/>
              </w:tabs>
              <w:ind w:left="20" w:firstLine="2"/>
              <w:contextualSpacing/>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3,51</w:t>
            </w:r>
          </w:p>
        </w:tc>
        <w:tc>
          <w:tcPr>
            <w:tcW w:w="1692" w:type="pct"/>
          </w:tcPr>
          <w:p w14:paraId="4FDFE757" w14:textId="77777777" w:rsidR="00294703" w:rsidRPr="00FB0A3A" w:rsidRDefault="00294703" w:rsidP="00A31747">
            <w:pPr>
              <w:tabs>
                <w:tab w:val="left" w:pos="1134"/>
              </w:tabs>
              <w:ind w:left="20" w:firstLine="2"/>
              <w:contextualSpacing/>
              <w:cnfStyle w:val="000000000000" w:firstRow="0" w:lastRow="0" w:firstColumn="0" w:lastColumn="0" w:oddVBand="0" w:evenVBand="0" w:oddHBand="0" w:evenHBand="0" w:firstRowFirstColumn="0" w:firstRowLastColumn="0" w:lastRowFirstColumn="0" w:lastRowLastColumn="0"/>
              <w:rPr>
                <w:rFonts w:cs="Times New Roman"/>
                <w:szCs w:val="18"/>
              </w:rPr>
            </w:pPr>
            <w:r w:rsidRPr="00FB0A3A">
              <w:rPr>
                <w:rFonts w:cs="Times New Roman"/>
                <w:szCs w:val="18"/>
              </w:rPr>
              <w:t>11 318,72</w:t>
            </w:r>
          </w:p>
        </w:tc>
      </w:tr>
    </w:tbl>
    <w:p w14:paraId="551D5FC1" w14:textId="3110BC7F" w:rsidR="00294703" w:rsidRPr="00FB0A3A" w:rsidRDefault="00294703" w:rsidP="00A31747">
      <w:pPr>
        <w:pStyle w:val="afff7"/>
        <w:tabs>
          <w:tab w:val="left" w:pos="1134"/>
        </w:tabs>
      </w:pPr>
      <w:r w:rsidRPr="00FB0A3A">
        <w:t xml:space="preserve">Таблицы П1.4, П1.5, П1.6 филиала ПАО </w:t>
      </w:r>
      <w:r w:rsidR="00655FFA" w:rsidRPr="00FB0A3A">
        <w:t>«</w:t>
      </w:r>
      <w:r w:rsidRPr="00FB0A3A">
        <w:t>МРСК Северо-Запада</w:t>
      </w:r>
      <w:r w:rsidR="00655FFA" w:rsidRPr="00FB0A3A">
        <w:t>»</w:t>
      </w:r>
      <w:r w:rsidRPr="00FB0A3A">
        <w:t xml:space="preserve"> </w:t>
      </w:r>
      <w:r w:rsidR="00655FFA" w:rsidRPr="00FB0A3A">
        <w:t>«</w:t>
      </w:r>
      <w:r w:rsidRPr="00FB0A3A">
        <w:t>Колэнерго</w:t>
      </w:r>
      <w:r w:rsidR="00655FFA" w:rsidRPr="00FB0A3A">
        <w:t>»</w:t>
      </w:r>
      <w:r w:rsidRPr="00FB0A3A">
        <w:t xml:space="preserve"> сформирована по заявкам </w:t>
      </w:r>
      <w:r w:rsidR="003D22D0" w:rsidRPr="00FB0A3A">
        <w:t>потребителей.</w:t>
      </w:r>
    </w:p>
    <w:p w14:paraId="44572F2A" w14:textId="09CE2675" w:rsidR="0037492F" w:rsidRPr="00FB0A3A" w:rsidRDefault="0037492F"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lastRenderedPageBreak/>
        <w:t xml:space="preserve">В обоснование заявленной суммы расходов филиалом ПАО </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МРСК Северо-Запада</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 xml:space="preserve"> </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Колэнерго</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 xml:space="preserve"> были предоставлены следующие документы:</w:t>
      </w:r>
    </w:p>
    <w:p w14:paraId="6513DB22" w14:textId="77777777" w:rsidR="004C1258" w:rsidRPr="00FB0A3A" w:rsidRDefault="004C1258" w:rsidP="009B0BC1">
      <w:pPr>
        <w:pStyle w:val="a4"/>
        <w:numPr>
          <w:ilvl w:val="0"/>
          <w:numId w:val="20"/>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Пояснительная записка;</w:t>
      </w:r>
    </w:p>
    <w:p w14:paraId="45CA835D" w14:textId="07CDC81B" w:rsidR="004C1258" w:rsidRPr="00FB0A3A" w:rsidRDefault="004C1258" w:rsidP="009B0BC1">
      <w:pPr>
        <w:pStyle w:val="a4"/>
        <w:numPr>
          <w:ilvl w:val="0"/>
          <w:numId w:val="20"/>
        </w:numPr>
        <w:tabs>
          <w:tab w:val="left" w:pos="1134"/>
        </w:tabs>
        <w:autoSpaceDE w:val="0"/>
        <w:autoSpaceDN w:val="0"/>
        <w:adjustRightInd w:val="0"/>
        <w:spacing w:after="0" w:line="360" w:lineRule="auto"/>
        <w:ind w:left="0" w:firstLine="567"/>
        <w:jc w:val="both"/>
        <w:rPr>
          <w:rFonts w:ascii="Myriad Pro" w:hAnsi="Myriad Pro"/>
          <w:sz w:val="26"/>
          <w:szCs w:val="26"/>
        </w:rPr>
      </w:pPr>
      <w:r w:rsidRPr="00FB0A3A">
        <w:rPr>
          <w:rFonts w:ascii="Myriad Pro" w:hAnsi="Myriad Pro"/>
          <w:sz w:val="26"/>
          <w:szCs w:val="26"/>
        </w:rPr>
        <w:t>таблица 1. Определение величины и уровня потерь электроэнергии при ее передаче по электрическим сетям терри</w:t>
      </w:r>
      <w:r w:rsidR="003D22D0" w:rsidRPr="00FB0A3A">
        <w:rPr>
          <w:rFonts w:ascii="Myriad Pro" w:hAnsi="Myriad Pro"/>
          <w:sz w:val="26"/>
          <w:szCs w:val="26"/>
        </w:rPr>
        <w:t>ториальной сетевой организации;</w:t>
      </w:r>
    </w:p>
    <w:p w14:paraId="051E62BA" w14:textId="7BDA61B2" w:rsidR="004C1258" w:rsidRPr="00FB0A3A" w:rsidRDefault="004C1258" w:rsidP="009B0BC1">
      <w:pPr>
        <w:pStyle w:val="a4"/>
        <w:numPr>
          <w:ilvl w:val="0"/>
          <w:numId w:val="20"/>
        </w:numPr>
        <w:tabs>
          <w:tab w:val="left" w:pos="1134"/>
        </w:tabs>
        <w:autoSpaceDE w:val="0"/>
        <w:autoSpaceDN w:val="0"/>
        <w:adjustRightInd w:val="0"/>
        <w:spacing w:after="0" w:line="360" w:lineRule="auto"/>
        <w:ind w:left="0" w:firstLine="567"/>
        <w:jc w:val="both"/>
        <w:rPr>
          <w:rFonts w:ascii="Myriad Pro" w:hAnsi="Myriad Pro"/>
          <w:sz w:val="26"/>
          <w:szCs w:val="26"/>
        </w:rPr>
      </w:pPr>
      <w:r w:rsidRPr="00FB0A3A">
        <w:rPr>
          <w:rFonts w:ascii="Myriad Pro" w:hAnsi="Myriad Pro"/>
          <w:sz w:val="26"/>
          <w:szCs w:val="26"/>
        </w:rPr>
        <w:t>таблица 2. Определение величины и уровня потерь электроэнергии при ее передаче по электрическим сетям терр</w:t>
      </w:r>
      <w:r w:rsidR="00460EB2" w:rsidRPr="00FB0A3A">
        <w:rPr>
          <w:rFonts w:ascii="Myriad Pro" w:hAnsi="Myriad Pro"/>
          <w:sz w:val="26"/>
          <w:szCs w:val="26"/>
        </w:rPr>
        <w:t>иториальной сетевой организации;</w:t>
      </w:r>
    </w:p>
    <w:p w14:paraId="79BE282C" w14:textId="71B56ECA" w:rsidR="004C1258" w:rsidRPr="00FB0A3A" w:rsidRDefault="004C1258" w:rsidP="009B0BC1">
      <w:pPr>
        <w:pStyle w:val="a4"/>
        <w:numPr>
          <w:ilvl w:val="0"/>
          <w:numId w:val="20"/>
        </w:numPr>
        <w:tabs>
          <w:tab w:val="left" w:pos="1134"/>
        </w:tabs>
        <w:autoSpaceDE w:val="0"/>
        <w:autoSpaceDN w:val="0"/>
        <w:adjustRightInd w:val="0"/>
        <w:spacing w:after="0" w:line="360" w:lineRule="auto"/>
        <w:ind w:left="0" w:firstLine="567"/>
        <w:jc w:val="both"/>
        <w:rPr>
          <w:rFonts w:ascii="Myriad Pro" w:hAnsi="Myriad Pro"/>
          <w:sz w:val="26"/>
          <w:szCs w:val="26"/>
        </w:rPr>
      </w:pPr>
      <w:r w:rsidRPr="00FB0A3A">
        <w:rPr>
          <w:rFonts w:ascii="Myriad Pro" w:hAnsi="Myriad Pro"/>
          <w:sz w:val="26"/>
          <w:szCs w:val="26"/>
        </w:rPr>
        <w:t xml:space="preserve"> Форма 46-ЭЭ </w:t>
      </w:r>
      <w:r w:rsidR="00655FFA" w:rsidRPr="00FB0A3A">
        <w:rPr>
          <w:rFonts w:ascii="Myriad Pro" w:hAnsi="Myriad Pro"/>
          <w:sz w:val="26"/>
          <w:szCs w:val="26"/>
        </w:rPr>
        <w:t>«</w:t>
      </w:r>
      <w:r w:rsidRPr="00FB0A3A">
        <w:rPr>
          <w:rFonts w:ascii="Myriad Pro" w:hAnsi="Myriad Pro"/>
          <w:sz w:val="26"/>
          <w:szCs w:val="26"/>
        </w:rPr>
        <w:t>Сведения об отпуске (передаче) электроэнергии распределительными сетевыми организациями отдельным категориям потребителей</w:t>
      </w:r>
      <w:r w:rsidR="00655FFA" w:rsidRPr="00FB0A3A">
        <w:rPr>
          <w:rFonts w:ascii="Myriad Pro" w:hAnsi="Myriad Pro"/>
          <w:sz w:val="26"/>
          <w:szCs w:val="26"/>
        </w:rPr>
        <w:t>»</w:t>
      </w:r>
      <w:r w:rsidRPr="00FB0A3A">
        <w:rPr>
          <w:rFonts w:ascii="Myriad Pro" w:hAnsi="Myriad Pro"/>
          <w:sz w:val="26"/>
          <w:szCs w:val="26"/>
        </w:rPr>
        <w:t xml:space="preserve"> за 2017 год (годовая и за каждый месяц);</w:t>
      </w:r>
    </w:p>
    <w:p w14:paraId="0F181F71" w14:textId="008E3681" w:rsidR="004C1258" w:rsidRPr="00FB0A3A" w:rsidRDefault="004C1258" w:rsidP="009B0BC1">
      <w:pPr>
        <w:pStyle w:val="a4"/>
        <w:numPr>
          <w:ilvl w:val="0"/>
          <w:numId w:val="20"/>
        </w:numPr>
        <w:tabs>
          <w:tab w:val="left" w:pos="1134"/>
        </w:tabs>
        <w:autoSpaceDE w:val="0"/>
        <w:autoSpaceDN w:val="0"/>
        <w:adjustRightInd w:val="0"/>
        <w:spacing w:after="0" w:line="360" w:lineRule="auto"/>
        <w:ind w:left="0" w:firstLine="567"/>
        <w:jc w:val="both"/>
        <w:rPr>
          <w:rFonts w:ascii="Myriad Pro" w:hAnsi="Myriad Pro"/>
          <w:sz w:val="26"/>
          <w:szCs w:val="26"/>
        </w:rPr>
      </w:pPr>
      <w:r w:rsidRPr="00FB0A3A">
        <w:rPr>
          <w:rFonts w:ascii="Myriad Pro" w:hAnsi="Myriad Pro"/>
          <w:sz w:val="26"/>
          <w:szCs w:val="26"/>
        </w:rPr>
        <w:t>Форма статистической отчетности №23-Н</w:t>
      </w:r>
      <w:r w:rsidRPr="00FB0A3A">
        <w:rPr>
          <w:rFonts w:ascii="Myriad Pro" w:hAnsi="Myriad Pro"/>
        </w:rPr>
        <w:t xml:space="preserve"> </w:t>
      </w:r>
      <w:r w:rsidR="00655FFA" w:rsidRPr="00FB0A3A">
        <w:rPr>
          <w:rFonts w:ascii="Myriad Pro" w:hAnsi="Myriad Pro"/>
          <w:sz w:val="26"/>
          <w:szCs w:val="26"/>
        </w:rPr>
        <w:t>«</w:t>
      </w:r>
      <w:r w:rsidRPr="00FB0A3A">
        <w:rPr>
          <w:rFonts w:ascii="Myriad Pro" w:hAnsi="Myriad Pro"/>
          <w:sz w:val="26"/>
          <w:szCs w:val="26"/>
        </w:rPr>
        <w:t>Сведения о производстве, передаче, распределении и потреблении электрической энергии</w:t>
      </w:r>
      <w:r w:rsidR="00655FFA" w:rsidRPr="00FB0A3A">
        <w:rPr>
          <w:rFonts w:ascii="Myriad Pro" w:hAnsi="Myriad Pro"/>
          <w:sz w:val="26"/>
          <w:szCs w:val="26"/>
        </w:rPr>
        <w:t>»</w:t>
      </w:r>
      <w:r w:rsidRPr="00FB0A3A">
        <w:rPr>
          <w:rFonts w:ascii="Myriad Pro" w:hAnsi="Myriad Pro"/>
          <w:sz w:val="26"/>
          <w:szCs w:val="26"/>
        </w:rPr>
        <w:t xml:space="preserve"> за 2017 год;</w:t>
      </w:r>
    </w:p>
    <w:p w14:paraId="2B7AE47B" w14:textId="4DE876E6" w:rsidR="004C1258" w:rsidRPr="00FB0A3A" w:rsidRDefault="004C1258" w:rsidP="009B0BC1">
      <w:pPr>
        <w:pStyle w:val="a4"/>
        <w:numPr>
          <w:ilvl w:val="0"/>
          <w:numId w:val="20"/>
        </w:numPr>
        <w:tabs>
          <w:tab w:val="left" w:pos="1134"/>
        </w:tabs>
        <w:autoSpaceDE w:val="0"/>
        <w:autoSpaceDN w:val="0"/>
        <w:adjustRightInd w:val="0"/>
        <w:spacing w:after="0" w:line="360" w:lineRule="auto"/>
        <w:ind w:left="0" w:firstLine="567"/>
        <w:jc w:val="both"/>
        <w:rPr>
          <w:rFonts w:ascii="Myriad Pro" w:hAnsi="Myriad Pro"/>
          <w:sz w:val="26"/>
          <w:szCs w:val="26"/>
        </w:rPr>
      </w:pPr>
      <w:r w:rsidRPr="00FB0A3A">
        <w:rPr>
          <w:rFonts w:ascii="Myriad Pro" w:hAnsi="Myriad Pro"/>
          <w:sz w:val="26"/>
          <w:szCs w:val="26"/>
        </w:rPr>
        <w:t xml:space="preserve">Таблица № 1.3. </w:t>
      </w:r>
      <w:r w:rsidR="00655FFA" w:rsidRPr="00FB0A3A">
        <w:rPr>
          <w:rFonts w:ascii="Myriad Pro" w:hAnsi="Myriad Pro"/>
          <w:sz w:val="26"/>
          <w:szCs w:val="26"/>
        </w:rPr>
        <w:t>«</w:t>
      </w:r>
      <w:r w:rsidRPr="00FB0A3A">
        <w:rPr>
          <w:rFonts w:ascii="Myriad Pro" w:hAnsi="Myriad Pro"/>
          <w:sz w:val="26"/>
          <w:szCs w:val="26"/>
        </w:rPr>
        <w:t xml:space="preserve">Расчет технологического расхода электрической энергии (потерь) в электрических сетях филиала ПАО </w:t>
      </w:r>
      <w:r w:rsidR="00655FFA" w:rsidRPr="00FB0A3A">
        <w:rPr>
          <w:rFonts w:ascii="Myriad Pro" w:hAnsi="Myriad Pro"/>
          <w:sz w:val="26"/>
          <w:szCs w:val="26"/>
        </w:rPr>
        <w:t>«</w:t>
      </w:r>
      <w:r w:rsidRPr="00FB0A3A">
        <w:rPr>
          <w:rFonts w:ascii="Myriad Pro" w:hAnsi="Myriad Pro"/>
          <w:sz w:val="26"/>
          <w:szCs w:val="26"/>
        </w:rPr>
        <w:t>МРСК Северо-Запада</w:t>
      </w:r>
      <w:r w:rsidR="00655FFA" w:rsidRPr="00FB0A3A">
        <w:rPr>
          <w:rFonts w:ascii="Myriad Pro" w:hAnsi="Myriad Pro"/>
          <w:sz w:val="26"/>
          <w:szCs w:val="26"/>
        </w:rPr>
        <w:t>»</w:t>
      </w:r>
      <w:r w:rsidRPr="00FB0A3A">
        <w:rPr>
          <w:rFonts w:ascii="Myriad Pro" w:hAnsi="Myriad Pro"/>
          <w:sz w:val="26"/>
          <w:szCs w:val="26"/>
        </w:rPr>
        <w:t xml:space="preserve"> </w:t>
      </w:r>
      <w:r w:rsidR="00655FFA" w:rsidRPr="00FB0A3A">
        <w:rPr>
          <w:rFonts w:ascii="Myriad Pro" w:hAnsi="Myriad Pro"/>
          <w:sz w:val="26"/>
          <w:szCs w:val="26"/>
        </w:rPr>
        <w:t>«</w:t>
      </w:r>
      <w:r w:rsidRPr="00FB0A3A">
        <w:rPr>
          <w:rFonts w:ascii="Myriad Pro" w:hAnsi="Myriad Pro"/>
          <w:sz w:val="26"/>
          <w:szCs w:val="26"/>
        </w:rPr>
        <w:t>Колэнерго</w:t>
      </w:r>
      <w:r w:rsidR="00655FFA" w:rsidRPr="00FB0A3A">
        <w:rPr>
          <w:rFonts w:ascii="Myriad Pro" w:hAnsi="Myriad Pro"/>
          <w:sz w:val="26"/>
          <w:szCs w:val="26"/>
        </w:rPr>
        <w:t>»</w:t>
      </w:r>
      <w:r w:rsidRPr="00FB0A3A">
        <w:rPr>
          <w:rFonts w:ascii="Myriad Pro" w:hAnsi="Myriad Pro"/>
          <w:sz w:val="26"/>
          <w:szCs w:val="26"/>
        </w:rPr>
        <w:t>;</w:t>
      </w:r>
    </w:p>
    <w:p w14:paraId="249BFF87" w14:textId="65BF65AD" w:rsidR="004C1258" w:rsidRPr="00FB0A3A" w:rsidRDefault="004C1258" w:rsidP="009B0BC1">
      <w:pPr>
        <w:pStyle w:val="a4"/>
        <w:numPr>
          <w:ilvl w:val="0"/>
          <w:numId w:val="20"/>
        </w:numPr>
        <w:tabs>
          <w:tab w:val="left" w:pos="1134"/>
        </w:tabs>
        <w:spacing w:line="360" w:lineRule="auto"/>
        <w:ind w:left="0" w:firstLine="567"/>
        <w:jc w:val="both"/>
        <w:rPr>
          <w:rFonts w:ascii="Myriad Pro" w:hAnsi="Myriad Pro"/>
          <w:sz w:val="26"/>
          <w:szCs w:val="26"/>
        </w:rPr>
      </w:pPr>
      <w:r w:rsidRPr="00FB0A3A">
        <w:rPr>
          <w:rFonts w:ascii="Myriad Pro" w:hAnsi="Myriad Pro"/>
          <w:sz w:val="26"/>
          <w:szCs w:val="26"/>
        </w:rPr>
        <w:t xml:space="preserve">Таблица 1.4 </w:t>
      </w:r>
      <w:r w:rsidR="00655FFA" w:rsidRPr="00FB0A3A">
        <w:rPr>
          <w:rFonts w:ascii="Myriad Pro" w:hAnsi="Myriad Pro"/>
          <w:sz w:val="26"/>
          <w:szCs w:val="26"/>
        </w:rPr>
        <w:t>«</w:t>
      </w:r>
      <w:r w:rsidRPr="00FB0A3A">
        <w:rPr>
          <w:rFonts w:ascii="Myriad Pro" w:hAnsi="Myriad Pro"/>
          <w:sz w:val="26"/>
          <w:szCs w:val="26"/>
        </w:rPr>
        <w:t>Баланс электрической энергии по сетям ВН, СН1, СН11 и НН</w:t>
      </w:r>
      <w:r w:rsidR="00655FFA" w:rsidRPr="00FB0A3A">
        <w:rPr>
          <w:rFonts w:ascii="Myriad Pro" w:hAnsi="Myriad Pro"/>
          <w:sz w:val="26"/>
          <w:szCs w:val="26"/>
        </w:rPr>
        <w:t>»</w:t>
      </w:r>
      <w:r w:rsidRPr="00FB0A3A">
        <w:rPr>
          <w:rFonts w:ascii="Myriad Pro" w:hAnsi="Myriad Pro"/>
          <w:sz w:val="26"/>
          <w:szCs w:val="26"/>
        </w:rPr>
        <w:t xml:space="preserve"> (в формате приложений Методических указаний 20-э);</w:t>
      </w:r>
    </w:p>
    <w:p w14:paraId="0FA6A467" w14:textId="5F69B87D" w:rsidR="004C1258" w:rsidRPr="00FB0A3A" w:rsidRDefault="004C1258" w:rsidP="009B0BC1">
      <w:pPr>
        <w:pStyle w:val="a4"/>
        <w:numPr>
          <w:ilvl w:val="0"/>
          <w:numId w:val="20"/>
        </w:numPr>
        <w:tabs>
          <w:tab w:val="left" w:pos="1134"/>
        </w:tabs>
        <w:autoSpaceDE w:val="0"/>
        <w:autoSpaceDN w:val="0"/>
        <w:adjustRightInd w:val="0"/>
        <w:spacing w:after="0" w:line="360" w:lineRule="auto"/>
        <w:ind w:left="0" w:firstLine="567"/>
        <w:jc w:val="both"/>
        <w:rPr>
          <w:rFonts w:ascii="Myriad Pro" w:hAnsi="Myriad Pro"/>
          <w:sz w:val="26"/>
          <w:szCs w:val="26"/>
        </w:rPr>
      </w:pPr>
      <w:r w:rsidRPr="00FB0A3A">
        <w:rPr>
          <w:rFonts w:ascii="Myriad Pro" w:hAnsi="Myriad Pro"/>
          <w:sz w:val="26"/>
          <w:szCs w:val="26"/>
        </w:rPr>
        <w:t xml:space="preserve">Таблица 1.5 </w:t>
      </w:r>
      <w:r w:rsidR="00655FFA" w:rsidRPr="00FB0A3A">
        <w:rPr>
          <w:rFonts w:ascii="Myriad Pro" w:hAnsi="Myriad Pro"/>
          <w:sz w:val="26"/>
          <w:szCs w:val="26"/>
        </w:rPr>
        <w:t>«</w:t>
      </w:r>
      <w:r w:rsidRPr="00FB0A3A">
        <w:rPr>
          <w:rFonts w:ascii="Myriad Pro" w:hAnsi="Myriad Pro"/>
          <w:sz w:val="26"/>
          <w:szCs w:val="26"/>
        </w:rPr>
        <w:t>Электрическая мощность по диапазонам напряжения ЭСО</w:t>
      </w:r>
      <w:r w:rsidR="00655FFA" w:rsidRPr="00FB0A3A">
        <w:rPr>
          <w:rFonts w:ascii="Myriad Pro" w:hAnsi="Myriad Pro"/>
          <w:sz w:val="26"/>
          <w:szCs w:val="26"/>
        </w:rPr>
        <w:t>»</w:t>
      </w:r>
      <w:r w:rsidRPr="00FB0A3A">
        <w:rPr>
          <w:rFonts w:ascii="Myriad Pro" w:hAnsi="Myriad Pro"/>
          <w:sz w:val="26"/>
          <w:szCs w:val="26"/>
        </w:rPr>
        <w:t xml:space="preserve"> (в формате приложений Методических указаний 20-э);</w:t>
      </w:r>
    </w:p>
    <w:p w14:paraId="06FDCC67" w14:textId="34F57A97" w:rsidR="004C1258" w:rsidRPr="00FB0A3A" w:rsidRDefault="004C1258" w:rsidP="009B0BC1">
      <w:pPr>
        <w:pStyle w:val="a4"/>
        <w:numPr>
          <w:ilvl w:val="0"/>
          <w:numId w:val="20"/>
        </w:numPr>
        <w:tabs>
          <w:tab w:val="left" w:pos="1134"/>
        </w:tabs>
        <w:autoSpaceDE w:val="0"/>
        <w:autoSpaceDN w:val="0"/>
        <w:adjustRightInd w:val="0"/>
        <w:spacing w:after="0" w:line="360" w:lineRule="auto"/>
        <w:ind w:left="0" w:firstLine="567"/>
        <w:jc w:val="both"/>
        <w:rPr>
          <w:rFonts w:ascii="Myriad Pro" w:hAnsi="Myriad Pro"/>
          <w:sz w:val="26"/>
          <w:szCs w:val="26"/>
        </w:rPr>
      </w:pPr>
      <w:r w:rsidRPr="00FB0A3A">
        <w:rPr>
          <w:rFonts w:ascii="Myriad Pro" w:hAnsi="Myriad Pro"/>
          <w:sz w:val="26"/>
          <w:szCs w:val="26"/>
        </w:rPr>
        <w:t xml:space="preserve">Таблица № П 1.30 </w:t>
      </w:r>
      <w:r w:rsidR="00655FFA" w:rsidRPr="00FB0A3A">
        <w:rPr>
          <w:rFonts w:ascii="Myriad Pro" w:hAnsi="Myriad Pro"/>
          <w:sz w:val="26"/>
          <w:szCs w:val="26"/>
        </w:rPr>
        <w:t>«</w:t>
      </w:r>
      <w:r w:rsidRPr="00FB0A3A">
        <w:rPr>
          <w:rFonts w:ascii="Myriad Pro" w:hAnsi="Myriad Pro"/>
          <w:sz w:val="26"/>
          <w:szCs w:val="26"/>
        </w:rPr>
        <w:t>Отпуск (передача) электроэнергии филиала ПАО</w:t>
      </w:r>
      <w:r w:rsidR="00996030">
        <w:rPr>
          <w:rFonts w:ascii="Myriad Pro" w:hAnsi="Myriad Pro"/>
          <w:sz w:val="26"/>
          <w:szCs w:val="26"/>
        </w:rPr>
        <w:t> </w:t>
      </w:r>
      <w:r w:rsidR="00655FFA" w:rsidRPr="00FB0A3A">
        <w:rPr>
          <w:rFonts w:ascii="Myriad Pro" w:hAnsi="Myriad Pro"/>
          <w:sz w:val="26"/>
          <w:szCs w:val="26"/>
        </w:rPr>
        <w:t>«</w:t>
      </w:r>
      <w:r w:rsidRPr="00FB0A3A">
        <w:rPr>
          <w:rFonts w:ascii="Myriad Pro" w:hAnsi="Myriad Pro"/>
          <w:sz w:val="26"/>
          <w:szCs w:val="26"/>
        </w:rPr>
        <w:t>МРСК Северо-Запада</w:t>
      </w:r>
      <w:r w:rsidR="00655FFA" w:rsidRPr="00FB0A3A">
        <w:rPr>
          <w:rFonts w:ascii="Myriad Pro" w:hAnsi="Myriad Pro"/>
          <w:sz w:val="26"/>
          <w:szCs w:val="26"/>
        </w:rPr>
        <w:t>»</w:t>
      </w:r>
      <w:r w:rsidRPr="00FB0A3A">
        <w:rPr>
          <w:rFonts w:ascii="Myriad Pro" w:hAnsi="Myriad Pro"/>
          <w:sz w:val="26"/>
          <w:szCs w:val="26"/>
        </w:rPr>
        <w:t xml:space="preserve"> </w:t>
      </w:r>
      <w:r w:rsidR="00655FFA" w:rsidRPr="00FB0A3A">
        <w:rPr>
          <w:rFonts w:ascii="Myriad Pro" w:hAnsi="Myriad Pro"/>
          <w:sz w:val="26"/>
          <w:szCs w:val="26"/>
        </w:rPr>
        <w:t>«</w:t>
      </w:r>
      <w:r w:rsidRPr="00FB0A3A">
        <w:rPr>
          <w:rFonts w:ascii="Myriad Pro" w:hAnsi="Myriad Pro"/>
          <w:sz w:val="26"/>
          <w:szCs w:val="26"/>
        </w:rPr>
        <w:t>Колэнерго</w:t>
      </w:r>
      <w:r w:rsidR="00655FFA" w:rsidRPr="00FB0A3A">
        <w:rPr>
          <w:rFonts w:ascii="Myriad Pro" w:hAnsi="Myriad Pro"/>
          <w:sz w:val="26"/>
          <w:szCs w:val="26"/>
        </w:rPr>
        <w:t>»</w:t>
      </w:r>
      <w:r w:rsidRPr="00FB0A3A">
        <w:rPr>
          <w:rFonts w:ascii="Myriad Pro" w:hAnsi="Myriad Pro"/>
          <w:sz w:val="26"/>
          <w:szCs w:val="26"/>
        </w:rPr>
        <w:t xml:space="preserve"> на 2019 год (в формате приложений Методических указаний 20-э);</w:t>
      </w:r>
    </w:p>
    <w:p w14:paraId="51973BBF" w14:textId="77777777" w:rsidR="004C1258" w:rsidRPr="00FB0A3A" w:rsidRDefault="004C1258" w:rsidP="009B0BC1">
      <w:pPr>
        <w:pStyle w:val="a4"/>
        <w:numPr>
          <w:ilvl w:val="0"/>
          <w:numId w:val="20"/>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Расчет потерь электроэнергии на 2019г. по приказу Минэнерго России от 26.09.2017 №887;</w:t>
      </w:r>
    </w:p>
    <w:p w14:paraId="31DBEE4C" w14:textId="100FA4AF" w:rsidR="004C1258" w:rsidRPr="00FB0A3A" w:rsidRDefault="004C1258" w:rsidP="009B0BC1">
      <w:pPr>
        <w:pStyle w:val="a4"/>
        <w:numPr>
          <w:ilvl w:val="0"/>
          <w:numId w:val="20"/>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 xml:space="preserve">Приложение №3. </w:t>
      </w:r>
      <w:r w:rsidR="00655FFA" w:rsidRPr="00FB0A3A">
        <w:rPr>
          <w:rFonts w:ascii="Myriad Pro" w:hAnsi="Myriad Pro"/>
          <w:sz w:val="26"/>
          <w:szCs w:val="26"/>
        </w:rPr>
        <w:t>«</w:t>
      </w:r>
      <w:r w:rsidRPr="00FB0A3A">
        <w:rPr>
          <w:rFonts w:ascii="Myriad Pro" w:hAnsi="Myriad Pro"/>
          <w:sz w:val="26"/>
          <w:szCs w:val="26"/>
        </w:rPr>
        <w:t>Анализ приобретения электрической энергии и (мощности) с целью компенсации нормативных технологических потерь за 2017</w:t>
      </w:r>
      <w:r w:rsidR="00996030">
        <w:rPr>
          <w:rFonts w:ascii="Myriad Pro" w:hAnsi="Myriad Pro"/>
          <w:sz w:val="26"/>
          <w:szCs w:val="26"/>
        </w:rPr>
        <w:t> </w:t>
      </w:r>
      <w:r w:rsidRPr="00FB0A3A">
        <w:rPr>
          <w:rFonts w:ascii="Myriad Pro" w:hAnsi="Myriad Pro"/>
          <w:sz w:val="26"/>
          <w:szCs w:val="26"/>
        </w:rPr>
        <w:t>г.</w:t>
      </w:r>
      <w:r w:rsidR="00655FFA" w:rsidRPr="00FB0A3A">
        <w:rPr>
          <w:rFonts w:ascii="Myriad Pro" w:hAnsi="Myriad Pro"/>
          <w:sz w:val="26"/>
          <w:szCs w:val="26"/>
        </w:rPr>
        <w:t>»</w:t>
      </w:r>
      <w:r w:rsidRPr="00FB0A3A">
        <w:rPr>
          <w:rFonts w:ascii="Myriad Pro" w:hAnsi="Myriad Pro"/>
          <w:sz w:val="26"/>
          <w:szCs w:val="26"/>
        </w:rPr>
        <w:t>;</w:t>
      </w:r>
    </w:p>
    <w:p w14:paraId="5D51A044" w14:textId="5DCEA082" w:rsidR="004C1258" w:rsidRPr="00FB0A3A" w:rsidRDefault="004C1258" w:rsidP="009B0BC1">
      <w:pPr>
        <w:pStyle w:val="a4"/>
        <w:numPr>
          <w:ilvl w:val="0"/>
          <w:numId w:val="20"/>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 xml:space="preserve">Предложения филиала ПАО </w:t>
      </w:r>
      <w:r w:rsidR="00655FFA" w:rsidRPr="00FB0A3A">
        <w:rPr>
          <w:rFonts w:ascii="Myriad Pro" w:hAnsi="Myriad Pro"/>
          <w:sz w:val="26"/>
          <w:szCs w:val="26"/>
        </w:rPr>
        <w:t>«</w:t>
      </w:r>
      <w:r w:rsidRPr="00FB0A3A">
        <w:rPr>
          <w:rFonts w:ascii="Myriad Pro" w:hAnsi="Myriad Pro"/>
          <w:sz w:val="26"/>
          <w:szCs w:val="26"/>
        </w:rPr>
        <w:t>МРСК Северо-Запада</w:t>
      </w:r>
      <w:r w:rsidR="00655FFA" w:rsidRPr="00FB0A3A">
        <w:rPr>
          <w:rFonts w:ascii="Myriad Pro" w:hAnsi="Myriad Pro"/>
          <w:sz w:val="26"/>
          <w:szCs w:val="26"/>
        </w:rPr>
        <w:t>»</w:t>
      </w:r>
      <w:r w:rsidRPr="00FB0A3A">
        <w:rPr>
          <w:rFonts w:ascii="Myriad Pro" w:hAnsi="Myriad Pro"/>
          <w:sz w:val="26"/>
          <w:szCs w:val="26"/>
        </w:rPr>
        <w:t xml:space="preserve"> </w:t>
      </w:r>
      <w:r w:rsidR="00655FFA" w:rsidRPr="00FB0A3A">
        <w:rPr>
          <w:rFonts w:ascii="Myriad Pro" w:hAnsi="Myriad Pro"/>
          <w:sz w:val="26"/>
          <w:szCs w:val="26"/>
        </w:rPr>
        <w:t>«</w:t>
      </w:r>
      <w:r w:rsidRPr="00FB0A3A">
        <w:rPr>
          <w:rFonts w:ascii="Myriad Pro" w:hAnsi="Myriad Pro"/>
          <w:sz w:val="26"/>
          <w:szCs w:val="26"/>
        </w:rPr>
        <w:t>Колэнерго</w:t>
      </w:r>
      <w:r w:rsidR="00655FFA" w:rsidRPr="00FB0A3A">
        <w:rPr>
          <w:rFonts w:ascii="Myriad Pro" w:hAnsi="Myriad Pro"/>
          <w:sz w:val="26"/>
          <w:szCs w:val="26"/>
        </w:rPr>
        <w:t>»</w:t>
      </w:r>
      <w:r w:rsidRPr="00FB0A3A">
        <w:rPr>
          <w:rFonts w:ascii="Myriad Pro" w:hAnsi="Myriad Pro"/>
          <w:sz w:val="26"/>
          <w:szCs w:val="26"/>
        </w:rPr>
        <w:t xml:space="preserve"> по технологическому расходу электроэнергии (мощности) – потерям в электрических сетях на 2019 год (по формам 3.1 и 16);</w:t>
      </w:r>
    </w:p>
    <w:p w14:paraId="1F7E358F" w14:textId="77777777" w:rsidR="004C1258" w:rsidRPr="00FB0A3A" w:rsidRDefault="004C1258" w:rsidP="009B0BC1">
      <w:pPr>
        <w:pStyle w:val="a4"/>
        <w:numPr>
          <w:ilvl w:val="0"/>
          <w:numId w:val="20"/>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Анализ потерь за 2015-2018 гг.;</w:t>
      </w:r>
    </w:p>
    <w:p w14:paraId="47D97528" w14:textId="77777777" w:rsidR="004C1258" w:rsidRPr="00FB0A3A" w:rsidRDefault="004C1258" w:rsidP="009B0BC1">
      <w:pPr>
        <w:pStyle w:val="a4"/>
        <w:numPr>
          <w:ilvl w:val="0"/>
          <w:numId w:val="20"/>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lastRenderedPageBreak/>
        <w:t>Копии писем в ТСО о согласовании объемов потребления электрической энергии на производственно-хозяйственные нужды;</w:t>
      </w:r>
    </w:p>
    <w:p w14:paraId="7C7060EF" w14:textId="5476E3ED" w:rsidR="004C1258" w:rsidRPr="00FB0A3A" w:rsidRDefault="004C1258" w:rsidP="009B0BC1">
      <w:pPr>
        <w:pStyle w:val="a4"/>
        <w:numPr>
          <w:ilvl w:val="0"/>
          <w:numId w:val="20"/>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 xml:space="preserve">Пояснения по формированию филиалом ПАО </w:t>
      </w:r>
      <w:r w:rsidR="00655FFA" w:rsidRPr="00FB0A3A">
        <w:rPr>
          <w:rFonts w:ascii="Myriad Pro" w:hAnsi="Myriad Pro"/>
          <w:sz w:val="26"/>
          <w:szCs w:val="26"/>
        </w:rPr>
        <w:t>«</w:t>
      </w:r>
      <w:r w:rsidRPr="00FB0A3A">
        <w:rPr>
          <w:rFonts w:ascii="Myriad Pro" w:hAnsi="Myriad Pro"/>
          <w:sz w:val="26"/>
          <w:szCs w:val="26"/>
        </w:rPr>
        <w:t>МРСК Северо-Запада</w:t>
      </w:r>
      <w:r w:rsidR="00655FFA" w:rsidRPr="00FB0A3A">
        <w:rPr>
          <w:rFonts w:ascii="Myriad Pro" w:hAnsi="Myriad Pro"/>
          <w:sz w:val="26"/>
          <w:szCs w:val="26"/>
        </w:rPr>
        <w:t>»</w:t>
      </w:r>
      <w:r w:rsidRPr="00FB0A3A">
        <w:rPr>
          <w:rFonts w:ascii="Myriad Pro" w:hAnsi="Myriad Pro"/>
          <w:sz w:val="26"/>
          <w:szCs w:val="26"/>
        </w:rPr>
        <w:t xml:space="preserve"> </w:t>
      </w:r>
      <w:r w:rsidR="00655FFA" w:rsidRPr="00FB0A3A">
        <w:rPr>
          <w:rFonts w:ascii="Myriad Pro" w:hAnsi="Myriad Pro"/>
          <w:sz w:val="26"/>
          <w:szCs w:val="26"/>
        </w:rPr>
        <w:t>«</w:t>
      </w:r>
      <w:r w:rsidRPr="00FB0A3A">
        <w:rPr>
          <w:rFonts w:ascii="Myriad Pro" w:hAnsi="Myriad Pro"/>
          <w:sz w:val="26"/>
          <w:szCs w:val="26"/>
        </w:rPr>
        <w:t>Колэнерго</w:t>
      </w:r>
      <w:r w:rsidR="00655FFA" w:rsidRPr="00FB0A3A">
        <w:rPr>
          <w:rFonts w:ascii="Myriad Pro" w:hAnsi="Myriad Pro"/>
          <w:sz w:val="26"/>
          <w:szCs w:val="26"/>
        </w:rPr>
        <w:t>»</w:t>
      </w:r>
      <w:r w:rsidRPr="00FB0A3A">
        <w:rPr>
          <w:rFonts w:ascii="Myriad Pro" w:hAnsi="Myriad Pro"/>
          <w:sz w:val="26"/>
          <w:szCs w:val="26"/>
        </w:rPr>
        <w:t xml:space="preserve"> информации для формирования сводного прогнозного баланса электрической энергии (мощности) на 2019 год.</w:t>
      </w:r>
    </w:p>
    <w:p w14:paraId="0EB5F043" w14:textId="79B1CDAA" w:rsidR="0037492F" w:rsidRPr="00FB0A3A" w:rsidRDefault="00F423A2" w:rsidP="00A31747">
      <w:pPr>
        <w:pStyle w:val="a4"/>
        <w:tabs>
          <w:tab w:val="left" w:pos="1134"/>
        </w:tabs>
        <w:autoSpaceDE w:val="0"/>
        <w:autoSpaceDN w:val="0"/>
        <w:adjustRightInd w:val="0"/>
        <w:spacing w:after="0" w:line="360" w:lineRule="auto"/>
        <w:ind w:left="0" w:firstLine="567"/>
        <w:jc w:val="both"/>
        <w:rPr>
          <w:rFonts w:ascii="Myriad Pro" w:hAnsi="Myriad Pro"/>
          <w:sz w:val="26"/>
          <w:szCs w:val="26"/>
        </w:rPr>
      </w:pPr>
      <w:r w:rsidRPr="00FB0A3A">
        <w:rPr>
          <w:rFonts w:ascii="Myriad Pro" w:hAnsi="Myriad Pro"/>
          <w:sz w:val="26"/>
          <w:szCs w:val="26"/>
        </w:rPr>
        <w:t>К заявлению от 28.04.2018 №МР2/4/02/3129 были направлены дополнительные документы:</w:t>
      </w:r>
    </w:p>
    <w:p w14:paraId="37C8D177" w14:textId="0B80E251" w:rsidR="004B4193" w:rsidRPr="00FB0A3A" w:rsidRDefault="009F4357" w:rsidP="009B0BC1">
      <w:pPr>
        <w:pStyle w:val="a4"/>
        <w:numPr>
          <w:ilvl w:val="0"/>
          <w:numId w:val="20"/>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 xml:space="preserve"> </w:t>
      </w:r>
      <w:r w:rsidR="004B4193" w:rsidRPr="00FB0A3A">
        <w:rPr>
          <w:rFonts w:ascii="Myriad Pro" w:hAnsi="Myriad Pro"/>
          <w:sz w:val="26"/>
          <w:szCs w:val="26"/>
        </w:rPr>
        <w:t>Письмо от 23.05.2018 № МР2/4/07/3742 (Предложения к СПБ 2019 г. и предоставление информации);</w:t>
      </w:r>
    </w:p>
    <w:p w14:paraId="3FE48D6E" w14:textId="34AE4F0D" w:rsidR="004B4193" w:rsidRPr="00FB0A3A" w:rsidRDefault="004B4193" w:rsidP="009B0BC1">
      <w:pPr>
        <w:pStyle w:val="a4"/>
        <w:numPr>
          <w:ilvl w:val="0"/>
          <w:numId w:val="20"/>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Письмо от 14.08.2018 № МР2/4/9/6108 (Формирование СПБ на 2019 г., исполнение запроса ФАС РФ, формирование уточнений к СПБ на 2019 г.);</w:t>
      </w:r>
    </w:p>
    <w:p w14:paraId="1E1B6736" w14:textId="0EC80187" w:rsidR="004B4193" w:rsidRPr="00FB0A3A" w:rsidRDefault="004B4193" w:rsidP="009B0BC1">
      <w:pPr>
        <w:pStyle w:val="a4"/>
        <w:numPr>
          <w:ilvl w:val="0"/>
          <w:numId w:val="20"/>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 xml:space="preserve">Письмо от 16.11.2018 № МР2/4/07/9099, </w:t>
      </w:r>
      <w:r w:rsidR="005B4960" w:rsidRPr="00FB0A3A">
        <w:rPr>
          <w:rFonts w:ascii="Myriad Pro" w:hAnsi="Myriad Pro"/>
          <w:sz w:val="26"/>
          <w:szCs w:val="26"/>
        </w:rPr>
        <w:t xml:space="preserve">от 30.11.2018 </w:t>
      </w:r>
      <w:r w:rsidRPr="00FB0A3A">
        <w:rPr>
          <w:rFonts w:ascii="Myriad Pro" w:hAnsi="Myriad Pro"/>
          <w:sz w:val="26"/>
          <w:szCs w:val="26"/>
        </w:rPr>
        <w:t xml:space="preserve">№ МР2/4/07/9099 </w:t>
      </w:r>
      <w:r w:rsidR="005B4960" w:rsidRPr="00FB0A3A">
        <w:rPr>
          <w:rFonts w:ascii="Myriad Pro" w:hAnsi="Myriad Pro"/>
          <w:sz w:val="26"/>
          <w:szCs w:val="26"/>
        </w:rPr>
        <w:t>(пояснения по разночтениям в предложении к СПБ 2019 г.);</w:t>
      </w:r>
    </w:p>
    <w:p w14:paraId="03E4DB0E" w14:textId="1F6F065C" w:rsidR="001C2981" w:rsidRPr="00FB0A3A" w:rsidRDefault="005B4960" w:rsidP="009B0BC1">
      <w:pPr>
        <w:pStyle w:val="a4"/>
        <w:numPr>
          <w:ilvl w:val="0"/>
          <w:numId w:val="20"/>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 xml:space="preserve">Письмо </w:t>
      </w:r>
      <w:r w:rsidR="001C2981" w:rsidRPr="00FB0A3A">
        <w:rPr>
          <w:rFonts w:ascii="Myriad Pro" w:hAnsi="Myriad Pro"/>
          <w:sz w:val="26"/>
          <w:szCs w:val="26"/>
        </w:rPr>
        <w:t>от 11.12.2018 № МР2/4/07/9958 (Электроэнергия на производственно-хозяйственные нужды);</w:t>
      </w:r>
    </w:p>
    <w:p w14:paraId="06E448FA" w14:textId="7FEDD7F7" w:rsidR="001C2981" w:rsidRPr="00FB0A3A" w:rsidRDefault="005B4960" w:rsidP="009B0BC1">
      <w:pPr>
        <w:pStyle w:val="a4"/>
        <w:numPr>
          <w:ilvl w:val="0"/>
          <w:numId w:val="20"/>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 МР2/4/07/10122 от 14.12.2018</w:t>
      </w:r>
      <w:r w:rsidR="001C2981" w:rsidRPr="00FB0A3A">
        <w:rPr>
          <w:rFonts w:ascii="Myriad Pro" w:hAnsi="Myriad Pro"/>
          <w:sz w:val="26"/>
          <w:szCs w:val="26"/>
        </w:rPr>
        <w:t xml:space="preserve"> (Электроэнергия на производственно-хозяйственные нужды).</w:t>
      </w:r>
    </w:p>
    <w:p w14:paraId="78E01005" w14:textId="43A3F314" w:rsidR="00647C20" w:rsidRPr="00FB0A3A" w:rsidRDefault="00647C20" w:rsidP="00A31747">
      <w:pPr>
        <w:tabs>
          <w:tab w:val="left" w:pos="1134"/>
        </w:tabs>
        <w:autoSpaceDE w:val="0"/>
        <w:autoSpaceDN w:val="0"/>
        <w:adjustRightInd w:val="0"/>
        <w:spacing w:after="0" w:line="360" w:lineRule="auto"/>
        <w:ind w:firstLine="567"/>
        <w:jc w:val="both"/>
        <w:rPr>
          <w:rFonts w:ascii="Myriad Pro" w:hAnsi="Myriad Pro" w:cs="Times New Roman"/>
          <w:b/>
          <w:sz w:val="26"/>
          <w:szCs w:val="26"/>
          <w:shd w:val="clear" w:color="auto" w:fill="FFFFFF"/>
        </w:rPr>
      </w:pPr>
    </w:p>
    <w:p w14:paraId="0BA8B34D" w14:textId="06FB7C66" w:rsidR="00C8112F" w:rsidRPr="00FB0A3A" w:rsidRDefault="00C8112F" w:rsidP="00A31747">
      <w:pPr>
        <w:tabs>
          <w:tab w:val="left" w:pos="1134"/>
        </w:tabs>
        <w:autoSpaceDE w:val="0"/>
        <w:autoSpaceDN w:val="0"/>
        <w:adjustRightInd w:val="0"/>
        <w:spacing w:after="0" w:line="360" w:lineRule="auto"/>
        <w:jc w:val="both"/>
        <w:rPr>
          <w:rFonts w:ascii="Myriad Pro" w:hAnsi="Myriad Pro" w:cs="Times New Roman"/>
          <w:b/>
          <w:sz w:val="26"/>
          <w:szCs w:val="26"/>
          <w:shd w:val="clear" w:color="auto" w:fill="FFFFFF"/>
        </w:rPr>
      </w:pPr>
      <w:r w:rsidRPr="00FB0A3A">
        <w:rPr>
          <w:rFonts w:ascii="Myriad Pro" w:hAnsi="Myriad Pro" w:cs="Times New Roman"/>
          <w:b/>
          <w:sz w:val="26"/>
          <w:szCs w:val="26"/>
          <w:shd w:val="clear" w:color="auto" w:fill="FFFFFF"/>
        </w:rPr>
        <w:t>ПОЗИЦИЯ ОРГАНА РЕГУЛИРОВАНИЯ</w:t>
      </w:r>
    </w:p>
    <w:p w14:paraId="09F33A16" w14:textId="6C58AB8C" w:rsidR="007737D0" w:rsidRPr="00FB0A3A" w:rsidRDefault="007737D0" w:rsidP="00A31747">
      <w:pPr>
        <w:pStyle w:val="afff4"/>
        <w:tabs>
          <w:tab w:val="left" w:pos="1134"/>
        </w:tabs>
        <w:rPr>
          <w:lang w:val="ru-RU"/>
        </w:rPr>
      </w:pPr>
      <w:r w:rsidRPr="00FB0A3A">
        <w:rPr>
          <w:lang w:val="ru-RU"/>
        </w:rPr>
        <w:t xml:space="preserve">Производственные (балансовые) показатели Комитетом определены расчетным путем на основании выписок из сводного прогнозного баланса (СПБ) на 2019 год, предложений сбытовых организаций, данных иных сетевых организаций, согласовавших свои балансовые показатели с поставщиками (гарантирующими поставщиками и сбытовыми компаниями), а также с учетом анализа таблиц </w:t>
      </w:r>
      <w:r w:rsidR="00655FFA" w:rsidRPr="00FB0A3A">
        <w:rPr>
          <w:lang w:val="ru-RU"/>
        </w:rPr>
        <w:t>«</w:t>
      </w:r>
      <w:r w:rsidRPr="00FB0A3A">
        <w:rPr>
          <w:lang w:val="ru-RU"/>
        </w:rPr>
        <w:t>Расшифровка выручки от продаж по регулируемому виду деятельности – передача электрической энергии в разрезе применяемых тарифов для расчетов с потребителями, учтенной на отдельном счете №90</w:t>
      </w:r>
      <w:r w:rsidR="00655FFA" w:rsidRPr="00FB0A3A">
        <w:rPr>
          <w:lang w:val="ru-RU"/>
        </w:rPr>
        <w:t>»</w:t>
      </w:r>
      <w:r w:rsidRPr="00FB0A3A">
        <w:rPr>
          <w:lang w:val="ru-RU"/>
        </w:rPr>
        <w:t xml:space="preserve"> (в связи с отсутствием в материалах тарифного дела данных, согласованных со всеми организациями, с которыми Филиал ведет взаиморасчеты и осуществляет перетоки электроэнергии, что не противоречит пункту 14 Основ ценообразования):</w:t>
      </w:r>
    </w:p>
    <w:tbl>
      <w:tblPr>
        <w:tblStyle w:val="afff6"/>
        <w:tblW w:w="5000" w:type="pct"/>
        <w:tblLook w:val="04A0" w:firstRow="1" w:lastRow="0" w:firstColumn="1" w:lastColumn="0" w:noHBand="0" w:noVBand="1"/>
      </w:tblPr>
      <w:tblGrid>
        <w:gridCol w:w="1379"/>
        <w:gridCol w:w="1617"/>
        <w:gridCol w:w="1209"/>
        <w:gridCol w:w="1280"/>
        <w:gridCol w:w="1280"/>
        <w:gridCol w:w="1280"/>
        <w:gridCol w:w="1299"/>
      </w:tblGrid>
      <w:tr w:rsidR="001627C5" w:rsidRPr="00FB0A3A" w14:paraId="78542952" w14:textId="77777777" w:rsidTr="00DE3D46">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7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1D3633AC" w14:textId="58A0236B" w:rsidR="007737D0" w:rsidRPr="00FB0A3A" w:rsidRDefault="00981F0E" w:rsidP="00A31747">
            <w:pPr>
              <w:tabs>
                <w:tab w:val="left" w:pos="1134"/>
              </w:tabs>
              <w:jc w:val="center"/>
              <w:rPr>
                <w:rFonts w:cs="Times New Roman"/>
              </w:rPr>
            </w:pPr>
            <w:r w:rsidRPr="00FB0A3A">
              <w:rPr>
                <w:rFonts w:cs="Times New Roman"/>
              </w:rPr>
              <w:lastRenderedPageBreak/>
              <w:t>Р</w:t>
            </w:r>
            <w:r w:rsidR="007737D0" w:rsidRPr="00FB0A3A">
              <w:rPr>
                <w:rFonts w:cs="Times New Roman"/>
              </w:rPr>
              <w:t>азрядность</w:t>
            </w:r>
          </w:p>
        </w:tc>
        <w:tc>
          <w:tcPr>
            <w:tcW w:w="8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436914F7" w14:textId="5123447C" w:rsidR="007737D0" w:rsidRPr="00FB0A3A" w:rsidRDefault="00981F0E" w:rsidP="00A31747">
            <w:pPr>
              <w:tabs>
                <w:tab w:val="left" w:pos="1134"/>
              </w:tabs>
              <w:cnfStyle w:val="100000000000" w:firstRow="1" w:lastRow="0" w:firstColumn="0" w:lastColumn="0" w:oddVBand="0" w:evenVBand="0" w:oddHBand="0" w:evenHBand="0" w:firstRowFirstColumn="0" w:firstRowLastColumn="0" w:lastRowFirstColumn="0" w:lastRowLastColumn="0"/>
              <w:rPr>
                <w:rFonts w:cs="Times New Roman"/>
              </w:rPr>
            </w:pPr>
            <w:r w:rsidRPr="00FB0A3A">
              <w:rPr>
                <w:rFonts w:cs="Times New Roman"/>
              </w:rPr>
              <w:t>П</w:t>
            </w:r>
            <w:r w:rsidR="007737D0" w:rsidRPr="00FB0A3A">
              <w:rPr>
                <w:rFonts w:cs="Times New Roman"/>
              </w:rPr>
              <w:t>ериод</w:t>
            </w:r>
          </w:p>
        </w:tc>
        <w:tc>
          <w:tcPr>
            <w:tcW w:w="6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31562C83" w14:textId="77777777" w:rsidR="007737D0" w:rsidRPr="00FB0A3A" w:rsidRDefault="007737D0" w:rsidP="00A31747">
            <w:pPr>
              <w:tabs>
                <w:tab w:val="left" w:pos="1134"/>
              </w:tabs>
              <w:cnfStyle w:val="100000000000" w:firstRow="1" w:lastRow="0" w:firstColumn="0" w:lastColumn="0" w:oddVBand="0" w:evenVBand="0" w:oddHBand="0" w:evenHBand="0" w:firstRowFirstColumn="0" w:firstRowLastColumn="0" w:lastRowFirstColumn="0" w:lastRowLastColumn="0"/>
              <w:rPr>
                <w:rFonts w:cs="Times New Roman"/>
              </w:rPr>
            </w:pPr>
            <w:r w:rsidRPr="00FB0A3A">
              <w:rPr>
                <w:rFonts w:cs="Times New Roman"/>
              </w:rPr>
              <w:t>Всего</w:t>
            </w:r>
          </w:p>
        </w:tc>
        <w:tc>
          <w:tcPr>
            <w:tcW w:w="6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51F65CD4" w14:textId="77777777" w:rsidR="007737D0" w:rsidRPr="00FB0A3A" w:rsidRDefault="007737D0" w:rsidP="00A31747">
            <w:pPr>
              <w:tabs>
                <w:tab w:val="left" w:pos="1134"/>
              </w:tabs>
              <w:cnfStyle w:val="100000000000" w:firstRow="1" w:lastRow="0" w:firstColumn="0" w:lastColumn="0" w:oddVBand="0" w:evenVBand="0" w:oddHBand="0" w:evenHBand="0" w:firstRowFirstColumn="0" w:firstRowLastColumn="0" w:lastRowFirstColumn="0" w:lastRowLastColumn="0"/>
              <w:rPr>
                <w:rFonts w:cs="Times New Roman"/>
              </w:rPr>
            </w:pPr>
            <w:r w:rsidRPr="00FB0A3A">
              <w:rPr>
                <w:rFonts w:cs="Times New Roman"/>
              </w:rPr>
              <w:t>ВН</w:t>
            </w:r>
          </w:p>
        </w:tc>
        <w:tc>
          <w:tcPr>
            <w:tcW w:w="6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7354168A" w14:textId="77777777" w:rsidR="007737D0" w:rsidRPr="00FB0A3A" w:rsidRDefault="007737D0" w:rsidP="00A31747">
            <w:pPr>
              <w:tabs>
                <w:tab w:val="left" w:pos="1134"/>
              </w:tabs>
              <w:cnfStyle w:val="100000000000" w:firstRow="1" w:lastRow="0" w:firstColumn="0" w:lastColumn="0" w:oddVBand="0" w:evenVBand="0" w:oddHBand="0" w:evenHBand="0" w:firstRowFirstColumn="0" w:firstRowLastColumn="0" w:lastRowFirstColumn="0" w:lastRowLastColumn="0"/>
              <w:rPr>
                <w:rFonts w:cs="Times New Roman"/>
              </w:rPr>
            </w:pPr>
            <w:r w:rsidRPr="00FB0A3A">
              <w:rPr>
                <w:rFonts w:cs="Times New Roman"/>
              </w:rPr>
              <w:t>СН1</w:t>
            </w:r>
          </w:p>
        </w:tc>
        <w:tc>
          <w:tcPr>
            <w:tcW w:w="6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7BF1B10D" w14:textId="77777777" w:rsidR="007737D0" w:rsidRPr="00FB0A3A" w:rsidRDefault="007737D0" w:rsidP="00A31747">
            <w:pPr>
              <w:tabs>
                <w:tab w:val="left" w:pos="1134"/>
              </w:tabs>
              <w:cnfStyle w:val="100000000000" w:firstRow="1" w:lastRow="0" w:firstColumn="0" w:lastColumn="0" w:oddVBand="0" w:evenVBand="0" w:oddHBand="0" w:evenHBand="0" w:firstRowFirstColumn="0" w:firstRowLastColumn="0" w:lastRowFirstColumn="0" w:lastRowLastColumn="0"/>
              <w:rPr>
                <w:rFonts w:cs="Times New Roman"/>
              </w:rPr>
            </w:pPr>
            <w:r w:rsidRPr="00FB0A3A">
              <w:rPr>
                <w:rFonts w:cs="Times New Roman"/>
              </w:rPr>
              <w:t>СН2</w:t>
            </w:r>
          </w:p>
        </w:tc>
        <w:tc>
          <w:tcPr>
            <w:tcW w:w="6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022248EC" w14:textId="77777777" w:rsidR="007737D0" w:rsidRPr="00FB0A3A" w:rsidRDefault="007737D0" w:rsidP="00A31747">
            <w:pPr>
              <w:tabs>
                <w:tab w:val="left" w:pos="1134"/>
              </w:tabs>
              <w:cnfStyle w:val="100000000000" w:firstRow="1" w:lastRow="0" w:firstColumn="0" w:lastColumn="0" w:oddVBand="0" w:evenVBand="0" w:oddHBand="0" w:evenHBand="0" w:firstRowFirstColumn="0" w:firstRowLastColumn="0" w:lastRowFirstColumn="0" w:lastRowLastColumn="0"/>
              <w:rPr>
                <w:rFonts w:cs="Times New Roman"/>
              </w:rPr>
            </w:pPr>
            <w:r w:rsidRPr="00FB0A3A">
              <w:rPr>
                <w:rFonts w:cs="Times New Roman"/>
              </w:rPr>
              <w:t>НН</w:t>
            </w:r>
          </w:p>
        </w:tc>
      </w:tr>
      <w:tr w:rsidR="007737D0" w:rsidRPr="00FB0A3A" w14:paraId="04638206" w14:textId="77777777" w:rsidTr="00DE3D46">
        <w:trPr>
          <w:trHeight w:val="280"/>
        </w:trPr>
        <w:tc>
          <w:tcPr>
            <w:cnfStyle w:val="001000000000" w:firstRow="0" w:lastRow="0" w:firstColumn="1" w:lastColumn="0" w:oddVBand="0" w:evenVBand="0" w:oddHBand="0" w:evenHBand="0" w:firstRowFirstColumn="0" w:firstRowLastColumn="0" w:lastRowFirstColumn="0" w:lastRowLastColumn="0"/>
            <w:tcW w:w="738" w:type="pct"/>
            <w:tcBorders>
              <w:top w:val="single" w:sz="4" w:space="0" w:color="FFFFFF" w:themeColor="background1"/>
            </w:tcBorders>
            <w:noWrap/>
            <w:hideMark/>
          </w:tcPr>
          <w:p w14:paraId="4FC239B5" w14:textId="77777777" w:rsidR="007737D0" w:rsidRPr="00FB0A3A" w:rsidRDefault="007737D0" w:rsidP="00A31747">
            <w:pPr>
              <w:tabs>
                <w:tab w:val="left" w:pos="1134"/>
              </w:tabs>
              <w:rPr>
                <w:rFonts w:cs="Times New Roman"/>
              </w:rPr>
            </w:pPr>
            <w:r w:rsidRPr="00FB0A3A">
              <w:rPr>
                <w:rFonts w:cs="Times New Roman"/>
              </w:rPr>
              <w:t>млн. кВт*ч</w:t>
            </w:r>
          </w:p>
        </w:tc>
        <w:tc>
          <w:tcPr>
            <w:tcW w:w="865" w:type="pct"/>
            <w:vMerge w:val="restart"/>
            <w:tcBorders>
              <w:top w:val="single" w:sz="4" w:space="0" w:color="FFFFFF" w:themeColor="background1"/>
            </w:tcBorders>
            <w:noWrap/>
            <w:hideMark/>
          </w:tcPr>
          <w:p w14:paraId="692CBC87" w14:textId="77777777" w:rsidR="007737D0" w:rsidRPr="00FB0A3A" w:rsidRDefault="007737D0"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rPr>
            </w:pPr>
            <w:r w:rsidRPr="00FB0A3A">
              <w:rPr>
                <w:rFonts w:cs="Times New Roman"/>
              </w:rPr>
              <w:t>1 полугодие</w:t>
            </w:r>
          </w:p>
        </w:tc>
        <w:tc>
          <w:tcPr>
            <w:tcW w:w="647" w:type="pct"/>
            <w:tcBorders>
              <w:top w:val="single" w:sz="4" w:space="0" w:color="FFFFFF" w:themeColor="background1"/>
            </w:tcBorders>
            <w:noWrap/>
            <w:hideMark/>
          </w:tcPr>
          <w:p w14:paraId="744976D5" w14:textId="245A1092" w:rsidR="007737D0" w:rsidRPr="00FB0A3A" w:rsidRDefault="007737D0"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rPr>
            </w:pPr>
            <w:r w:rsidRPr="00FB0A3A">
              <w:rPr>
                <w:rFonts w:cs="Times New Roman"/>
              </w:rPr>
              <w:t>5</w:t>
            </w:r>
            <w:r w:rsidR="00ED2EA8" w:rsidRPr="00FB0A3A">
              <w:rPr>
                <w:rFonts w:cs="Times New Roman"/>
              </w:rPr>
              <w:t xml:space="preserve"> </w:t>
            </w:r>
            <w:r w:rsidRPr="00FB0A3A">
              <w:rPr>
                <w:rFonts w:cs="Times New Roman"/>
              </w:rPr>
              <w:t>122,32</w:t>
            </w:r>
          </w:p>
        </w:tc>
        <w:tc>
          <w:tcPr>
            <w:tcW w:w="685" w:type="pct"/>
            <w:tcBorders>
              <w:top w:val="single" w:sz="4" w:space="0" w:color="FFFFFF" w:themeColor="background1"/>
            </w:tcBorders>
            <w:noWrap/>
            <w:hideMark/>
          </w:tcPr>
          <w:p w14:paraId="4160C9E2" w14:textId="0D72A082" w:rsidR="007737D0" w:rsidRPr="00FB0A3A" w:rsidRDefault="007737D0"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rPr>
            </w:pPr>
            <w:r w:rsidRPr="00FB0A3A">
              <w:rPr>
                <w:rFonts w:cs="Times New Roman"/>
              </w:rPr>
              <w:t>3</w:t>
            </w:r>
            <w:r w:rsidR="00ED2EA8" w:rsidRPr="00FB0A3A">
              <w:rPr>
                <w:rFonts w:cs="Times New Roman"/>
              </w:rPr>
              <w:t xml:space="preserve"> </w:t>
            </w:r>
            <w:r w:rsidRPr="00FB0A3A">
              <w:rPr>
                <w:rFonts w:cs="Times New Roman"/>
              </w:rPr>
              <w:t>502,33</w:t>
            </w:r>
          </w:p>
        </w:tc>
        <w:tc>
          <w:tcPr>
            <w:tcW w:w="685" w:type="pct"/>
            <w:tcBorders>
              <w:top w:val="single" w:sz="4" w:space="0" w:color="FFFFFF" w:themeColor="background1"/>
            </w:tcBorders>
            <w:noWrap/>
            <w:hideMark/>
          </w:tcPr>
          <w:p w14:paraId="392DAA5C" w14:textId="77777777" w:rsidR="007737D0" w:rsidRPr="00FB0A3A" w:rsidRDefault="007737D0"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rPr>
            </w:pPr>
            <w:r w:rsidRPr="00FB0A3A">
              <w:rPr>
                <w:rFonts w:cs="Times New Roman"/>
              </w:rPr>
              <w:t>197,91</w:t>
            </w:r>
          </w:p>
        </w:tc>
        <w:tc>
          <w:tcPr>
            <w:tcW w:w="685" w:type="pct"/>
            <w:tcBorders>
              <w:top w:val="single" w:sz="4" w:space="0" w:color="FFFFFF" w:themeColor="background1"/>
            </w:tcBorders>
            <w:noWrap/>
            <w:hideMark/>
          </w:tcPr>
          <w:p w14:paraId="27ED5B4C" w14:textId="77777777" w:rsidR="007737D0" w:rsidRPr="00FB0A3A" w:rsidRDefault="007737D0"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rPr>
            </w:pPr>
            <w:r w:rsidRPr="00FB0A3A">
              <w:rPr>
                <w:rFonts w:cs="Times New Roman"/>
              </w:rPr>
              <w:t>577,03</w:t>
            </w:r>
          </w:p>
        </w:tc>
        <w:tc>
          <w:tcPr>
            <w:tcW w:w="696" w:type="pct"/>
            <w:tcBorders>
              <w:top w:val="single" w:sz="4" w:space="0" w:color="FFFFFF" w:themeColor="background1"/>
            </w:tcBorders>
            <w:noWrap/>
            <w:hideMark/>
          </w:tcPr>
          <w:p w14:paraId="57D43E36" w14:textId="77777777" w:rsidR="007737D0" w:rsidRPr="00FB0A3A" w:rsidRDefault="007737D0"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rPr>
            </w:pPr>
            <w:r w:rsidRPr="00FB0A3A">
              <w:rPr>
                <w:rFonts w:cs="Times New Roman"/>
              </w:rPr>
              <w:t>845,05</w:t>
            </w:r>
          </w:p>
        </w:tc>
      </w:tr>
      <w:tr w:rsidR="007737D0" w:rsidRPr="00FB0A3A" w14:paraId="4F7A2C9C" w14:textId="77777777" w:rsidTr="00981F0E">
        <w:trPr>
          <w:trHeight w:val="280"/>
        </w:trPr>
        <w:tc>
          <w:tcPr>
            <w:cnfStyle w:val="001000000000" w:firstRow="0" w:lastRow="0" w:firstColumn="1" w:lastColumn="0" w:oddVBand="0" w:evenVBand="0" w:oddHBand="0" w:evenHBand="0" w:firstRowFirstColumn="0" w:firstRowLastColumn="0" w:lastRowFirstColumn="0" w:lastRowLastColumn="0"/>
            <w:tcW w:w="738" w:type="pct"/>
            <w:noWrap/>
            <w:hideMark/>
          </w:tcPr>
          <w:p w14:paraId="787FE2F0" w14:textId="77777777" w:rsidR="007737D0" w:rsidRPr="00FB0A3A" w:rsidRDefault="007737D0" w:rsidP="00A31747">
            <w:pPr>
              <w:tabs>
                <w:tab w:val="left" w:pos="1134"/>
              </w:tabs>
              <w:rPr>
                <w:rFonts w:cs="Times New Roman"/>
              </w:rPr>
            </w:pPr>
            <w:r w:rsidRPr="00FB0A3A">
              <w:rPr>
                <w:rFonts w:cs="Times New Roman"/>
              </w:rPr>
              <w:t>МВт</w:t>
            </w:r>
          </w:p>
        </w:tc>
        <w:tc>
          <w:tcPr>
            <w:tcW w:w="865" w:type="pct"/>
            <w:vMerge/>
            <w:hideMark/>
          </w:tcPr>
          <w:p w14:paraId="5D320B52" w14:textId="77777777" w:rsidR="007737D0" w:rsidRPr="00FB0A3A" w:rsidRDefault="007737D0"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rPr>
            </w:pPr>
          </w:p>
        </w:tc>
        <w:tc>
          <w:tcPr>
            <w:tcW w:w="647" w:type="pct"/>
            <w:noWrap/>
            <w:hideMark/>
          </w:tcPr>
          <w:p w14:paraId="63E925A0" w14:textId="177D0905" w:rsidR="007737D0" w:rsidRPr="00FB0A3A" w:rsidRDefault="007737D0"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rPr>
            </w:pPr>
            <w:r w:rsidRPr="00FB0A3A">
              <w:rPr>
                <w:rFonts w:cs="Times New Roman"/>
              </w:rPr>
              <w:t>1</w:t>
            </w:r>
            <w:r w:rsidR="00ED2EA8" w:rsidRPr="00FB0A3A">
              <w:rPr>
                <w:rFonts w:cs="Times New Roman"/>
              </w:rPr>
              <w:t xml:space="preserve"> </w:t>
            </w:r>
            <w:r w:rsidRPr="00FB0A3A">
              <w:rPr>
                <w:rFonts w:cs="Times New Roman"/>
              </w:rPr>
              <w:t>515,99</w:t>
            </w:r>
          </w:p>
        </w:tc>
        <w:tc>
          <w:tcPr>
            <w:tcW w:w="685" w:type="pct"/>
            <w:noWrap/>
            <w:hideMark/>
          </w:tcPr>
          <w:p w14:paraId="025546FE" w14:textId="77777777" w:rsidR="007737D0" w:rsidRPr="00FB0A3A" w:rsidRDefault="007737D0"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rPr>
            </w:pPr>
            <w:r w:rsidRPr="00FB0A3A">
              <w:rPr>
                <w:rFonts w:cs="Times New Roman"/>
              </w:rPr>
              <w:t>943,18</w:t>
            </w:r>
          </w:p>
        </w:tc>
        <w:tc>
          <w:tcPr>
            <w:tcW w:w="685" w:type="pct"/>
            <w:noWrap/>
            <w:hideMark/>
          </w:tcPr>
          <w:p w14:paraId="1C9125EA" w14:textId="77777777" w:rsidR="007737D0" w:rsidRPr="00FB0A3A" w:rsidRDefault="007737D0"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rPr>
            </w:pPr>
            <w:r w:rsidRPr="00FB0A3A">
              <w:rPr>
                <w:rFonts w:cs="Times New Roman"/>
              </w:rPr>
              <w:t>52,73</w:t>
            </w:r>
          </w:p>
        </w:tc>
        <w:tc>
          <w:tcPr>
            <w:tcW w:w="685" w:type="pct"/>
            <w:noWrap/>
            <w:hideMark/>
          </w:tcPr>
          <w:p w14:paraId="076838DD" w14:textId="77777777" w:rsidR="007737D0" w:rsidRPr="00FB0A3A" w:rsidRDefault="007737D0"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rPr>
            </w:pPr>
            <w:r w:rsidRPr="00FB0A3A">
              <w:rPr>
                <w:rFonts w:cs="Times New Roman"/>
              </w:rPr>
              <w:t>220</w:t>
            </w:r>
          </w:p>
        </w:tc>
        <w:tc>
          <w:tcPr>
            <w:tcW w:w="696" w:type="pct"/>
            <w:noWrap/>
            <w:hideMark/>
          </w:tcPr>
          <w:p w14:paraId="445A18E7" w14:textId="77777777" w:rsidR="007737D0" w:rsidRPr="00FB0A3A" w:rsidRDefault="007737D0"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rPr>
            </w:pPr>
            <w:r w:rsidRPr="00FB0A3A">
              <w:rPr>
                <w:rFonts w:cs="Times New Roman"/>
              </w:rPr>
              <w:t>300,08</w:t>
            </w:r>
          </w:p>
        </w:tc>
      </w:tr>
      <w:tr w:rsidR="007737D0" w:rsidRPr="00FB0A3A" w14:paraId="1B62CA13" w14:textId="77777777" w:rsidTr="00981F0E">
        <w:trPr>
          <w:trHeight w:val="280"/>
        </w:trPr>
        <w:tc>
          <w:tcPr>
            <w:cnfStyle w:val="001000000000" w:firstRow="0" w:lastRow="0" w:firstColumn="1" w:lastColumn="0" w:oddVBand="0" w:evenVBand="0" w:oddHBand="0" w:evenHBand="0" w:firstRowFirstColumn="0" w:firstRowLastColumn="0" w:lastRowFirstColumn="0" w:lastRowLastColumn="0"/>
            <w:tcW w:w="738" w:type="pct"/>
            <w:noWrap/>
            <w:hideMark/>
          </w:tcPr>
          <w:p w14:paraId="1D0E3C95" w14:textId="77777777" w:rsidR="007737D0" w:rsidRPr="00FB0A3A" w:rsidRDefault="007737D0" w:rsidP="00A31747">
            <w:pPr>
              <w:tabs>
                <w:tab w:val="left" w:pos="1134"/>
              </w:tabs>
              <w:rPr>
                <w:rFonts w:cs="Times New Roman"/>
              </w:rPr>
            </w:pPr>
            <w:r w:rsidRPr="00FB0A3A">
              <w:rPr>
                <w:rFonts w:cs="Times New Roman"/>
              </w:rPr>
              <w:t>млн. кВт*ч</w:t>
            </w:r>
          </w:p>
        </w:tc>
        <w:tc>
          <w:tcPr>
            <w:tcW w:w="865" w:type="pct"/>
            <w:vMerge w:val="restart"/>
            <w:noWrap/>
            <w:hideMark/>
          </w:tcPr>
          <w:p w14:paraId="4636E6C9" w14:textId="77777777" w:rsidR="007737D0" w:rsidRPr="00FB0A3A" w:rsidRDefault="007737D0"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rPr>
            </w:pPr>
            <w:r w:rsidRPr="00FB0A3A">
              <w:rPr>
                <w:rFonts w:cs="Times New Roman"/>
              </w:rPr>
              <w:t>2 полугодие</w:t>
            </w:r>
          </w:p>
        </w:tc>
        <w:tc>
          <w:tcPr>
            <w:tcW w:w="647" w:type="pct"/>
            <w:noWrap/>
            <w:hideMark/>
          </w:tcPr>
          <w:p w14:paraId="434091E0" w14:textId="2E058078" w:rsidR="007737D0" w:rsidRPr="00FB0A3A" w:rsidRDefault="007737D0"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rPr>
            </w:pPr>
            <w:r w:rsidRPr="00FB0A3A">
              <w:rPr>
                <w:rFonts w:cs="Times New Roman"/>
              </w:rPr>
              <w:t>4</w:t>
            </w:r>
            <w:r w:rsidR="00ED2EA8" w:rsidRPr="00FB0A3A">
              <w:rPr>
                <w:rFonts w:cs="Times New Roman"/>
              </w:rPr>
              <w:t xml:space="preserve"> </w:t>
            </w:r>
            <w:r w:rsidRPr="00FB0A3A">
              <w:rPr>
                <w:rFonts w:cs="Times New Roman"/>
              </w:rPr>
              <w:t>849,72</w:t>
            </w:r>
          </w:p>
        </w:tc>
        <w:tc>
          <w:tcPr>
            <w:tcW w:w="685" w:type="pct"/>
            <w:noWrap/>
            <w:hideMark/>
          </w:tcPr>
          <w:p w14:paraId="1F290496" w14:textId="1BFA9A9D" w:rsidR="007737D0" w:rsidRPr="00FB0A3A" w:rsidRDefault="007737D0"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rPr>
            </w:pPr>
            <w:r w:rsidRPr="00FB0A3A">
              <w:rPr>
                <w:rFonts w:cs="Times New Roman"/>
              </w:rPr>
              <w:t>3</w:t>
            </w:r>
            <w:r w:rsidR="00ED2EA8" w:rsidRPr="00FB0A3A">
              <w:rPr>
                <w:rFonts w:cs="Times New Roman"/>
              </w:rPr>
              <w:t xml:space="preserve"> </w:t>
            </w:r>
            <w:r w:rsidRPr="00FB0A3A">
              <w:rPr>
                <w:rFonts w:cs="Times New Roman"/>
              </w:rPr>
              <w:t>413,83</w:t>
            </w:r>
          </w:p>
        </w:tc>
        <w:tc>
          <w:tcPr>
            <w:tcW w:w="685" w:type="pct"/>
            <w:noWrap/>
            <w:hideMark/>
          </w:tcPr>
          <w:p w14:paraId="03A1A98A" w14:textId="77777777" w:rsidR="007737D0" w:rsidRPr="00FB0A3A" w:rsidRDefault="007737D0"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rPr>
            </w:pPr>
            <w:r w:rsidRPr="00FB0A3A">
              <w:rPr>
                <w:rFonts w:cs="Times New Roman"/>
              </w:rPr>
              <w:t>168,75</w:t>
            </w:r>
          </w:p>
        </w:tc>
        <w:tc>
          <w:tcPr>
            <w:tcW w:w="685" w:type="pct"/>
            <w:noWrap/>
            <w:hideMark/>
          </w:tcPr>
          <w:p w14:paraId="6BF1CBB4" w14:textId="77777777" w:rsidR="007737D0" w:rsidRPr="00FB0A3A" w:rsidRDefault="007737D0"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rPr>
            </w:pPr>
            <w:r w:rsidRPr="00FB0A3A">
              <w:rPr>
                <w:rFonts w:cs="Times New Roman"/>
              </w:rPr>
              <w:t>479,27</w:t>
            </w:r>
          </w:p>
        </w:tc>
        <w:tc>
          <w:tcPr>
            <w:tcW w:w="696" w:type="pct"/>
            <w:noWrap/>
            <w:hideMark/>
          </w:tcPr>
          <w:p w14:paraId="3620978D" w14:textId="77777777" w:rsidR="007737D0" w:rsidRPr="00FB0A3A" w:rsidRDefault="007737D0"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rPr>
            </w:pPr>
            <w:r w:rsidRPr="00FB0A3A">
              <w:rPr>
                <w:rFonts w:cs="Times New Roman"/>
              </w:rPr>
              <w:t>787,87</w:t>
            </w:r>
          </w:p>
        </w:tc>
      </w:tr>
      <w:tr w:rsidR="007737D0" w:rsidRPr="00FB0A3A" w14:paraId="2D5144D6" w14:textId="77777777" w:rsidTr="00981F0E">
        <w:trPr>
          <w:trHeight w:val="280"/>
        </w:trPr>
        <w:tc>
          <w:tcPr>
            <w:cnfStyle w:val="001000000000" w:firstRow="0" w:lastRow="0" w:firstColumn="1" w:lastColumn="0" w:oddVBand="0" w:evenVBand="0" w:oddHBand="0" w:evenHBand="0" w:firstRowFirstColumn="0" w:firstRowLastColumn="0" w:lastRowFirstColumn="0" w:lastRowLastColumn="0"/>
            <w:tcW w:w="738" w:type="pct"/>
            <w:noWrap/>
            <w:hideMark/>
          </w:tcPr>
          <w:p w14:paraId="37EF0A2D" w14:textId="77777777" w:rsidR="007737D0" w:rsidRPr="00FB0A3A" w:rsidRDefault="007737D0" w:rsidP="00A31747">
            <w:pPr>
              <w:tabs>
                <w:tab w:val="left" w:pos="1134"/>
              </w:tabs>
              <w:rPr>
                <w:rFonts w:cs="Times New Roman"/>
              </w:rPr>
            </w:pPr>
            <w:r w:rsidRPr="00FB0A3A">
              <w:rPr>
                <w:rFonts w:cs="Times New Roman"/>
              </w:rPr>
              <w:t>МВт</w:t>
            </w:r>
          </w:p>
        </w:tc>
        <w:tc>
          <w:tcPr>
            <w:tcW w:w="865" w:type="pct"/>
            <w:vMerge/>
            <w:hideMark/>
          </w:tcPr>
          <w:p w14:paraId="686640EE" w14:textId="77777777" w:rsidR="007737D0" w:rsidRPr="00FB0A3A" w:rsidRDefault="007737D0"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rPr>
            </w:pPr>
          </w:p>
        </w:tc>
        <w:tc>
          <w:tcPr>
            <w:tcW w:w="647" w:type="pct"/>
            <w:noWrap/>
            <w:hideMark/>
          </w:tcPr>
          <w:p w14:paraId="35D5C979" w14:textId="351A1829" w:rsidR="007737D0" w:rsidRPr="00FB0A3A" w:rsidRDefault="007737D0"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rPr>
            </w:pPr>
            <w:r w:rsidRPr="00FB0A3A">
              <w:rPr>
                <w:rFonts w:cs="Times New Roman"/>
              </w:rPr>
              <w:t>1</w:t>
            </w:r>
            <w:r w:rsidR="00ED2EA8" w:rsidRPr="00FB0A3A">
              <w:rPr>
                <w:rFonts w:cs="Times New Roman"/>
              </w:rPr>
              <w:t xml:space="preserve"> </w:t>
            </w:r>
            <w:r w:rsidRPr="00FB0A3A">
              <w:rPr>
                <w:rFonts w:cs="Times New Roman"/>
              </w:rPr>
              <w:t>497,05</w:t>
            </w:r>
          </w:p>
        </w:tc>
        <w:tc>
          <w:tcPr>
            <w:tcW w:w="685" w:type="pct"/>
            <w:noWrap/>
            <w:hideMark/>
          </w:tcPr>
          <w:p w14:paraId="659EE6B8" w14:textId="77777777" w:rsidR="007737D0" w:rsidRPr="00FB0A3A" w:rsidRDefault="007737D0"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rPr>
            </w:pPr>
            <w:r w:rsidRPr="00FB0A3A">
              <w:rPr>
                <w:rFonts w:cs="Times New Roman"/>
              </w:rPr>
              <w:t>941,08</w:t>
            </w:r>
          </w:p>
        </w:tc>
        <w:tc>
          <w:tcPr>
            <w:tcW w:w="685" w:type="pct"/>
            <w:noWrap/>
            <w:hideMark/>
          </w:tcPr>
          <w:p w14:paraId="1C0610CA" w14:textId="77777777" w:rsidR="007737D0" w:rsidRPr="00FB0A3A" w:rsidRDefault="007737D0"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rPr>
            </w:pPr>
            <w:r w:rsidRPr="00FB0A3A">
              <w:rPr>
                <w:rFonts w:cs="Times New Roman"/>
              </w:rPr>
              <w:t>57,94</w:t>
            </w:r>
          </w:p>
        </w:tc>
        <w:tc>
          <w:tcPr>
            <w:tcW w:w="685" w:type="pct"/>
            <w:noWrap/>
            <w:hideMark/>
          </w:tcPr>
          <w:p w14:paraId="2FBED719" w14:textId="77777777" w:rsidR="007737D0" w:rsidRPr="00FB0A3A" w:rsidRDefault="007737D0"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rPr>
            </w:pPr>
            <w:r w:rsidRPr="00FB0A3A">
              <w:rPr>
                <w:rFonts w:cs="Times New Roman"/>
              </w:rPr>
              <w:t>205,4</w:t>
            </w:r>
          </w:p>
        </w:tc>
        <w:tc>
          <w:tcPr>
            <w:tcW w:w="696" w:type="pct"/>
            <w:noWrap/>
            <w:hideMark/>
          </w:tcPr>
          <w:p w14:paraId="474E9906" w14:textId="77777777" w:rsidR="007737D0" w:rsidRPr="00FB0A3A" w:rsidRDefault="007737D0"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rPr>
            </w:pPr>
            <w:r w:rsidRPr="00FB0A3A">
              <w:rPr>
                <w:rFonts w:cs="Times New Roman"/>
              </w:rPr>
              <w:t>292,63</w:t>
            </w:r>
          </w:p>
        </w:tc>
      </w:tr>
    </w:tbl>
    <w:p w14:paraId="7BA6653E" w14:textId="74718029" w:rsidR="00C8112F" w:rsidRPr="00FB0A3A" w:rsidRDefault="001627C5" w:rsidP="00A31747">
      <w:pPr>
        <w:pStyle w:val="afff7"/>
        <w:tabs>
          <w:tab w:val="left" w:pos="1134"/>
        </w:tabs>
        <w:spacing w:after="200"/>
      </w:pPr>
      <w:r w:rsidRPr="00FB0A3A">
        <w:t>На долгосрочный период регулирования 2019-2023 гг. Комитетом приняты следующие дифференцированные по уровням напряжения нормативные уровни потерь:</w:t>
      </w:r>
    </w:p>
    <w:tbl>
      <w:tblPr>
        <w:tblStyle w:val="afff6"/>
        <w:tblW w:w="5000" w:type="pct"/>
        <w:tblLook w:val="04A0" w:firstRow="1" w:lastRow="0" w:firstColumn="1" w:lastColumn="0" w:noHBand="0" w:noVBand="1"/>
      </w:tblPr>
      <w:tblGrid>
        <w:gridCol w:w="2841"/>
        <w:gridCol w:w="1698"/>
        <w:gridCol w:w="1603"/>
        <w:gridCol w:w="1603"/>
        <w:gridCol w:w="1599"/>
      </w:tblGrid>
      <w:tr w:rsidR="001627C5" w:rsidRPr="00FB0A3A" w14:paraId="1F412361" w14:textId="77777777" w:rsidTr="00DE3D46">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2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3DC99D5C" w14:textId="42740A63" w:rsidR="001627C5" w:rsidRPr="00FB0A3A" w:rsidRDefault="00D00A0C" w:rsidP="00A31747">
            <w:pPr>
              <w:tabs>
                <w:tab w:val="left" w:pos="1134"/>
              </w:tabs>
              <w:ind w:left="22"/>
              <w:jc w:val="center"/>
              <w:rPr>
                <w:rFonts w:cs="Times New Roman"/>
              </w:rPr>
            </w:pPr>
            <w:r w:rsidRPr="00FB0A3A">
              <w:rPr>
                <w:rFonts w:cs="Times New Roman"/>
              </w:rPr>
              <w:t>У</w:t>
            </w:r>
            <w:r w:rsidR="001627C5" w:rsidRPr="00FB0A3A">
              <w:rPr>
                <w:rFonts w:cs="Times New Roman"/>
              </w:rPr>
              <w:t>ровень напряжения</w:t>
            </w:r>
          </w:p>
        </w:tc>
        <w:tc>
          <w:tcPr>
            <w:tcW w:w="9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7AA6A391" w14:textId="77777777" w:rsidR="001627C5" w:rsidRPr="00FB0A3A" w:rsidRDefault="001627C5" w:rsidP="00A31747">
            <w:pPr>
              <w:tabs>
                <w:tab w:val="left" w:pos="1134"/>
              </w:tabs>
              <w:ind w:left="22"/>
              <w:cnfStyle w:val="100000000000" w:firstRow="1" w:lastRow="0" w:firstColumn="0" w:lastColumn="0" w:oddVBand="0" w:evenVBand="0" w:oddHBand="0" w:evenHBand="0" w:firstRowFirstColumn="0" w:firstRowLastColumn="0" w:lastRowFirstColumn="0" w:lastRowLastColumn="0"/>
              <w:rPr>
                <w:rFonts w:cs="Times New Roman"/>
              </w:rPr>
            </w:pPr>
            <w:r w:rsidRPr="00FB0A3A">
              <w:rPr>
                <w:rFonts w:cs="Times New Roman"/>
              </w:rPr>
              <w:t>ВН</w:t>
            </w:r>
          </w:p>
        </w:tc>
        <w:tc>
          <w:tcPr>
            <w:tcW w:w="9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65DDE703" w14:textId="77777777" w:rsidR="001627C5" w:rsidRPr="00FB0A3A" w:rsidRDefault="001627C5" w:rsidP="00A31747">
            <w:pPr>
              <w:tabs>
                <w:tab w:val="left" w:pos="1134"/>
              </w:tabs>
              <w:ind w:left="22"/>
              <w:cnfStyle w:val="100000000000" w:firstRow="1" w:lastRow="0" w:firstColumn="0" w:lastColumn="0" w:oddVBand="0" w:evenVBand="0" w:oddHBand="0" w:evenHBand="0" w:firstRowFirstColumn="0" w:firstRowLastColumn="0" w:lastRowFirstColumn="0" w:lastRowLastColumn="0"/>
              <w:rPr>
                <w:rFonts w:cs="Times New Roman"/>
              </w:rPr>
            </w:pPr>
            <w:r w:rsidRPr="00FB0A3A">
              <w:rPr>
                <w:rFonts w:cs="Times New Roman"/>
              </w:rPr>
              <w:t>СН1</w:t>
            </w:r>
          </w:p>
        </w:tc>
        <w:tc>
          <w:tcPr>
            <w:tcW w:w="9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0CF44951" w14:textId="77777777" w:rsidR="001627C5" w:rsidRPr="00FB0A3A" w:rsidRDefault="001627C5" w:rsidP="00A31747">
            <w:pPr>
              <w:tabs>
                <w:tab w:val="left" w:pos="1134"/>
              </w:tabs>
              <w:ind w:left="22"/>
              <w:cnfStyle w:val="100000000000" w:firstRow="1" w:lastRow="0" w:firstColumn="0" w:lastColumn="0" w:oddVBand="0" w:evenVBand="0" w:oddHBand="0" w:evenHBand="0" w:firstRowFirstColumn="0" w:firstRowLastColumn="0" w:lastRowFirstColumn="0" w:lastRowLastColumn="0"/>
              <w:rPr>
                <w:rFonts w:cs="Times New Roman"/>
              </w:rPr>
            </w:pPr>
            <w:r w:rsidRPr="00FB0A3A">
              <w:rPr>
                <w:rFonts w:cs="Times New Roman"/>
              </w:rPr>
              <w:t>СН2</w:t>
            </w:r>
          </w:p>
        </w:tc>
        <w:tc>
          <w:tcPr>
            <w:tcW w:w="9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12AD5922" w14:textId="77777777" w:rsidR="001627C5" w:rsidRPr="00FB0A3A" w:rsidRDefault="001627C5" w:rsidP="00A31747">
            <w:pPr>
              <w:tabs>
                <w:tab w:val="left" w:pos="1134"/>
              </w:tabs>
              <w:ind w:left="22"/>
              <w:cnfStyle w:val="100000000000" w:firstRow="1" w:lastRow="0" w:firstColumn="0" w:lastColumn="0" w:oddVBand="0" w:evenVBand="0" w:oddHBand="0" w:evenHBand="0" w:firstRowFirstColumn="0" w:firstRowLastColumn="0" w:lastRowFirstColumn="0" w:lastRowLastColumn="0"/>
              <w:rPr>
                <w:rFonts w:cs="Times New Roman"/>
              </w:rPr>
            </w:pPr>
            <w:r w:rsidRPr="00FB0A3A">
              <w:rPr>
                <w:rFonts w:cs="Times New Roman"/>
              </w:rPr>
              <w:t>НН</w:t>
            </w:r>
          </w:p>
        </w:tc>
      </w:tr>
      <w:tr w:rsidR="001627C5" w:rsidRPr="00FB0A3A" w14:paraId="597E422E" w14:textId="77777777" w:rsidTr="00DE3D46">
        <w:trPr>
          <w:trHeight w:val="280"/>
        </w:trPr>
        <w:tc>
          <w:tcPr>
            <w:cnfStyle w:val="001000000000" w:firstRow="0" w:lastRow="0" w:firstColumn="1" w:lastColumn="0" w:oddVBand="0" w:evenVBand="0" w:oddHBand="0" w:evenHBand="0" w:firstRowFirstColumn="0" w:firstRowLastColumn="0" w:lastRowFirstColumn="0" w:lastRowLastColumn="0"/>
            <w:tcW w:w="1231" w:type="pct"/>
            <w:tcBorders>
              <w:top w:val="single" w:sz="4" w:space="0" w:color="FFFFFF" w:themeColor="background1"/>
            </w:tcBorders>
            <w:noWrap/>
            <w:hideMark/>
          </w:tcPr>
          <w:p w14:paraId="3CB9E79C" w14:textId="261B910C" w:rsidR="001627C5" w:rsidRPr="00FB0A3A" w:rsidRDefault="00D00A0C" w:rsidP="00A31747">
            <w:pPr>
              <w:tabs>
                <w:tab w:val="left" w:pos="1134"/>
              </w:tabs>
              <w:ind w:left="22"/>
              <w:rPr>
                <w:rFonts w:cs="Times New Roman"/>
              </w:rPr>
            </w:pPr>
            <w:r w:rsidRPr="00FB0A3A">
              <w:rPr>
                <w:rFonts w:cs="Times New Roman"/>
              </w:rPr>
              <w:t>Н</w:t>
            </w:r>
            <w:r w:rsidR="001627C5" w:rsidRPr="00FB0A3A">
              <w:rPr>
                <w:rFonts w:cs="Times New Roman"/>
              </w:rPr>
              <w:t>ормативный уровень потерь, %</w:t>
            </w:r>
          </w:p>
        </w:tc>
        <w:tc>
          <w:tcPr>
            <w:tcW w:w="981" w:type="pct"/>
            <w:tcBorders>
              <w:top w:val="single" w:sz="4" w:space="0" w:color="FFFFFF" w:themeColor="background1"/>
            </w:tcBorders>
            <w:noWrap/>
            <w:hideMark/>
          </w:tcPr>
          <w:p w14:paraId="42F726A3" w14:textId="77777777" w:rsidR="001627C5" w:rsidRPr="00FB0A3A" w:rsidRDefault="001627C5" w:rsidP="00A31747">
            <w:pPr>
              <w:tabs>
                <w:tab w:val="left" w:pos="1134"/>
              </w:tabs>
              <w:ind w:left="22"/>
              <w:cnfStyle w:val="000000000000" w:firstRow="0" w:lastRow="0" w:firstColumn="0" w:lastColumn="0" w:oddVBand="0" w:evenVBand="0" w:oddHBand="0" w:evenHBand="0" w:firstRowFirstColumn="0" w:firstRowLastColumn="0" w:lastRowFirstColumn="0" w:lastRowLastColumn="0"/>
              <w:rPr>
                <w:rFonts w:cs="Times New Roman"/>
              </w:rPr>
            </w:pPr>
            <w:r w:rsidRPr="00FB0A3A">
              <w:rPr>
                <w:rFonts w:cs="Times New Roman"/>
              </w:rPr>
              <w:t>3,04</w:t>
            </w:r>
          </w:p>
        </w:tc>
        <w:tc>
          <w:tcPr>
            <w:tcW w:w="930" w:type="pct"/>
            <w:tcBorders>
              <w:top w:val="single" w:sz="4" w:space="0" w:color="FFFFFF" w:themeColor="background1"/>
            </w:tcBorders>
            <w:noWrap/>
            <w:hideMark/>
          </w:tcPr>
          <w:p w14:paraId="1E920253" w14:textId="77777777" w:rsidR="001627C5" w:rsidRPr="00FB0A3A" w:rsidRDefault="001627C5" w:rsidP="00A31747">
            <w:pPr>
              <w:tabs>
                <w:tab w:val="left" w:pos="1134"/>
              </w:tabs>
              <w:ind w:left="22"/>
              <w:cnfStyle w:val="000000000000" w:firstRow="0" w:lastRow="0" w:firstColumn="0" w:lastColumn="0" w:oddVBand="0" w:evenVBand="0" w:oddHBand="0" w:evenHBand="0" w:firstRowFirstColumn="0" w:firstRowLastColumn="0" w:lastRowFirstColumn="0" w:lastRowLastColumn="0"/>
              <w:rPr>
                <w:rFonts w:cs="Times New Roman"/>
              </w:rPr>
            </w:pPr>
            <w:r w:rsidRPr="00FB0A3A">
              <w:rPr>
                <w:rFonts w:cs="Times New Roman"/>
              </w:rPr>
              <w:t>2,32</w:t>
            </w:r>
          </w:p>
        </w:tc>
        <w:tc>
          <w:tcPr>
            <w:tcW w:w="930" w:type="pct"/>
            <w:tcBorders>
              <w:top w:val="single" w:sz="4" w:space="0" w:color="FFFFFF" w:themeColor="background1"/>
            </w:tcBorders>
            <w:noWrap/>
            <w:hideMark/>
          </w:tcPr>
          <w:p w14:paraId="626FEC16" w14:textId="77777777" w:rsidR="001627C5" w:rsidRPr="00FB0A3A" w:rsidRDefault="001627C5" w:rsidP="00A31747">
            <w:pPr>
              <w:tabs>
                <w:tab w:val="left" w:pos="1134"/>
              </w:tabs>
              <w:ind w:left="22"/>
              <w:cnfStyle w:val="000000000000" w:firstRow="0" w:lastRow="0" w:firstColumn="0" w:lastColumn="0" w:oddVBand="0" w:evenVBand="0" w:oddHBand="0" w:evenHBand="0" w:firstRowFirstColumn="0" w:firstRowLastColumn="0" w:lastRowFirstColumn="0" w:lastRowLastColumn="0"/>
              <w:rPr>
                <w:rFonts w:cs="Times New Roman"/>
              </w:rPr>
            </w:pPr>
            <w:r w:rsidRPr="00FB0A3A">
              <w:rPr>
                <w:rFonts w:cs="Times New Roman"/>
              </w:rPr>
              <w:t>5,17</w:t>
            </w:r>
          </w:p>
        </w:tc>
        <w:tc>
          <w:tcPr>
            <w:tcW w:w="930" w:type="pct"/>
            <w:tcBorders>
              <w:top w:val="single" w:sz="4" w:space="0" w:color="FFFFFF" w:themeColor="background1"/>
            </w:tcBorders>
            <w:noWrap/>
            <w:hideMark/>
          </w:tcPr>
          <w:p w14:paraId="7AC10232" w14:textId="77777777" w:rsidR="001627C5" w:rsidRPr="00FB0A3A" w:rsidRDefault="001627C5" w:rsidP="00A31747">
            <w:pPr>
              <w:tabs>
                <w:tab w:val="left" w:pos="1134"/>
              </w:tabs>
              <w:ind w:left="22"/>
              <w:cnfStyle w:val="000000000000" w:firstRow="0" w:lastRow="0" w:firstColumn="0" w:lastColumn="0" w:oddVBand="0" w:evenVBand="0" w:oddHBand="0" w:evenHBand="0" w:firstRowFirstColumn="0" w:firstRowLastColumn="0" w:lastRowFirstColumn="0" w:lastRowLastColumn="0"/>
              <w:rPr>
                <w:rFonts w:cs="Times New Roman"/>
              </w:rPr>
            </w:pPr>
            <w:r w:rsidRPr="00FB0A3A">
              <w:rPr>
                <w:rFonts w:cs="Times New Roman"/>
              </w:rPr>
              <w:t>5,36</w:t>
            </w:r>
          </w:p>
        </w:tc>
      </w:tr>
    </w:tbl>
    <w:p w14:paraId="4B1430C5" w14:textId="77777777" w:rsidR="001627C5" w:rsidRPr="00FB0A3A" w:rsidRDefault="001627C5" w:rsidP="00A31747">
      <w:pPr>
        <w:tabs>
          <w:tab w:val="left" w:pos="1134"/>
        </w:tabs>
        <w:spacing w:after="0" w:line="360" w:lineRule="auto"/>
        <w:ind w:firstLine="567"/>
        <w:jc w:val="both"/>
        <w:rPr>
          <w:rFonts w:ascii="Myriad Pro" w:hAnsi="Myriad Pro" w:cs="Times New Roman"/>
          <w:sz w:val="26"/>
          <w:szCs w:val="26"/>
        </w:rPr>
      </w:pPr>
    </w:p>
    <w:p w14:paraId="3986F402" w14:textId="77777777" w:rsidR="00C8112F" w:rsidRPr="00FB0A3A" w:rsidRDefault="00C8112F" w:rsidP="00A31747">
      <w:pPr>
        <w:tabs>
          <w:tab w:val="left" w:pos="1134"/>
        </w:tabs>
        <w:spacing w:after="0" w:line="360" w:lineRule="auto"/>
        <w:jc w:val="both"/>
        <w:rPr>
          <w:rFonts w:ascii="Myriad Pro" w:hAnsi="Myriad Pro" w:cs="Times New Roman"/>
          <w:b/>
          <w:bCs/>
          <w:sz w:val="26"/>
          <w:szCs w:val="26"/>
          <w:lang w:eastAsia="ru-RU"/>
        </w:rPr>
      </w:pPr>
      <w:r w:rsidRPr="00FB0A3A">
        <w:rPr>
          <w:rFonts w:ascii="Myriad Pro" w:hAnsi="Myriad Pro" w:cs="Times New Roman"/>
          <w:b/>
          <w:bCs/>
          <w:sz w:val="26"/>
          <w:szCs w:val="26"/>
          <w:lang w:eastAsia="ru-RU"/>
        </w:rPr>
        <w:t>ПОЗИЦИЯ ИСПОЛНИТЕЛЯ</w:t>
      </w:r>
    </w:p>
    <w:p w14:paraId="7037652E" w14:textId="2F9CBD45" w:rsidR="00B028D8" w:rsidRPr="00C04ABD" w:rsidRDefault="00B028D8" w:rsidP="00A31747">
      <w:pPr>
        <w:tabs>
          <w:tab w:val="left" w:pos="1134"/>
        </w:tabs>
        <w:spacing w:after="0" w:line="360" w:lineRule="auto"/>
        <w:ind w:firstLine="567"/>
        <w:jc w:val="both"/>
        <w:rPr>
          <w:rFonts w:ascii="Myriad Pro" w:eastAsia="Calibri" w:hAnsi="Myriad Pro" w:cs="Times New Roman"/>
          <w:sz w:val="26"/>
          <w:szCs w:val="26"/>
        </w:rPr>
      </w:pPr>
      <w:r w:rsidRPr="00C04ABD">
        <w:rPr>
          <w:rFonts w:ascii="Myriad Pro" w:eastAsia="Calibri" w:hAnsi="Myriad Pro" w:cs="Times New Roman"/>
          <w:sz w:val="26"/>
          <w:szCs w:val="26"/>
        </w:rPr>
        <w:t xml:space="preserve">В исследуемых материалах приложено письмо Комитета от 12.07.2018 №06-03/2120-АБ о направлении </w:t>
      </w:r>
      <w:r w:rsidR="00A93FCD" w:rsidRPr="00C04ABD">
        <w:rPr>
          <w:rFonts w:ascii="Myriad Pro" w:eastAsia="Calibri" w:hAnsi="Myriad Pro" w:cs="Times New Roman"/>
          <w:sz w:val="26"/>
          <w:szCs w:val="26"/>
        </w:rPr>
        <w:t xml:space="preserve">выписки из </w:t>
      </w:r>
      <w:r w:rsidRPr="00C04ABD">
        <w:rPr>
          <w:rFonts w:ascii="Myriad Pro" w:eastAsia="Calibri" w:hAnsi="Myriad Pro" w:cs="Times New Roman"/>
          <w:sz w:val="26"/>
          <w:szCs w:val="26"/>
        </w:rPr>
        <w:t>сводного прогнозного баланса производства и поставок электрической энергии (мощности) в рамках Единой энергетической системы России на 2019 год,</w:t>
      </w:r>
      <w:r w:rsidR="00A93FCD" w:rsidRPr="00C04ABD">
        <w:rPr>
          <w:rFonts w:ascii="Myriad Pro" w:eastAsia="Calibri" w:hAnsi="Myriad Pro" w:cs="Times New Roman"/>
          <w:sz w:val="26"/>
          <w:szCs w:val="26"/>
        </w:rPr>
        <w:t xml:space="preserve"> утвержденн</w:t>
      </w:r>
      <w:r w:rsidR="007B210B" w:rsidRPr="00C04ABD">
        <w:rPr>
          <w:rFonts w:ascii="Myriad Pro" w:eastAsia="Calibri" w:hAnsi="Myriad Pro" w:cs="Times New Roman"/>
          <w:sz w:val="26"/>
          <w:szCs w:val="26"/>
        </w:rPr>
        <w:t>ого</w:t>
      </w:r>
      <w:r w:rsidR="00A93FCD" w:rsidRPr="00C04ABD">
        <w:rPr>
          <w:rFonts w:ascii="Myriad Pro" w:eastAsia="Calibri" w:hAnsi="Myriad Pro" w:cs="Times New Roman"/>
          <w:sz w:val="26"/>
          <w:szCs w:val="26"/>
        </w:rPr>
        <w:t xml:space="preserve"> приказом ФАС России от 26.06.2018 №873/18-ДСП, </w:t>
      </w:r>
      <w:r w:rsidRPr="00C04ABD">
        <w:rPr>
          <w:rFonts w:ascii="Myriad Pro" w:eastAsia="Calibri" w:hAnsi="Myriad Pro" w:cs="Times New Roman"/>
          <w:sz w:val="26"/>
          <w:szCs w:val="26"/>
        </w:rPr>
        <w:t xml:space="preserve">где для филиала ПАО </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МРСК Северо-Запада</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 xml:space="preserve"> </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Колэнерго</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 xml:space="preserve"> определен размер потерь электрической энергии в электрических сетях на 2019 год – 436,69 млн. кВт</w:t>
      </w:r>
      <w:r w:rsidR="008362D0" w:rsidRPr="00C04ABD">
        <w:rPr>
          <w:rFonts w:ascii="Myriad Pro" w:eastAsia="Calibri" w:hAnsi="Myriad Pro" w:cs="Times New Roman"/>
          <w:sz w:val="26"/>
          <w:szCs w:val="26"/>
        </w:rPr>
        <w:t>*</w:t>
      </w:r>
      <w:r w:rsidRPr="00C04ABD">
        <w:rPr>
          <w:rFonts w:ascii="Myriad Pro" w:eastAsia="Calibri" w:hAnsi="Myriad Pro" w:cs="Times New Roman"/>
          <w:sz w:val="26"/>
          <w:szCs w:val="26"/>
        </w:rPr>
        <w:t xml:space="preserve">ч., размер потерь мощности в сети – 64,51 МВт. </w:t>
      </w:r>
    </w:p>
    <w:p w14:paraId="3FD92684" w14:textId="37DB528B" w:rsidR="00A93FCD" w:rsidRPr="00C04ABD" w:rsidRDefault="00A93FCD" w:rsidP="00A31747">
      <w:pPr>
        <w:tabs>
          <w:tab w:val="left" w:pos="1134"/>
        </w:tabs>
        <w:spacing w:after="0" w:line="360" w:lineRule="auto"/>
        <w:ind w:firstLine="567"/>
        <w:jc w:val="both"/>
        <w:rPr>
          <w:rFonts w:ascii="Myriad Pro" w:eastAsia="Calibri" w:hAnsi="Myriad Pro" w:cs="Times New Roman"/>
          <w:sz w:val="26"/>
          <w:szCs w:val="26"/>
        </w:rPr>
      </w:pPr>
      <w:r w:rsidRPr="00C04ABD">
        <w:rPr>
          <w:rFonts w:ascii="Myriad Pro" w:eastAsia="Calibri" w:hAnsi="Myriad Pro" w:cs="Times New Roman"/>
          <w:sz w:val="26"/>
          <w:szCs w:val="26"/>
        </w:rPr>
        <w:t xml:space="preserve">На официальном сайте ПАО </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МРСК Северо-Запада</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 xml:space="preserve"> (раздел </w:t>
      </w:r>
      <w:hyperlink r:id="rId22" w:history="1">
        <w:r w:rsidRPr="00C04ABD">
          <w:rPr>
            <w:rFonts w:ascii="Myriad Pro" w:eastAsia="Calibri" w:hAnsi="Myriad Pro" w:cs="Times New Roman"/>
            <w:sz w:val="26"/>
            <w:szCs w:val="26"/>
          </w:rPr>
          <w:t>Главная страница</w:t>
        </w:r>
      </w:hyperlink>
      <w:r w:rsidRPr="00C04ABD">
        <w:rPr>
          <w:rFonts w:ascii="Myriad Pro" w:eastAsia="Calibri" w:hAnsi="Myriad Pro" w:cs="Times New Roman"/>
          <w:sz w:val="26"/>
          <w:szCs w:val="26"/>
        </w:rPr>
        <w:t> </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 xml:space="preserve">  </w:t>
      </w:r>
      <w:hyperlink r:id="rId23" w:history="1">
        <w:r w:rsidRPr="00C04ABD">
          <w:rPr>
            <w:rFonts w:ascii="Myriad Pro" w:eastAsia="Calibri" w:hAnsi="Myriad Pro" w:cs="Times New Roman"/>
            <w:sz w:val="26"/>
            <w:szCs w:val="26"/>
          </w:rPr>
          <w:t>Раскрытие информации</w:t>
        </w:r>
      </w:hyperlink>
      <w:r w:rsidRPr="00C04ABD">
        <w:rPr>
          <w:rFonts w:ascii="Myriad Pro" w:eastAsia="Calibri" w:hAnsi="Myriad Pro" w:cs="Times New Roman"/>
          <w:sz w:val="26"/>
          <w:szCs w:val="26"/>
        </w:rPr>
        <w:t> </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 </w:t>
      </w:r>
      <w:hyperlink r:id="rId24" w:history="1">
        <w:r w:rsidRPr="00C04ABD">
          <w:rPr>
            <w:rFonts w:ascii="Myriad Pro" w:eastAsia="Calibri" w:hAnsi="Myriad Pro" w:cs="Times New Roman"/>
            <w:sz w:val="26"/>
            <w:szCs w:val="26"/>
          </w:rPr>
          <w:t>Стандарт раскрытия информации субъектами оптового и розничного рынка электрической энергии. Сетевая организация.</w:t>
        </w:r>
      </w:hyperlink>
      <w:r w:rsidRPr="00C04ABD">
        <w:rPr>
          <w:rFonts w:ascii="Myriad Pro" w:eastAsia="Calibri" w:hAnsi="Myriad Pro" w:cs="Times New Roman"/>
          <w:sz w:val="26"/>
          <w:szCs w:val="26"/>
        </w:rPr>
        <w:t> </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  О балансе электрической энергии и мощности) опубликована выписка из сводного прогнозного баланса производства и поставок электрической энергии (мощности) в рамках Единой энергетической системы России на 2019 год, утвержденн</w:t>
      </w:r>
      <w:r w:rsidR="007B210B" w:rsidRPr="00C04ABD">
        <w:rPr>
          <w:rFonts w:ascii="Myriad Pro" w:eastAsia="Calibri" w:hAnsi="Myriad Pro" w:cs="Times New Roman"/>
          <w:sz w:val="26"/>
          <w:szCs w:val="26"/>
        </w:rPr>
        <w:t>ого</w:t>
      </w:r>
      <w:r w:rsidR="00D00A0C" w:rsidRPr="00C04ABD">
        <w:rPr>
          <w:rFonts w:ascii="Myriad Pro" w:eastAsia="Calibri" w:hAnsi="Myriad Pro" w:cs="Times New Roman"/>
          <w:sz w:val="26"/>
          <w:szCs w:val="26"/>
        </w:rPr>
        <w:t xml:space="preserve"> </w:t>
      </w:r>
      <w:r w:rsidRPr="00C04ABD">
        <w:rPr>
          <w:rFonts w:ascii="Myriad Pro" w:eastAsia="Calibri" w:hAnsi="Myriad Pro" w:cs="Times New Roman"/>
          <w:sz w:val="26"/>
          <w:szCs w:val="26"/>
        </w:rPr>
        <w:t xml:space="preserve">приказом ФАС России от 16.11.2018 №1570/18-ДСП, где для филиала ПАО </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МРСК Северо-Запада</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 xml:space="preserve"> </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Колэнерго</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 xml:space="preserve"> определен размер потерь электрической энергии в электрических сетях на 2019 год </w:t>
      </w:r>
      <w:r w:rsidRPr="00D9216E">
        <w:rPr>
          <w:rFonts w:ascii="Myriad Pro" w:eastAsia="Calibri" w:hAnsi="Myriad Pro" w:cs="Times New Roman"/>
          <w:b/>
          <w:sz w:val="26"/>
          <w:szCs w:val="26"/>
          <w:u w:val="single"/>
        </w:rPr>
        <w:t xml:space="preserve">– 403,26 </w:t>
      </w:r>
      <w:r w:rsidRPr="00C04ABD">
        <w:rPr>
          <w:rFonts w:ascii="Myriad Pro" w:eastAsia="Calibri" w:hAnsi="Myriad Pro" w:cs="Times New Roman"/>
          <w:sz w:val="26"/>
          <w:szCs w:val="26"/>
        </w:rPr>
        <w:t>млн. кВт</w:t>
      </w:r>
      <w:r w:rsidR="008362D0" w:rsidRPr="00C04ABD">
        <w:rPr>
          <w:rFonts w:ascii="Myriad Pro" w:eastAsia="Calibri" w:hAnsi="Myriad Pro" w:cs="Times New Roman"/>
          <w:sz w:val="26"/>
          <w:szCs w:val="26"/>
        </w:rPr>
        <w:t>*</w:t>
      </w:r>
      <w:r w:rsidRPr="00C04ABD">
        <w:rPr>
          <w:rFonts w:ascii="Myriad Pro" w:eastAsia="Calibri" w:hAnsi="Myriad Pro" w:cs="Times New Roman"/>
          <w:sz w:val="26"/>
          <w:szCs w:val="26"/>
        </w:rPr>
        <w:t>ч., размер поте</w:t>
      </w:r>
      <w:r w:rsidR="00D00A0C" w:rsidRPr="00C04ABD">
        <w:rPr>
          <w:rFonts w:ascii="Myriad Pro" w:eastAsia="Calibri" w:hAnsi="Myriad Pro" w:cs="Times New Roman"/>
          <w:sz w:val="26"/>
          <w:szCs w:val="26"/>
        </w:rPr>
        <w:t>рь мощности в сети – 59,38 МВт.</w:t>
      </w:r>
    </w:p>
    <w:p w14:paraId="093746EF" w14:textId="153A3A7D" w:rsidR="00A3327A" w:rsidRPr="00C04ABD" w:rsidRDefault="00A3327A" w:rsidP="00A31747">
      <w:pPr>
        <w:tabs>
          <w:tab w:val="left" w:pos="1134"/>
        </w:tabs>
        <w:spacing w:after="0" w:line="360" w:lineRule="auto"/>
        <w:ind w:firstLine="567"/>
        <w:jc w:val="both"/>
        <w:rPr>
          <w:rFonts w:ascii="Myriad Pro" w:eastAsia="Calibri" w:hAnsi="Myriad Pro" w:cs="Times New Roman"/>
          <w:sz w:val="26"/>
          <w:szCs w:val="26"/>
        </w:rPr>
      </w:pPr>
      <w:r w:rsidRPr="00C04ABD">
        <w:rPr>
          <w:rFonts w:ascii="Myriad Pro" w:eastAsia="Calibri" w:hAnsi="Myriad Pro" w:cs="Times New Roman"/>
          <w:sz w:val="26"/>
          <w:szCs w:val="26"/>
        </w:rPr>
        <w:t xml:space="preserve">В Сводном прогнозном балансе на 2019 год для филиала ПАО </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МРСК Северо-Запада</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 xml:space="preserve"> </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Колэнерго</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 xml:space="preserve"> определен размер потерь электрической энергии в </w:t>
      </w:r>
      <w:r w:rsidRPr="00C04ABD">
        <w:rPr>
          <w:rFonts w:ascii="Myriad Pro" w:eastAsia="Calibri" w:hAnsi="Myriad Pro" w:cs="Times New Roman"/>
          <w:sz w:val="26"/>
          <w:szCs w:val="26"/>
        </w:rPr>
        <w:lastRenderedPageBreak/>
        <w:t xml:space="preserve">электрических сетях </w:t>
      </w:r>
      <w:r w:rsidRPr="00D9216E">
        <w:rPr>
          <w:rFonts w:ascii="Myriad Pro" w:eastAsia="Calibri" w:hAnsi="Myriad Pro" w:cs="Times New Roman"/>
          <w:b/>
          <w:sz w:val="26"/>
          <w:szCs w:val="26"/>
          <w:u w:val="single"/>
        </w:rPr>
        <w:t>выше параметров заявки</w:t>
      </w:r>
      <w:r w:rsidRPr="00C04ABD">
        <w:rPr>
          <w:rFonts w:ascii="Myriad Pro" w:eastAsia="Calibri" w:hAnsi="Myriad Pro" w:cs="Times New Roman"/>
          <w:sz w:val="26"/>
          <w:szCs w:val="26"/>
        </w:rPr>
        <w:t xml:space="preserve"> филиала ПАО </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МРСК Северо-Запада</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 xml:space="preserve"> </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Колэнерго</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 xml:space="preserve">, направленного заявлением от 28.04.2018 №МР2/4/02/3129, в размере – </w:t>
      </w:r>
      <w:r w:rsidRPr="00D9216E">
        <w:rPr>
          <w:rFonts w:ascii="Myriad Pro" w:eastAsia="Calibri" w:hAnsi="Myriad Pro" w:cs="Times New Roman"/>
          <w:b/>
          <w:sz w:val="26"/>
          <w:szCs w:val="26"/>
          <w:u w:val="single"/>
        </w:rPr>
        <w:t>394,0</w:t>
      </w:r>
      <w:r w:rsidR="00976645" w:rsidRPr="00C04ABD">
        <w:rPr>
          <w:rFonts w:ascii="Myriad Pro" w:eastAsia="Calibri" w:hAnsi="Myriad Pro" w:cs="Times New Roman"/>
          <w:sz w:val="26"/>
          <w:szCs w:val="26"/>
        </w:rPr>
        <w:t xml:space="preserve"> млн. кВт</w:t>
      </w:r>
      <w:r w:rsidR="008362D0" w:rsidRPr="00C04ABD">
        <w:rPr>
          <w:rFonts w:ascii="Myriad Pro" w:eastAsia="Calibri" w:hAnsi="Myriad Pro" w:cs="Times New Roman"/>
          <w:sz w:val="26"/>
          <w:szCs w:val="26"/>
        </w:rPr>
        <w:t>*</w:t>
      </w:r>
      <w:r w:rsidR="00976645" w:rsidRPr="00C04ABD">
        <w:rPr>
          <w:rFonts w:ascii="Myriad Pro" w:eastAsia="Calibri" w:hAnsi="Myriad Pro" w:cs="Times New Roman"/>
          <w:sz w:val="26"/>
          <w:szCs w:val="26"/>
        </w:rPr>
        <w:t>ч.</w:t>
      </w:r>
    </w:p>
    <w:p w14:paraId="72CC1802" w14:textId="37A3B4BC" w:rsidR="00A3327A" w:rsidRPr="00C04ABD" w:rsidRDefault="00A3327A" w:rsidP="00A31747">
      <w:pPr>
        <w:tabs>
          <w:tab w:val="left" w:pos="1134"/>
        </w:tabs>
        <w:autoSpaceDE w:val="0"/>
        <w:autoSpaceDN w:val="0"/>
        <w:adjustRightInd w:val="0"/>
        <w:spacing w:after="0" w:line="360" w:lineRule="auto"/>
        <w:ind w:firstLine="567"/>
        <w:jc w:val="both"/>
        <w:rPr>
          <w:rFonts w:ascii="Myriad Pro" w:eastAsia="Calibri" w:hAnsi="Myriad Pro" w:cs="Times New Roman"/>
          <w:sz w:val="26"/>
          <w:szCs w:val="26"/>
        </w:rPr>
      </w:pPr>
      <w:r w:rsidRPr="00C04ABD">
        <w:rPr>
          <w:rFonts w:ascii="Myriad Pro" w:eastAsia="Calibri" w:hAnsi="Myriad Pro" w:cs="Times New Roman"/>
          <w:sz w:val="26"/>
          <w:szCs w:val="26"/>
        </w:rPr>
        <w:t xml:space="preserve">Согласно пункту 14 Основ ценообразования № 1178 расчетный объем производства продукции и (или) оказываемых услуг определяется исходя из формируемого Федеральной антимонопольной службой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следовательно величина потерь электрической энергии в тарифах на услуги по передаче электрической энергии должна быть учтена в размере отраженном в Сводном прогнозном балансе на соответствующий период. </w:t>
      </w:r>
    </w:p>
    <w:p w14:paraId="5FBB9900" w14:textId="2FC3FD82" w:rsidR="00284D00" w:rsidRPr="00C04ABD" w:rsidRDefault="00773A2C" w:rsidP="00A31747">
      <w:pPr>
        <w:pStyle w:val="afff4"/>
        <w:tabs>
          <w:tab w:val="left" w:pos="1134"/>
        </w:tabs>
        <w:rPr>
          <w:lang w:val="ru-RU"/>
        </w:rPr>
      </w:pPr>
      <w:r w:rsidRPr="00C04ABD">
        <w:rPr>
          <w:lang w:val="ru-RU"/>
        </w:rPr>
        <w:t>Плановый о</w:t>
      </w:r>
      <w:r w:rsidR="0068372A" w:rsidRPr="00C04ABD">
        <w:rPr>
          <w:lang w:val="ru-RU"/>
        </w:rPr>
        <w:t xml:space="preserve">бъем </w:t>
      </w:r>
      <w:r w:rsidR="00B84C6B" w:rsidRPr="00C04ABD">
        <w:rPr>
          <w:lang w:val="ru-RU"/>
        </w:rPr>
        <w:t>потерь электрической энергии,</w:t>
      </w:r>
      <w:r w:rsidR="0068372A" w:rsidRPr="00C04ABD">
        <w:rPr>
          <w:lang w:val="ru-RU"/>
        </w:rPr>
        <w:t xml:space="preserve"> </w:t>
      </w:r>
      <w:r w:rsidRPr="00C04ABD">
        <w:rPr>
          <w:lang w:val="ru-RU"/>
        </w:rPr>
        <w:t>учтенный</w:t>
      </w:r>
      <w:r w:rsidR="0068372A" w:rsidRPr="00C04ABD">
        <w:rPr>
          <w:lang w:val="ru-RU"/>
        </w:rPr>
        <w:t xml:space="preserve"> при расчете единых (котловых) тарифов на услуги по передаче эле</w:t>
      </w:r>
      <w:r w:rsidRPr="00C04ABD">
        <w:rPr>
          <w:lang w:val="ru-RU"/>
        </w:rPr>
        <w:t>ктрической энергии, в 2019 году</w:t>
      </w:r>
      <w:r w:rsidR="0068372A" w:rsidRPr="00C04ABD">
        <w:rPr>
          <w:lang w:val="ru-RU"/>
        </w:rPr>
        <w:t xml:space="preserve"> незначительно превышает фак</w:t>
      </w:r>
      <w:r w:rsidRPr="00C04ABD">
        <w:rPr>
          <w:lang w:val="ru-RU"/>
        </w:rPr>
        <w:t>тический объем потерь в 2017 году (отклонение составляет 0,9</w:t>
      </w:r>
      <w:r w:rsidR="0068372A" w:rsidRPr="00C04ABD">
        <w:rPr>
          <w:lang w:val="ru-RU"/>
        </w:rPr>
        <w:t xml:space="preserve">%). Необходимо отметить, что в период 2014-2017 гг. фактический уровень потерь имел значительное отклонение от </w:t>
      </w:r>
      <w:r w:rsidR="00385E46" w:rsidRPr="00C04ABD">
        <w:rPr>
          <w:lang w:val="ru-RU"/>
        </w:rPr>
        <w:t>планового уровня.</w:t>
      </w:r>
    </w:p>
    <w:tbl>
      <w:tblPr>
        <w:tblStyle w:val="afff6"/>
        <w:tblW w:w="5000" w:type="pct"/>
        <w:tblLook w:val="04A0" w:firstRow="1" w:lastRow="0" w:firstColumn="1" w:lastColumn="0" w:noHBand="0" w:noVBand="1"/>
      </w:tblPr>
      <w:tblGrid>
        <w:gridCol w:w="3557"/>
        <w:gridCol w:w="1447"/>
        <w:gridCol w:w="1447"/>
        <w:gridCol w:w="1447"/>
        <w:gridCol w:w="1446"/>
      </w:tblGrid>
      <w:tr w:rsidR="006A4578" w:rsidRPr="00FB0A3A" w14:paraId="20A7C1FA" w14:textId="77777777" w:rsidTr="00DE3D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70A9B391" w14:textId="212ABE8C" w:rsidR="006A4578" w:rsidRPr="00FB0A3A" w:rsidRDefault="006A4578" w:rsidP="00A31747">
            <w:pPr>
              <w:tabs>
                <w:tab w:val="left" w:pos="1134"/>
              </w:tabs>
              <w:jc w:val="center"/>
              <w:rPr>
                <w:rFonts w:eastAsia="Calibri" w:cs="Times New Roman"/>
                <w:b/>
                <w:bCs/>
                <w:szCs w:val="18"/>
              </w:rPr>
            </w:pPr>
            <w:r w:rsidRPr="00FB0A3A">
              <w:rPr>
                <w:rFonts w:eastAsia="Calibri" w:cs="Times New Roman"/>
                <w:b/>
                <w:bCs/>
                <w:szCs w:val="18"/>
              </w:rPr>
              <w:t>Период</w:t>
            </w:r>
          </w:p>
        </w:tc>
        <w:tc>
          <w:tcPr>
            <w:tcW w:w="7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6A8C2FC" w14:textId="25A3EA9C" w:rsidR="006A4578" w:rsidRPr="00FB0A3A" w:rsidRDefault="006A4578" w:rsidP="00A31747">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b/>
                <w:bCs/>
                <w:szCs w:val="18"/>
              </w:rPr>
            </w:pPr>
            <w:r w:rsidRPr="00FB0A3A">
              <w:rPr>
                <w:rFonts w:eastAsia="Calibri" w:cs="Times New Roman"/>
                <w:b/>
                <w:bCs/>
                <w:szCs w:val="18"/>
              </w:rPr>
              <w:t>2014</w:t>
            </w:r>
          </w:p>
        </w:tc>
        <w:tc>
          <w:tcPr>
            <w:tcW w:w="7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395ABC69" w14:textId="5185D77D" w:rsidR="006A4578" w:rsidRPr="00FB0A3A" w:rsidRDefault="006A4578" w:rsidP="00A31747">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b/>
                <w:bCs/>
                <w:szCs w:val="18"/>
              </w:rPr>
            </w:pPr>
            <w:r w:rsidRPr="00FB0A3A">
              <w:rPr>
                <w:rFonts w:eastAsia="Calibri" w:cs="Times New Roman"/>
                <w:b/>
                <w:bCs/>
                <w:szCs w:val="18"/>
              </w:rPr>
              <w:t>2015</w:t>
            </w:r>
          </w:p>
        </w:tc>
        <w:tc>
          <w:tcPr>
            <w:tcW w:w="7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68FAD000" w14:textId="77777777" w:rsidR="006A4578" w:rsidRPr="00FB0A3A" w:rsidRDefault="006A4578" w:rsidP="00A31747">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b/>
                <w:bCs/>
                <w:szCs w:val="18"/>
              </w:rPr>
            </w:pPr>
            <w:r w:rsidRPr="00FB0A3A">
              <w:rPr>
                <w:rFonts w:eastAsia="Calibri" w:cs="Times New Roman"/>
                <w:b/>
                <w:bCs/>
                <w:szCs w:val="18"/>
              </w:rPr>
              <w:t>2016</w:t>
            </w:r>
          </w:p>
        </w:tc>
        <w:tc>
          <w:tcPr>
            <w:tcW w:w="7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790A7141" w14:textId="77777777" w:rsidR="006A4578" w:rsidRPr="00FB0A3A" w:rsidRDefault="006A4578" w:rsidP="00A31747">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b/>
                <w:bCs/>
                <w:szCs w:val="18"/>
              </w:rPr>
            </w:pPr>
            <w:r w:rsidRPr="00FB0A3A">
              <w:rPr>
                <w:rFonts w:eastAsia="Calibri" w:cs="Times New Roman"/>
                <w:b/>
                <w:bCs/>
                <w:szCs w:val="18"/>
              </w:rPr>
              <w:t>2017</w:t>
            </w:r>
          </w:p>
        </w:tc>
      </w:tr>
      <w:tr w:rsidR="006A4578" w:rsidRPr="00FB0A3A" w14:paraId="643314D8" w14:textId="77777777" w:rsidTr="00DE3D46">
        <w:tc>
          <w:tcPr>
            <w:cnfStyle w:val="001000000000" w:firstRow="0" w:lastRow="0" w:firstColumn="1" w:lastColumn="0" w:oddVBand="0" w:evenVBand="0" w:oddHBand="0" w:evenHBand="0" w:firstRowFirstColumn="0" w:firstRowLastColumn="0" w:lastRowFirstColumn="0" w:lastRowLastColumn="0"/>
            <w:tcW w:w="1902" w:type="pct"/>
            <w:tcBorders>
              <w:top w:val="single" w:sz="4" w:space="0" w:color="FFFFFF" w:themeColor="background1"/>
            </w:tcBorders>
            <w:noWrap/>
            <w:hideMark/>
          </w:tcPr>
          <w:p w14:paraId="5EC954EE" w14:textId="2CACA415" w:rsidR="006A4578" w:rsidRPr="00FB0A3A" w:rsidRDefault="00D00A0C" w:rsidP="00A31747">
            <w:pPr>
              <w:tabs>
                <w:tab w:val="left" w:pos="1134"/>
              </w:tabs>
              <w:rPr>
                <w:rFonts w:eastAsia="Calibri" w:cs="Times New Roman"/>
                <w:szCs w:val="18"/>
              </w:rPr>
            </w:pPr>
            <w:r w:rsidRPr="00FB0A3A">
              <w:rPr>
                <w:rFonts w:eastAsia="Calibri" w:cs="Times New Roman"/>
                <w:szCs w:val="18"/>
              </w:rPr>
              <w:t>П</w:t>
            </w:r>
            <w:r w:rsidR="006A4578" w:rsidRPr="00FB0A3A">
              <w:rPr>
                <w:rFonts w:eastAsia="Calibri" w:cs="Times New Roman"/>
                <w:szCs w:val="18"/>
              </w:rPr>
              <w:t>лановые потери</w:t>
            </w:r>
          </w:p>
        </w:tc>
        <w:tc>
          <w:tcPr>
            <w:tcW w:w="774" w:type="pct"/>
            <w:tcBorders>
              <w:top w:val="single" w:sz="4" w:space="0" w:color="FFFFFF" w:themeColor="background1"/>
            </w:tcBorders>
          </w:tcPr>
          <w:p w14:paraId="1AE997CB" w14:textId="3811F8CE" w:rsidR="006A4578" w:rsidRPr="00FB0A3A" w:rsidRDefault="006A4578" w:rsidP="00A3174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2,98%</w:t>
            </w:r>
          </w:p>
        </w:tc>
        <w:tc>
          <w:tcPr>
            <w:tcW w:w="774" w:type="pct"/>
            <w:tcBorders>
              <w:top w:val="single" w:sz="4" w:space="0" w:color="FFFFFF" w:themeColor="background1"/>
            </w:tcBorders>
            <w:noWrap/>
            <w:hideMark/>
          </w:tcPr>
          <w:p w14:paraId="6CCC28BE" w14:textId="634CF897" w:rsidR="006A4578" w:rsidRPr="00FB0A3A" w:rsidRDefault="006A4578" w:rsidP="00A3174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3,04%</w:t>
            </w:r>
          </w:p>
        </w:tc>
        <w:tc>
          <w:tcPr>
            <w:tcW w:w="774" w:type="pct"/>
            <w:tcBorders>
              <w:top w:val="single" w:sz="4" w:space="0" w:color="FFFFFF" w:themeColor="background1"/>
            </w:tcBorders>
            <w:noWrap/>
            <w:hideMark/>
          </w:tcPr>
          <w:p w14:paraId="6F43EBA5" w14:textId="77777777" w:rsidR="006A4578" w:rsidRPr="00FB0A3A" w:rsidRDefault="006A4578" w:rsidP="00A3174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3,04%</w:t>
            </w:r>
          </w:p>
        </w:tc>
        <w:tc>
          <w:tcPr>
            <w:tcW w:w="774" w:type="pct"/>
            <w:tcBorders>
              <w:top w:val="single" w:sz="4" w:space="0" w:color="FFFFFF" w:themeColor="background1"/>
            </w:tcBorders>
            <w:noWrap/>
            <w:hideMark/>
          </w:tcPr>
          <w:p w14:paraId="1BB40511" w14:textId="77777777" w:rsidR="006A4578" w:rsidRPr="00FB0A3A" w:rsidRDefault="006A4578" w:rsidP="00A3174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3,04%</w:t>
            </w:r>
          </w:p>
        </w:tc>
      </w:tr>
      <w:tr w:rsidR="006A4578" w:rsidRPr="00FB0A3A" w14:paraId="2FBDA672" w14:textId="77777777" w:rsidTr="00D00A0C">
        <w:tc>
          <w:tcPr>
            <w:cnfStyle w:val="001000000000" w:firstRow="0" w:lastRow="0" w:firstColumn="1" w:lastColumn="0" w:oddVBand="0" w:evenVBand="0" w:oddHBand="0" w:evenHBand="0" w:firstRowFirstColumn="0" w:firstRowLastColumn="0" w:lastRowFirstColumn="0" w:lastRowLastColumn="0"/>
            <w:tcW w:w="1902" w:type="pct"/>
            <w:noWrap/>
            <w:hideMark/>
          </w:tcPr>
          <w:p w14:paraId="16B3A11A" w14:textId="452BF846" w:rsidR="006A4578" w:rsidRPr="00FB0A3A" w:rsidRDefault="00D00A0C" w:rsidP="00A31747">
            <w:pPr>
              <w:tabs>
                <w:tab w:val="left" w:pos="1134"/>
              </w:tabs>
              <w:rPr>
                <w:rFonts w:eastAsia="Calibri" w:cs="Times New Roman"/>
                <w:szCs w:val="18"/>
              </w:rPr>
            </w:pPr>
            <w:r w:rsidRPr="00FB0A3A">
              <w:rPr>
                <w:rFonts w:eastAsia="Calibri" w:cs="Times New Roman"/>
                <w:szCs w:val="18"/>
              </w:rPr>
              <w:t>Ф</w:t>
            </w:r>
            <w:r w:rsidR="006A4578" w:rsidRPr="00FB0A3A">
              <w:rPr>
                <w:rFonts w:eastAsia="Calibri" w:cs="Times New Roman"/>
                <w:szCs w:val="18"/>
              </w:rPr>
              <w:t>актические потери</w:t>
            </w:r>
          </w:p>
        </w:tc>
        <w:tc>
          <w:tcPr>
            <w:tcW w:w="774" w:type="pct"/>
          </w:tcPr>
          <w:p w14:paraId="20084533" w14:textId="236378CB" w:rsidR="006A4578" w:rsidRPr="00FB0A3A" w:rsidRDefault="006A4578" w:rsidP="00A3174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3,63%</w:t>
            </w:r>
          </w:p>
        </w:tc>
        <w:tc>
          <w:tcPr>
            <w:tcW w:w="774" w:type="pct"/>
            <w:noWrap/>
            <w:hideMark/>
          </w:tcPr>
          <w:p w14:paraId="043814E0" w14:textId="0E70FF8C" w:rsidR="006A4578" w:rsidRPr="00FB0A3A" w:rsidRDefault="006A4578" w:rsidP="00A3174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3,66%</w:t>
            </w:r>
          </w:p>
        </w:tc>
        <w:tc>
          <w:tcPr>
            <w:tcW w:w="774" w:type="pct"/>
            <w:noWrap/>
            <w:hideMark/>
          </w:tcPr>
          <w:p w14:paraId="76859237" w14:textId="77777777" w:rsidR="006A4578" w:rsidRPr="00FB0A3A" w:rsidRDefault="006A4578" w:rsidP="00A3174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3,55%</w:t>
            </w:r>
          </w:p>
        </w:tc>
        <w:tc>
          <w:tcPr>
            <w:tcW w:w="774" w:type="pct"/>
            <w:noWrap/>
            <w:hideMark/>
          </w:tcPr>
          <w:p w14:paraId="7D4734B3" w14:textId="77777777" w:rsidR="006A4578" w:rsidRPr="00FB0A3A" w:rsidRDefault="006A4578" w:rsidP="00A3174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3,51%</w:t>
            </w:r>
          </w:p>
        </w:tc>
      </w:tr>
    </w:tbl>
    <w:p w14:paraId="5C1A408A" w14:textId="1A7CEDED" w:rsidR="004507F7" w:rsidRPr="00FB0A3A" w:rsidRDefault="004507F7" w:rsidP="00A31747">
      <w:pPr>
        <w:pStyle w:val="afff7"/>
        <w:tabs>
          <w:tab w:val="left" w:pos="1134"/>
        </w:tabs>
        <w:spacing w:after="200"/>
      </w:pPr>
      <w:r w:rsidRPr="00FB0A3A">
        <w:t>Предложение Филиала по установлению потерь было основано на фактических показателях за 2017 год:</w:t>
      </w:r>
    </w:p>
    <w:tbl>
      <w:tblPr>
        <w:tblStyle w:val="afff6"/>
        <w:tblW w:w="5000" w:type="pct"/>
        <w:tblLook w:val="04A0" w:firstRow="1" w:lastRow="0" w:firstColumn="1" w:lastColumn="0" w:noHBand="0" w:noVBand="1"/>
      </w:tblPr>
      <w:tblGrid>
        <w:gridCol w:w="2010"/>
        <w:gridCol w:w="1190"/>
        <w:gridCol w:w="1310"/>
        <w:gridCol w:w="1353"/>
        <w:gridCol w:w="1218"/>
        <w:gridCol w:w="1084"/>
        <w:gridCol w:w="1179"/>
      </w:tblGrid>
      <w:tr w:rsidR="004507F7" w:rsidRPr="00FB0A3A" w14:paraId="3BFF785D" w14:textId="77777777" w:rsidTr="00DE3D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BA7D805" w14:textId="77777777" w:rsidR="004507F7" w:rsidRPr="00FB0A3A" w:rsidRDefault="004507F7" w:rsidP="00A31747">
            <w:pPr>
              <w:tabs>
                <w:tab w:val="left" w:pos="1134"/>
              </w:tabs>
              <w:jc w:val="center"/>
              <w:rPr>
                <w:rFonts w:eastAsia="Calibri" w:cs="Times New Roman"/>
                <w:szCs w:val="18"/>
              </w:rPr>
            </w:pPr>
            <w:r w:rsidRPr="00FB0A3A">
              <w:rPr>
                <w:rFonts w:eastAsia="Calibri" w:cs="Times New Roman"/>
                <w:szCs w:val="18"/>
              </w:rPr>
              <w:t>Наименование показателя</w:t>
            </w:r>
          </w:p>
        </w:tc>
        <w:tc>
          <w:tcPr>
            <w:tcW w:w="63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117193A" w14:textId="77777777" w:rsidR="004507F7" w:rsidRPr="00FB0A3A" w:rsidRDefault="004507F7" w:rsidP="00A31747">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Ед. измерения</w:t>
            </w:r>
          </w:p>
        </w:tc>
        <w:tc>
          <w:tcPr>
            <w:tcW w:w="70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E2F7EA5" w14:textId="77777777" w:rsidR="004507F7" w:rsidRPr="00FB0A3A" w:rsidRDefault="004507F7" w:rsidP="00A31747">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Всего</w:t>
            </w:r>
          </w:p>
        </w:tc>
        <w:tc>
          <w:tcPr>
            <w:tcW w:w="2588"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F1A38BD" w14:textId="77777777" w:rsidR="004507F7" w:rsidRPr="00FB0A3A" w:rsidRDefault="004507F7" w:rsidP="00A31747">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В том числе по уровню напряжения</w:t>
            </w:r>
          </w:p>
        </w:tc>
      </w:tr>
      <w:tr w:rsidR="004507F7" w:rsidRPr="00FB0A3A" w14:paraId="673FADAD" w14:textId="77777777" w:rsidTr="00C0799E">
        <w:trPr>
          <w:trHeight w:val="406"/>
        </w:trPr>
        <w:tc>
          <w:tcPr>
            <w:cnfStyle w:val="001000000000" w:firstRow="0" w:lastRow="0" w:firstColumn="1" w:lastColumn="0" w:oddVBand="0" w:evenVBand="0" w:oddHBand="0" w:evenHBand="0" w:firstRowFirstColumn="0" w:firstRowLastColumn="0" w:lastRowFirstColumn="0" w:lastRowLastColumn="0"/>
            <w:tcW w:w="107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2B9491F" w14:textId="77777777" w:rsidR="004507F7" w:rsidRPr="00FB0A3A" w:rsidRDefault="004507F7" w:rsidP="00A31747">
            <w:pPr>
              <w:tabs>
                <w:tab w:val="left" w:pos="1134"/>
              </w:tabs>
              <w:jc w:val="center"/>
              <w:rPr>
                <w:rFonts w:eastAsia="Calibri" w:cs="Times New Roman"/>
                <w:szCs w:val="18"/>
              </w:rPr>
            </w:pPr>
          </w:p>
        </w:tc>
        <w:tc>
          <w:tcPr>
            <w:tcW w:w="63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9371317" w14:textId="77777777" w:rsidR="004507F7" w:rsidRPr="00FB0A3A" w:rsidRDefault="004507F7" w:rsidP="00A3174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70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0E41141" w14:textId="77777777" w:rsidR="004507F7" w:rsidRPr="00FB0A3A" w:rsidRDefault="004507F7" w:rsidP="00A3174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7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0876B16D" w14:textId="77777777" w:rsidR="004507F7" w:rsidRPr="00FB0A3A" w:rsidRDefault="004507F7" w:rsidP="00A3174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color w:val="FFFFFF" w:themeColor="background1"/>
                <w:szCs w:val="18"/>
              </w:rPr>
            </w:pPr>
            <w:r w:rsidRPr="00FB0A3A">
              <w:rPr>
                <w:rFonts w:eastAsia="Calibri" w:cs="Times New Roman"/>
                <w:color w:val="FFFFFF" w:themeColor="background1"/>
                <w:szCs w:val="18"/>
              </w:rPr>
              <w:t>ВН</w:t>
            </w:r>
          </w:p>
        </w:tc>
        <w:tc>
          <w:tcPr>
            <w:tcW w:w="6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4C8148A9" w14:textId="77777777" w:rsidR="004507F7" w:rsidRPr="00FB0A3A" w:rsidRDefault="004507F7" w:rsidP="00A3174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color w:val="FFFFFF" w:themeColor="background1"/>
                <w:szCs w:val="18"/>
              </w:rPr>
            </w:pPr>
            <w:r w:rsidRPr="00FB0A3A">
              <w:rPr>
                <w:rFonts w:eastAsia="Calibri" w:cs="Times New Roman"/>
                <w:color w:val="FFFFFF" w:themeColor="background1"/>
                <w:szCs w:val="18"/>
              </w:rPr>
              <w:t>СН1</w:t>
            </w:r>
          </w:p>
        </w:tc>
        <w:tc>
          <w:tcPr>
            <w:tcW w:w="5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6CD5FBA" w14:textId="77777777" w:rsidR="004507F7" w:rsidRPr="00FB0A3A" w:rsidRDefault="004507F7" w:rsidP="00A3174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color w:val="FFFFFF" w:themeColor="background1"/>
                <w:szCs w:val="18"/>
              </w:rPr>
            </w:pPr>
            <w:r w:rsidRPr="00FB0A3A">
              <w:rPr>
                <w:rFonts w:eastAsia="Calibri" w:cs="Times New Roman"/>
                <w:color w:val="FFFFFF" w:themeColor="background1"/>
                <w:szCs w:val="18"/>
              </w:rPr>
              <w:t>СН2</w:t>
            </w:r>
          </w:p>
        </w:tc>
        <w:tc>
          <w:tcPr>
            <w:tcW w:w="6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5FDE1E5D" w14:textId="77777777" w:rsidR="004507F7" w:rsidRPr="00FB0A3A" w:rsidRDefault="004507F7" w:rsidP="00A3174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color w:val="FFFFFF" w:themeColor="background1"/>
                <w:szCs w:val="18"/>
              </w:rPr>
            </w:pPr>
            <w:r w:rsidRPr="00FB0A3A">
              <w:rPr>
                <w:rFonts w:eastAsia="Calibri" w:cs="Times New Roman"/>
                <w:color w:val="FFFFFF" w:themeColor="background1"/>
                <w:szCs w:val="18"/>
              </w:rPr>
              <w:t>НН</w:t>
            </w:r>
          </w:p>
        </w:tc>
      </w:tr>
      <w:tr w:rsidR="004507F7" w:rsidRPr="00FB0A3A" w14:paraId="0E77E14F" w14:textId="77777777" w:rsidTr="00DE3D46">
        <w:tc>
          <w:tcPr>
            <w:cnfStyle w:val="001000000000" w:firstRow="0" w:lastRow="0" w:firstColumn="1" w:lastColumn="0" w:oddVBand="0" w:evenVBand="0" w:oddHBand="0" w:evenHBand="0" w:firstRowFirstColumn="0" w:firstRowLastColumn="0" w:lastRowFirstColumn="0" w:lastRowLastColumn="0"/>
            <w:tcW w:w="1075" w:type="pct"/>
            <w:vMerge w:val="restart"/>
            <w:tcBorders>
              <w:top w:val="single" w:sz="4" w:space="0" w:color="FFFFFF" w:themeColor="background1"/>
            </w:tcBorders>
            <w:hideMark/>
          </w:tcPr>
          <w:p w14:paraId="10F6A22A" w14:textId="2489BE8E" w:rsidR="004507F7" w:rsidRPr="00FB0A3A" w:rsidRDefault="004507F7" w:rsidP="00A31747">
            <w:pPr>
              <w:tabs>
                <w:tab w:val="left" w:pos="1134"/>
              </w:tabs>
              <w:rPr>
                <w:rFonts w:eastAsia="Calibri" w:cs="Times New Roman"/>
                <w:szCs w:val="18"/>
              </w:rPr>
            </w:pPr>
            <w:r w:rsidRPr="00FB0A3A">
              <w:rPr>
                <w:rFonts w:eastAsia="Calibri" w:cs="Times New Roman"/>
                <w:szCs w:val="18"/>
              </w:rPr>
              <w:t>Фактические потери электроэнергии за 2017 год</w:t>
            </w:r>
          </w:p>
        </w:tc>
        <w:tc>
          <w:tcPr>
            <w:tcW w:w="637" w:type="pct"/>
            <w:tcBorders>
              <w:top w:val="single" w:sz="4" w:space="0" w:color="FFFFFF" w:themeColor="background1"/>
            </w:tcBorders>
            <w:hideMark/>
          </w:tcPr>
          <w:p w14:paraId="60B7D057" w14:textId="77777777" w:rsidR="004507F7" w:rsidRPr="00FB0A3A" w:rsidRDefault="004507F7" w:rsidP="00A3174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тыс. кВт ч</w:t>
            </w:r>
          </w:p>
        </w:tc>
        <w:tc>
          <w:tcPr>
            <w:tcW w:w="701" w:type="pct"/>
            <w:tcBorders>
              <w:top w:val="single" w:sz="4" w:space="0" w:color="FFFFFF" w:themeColor="background1"/>
            </w:tcBorders>
            <w:noWrap/>
            <w:hideMark/>
          </w:tcPr>
          <w:p w14:paraId="06C08475" w14:textId="77777777" w:rsidR="004507F7" w:rsidRPr="00FB0A3A" w:rsidRDefault="004507F7" w:rsidP="00A3174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399 663,90</w:t>
            </w:r>
          </w:p>
        </w:tc>
        <w:tc>
          <w:tcPr>
            <w:tcW w:w="724" w:type="pct"/>
            <w:tcBorders>
              <w:top w:val="single" w:sz="4" w:space="0" w:color="FFFFFF" w:themeColor="background1"/>
            </w:tcBorders>
            <w:noWrap/>
            <w:hideMark/>
          </w:tcPr>
          <w:p w14:paraId="22A630BB" w14:textId="77777777" w:rsidR="004507F7" w:rsidRPr="00FB0A3A" w:rsidRDefault="004507F7" w:rsidP="00A3174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338 116,45</w:t>
            </w:r>
          </w:p>
        </w:tc>
        <w:tc>
          <w:tcPr>
            <w:tcW w:w="652" w:type="pct"/>
            <w:tcBorders>
              <w:top w:val="single" w:sz="4" w:space="0" w:color="FFFFFF" w:themeColor="background1"/>
            </w:tcBorders>
            <w:noWrap/>
            <w:hideMark/>
          </w:tcPr>
          <w:p w14:paraId="5CA84090" w14:textId="77777777" w:rsidR="004507F7" w:rsidRPr="00FB0A3A" w:rsidRDefault="004507F7" w:rsidP="00A3174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25 180,10</w:t>
            </w:r>
          </w:p>
        </w:tc>
        <w:tc>
          <w:tcPr>
            <w:tcW w:w="580" w:type="pct"/>
            <w:tcBorders>
              <w:top w:val="single" w:sz="4" w:space="0" w:color="FFFFFF" w:themeColor="background1"/>
            </w:tcBorders>
            <w:noWrap/>
            <w:hideMark/>
          </w:tcPr>
          <w:p w14:paraId="3DC1AADB" w14:textId="77777777" w:rsidR="004507F7" w:rsidRPr="00FB0A3A" w:rsidRDefault="004507F7" w:rsidP="00A3174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27 728,57</w:t>
            </w:r>
          </w:p>
        </w:tc>
        <w:tc>
          <w:tcPr>
            <w:tcW w:w="631" w:type="pct"/>
            <w:tcBorders>
              <w:top w:val="single" w:sz="4" w:space="0" w:color="FFFFFF" w:themeColor="background1"/>
            </w:tcBorders>
            <w:noWrap/>
            <w:hideMark/>
          </w:tcPr>
          <w:p w14:paraId="49C46588" w14:textId="77777777" w:rsidR="004507F7" w:rsidRPr="00FB0A3A" w:rsidRDefault="004507F7" w:rsidP="00A3174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8 638,80</w:t>
            </w:r>
          </w:p>
        </w:tc>
      </w:tr>
      <w:tr w:rsidR="004507F7" w:rsidRPr="00FB0A3A" w14:paraId="14B77191" w14:textId="77777777" w:rsidTr="00D00A0C">
        <w:tc>
          <w:tcPr>
            <w:cnfStyle w:val="001000000000" w:firstRow="0" w:lastRow="0" w:firstColumn="1" w:lastColumn="0" w:oddVBand="0" w:evenVBand="0" w:oddHBand="0" w:evenHBand="0" w:firstRowFirstColumn="0" w:firstRowLastColumn="0" w:lastRowFirstColumn="0" w:lastRowLastColumn="0"/>
            <w:tcW w:w="1075" w:type="pct"/>
            <w:vMerge/>
            <w:hideMark/>
          </w:tcPr>
          <w:p w14:paraId="280B5171" w14:textId="77777777" w:rsidR="004507F7" w:rsidRPr="00FB0A3A" w:rsidRDefault="004507F7" w:rsidP="00A31747">
            <w:pPr>
              <w:tabs>
                <w:tab w:val="left" w:pos="1134"/>
              </w:tabs>
              <w:rPr>
                <w:rFonts w:eastAsia="Calibri" w:cs="Times New Roman"/>
                <w:szCs w:val="18"/>
              </w:rPr>
            </w:pPr>
          </w:p>
        </w:tc>
        <w:tc>
          <w:tcPr>
            <w:tcW w:w="637" w:type="pct"/>
            <w:hideMark/>
          </w:tcPr>
          <w:p w14:paraId="5540294D" w14:textId="77777777" w:rsidR="004507F7" w:rsidRPr="00FB0A3A" w:rsidRDefault="004507F7" w:rsidP="00A3174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w:t>
            </w:r>
          </w:p>
        </w:tc>
        <w:tc>
          <w:tcPr>
            <w:tcW w:w="701" w:type="pct"/>
            <w:noWrap/>
            <w:hideMark/>
          </w:tcPr>
          <w:p w14:paraId="197D533B" w14:textId="77777777" w:rsidR="004507F7" w:rsidRPr="00FB0A3A" w:rsidRDefault="004507F7" w:rsidP="00A3174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3,51</w:t>
            </w:r>
          </w:p>
        </w:tc>
        <w:tc>
          <w:tcPr>
            <w:tcW w:w="724" w:type="pct"/>
            <w:noWrap/>
            <w:hideMark/>
          </w:tcPr>
          <w:p w14:paraId="77EEB341" w14:textId="77777777" w:rsidR="004507F7" w:rsidRPr="00FB0A3A" w:rsidRDefault="004507F7" w:rsidP="00A3174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3,04</w:t>
            </w:r>
          </w:p>
        </w:tc>
        <w:tc>
          <w:tcPr>
            <w:tcW w:w="652" w:type="pct"/>
            <w:noWrap/>
            <w:hideMark/>
          </w:tcPr>
          <w:p w14:paraId="1B5FC6FE" w14:textId="77777777" w:rsidR="004507F7" w:rsidRPr="00FB0A3A" w:rsidRDefault="004507F7" w:rsidP="00A3174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2,32</w:t>
            </w:r>
          </w:p>
        </w:tc>
        <w:tc>
          <w:tcPr>
            <w:tcW w:w="580" w:type="pct"/>
            <w:noWrap/>
            <w:hideMark/>
          </w:tcPr>
          <w:p w14:paraId="4461B3D9" w14:textId="77777777" w:rsidR="004507F7" w:rsidRPr="00FB0A3A" w:rsidRDefault="004507F7" w:rsidP="00A3174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5,17</w:t>
            </w:r>
          </w:p>
        </w:tc>
        <w:tc>
          <w:tcPr>
            <w:tcW w:w="631" w:type="pct"/>
            <w:noWrap/>
            <w:hideMark/>
          </w:tcPr>
          <w:p w14:paraId="733D60CC" w14:textId="77777777" w:rsidR="004507F7" w:rsidRPr="00FB0A3A" w:rsidRDefault="004507F7" w:rsidP="00A3174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5,36</w:t>
            </w:r>
          </w:p>
        </w:tc>
      </w:tr>
      <w:tr w:rsidR="004507F7" w:rsidRPr="00FB0A3A" w14:paraId="031BDBB0" w14:textId="77777777" w:rsidTr="00D00A0C">
        <w:tc>
          <w:tcPr>
            <w:cnfStyle w:val="001000000000" w:firstRow="0" w:lastRow="0" w:firstColumn="1" w:lastColumn="0" w:oddVBand="0" w:evenVBand="0" w:oddHBand="0" w:evenHBand="0" w:firstRowFirstColumn="0" w:firstRowLastColumn="0" w:lastRowFirstColumn="0" w:lastRowLastColumn="0"/>
            <w:tcW w:w="1075" w:type="pct"/>
            <w:hideMark/>
          </w:tcPr>
          <w:p w14:paraId="5C8C7A1A" w14:textId="77777777" w:rsidR="004507F7" w:rsidRPr="00FB0A3A" w:rsidRDefault="004507F7" w:rsidP="00A31747">
            <w:pPr>
              <w:tabs>
                <w:tab w:val="left" w:pos="1134"/>
              </w:tabs>
              <w:rPr>
                <w:rFonts w:eastAsia="Calibri" w:cs="Times New Roman"/>
                <w:szCs w:val="18"/>
              </w:rPr>
            </w:pPr>
            <w:r w:rsidRPr="00FB0A3A">
              <w:rPr>
                <w:rFonts w:eastAsia="Calibri" w:cs="Times New Roman"/>
                <w:szCs w:val="18"/>
              </w:rPr>
              <w:t>Норматив потерь электроэнергии по приказу Минэнерго России от 26.09.2017 № 887</w:t>
            </w:r>
          </w:p>
        </w:tc>
        <w:tc>
          <w:tcPr>
            <w:tcW w:w="637" w:type="pct"/>
            <w:hideMark/>
          </w:tcPr>
          <w:p w14:paraId="14351AA7" w14:textId="77777777" w:rsidR="004507F7" w:rsidRPr="00FB0A3A" w:rsidRDefault="004507F7" w:rsidP="00A3174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w:t>
            </w:r>
          </w:p>
        </w:tc>
        <w:tc>
          <w:tcPr>
            <w:tcW w:w="701" w:type="pct"/>
            <w:noWrap/>
            <w:hideMark/>
          </w:tcPr>
          <w:p w14:paraId="544C3F06" w14:textId="7705AF45" w:rsidR="004507F7" w:rsidRPr="00FB0A3A" w:rsidRDefault="004507F7" w:rsidP="00A3174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724" w:type="pct"/>
            <w:noWrap/>
            <w:hideMark/>
          </w:tcPr>
          <w:p w14:paraId="0C1AB887" w14:textId="77777777" w:rsidR="004507F7" w:rsidRPr="00FB0A3A" w:rsidRDefault="004507F7" w:rsidP="00A3174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4,75</w:t>
            </w:r>
          </w:p>
        </w:tc>
        <w:tc>
          <w:tcPr>
            <w:tcW w:w="652" w:type="pct"/>
            <w:noWrap/>
            <w:hideMark/>
          </w:tcPr>
          <w:p w14:paraId="7825C35E" w14:textId="77777777" w:rsidR="004507F7" w:rsidRPr="00FB0A3A" w:rsidRDefault="004507F7" w:rsidP="00A3174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5,45</w:t>
            </w:r>
          </w:p>
        </w:tc>
        <w:tc>
          <w:tcPr>
            <w:tcW w:w="580" w:type="pct"/>
            <w:noWrap/>
            <w:hideMark/>
          </w:tcPr>
          <w:p w14:paraId="5BC4F36B" w14:textId="77777777" w:rsidR="004507F7" w:rsidRPr="00FB0A3A" w:rsidRDefault="004507F7" w:rsidP="00A3174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8,49</w:t>
            </w:r>
          </w:p>
        </w:tc>
        <w:tc>
          <w:tcPr>
            <w:tcW w:w="631" w:type="pct"/>
            <w:noWrap/>
            <w:hideMark/>
          </w:tcPr>
          <w:p w14:paraId="2DBB3CE5" w14:textId="77777777" w:rsidR="004507F7" w:rsidRPr="00FB0A3A" w:rsidRDefault="004507F7" w:rsidP="00A3174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13,49</w:t>
            </w:r>
          </w:p>
        </w:tc>
      </w:tr>
      <w:tr w:rsidR="004507F7" w:rsidRPr="00FB0A3A" w14:paraId="6B067886" w14:textId="77777777" w:rsidTr="00D00A0C">
        <w:tc>
          <w:tcPr>
            <w:cnfStyle w:val="001000000000" w:firstRow="0" w:lastRow="0" w:firstColumn="1" w:lastColumn="0" w:oddVBand="0" w:evenVBand="0" w:oddHBand="0" w:evenHBand="0" w:firstRowFirstColumn="0" w:firstRowLastColumn="0" w:lastRowFirstColumn="0" w:lastRowLastColumn="0"/>
            <w:tcW w:w="1075" w:type="pct"/>
            <w:vMerge w:val="restart"/>
            <w:hideMark/>
          </w:tcPr>
          <w:p w14:paraId="5EC78EC8" w14:textId="27E1B406" w:rsidR="004507F7" w:rsidRPr="00FB0A3A" w:rsidRDefault="004507F7" w:rsidP="00A31747">
            <w:pPr>
              <w:tabs>
                <w:tab w:val="left" w:pos="1134"/>
              </w:tabs>
              <w:rPr>
                <w:rFonts w:eastAsia="Calibri" w:cs="Times New Roman"/>
                <w:szCs w:val="18"/>
              </w:rPr>
            </w:pPr>
            <w:r w:rsidRPr="00FB0A3A">
              <w:rPr>
                <w:rFonts w:eastAsia="Calibri" w:cs="Times New Roman"/>
                <w:szCs w:val="18"/>
              </w:rPr>
              <w:t>Плановые потери электроэнергии на 2019 год</w:t>
            </w:r>
          </w:p>
        </w:tc>
        <w:tc>
          <w:tcPr>
            <w:tcW w:w="637" w:type="pct"/>
            <w:hideMark/>
          </w:tcPr>
          <w:p w14:paraId="28BD7011" w14:textId="77777777" w:rsidR="004507F7" w:rsidRPr="00FB0A3A" w:rsidRDefault="004507F7" w:rsidP="00A3174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w:t>
            </w:r>
          </w:p>
        </w:tc>
        <w:tc>
          <w:tcPr>
            <w:tcW w:w="701" w:type="pct"/>
            <w:noWrap/>
            <w:hideMark/>
          </w:tcPr>
          <w:p w14:paraId="06810BC1" w14:textId="77777777" w:rsidR="004507F7" w:rsidRPr="00FB0A3A" w:rsidRDefault="004507F7" w:rsidP="00A3174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3,5072</w:t>
            </w:r>
          </w:p>
        </w:tc>
        <w:tc>
          <w:tcPr>
            <w:tcW w:w="724" w:type="pct"/>
            <w:noWrap/>
            <w:hideMark/>
          </w:tcPr>
          <w:p w14:paraId="1FAC9AD8" w14:textId="77777777" w:rsidR="004507F7" w:rsidRPr="00FB0A3A" w:rsidRDefault="004507F7" w:rsidP="00A3174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3,04</w:t>
            </w:r>
          </w:p>
        </w:tc>
        <w:tc>
          <w:tcPr>
            <w:tcW w:w="652" w:type="pct"/>
            <w:noWrap/>
            <w:hideMark/>
          </w:tcPr>
          <w:p w14:paraId="3BBD1EFF" w14:textId="77777777" w:rsidR="004507F7" w:rsidRPr="00FB0A3A" w:rsidRDefault="004507F7" w:rsidP="00A3174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2,32</w:t>
            </w:r>
          </w:p>
        </w:tc>
        <w:tc>
          <w:tcPr>
            <w:tcW w:w="580" w:type="pct"/>
            <w:noWrap/>
            <w:hideMark/>
          </w:tcPr>
          <w:p w14:paraId="615ADDE6" w14:textId="77777777" w:rsidR="004507F7" w:rsidRPr="00FB0A3A" w:rsidRDefault="004507F7" w:rsidP="00A3174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5,17</w:t>
            </w:r>
          </w:p>
        </w:tc>
        <w:tc>
          <w:tcPr>
            <w:tcW w:w="631" w:type="pct"/>
            <w:noWrap/>
            <w:hideMark/>
          </w:tcPr>
          <w:p w14:paraId="75FFA268" w14:textId="77777777" w:rsidR="004507F7" w:rsidRPr="00FB0A3A" w:rsidRDefault="004507F7" w:rsidP="00A3174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5,36</w:t>
            </w:r>
          </w:p>
        </w:tc>
      </w:tr>
      <w:tr w:rsidR="004507F7" w:rsidRPr="00FB0A3A" w14:paraId="061E96AA" w14:textId="77777777" w:rsidTr="00D00A0C">
        <w:tc>
          <w:tcPr>
            <w:cnfStyle w:val="001000000000" w:firstRow="0" w:lastRow="0" w:firstColumn="1" w:lastColumn="0" w:oddVBand="0" w:evenVBand="0" w:oddHBand="0" w:evenHBand="0" w:firstRowFirstColumn="0" w:firstRowLastColumn="0" w:lastRowFirstColumn="0" w:lastRowLastColumn="0"/>
            <w:tcW w:w="1075" w:type="pct"/>
            <w:vMerge/>
            <w:hideMark/>
          </w:tcPr>
          <w:p w14:paraId="724A998C" w14:textId="1F5E770C" w:rsidR="004507F7" w:rsidRPr="00FB0A3A" w:rsidRDefault="004507F7" w:rsidP="00A31747">
            <w:pPr>
              <w:tabs>
                <w:tab w:val="left" w:pos="1134"/>
              </w:tabs>
              <w:jc w:val="center"/>
              <w:rPr>
                <w:rFonts w:eastAsia="Calibri" w:cs="Times New Roman"/>
                <w:szCs w:val="18"/>
              </w:rPr>
            </w:pPr>
          </w:p>
        </w:tc>
        <w:tc>
          <w:tcPr>
            <w:tcW w:w="637" w:type="pct"/>
            <w:hideMark/>
          </w:tcPr>
          <w:p w14:paraId="32F18D37" w14:textId="77777777" w:rsidR="004507F7" w:rsidRPr="00FB0A3A" w:rsidRDefault="004507F7" w:rsidP="00A3174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тыс. кВт ч</w:t>
            </w:r>
          </w:p>
        </w:tc>
        <w:tc>
          <w:tcPr>
            <w:tcW w:w="701" w:type="pct"/>
            <w:noWrap/>
            <w:hideMark/>
          </w:tcPr>
          <w:p w14:paraId="77C34C78" w14:textId="77777777" w:rsidR="004507F7" w:rsidRPr="00FB0A3A" w:rsidRDefault="004507F7" w:rsidP="00A3174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394 048,38</w:t>
            </w:r>
          </w:p>
        </w:tc>
        <w:tc>
          <w:tcPr>
            <w:tcW w:w="724" w:type="pct"/>
            <w:noWrap/>
            <w:hideMark/>
          </w:tcPr>
          <w:p w14:paraId="1A59A177" w14:textId="77777777" w:rsidR="004507F7" w:rsidRPr="00FB0A3A" w:rsidRDefault="004507F7" w:rsidP="00A3174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333 673,95</w:t>
            </w:r>
          </w:p>
        </w:tc>
        <w:tc>
          <w:tcPr>
            <w:tcW w:w="652" w:type="pct"/>
            <w:noWrap/>
            <w:hideMark/>
          </w:tcPr>
          <w:p w14:paraId="7B940E18" w14:textId="77777777" w:rsidR="004507F7" w:rsidRPr="00FB0A3A" w:rsidRDefault="004507F7" w:rsidP="00A3174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24 755,47</w:t>
            </w:r>
          </w:p>
        </w:tc>
        <w:tc>
          <w:tcPr>
            <w:tcW w:w="580" w:type="pct"/>
            <w:noWrap/>
            <w:hideMark/>
          </w:tcPr>
          <w:p w14:paraId="79EDB3F0" w14:textId="77777777" w:rsidR="004507F7" w:rsidRPr="00FB0A3A" w:rsidRDefault="004507F7" w:rsidP="00A3174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26 894,45</w:t>
            </w:r>
          </w:p>
        </w:tc>
        <w:tc>
          <w:tcPr>
            <w:tcW w:w="631" w:type="pct"/>
            <w:noWrap/>
            <w:hideMark/>
          </w:tcPr>
          <w:p w14:paraId="2F1CFCE5" w14:textId="77777777" w:rsidR="004507F7" w:rsidRPr="00FB0A3A" w:rsidRDefault="004507F7" w:rsidP="00A3174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8 724,51</w:t>
            </w:r>
          </w:p>
        </w:tc>
      </w:tr>
    </w:tbl>
    <w:p w14:paraId="5C378494" w14:textId="514415CF" w:rsidR="004507F7" w:rsidRPr="00FB0A3A" w:rsidRDefault="004507F7" w:rsidP="00A31747">
      <w:pPr>
        <w:pStyle w:val="afff7"/>
        <w:tabs>
          <w:tab w:val="left" w:pos="1134"/>
        </w:tabs>
        <w:spacing w:after="200"/>
      </w:pPr>
      <w:r w:rsidRPr="00FB0A3A">
        <w:lastRenderedPageBreak/>
        <w:t>Уровень потерь на 2019 год установлен Комитетом также по фактическим показателям уровня потерь 2017 года по уровням напряжения.</w:t>
      </w:r>
    </w:p>
    <w:tbl>
      <w:tblPr>
        <w:tblStyle w:val="afff6"/>
        <w:tblpPr w:leftFromText="180" w:rightFromText="180" w:vertAnchor="text" w:horzAnchor="margin" w:tblpY="-15"/>
        <w:tblW w:w="5000" w:type="pct"/>
        <w:tblLook w:val="04A0" w:firstRow="1" w:lastRow="0" w:firstColumn="1" w:lastColumn="0" w:noHBand="0" w:noVBand="1"/>
      </w:tblPr>
      <w:tblGrid>
        <w:gridCol w:w="4579"/>
        <w:gridCol w:w="1213"/>
        <w:gridCol w:w="1347"/>
        <w:gridCol w:w="1127"/>
        <w:gridCol w:w="1078"/>
      </w:tblGrid>
      <w:tr w:rsidR="004507F7" w:rsidRPr="00FB0A3A" w14:paraId="51A1FC6C" w14:textId="77777777" w:rsidTr="00C079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7887C4A1" w14:textId="025629D8" w:rsidR="004507F7" w:rsidRPr="00FB0A3A" w:rsidRDefault="00D00A0C" w:rsidP="00A31747">
            <w:pPr>
              <w:tabs>
                <w:tab w:val="left" w:pos="1134"/>
              </w:tabs>
              <w:jc w:val="center"/>
              <w:rPr>
                <w:rFonts w:cs="Times New Roman"/>
                <w:b/>
                <w:bCs/>
                <w:sz w:val="20"/>
                <w:szCs w:val="20"/>
              </w:rPr>
            </w:pPr>
            <w:r w:rsidRPr="00FB0A3A">
              <w:rPr>
                <w:rFonts w:cs="Times New Roman"/>
                <w:b/>
                <w:bCs/>
                <w:sz w:val="20"/>
                <w:szCs w:val="20"/>
              </w:rPr>
              <w:t>У</w:t>
            </w:r>
            <w:r w:rsidR="004507F7" w:rsidRPr="00FB0A3A">
              <w:rPr>
                <w:rFonts w:cs="Times New Roman"/>
                <w:b/>
                <w:bCs/>
                <w:sz w:val="20"/>
                <w:szCs w:val="20"/>
              </w:rPr>
              <w:t>ровень напряжения</w:t>
            </w:r>
          </w:p>
        </w:tc>
        <w:tc>
          <w:tcPr>
            <w:tcW w:w="6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0B8F408A" w14:textId="77777777" w:rsidR="004507F7" w:rsidRPr="00FB0A3A" w:rsidRDefault="004507F7" w:rsidP="00A31747">
            <w:pPr>
              <w:tabs>
                <w:tab w:val="left" w:pos="1134"/>
              </w:tabs>
              <w:cnfStyle w:val="100000000000" w:firstRow="1" w:lastRow="0" w:firstColumn="0" w:lastColumn="0" w:oddVBand="0" w:evenVBand="0" w:oddHBand="0" w:evenHBand="0" w:firstRowFirstColumn="0" w:firstRowLastColumn="0" w:lastRowFirstColumn="0" w:lastRowLastColumn="0"/>
              <w:rPr>
                <w:rFonts w:cs="Times New Roman"/>
                <w:b/>
                <w:bCs/>
                <w:sz w:val="20"/>
                <w:szCs w:val="20"/>
              </w:rPr>
            </w:pPr>
            <w:r w:rsidRPr="00FB0A3A">
              <w:rPr>
                <w:rFonts w:cs="Times New Roman"/>
                <w:b/>
                <w:bCs/>
                <w:sz w:val="20"/>
                <w:szCs w:val="20"/>
              </w:rPr>
              <w:t>ВН</w:t>
            </w:r>
          </w:p>
        </w:tc>
        <w:tc>
          <w:tcPr>
            <w:tcW w:w="7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11AB9EEA" w14:textId="77777777" w:rsidR="004507F7" w:rsidRPr="00FB0A3A" w:rsidRDefault="004507F7" w:rsidP="00A31747">
            <w:pPr>
              <w:tabs>
                <w:tab w:val="left" w:pos="1134"/>
              </w:tabs>
              <w:cnfStyle w:val="100000000000" w:firstRow="1" w:lastRow="0" w:firstColumn="0" w:lastColumn="0" w:oddVBand="0" w:evenVBand="0" w:oddHBand="0" w:evenHBand="0" w:firstRowFirstColumn="0" w:firstRowLastColumn="0" w:lastRowFirstColumn="0" w:lastRowLastColumn="0"/>
              <w:rPr>
                <w:rFonts w:cs="Times New Roman"/>
                <w:b/>
                <w:bCs/>
                <w:sz w:val="20"/>
                <w:szCs w:val="20"/>
              </w:rPr>
            </w:pPr>
            <w:r w:rsidRPr="00FB0A3A">
              <w:rPr>
                <w:rFonts w:cs="Times New Roman"/>
                <w:b/>
                <w:bCs/>
                <w:sz w:val="20"/>
                <w:szCs w:val="20"/>
              </w:rPr>
              <w:t>СН1</w:t>
            </w:r>
          </w:p>
        </w:tc>
        <w:tc>
          <w:tcPr>
            <w:tcW w:w="6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7FFC33FF" w14:textId="77777777" w:rsidR="004507F7" w:rsidRPr="00FB0A3A" w:rsidRDefault="004507F7" w:rsidP="00A31747">
            <w:pPr>
              <w:tabs>
                <w:tab w:val="left" w:pos="1134"/>
              </w:tabs>
              <w:cnfStyle w:val="100000000000" w:firstRow="1" w:lastRow="0" w:firstColumn="0" w:lastColumn="0" w:oddVBand="0" w:evenVBand="0" w:oddHBand="0" w:evenHBand="0" w:firstRowFirstColumn="0" w:firstRowLastColumn="0" w:lastRowFirstColumn="0" w:lastRowLastColumn="0"/>
              <w:rPr>
                <w:rFonts w:cs="Times New Roman"/>
                <w:b/>
                <w:bCs/>
                <w:sz w:val="20"/>
                <w:szCs w:val="20"/>
              </w:rPr>
            </w:pPr>
            <w:r w:rsidRPr="00FB0A3A">
              <w:rPr>
                <w:rFonts w:cs="Times New Roman"/>
                <w:b/>
                <w:bCs/>
                <w:sz w:val="20"/>
                <w:szCs w:val="20"/>
              </w:rPr>
              <w:t>СН2</w:t>
            </w:r>
          </w:p>
        </w:tc>
        <w:tc>
          <w:tcPr>
            <w:tcW w:w="5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0963B84C" w14:textId="77777777" w:rsidR="004507F7" w:rsidRPr="00FB0A3A" w:rsidRDefault="004507F7" w:rsidP="00A31747">
            <w:pPr>
              <w:tabs>
                <w:tab w:val="left" w:pos="1134"/>
              </w:tabs>
              <w:cnfStyle w:val="100000000000" w:firstRow="1" w:lastRow="0" w:firstColumn="0" w:lastColumn="0" w:oddVBand="0" w:evenVBand="0" w:oddHBand="0" w:evenHBand="0" w:firstRowFirstColumn="0" w:firstRowLastColumn="0" w:lastRowFirstColumn="0" w:lastRowLastColumn="0"/>
              <w:rPr>
                <w:rFonts w:cs="Times New Roman"/>
                <w:b/>
                <w:bCs/>
                <w:sz w:val="20"/>
                <w:szCs w:val="20"/>
              </w:rPr>
            </w:pPr>
            <w:r w:rsidRPr="00FB0A3A">
              <w:rPr>
                <w:rFonts w:cs="Times New Roman"/>
                <w:b/>
                <w:bCs/>
                <w:sz w:val="20"/>
                <w:szCs w:val="20"/>
              </w:rPr>
              <w:t>НН</w:t>
            </w:r>
          </w:p>
        </w:tc>
      </w:tr>
      <w:tr w:rsidR="004507F7" w:rsidRPr="00FB0A3A" w14:paraId="664DB0AB" w14:textId="77777777" w:rsidTr="00C0799E">
        <w:tc>
          <w:tcPr>
            <w:cnfStyle w:val="001000000000" w:firstRow="0" w:lastRow="0" w:firstColumn="1" w:lastColumn="0" w:oddVBand="0" w:evenVBand="0" w:oddHBand="0" w:evenHBand="0" w:firstRowFirstColumn="0" w:firstRowLastColumn="0" w:lastRowFirstColumn="0" w:lastRowLastColumn="0"/>
            <w:tcW w:w="2450" w:type="pct"/>
            <w:tcBorders>
              <w:top w:val="single" w:sz="4" w:space="0" w:color="FFFFFF" w:themeColor="background1"/>
            </w:tcBorders>
            <w:noWrap/>
            <w:hideMark/>
          </w:tcPr>
          <w:p w14:paraId="4E5D99A5" w14:textId="744A193C" w:rsidR="004507F7" w:rsidRPr="00FB0A3A" w:rsidRDefault="00D00A0C" w:rsidP="00A31747">
            <w:pPr>
              <w:tabs>
                <w:tab w:val="left" w:pos="1134"/>
              </w:tabs>
              <w:rPr>
                <w:rFonts w:cs="Times New Roman"/>
                <w:sz w:val="20"/>
                <w:szCs w:val="20"/>
              </w:rPr>
            </w:pPr>
            <w:r w:rsidRPr="00FB0A3A">
              <w:rPr>
                <w:rFonts w:cs="Times New Roman"/>
                <w:sz w:val="20"/>
                <w:szCs w:val="20"/>
              </w:rPr>
              <w:t>Н</w:t>
            </w:r>
            <w:r w:rsidR="004507F7" w:rsidRPr="00FB0A3A">
              <w:rPr>
                <w:rFonts w:cs="Times New Roman"/>
                <w:sz w:val="20"/>
                <w:szCs w:val="20"/>
              </w:rPr>
              <w:t>ормативный уровень потерь, %</w:t>
            </w:r>
          </w:p>
        </w:tc>
        <w:tc>
          <w:tcPr>
            <w:tcW w:w="649" w:type="pct"/>
            <w:tcBorders>
              <w:top w:val="single" w:sz="4" w:space="0" w:color="FFFFFF" w:themeColor="background1"/>
            </w:tcBorders>
            <w:noWrap/>
            <w:hideMark/>
          </w:tcPr>
          <w:p w14:paraId="77DC23AF" w14:textId="77777777" w:rsidR="004507F7" w:rsidRPr="00FB0A3A" w:rsidRDefault="004507F7"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FB0A3A">
              <w:rPr>
                <w:rFonts w:cs="Times New Roman"/>
                <w:sz w:val="20"/>
                <w:szCs w:val="20"/>
              </w:rPr>
              <w:t>3,04</w:t>
            </w:r>
          </w:p>
        </w:tc>
        <w:tc>
          <w:tcPr>
            <w:tcW w:w="721" w:type="pct"/>
            <w:tcBorders>
              <w:top w:val="single" w:sz="4" w:space="0" w:color="FFFFFF" w:themeColor="background1"/>
            </w:tcBorders>
            <w:noWrap/>
            <w:hideMark/>
          </w:tcPr>
          <w:p w14:paraId="5351DB1F" w14:textId="77777777" w:rsidR="004507F7" w:rsidRPr="00FB0A3A" w:rsidRDefault="004507F7"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FB0A3A">
              <w:rPr>
                <w:rFonts w:cs="Times New Roman"/>
                <w:sz w:val="20"/>
                <w:szCs w:val="20"/>
              </w:rPr>
              <w:t>2,32</w:t>
            </w:r>
          </w:p>
        </w:tc>
        <w:tc>
          <w:tcPr>
            <w:tcW w:w="603" w:type="pct"/>
            <w:tcBorders>
              <w:top w:val="single" w:sz="4" w:space="0" w:color="FFFFFF" w:themeColor="background1"/>
            </w:tcBorders>
            <w:noWrap/>
            <w:hideMark/>
          </w:tcPr>
          <w:p w14:paraId="0650197E" w14:textId="77777777" w:rsidR="004507F7" w:rsidRPr="00FB0A3A" w:rsidRDefault="004507F7"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FB0A3A">
              <w:rPr>
                <w:rFonts w:cs="Times New Roman"/>
                <w:sz w:val="20"/>
                <w:szCs w:val="20"/>
              </w:rPr>
              <w:t>5,17</w:t>
            </w:r>
          </w:p>
        </w:tc>
        <w:tc>
          <w:tcPr>
            <w:tcW w:w="577" w:type="pct"/>
            <w:tcBorders>
              <w:top w:val="single" w:sz="4" w:space="0" w:color="FFFFFF" w:themeColor="background1"/>
            </w:tcBorders>
            <w:noWrap/>
            <w:hideMark/>
          </w:tcPr>
          <w:p w14:paraId="49EEB976" w14:textId="77777777" w:rsidR="004507F7" w:rsidRPr="00FB0A3A" w:rsidRDefault="004507F7" w:rsidP="00A31747">
            <w:pPr>
              <w:tabs>
                <w:tab w:val="left" w:pos="1134"/>
              </w:tabs>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FB0A3A">
              <w:rPr>
                <w:rFonts w:cs="Times New Roman"/>
                <w:sz w:val="20"/>
                <w:szCs w:val="20"/>
              </w:rPr>
              <w:t>5,36</w:t>
            </w:r>
          </w:p>
        </w:tc>
      </w:tr>
    </w:tbl>
    <w:p w14:paraId="7CE57D08" w14:textId="7E1FD64D" w:rsidR="004507F7" w:rsidRPr="00FB0A3A" w:rsidRDefault="004507F7" w:rsidP="00A31747">
      <w:pPr>
        <w:pStyle w:val="afff7"/>
        <w:tabs>
          <w:tab w:val="left" w:pos="1134"/>
        </w:tabs>
      </w:pPr>
      <w:r w:rsidRPr="00FB0A3A">
        <w:t xml:space="preserve">Необходимо отметить, </w:t>
      </w:r>
      <w:r w:rsidRPr="00075631">
        <w:t>что Комитетом в нарушение пункта 40 (1) Основ ценообразования</w:t>
      </w:r>
      <w:r w:rsidR="008362D0" w:rsidRPr="00075631">
        <w:t xml:space="preserve"> №</w:t>
      </w:r>
      <w:r w:rsidRPr="00075631">
        <w:t xml:space="preserve"> 1178 уровень потерь установлен по уровням напряжения, а не средневзвешенное значение уровня потерь по всем уровням напряжения.</w:t>
      </w:r>
    </w:p>
    <w:p w14:paraId="44E43A2B" w14:textId="20CCAD3E" w:rsidR="004507F7" w:rsidRDefault="00C818F0" w:rsidP="00A31747">
      <w:pPr>
        <w:tabs>
          <w:tab w:val="left" w:pos="1134"/>
        </w:tabs>
        <w:spacing w:after="0" w:line="360" w:lineRule="auto"/>
        <w:ind w:firstLine="567"/>
        <w:jc w:val="both"/>
        <w:rPr>
          <w:rFonts w:ascii="Myriad Pro" w:eastAsia="Calibri" w:hAnsi="Myriad Pro" w:cs="Times New Roman"/>
          <w:sz w:val="26"/>
          <w:szCs w:val="26"/>
        </w:rPr>
      </w:pPr>
      <w:r w:rsidRPr="00FB0A3A">
        <w:rPr>
          <w:rFonts w:ascii="Myriad Pro" w:eastAsia="Calibri" w:hAnsi="Myriad Pro" w:cs="Times New Roman"/>
          <w:sz w:val="26"/>
          <w:szCs w:val="26"/>
        </w:rPr>
        <w:t xml:space="preserve">Определить </w:t>
      </w:r>
      <w:r w:rsidR="00DE6822" w:rsidRPr="00FB0A3A">
        <w:rPr>
          <w:rFonts w:ascii="Myriad Pro" w:eastAsia="Calibri" w:hAnsi="Myriad Pro" w:cs="Times New Roman"/>
          <w:sz w:val="26"/>
          <w:szCs w:val="26"/>
        </w:rPr>
        <w:t xml:space="preserve">плановое </w:t>
      </w:r>
      <w:r w:rsidRPr="00FB0A3A">
        <w:rPr>
          <w:rFonts w:ascii="Myriad Pro" w:eastAsia="Calibri" w:hAnsi="Myriad Pro" w:cs="Times New Roman"/>
          <w:sz w:val="26"/>
          <w:szCs w:val="26"/>
        </w:rPr>
        <w:t>средневзвешенное значение уровня потерь</w:t>
      </w:r>
      <w:r w:rsidR="00DE6822" w:rsidRPr="00FB0A3A">
        <w:rPr>
          <w:rFonts w:ascii="Myriad Pro" w:eastAsia="Calibri" w:hAnsi="Myriad Pro" w:cs="Times New Roman"/>
          <w:sz w:val="26"/>
          <w:szCs w:val="26"/>
        </w:rPr>
        <w:t xml:space="preserve"> </w:t>
      </w:r>
      <w:r w:rsidRPr="00FB0A3A">
        <w:rPr>
          <w:rFonts w:ascii="Myriad Pro" w:eastAsia="Calibri" w:hAnsi="Myriad Pro" w:cs="Times New Roman"/>
          <w:sz w:val="26"/>
          <w:szCs w:val="26"/>
        </w:rPr>
        <w:t>к объему отпуска в сеть</w:t>
      </w:r>
      <w:r w:rsidR="00DE6822" w:rsidRPr="00FB0A3A">
        <w:rPr>
          <w:rFonts w:ascii="Myriad Pro" w:eastAsia="Calibri" w:hAnsi="Myriad Pro" w:cs="Times New Roman"/>
          <w:sz w:val="26"/>
          <w:szCs w:val="26"/>
        </w:rPr>
        <w:t>,</w:t>
      </w:r>
      <w:r w:rsidRPr="00FB0A3A">
        <w:rPr>
          <w:rFonts w:ascii="Myriad Pro" w:eastAsia="Calibri" w:hAnsi="Myriad Pro" w:cs="Times New Roman"/>
          <w:sz w:val="26"/>
          <w:szCs w:val="26"/>
        </w:rPr>
        <w:t xml:space="preserve"> </w:t>
      </w:r>
      <w:r w:rsidR="00DE6822" w:rsidRPr="00FB0A3A">
        <w:rPr>
          <w:rFonts w:ascii="Myriad Pro" w:eastAsia="Calibri" w:hAnsi="Myriad Pro" w:cs="Times New Roman"/>
          <w:sz w:val="26"/>
          <w:szCs w:val="26"/>
        </w:rPr>
        <w:t xml:space="preserve">учтенное Комитетом при установлении Филиалу тарифов на услуги по передаче электрической энергии </w:t>
      </w:r>
      <w:r w:rsidRPr="00FB0A3A">
        <w:rPr>
          <w:rFonts w:ascii="Myriad Pro" w:eastAsia="Calibri" w:hAnsi="Myriad Pro" w:cs="Times New Roman"/>
          <w:sz w:val="26"/>
          <w:szCs w:val="26"/>
        </w:rPr>
        <w:t xml:space="preserve">не предоставляется возможным, в связи с тем, что Комитетом в нормативно-правовых актах не отражены объемы полезного отпуска, учтенные при расчете тарифов на услуги по передаче электрической энергии филиалу ПАО </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МРСК Северо-Запада</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 xml:space="preserve"> </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Колэнерго</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 xml:space="preserve"> и объемы поступления в сеть филиала ПАО </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МРСК Северо-Запада</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 xml:space="preserve"> </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Колэнерго</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w:t>
      </w:r>
    </w:p>
    <w:p w14:paraId="671EDD97" w14:textId="17574900" w:rsidR="00CA7C4B" w:rsidRPr="00D9216E" w:rsidRDefault="00CA7C4B" w:rsidP="00296C71">
      <w:pPr>
        <w:tabs>
          <w:tab w:val="left" w:pos="1134"/>
        </w:tabs>
        <w:spacing w:after="0" w:line="360" w:lineRule="auto"/>
        <w:ind w:firstLine="567"/>
        <w:jc w:val="both"/>
        <w:rPr>
          <w:rFonts w:ascii="Myriad Pro" w:eastAsia="Calibri" w:hAnsi="Myriad Pro" w:cs="Times New Roman"/>
          <w:b/>
          <w:sz w:val="26"/>
          <w:szCs w:val="26"/>
          <w:u w:val="single"/>
        </w:rPr>
      </w:pPr>
      <w:r w:rsidRPr="00D9216E">
        <w:rPr>
          <w:rFonts w:ascii="Myriad Pro" w:eastAsia="Calibri" w:hAnsi="Myriad Pro" w:cs="Times New Roman"/>
          <w:b/>
          <w:sz w:val="26"/>
          <w:szCs w:val="26"/>
        </w:rPr>
        <w:t>На официальном</w:t>
      </w:r>
      <w:r w:rsidR="00CD4078" w:rsidRPr="00D9216E">
        <w:rPr>
          <w:rFonts w:ascii="Myriad Pro" w:eastAsia="Calibri" w:hAnsi="Myriad Pro" w:cs="Times New Roman"/>
          <w:b/>
          <w:sz w:val="26"/>
          <w:szCs w:val="26"/>
        </w:rPr>
        <w:t xml:space="preserve"> </w:t>
      </w:r>
      <w:r w:rsidR="00556C8A" w:rsidRPr="00D9216E">
        <w:rPr>
          <w:rFonts w:ascii="Myriad Pro" w:eastAsia="Calibri" w:hAnsi="Myriad Pro" w:cs="Times New Roman"/>
          <w:b/>
          <w:sz w:val="26"/>
          <w:szCs w:val="26"/>
        </w:rPr>
        <w:t xml:space="preserve">сайте ПАО «МРСК Северо-Запада» в раскрытии информации </w:t>
      </w:r>
      <w:r w:rsidR="00556C8A" w:rsidRPr="00D9216E">
        <w:rPr>
          <w:rFonts w:ascii="Myriad Pro" w:eastAsia="Calibri" w:hAnsi="Myriad Pro" w:cs="Times New Roman"/>
          <w:b/>
          <w:sz w:val="26"/>
          <w:szCs w:val="26"/>
          <w:u w:val="single"/>
        </w:rPr>
        <w:t>по балансам на 2019 год</w:t>
      </w:r>
      <w:r w:rsidR="00556C8A" w:rsidRPr="00D9216E">
        <w:rPr>
          <w:rFonts w:ascii="Myriad Pro" w:eastAsia="Calibri" w:hAnsi="Myriad Pro" w:cs="Times New Roman"/>
          <w:sz w:val="26"/>
          <w:szCs w:val="26"/>
          <w:u w:val="single"/>
        </w:rPr>
        <w:t xml:space="preserve"> </w:t>
      </w:r>
      <w:r w:rsidR="00556C8A" w:rsidRPr="00296C71">
        <w:rPr>
          <w:rFonts w:ascii="Myriad Pro" w:eastAsia="Calibri" w:hAnsi="Myriad Pro" w:cs="Times New Roman"/>
          <w:sz w:val="26"/>
          <w:szCs w:val="26"/>
        </w:rPr>
        <w:t>для целей тарифообразования раскрыты лишь балансы потерь электрической энергии в сетях филиала ПАО «МРСК Северо-Запада» «Колэнерго».</w:t>
      </w:r>
      <w:r w:rsidR="00BD02B9" w:rsidRPr="00296C71">
        <w:rPr>
          <w:rFonts w:ascii="Myriad Pro" w:eastAsia="Calibri" w:hAnsi="Myriad Pro" w:cs="Times New Roman"/>
          <w:sz w:val="26"/>
          <w:szCs w:val="26"/>
        </w:rPr>
        <w:t xml:space="preserve"> Таким образом, </w:t>
      </w:r>
      <w:r w:rsidR="00BD02B9" w:rsidRPr="00D9216E">
        <w:rPr>
          <w:rFonts w:ascii="Myriad Pro" w:eastAsia="Calibri" w:hAnsi="Myriad Pro" w:cs="Times New Roman"/>
          <w:b/>
          <w:sz w:val="26"/>
          <w:szCs w:val="26"/>
          <w:u w:val="single"/>
        </w:rPr>
        <w:t xml:space="preserve">официальная информация о балансах отпуска электрической энергии, учтенных в тарифных решениях 2019 года, отсутствует. </w:t>
      </w:r>
    </w:p>
    <w:p w14:paraId="0A984D62" w14:textId="2FB16769" w:rsidR="00BD02B9" w:rsidRPr="00296C71" w:rsidRDefault="00BD02B9" w:rsidP="00296C71">
      <w:pPr>
        <w:tabs>
          <w:tab w:val="left" w:pos="1134"/>
        </w:tabs>
        <w:spacing w:after="0" w:line="360" w:lineRule="auto"/>
        <w:ind w:firstLine="567"/>
        <w:jc w:val="both"/>
        <w:rPr>
          <w:rFonts w:ascii="Myriad Pro" w:eastAsia="Calibri" w:hAnsi="Myriad Pro" w:cs="Times New Roman"/>
          <w:sz w:val="26"/>
          <w:szCs w:val="26"/>
        </w:rPr>
      </w:pPr>
      <w:r w:rsidRPr="00296C71">
        <w:rPr>
          <w:rFonts w:ascii="Myriad Pro" w:eastAsia="Calibri" w:hAnsi="Myriad Pro" w:cs="Times New Roman"/>
          <w:sz w:val="26"/>
          <w:szCs w:val="26"/>
        </w:rPr>
        <w:t xml:space="preserve">Исполнителем при анализе балансов электрической энергии (мощности) по уровням напряжения в разрезе групп потребителей использована информация филиала ПАО «МРСК Северо-Запада» «Колэнерго» «Расчетные объемы ПО и выручка Колэнерго на 2019 год» и форма 2.28 «Анализ собираемости товарной выручки». </w:t>
      </w:r>
    </w:p>
    <w:tbl>
      <w:tblPr>
        <w:tblW w:w="5000" w:type="pct"/>
        <w:tblLook w:val="04A0" w:firstRow="1" w:lastRow="0" w:firstColumn="1" w:lastColumn="0" w:noHBand="0" w:noVBand="1"/>
      </w:tblPr>
      <w:tblGrid>
        <w:gridCol w:w="3049"/>
        <w:gridCol w:w="2211"/>
        <w:gridCol w:w="2211"/>
        <w:gridCol w:w="1873"/>
      </w:tblGrid>
      <w:tr w:rsidR="00296C71" w:rsidRPr="00296C71" w14:paraId="0A17051E" w14:textId="77777777" w:rsidTr="00296C71">
        <w:trPr>
          <w:trHeight w:val="20"/>
          <w:tblHeader/>
        </w:trPr>
        <w:tc>
          <w:tcPr>
            <w:tcW w:w="163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1BAF7CF" w14:textId="77777777" w:rsidR="006415BC" w:rsidRPr="00296C71" w:rsidRDefault="006415BC" w:rsidP="00296C71">
            <w:pPr>
              <w:tabs>
                <w:tab w:val="left" w:pos="1134"/>
              </w:tabs>
              <w:spacing w:after="0" w:line="360" w:lineRule="auto"/>
              <w:jc w:val="both"/>
              <w:rPr>
                <w:rFonts w:ascii="Myriad Pro" w:eastAsia="Calibri" w:hAnsi="Myriad Pro" w:cs="Times New Roman"/>
                <w:color w:val="FFFFFF" w:themeColor="background1"/>
              </w:rPr>
            </w:pPr>
            <w:r w:rsidRPr="00296C71">
              <w:rPr>
                <w:rFonts w:ascii="Myriad Pro" w:eastAsia="Calibri" w:hAnsi="Myriad Pro" w:cs="Times New Roman"/>
                <w:color w:val="FFFFFF" w:themeColor="background1"/>
              </w:rPr>
              <w:t> </w:t>
            </w:r>
          </w:p>
        </w:tc>
        <w:tc>
          <w:tcPr>
            <w:tcW w:w="3368"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C198FD" w14:textId="758D8D23" w:rsidR="006415BC" w:rsidRPr="00296C71" w:rsidRDefault="006415BC" w:rsidP="00296C71">
            <w:pPr>
              <w:tabs>
                <w:tab w:val="left" w:pos="1134"/>
              </w:tabs>
              <w:spacing w:after="0" w:line="360" w:lineRule="auto"/>
              <w:jc w:val="center"/>
              <w:rPr>
                <w:rFonts w:ascii="Myriad Pro" w:eastAsia="Calibri" w:hAnsi="Myriad Pro" w:cs="Times New Roman"/>
                <w:color w:val="FFFFFF" w:themeColor="background1"/>
              </w:rPr>
            </w:pPr>
            <w:r w:rsidRPr="00296C71">
              <w:rPr>
                <w:rFonts w:ascii="Myriad Pro" w:eastAsia="Calibri" w:hAnsi="Myriad Pro" w:cs="Times New Roman"/>
                <w:color w:val="FFFFFF" w:themeColor="background1"/>
              </w:rPr>
              <w:t>Учтено в ТБР, тыс. квтч</w:t>
            </w:r>
          </w:p>
        </w:tc>
      </w:tr>
      <w:tr w:rsidR="00296C71" w:rsidRPr="00296C71" w14:paraId="4BF2B10F" w14:textId="77777777" w:rsidTr="00296C71">
        <w:trPr>
          <w:trHeight w:val="20"/>
          <w:tblHeader/>
        </w:trPr>
        <w:tc>
          <w:tcPr>
            <w:tcW w:w="163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2C1642" w14:textId="77777777" w:rsidR="006415BC" w:rsidRPr="00296C71" w:rsidRDefault="006415BC" w:rsidP="00296C71">
            <w:pPr>
              <w:tabs>
                <w:tab w:val="left" w:pos="1134"/>
              </w:tabs>
              <w:spacing w:after="0" w:line="360" w:lineRule="auto"/>
              <w:jc w:val="both"/>
              <w:rPr>
                <w:rFonts w:ascii="Myriad Pro" w:eastAsia="Calibri" w:hAnsi="Myriad Pro" w:cs="Times New Roman"/>
                <w:color w:val="FFFFFF" w:themeColor="background1"/>
              </w:rPr>
            </w:pPr>
          </w:p>
        </w:tc>
        <w:tc>
          <w:tcPr>
            <w:tcW w:w="11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65EAAF5" w14:textId="77777777" w:rsidR="006415BC" w:rsidRPr="00296C71" w:rsidRDefault="006415BC" w:rsidP="00296C71">
            <w:pPr>
              <w:tabs>
                <w:tab w:val="left" w:pos="1134"/>
              </w:tabs>
              <w:spacing w:after="0" w:line="360" w:lineRule="auto"/>
              <w:jc w:val="both"/>
              <w:rPr>
                <w:rFonts w:ascii="Myriad Pro" w:eastAsia="Calibri" w:hAnsi="Myriad Pro" w:cs="Times New Roman"/>
                <w:color w:val="FFFFFF" w:themeColor="background1"/>
              </w:rPr>
            </w:pPr>
            <w:r w:rsidRPr="00296C71">
              <w:rPr>
                <w:rFonts w:ascii="Myriad Pro" w:eastAsia="Calibri" w:hAnsi="Myriad Pro" w:cs="Times New Roman"/>
                <w:color w:val="FFFFFF" w:themeColor="background1"/>
              </w:rPr>
              <w:t>1 п/г</w:t>
            </w:r>
          </w:p>
        </w:tc>
        <w:tc>
          <w:tcPr>
            <w:tcW w:w="11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8D14FB3" w14:textId="77777777" w:rsidR="006415BC" w:rsidRPr="00296C71" w:rsidRDefault="006415BC" w:rsidP="00296C71">
            <w:pPr>
              <w:tabs>
                <w:tab w:val="left" w:pos="1134"/>
              </w:tabs>
              <w:spacing w:after="0" w:line="360" w:lineRule="auto"/>
              <w:jc w:val="center"/>
              <w:rPr>
                <w:rFonts w:ascii="Myriad Pro" w:eastAsia="Calibri" w:hAnsi="Myriad Pro" w:cs="Times New Roman"/>
                <w:color w:val="FFFFFF" w:themeColor="background1"/>
              </w:rPr>
            </w:pPr>
            <w:r w:rsidRPr="00296C71">
              <w:rPr>
                <w:rFonts w:ascii="Myriad Pro" w:eastAsia="Calibri" w:hAnsi="Myriad Pro" w:cs="Times New Roman"/>
                <w:color w:val="FFFFFF" w:themeColor="background1"/>
              </w:rPr>
              <w:t>2 п/г</w:t>
            </w:r>
          </w:p>
        </w:tc>
        <w:tc>
          <w:tcPr>
            <w:tcW w:w="10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0EB3F93" w14:textId="77777777" w:rsidR="006415BC" w:rsidRPr="00296C71" w:rsidRDefault="006415BC" w:rsidP="00296C71">
            <w:pPr>
              <w:tabs>
                <w:tab w:val="left" w:pos="1134"/>
              </w:tabs>
              <w:spacing w:after="0" w:line="360" w:lineRule="auto"/>
              <w:jc w:val="center"/>
              <w:rPr>
                <w:rFonts w:ascii="Myriad Pro" w:eastAsia="Calibri" w:hAnsi="Myriad Pro" w:cs="Times New Roman"/>
                <w:color w:val="FFFFFF" w:themeColor="background1"/>
              </w:rPr>
            </w:pPr>
            <w:r w:rsidRPr="00296C71">
              <w:rPr>
                <w:rFonts w:ascii="Myriad Pro" w:eastAsia="Calibri" w:hAnsi="Myriad Pro" w:cs="Times New Roman"/>
                <w:color w:val="FFFFFF" w:themeColor="background1"/>
              </w:rPr>
              <w:t>год</w:t>
            </w:r>
          </w:p>
        </w:tc>
      </w:tr>
      <w:tr w:rsidR="006415BC" w:rsidRPr="00296C71" w14:paraId="2F1A425B" w14:textId="77777777" w:rsidTr="00296C71">
        <w:trPr>
          <w:trHeight w:val="20"/>
        </w:trPr>
        <w:tc>
          <w:tcPr>
            <w:tcW w:w="1632" w:type="pct"/>
            <w:tcBorders>
              <w:top w:val="single" w:sz="4" w:space="0" w:color="FFFFFF" w:themeColor="background1"/>
              <w:left w:val="single" w:sz="8" w:space="0" w:color="auto"/>
              <w:bottom w:val="single" w:sz="4" w:space="0" w:color="auto"/>
              <w:right w:val="single" w:sz="4" w:space="0" w:color="auto"/>
            </w:tcBorders>
            <w:shd w:val="clear" w:color="auto" w:fill="D6E3BC" w:themeFill="accent3" w:themeFillTint="66"/>
            <w:noWrap/>
            <w:vAlign w:val="center"/>
            <w:hideMark/>
          </w:tcPr>
          <w:p w14:paraId="387F714E" w14:textId="77777777" w:rsidR="006415BC" w:rsidRPr="00296C71" w:rsidRDefault="006415BC" w:rsidP="00296C71">
            <w:pPr>
              <w:tabs>
                <w:tab w:val="left" w:pos="1134"/>
              </w:tabs>
              <w:spacing w:after="0" w:line="360" w:lineRule="auto"/>
              <w:jc w:val="both"/>
              <w:rPr>
                <w:rFonts w:ascii="Myriad Pro" w:eastAsia="Calibri" w:hAnsi="Myriad Pro" w:cs="Times New Roman"/>
              </w:rPr>
            </w:pPr>
            <w:r w:rsidRPr="00296C71">
              <w:rPr>
                <w:rFonts w:ascii="Myriad Pro" w:eastAsia="Calibri" w:hAnsi="Myriad Pro" w:cs="Times New Roman"/>
              </w:rPr>
              <w:t>ВСЕГО</w:t>
            </w:r>
          </w:p>
        </w:tc>
        <w:tc>
          <w:tcPr>
            <w:tcW w:w="1183" w:type="pct"/>
            <w:tcBorders>
              <w:top w:val="single" w:sz="4" w:space="0" w:color="FFFFFF" w:themeColor="background1"/>
              <w:left w:val="single" w:sz="4" w:space="0" w:color="auto"/>
              <w:bottom w:val="single" w:sz="4" w:space="0" w:color="auto"/>
              <w:right w:val="single" w:sz="4" w:space="0" w:color="auto"/>
            </w:tcBorders>
            <w:shd w:val="clear" w:color="auto" w:fill="D6E3BC" w:themeFill="accent3" w:themeFillTint="66"/>
            <w:noWrap/>
            <w:vAlign w:val="center"/>
            <w:hideMark/>
          </w:tcPr>
          <w:p w14:paraId="0C2A838C" w14:textId="77777777" w:rsidR="006415BC" w:rsidRPr="00296C71" w:rsidRDefault="006415BC" w:rsidP="00296C71">
            <w:pPr>
              <w:tabs>
                <w:tab w:val="left" w:pos="1134"/>
              </w:tabs>
              <w:spacing w:after="0" w:line="360" w:lineRule="auto"/>
              <w:jc w:val="both"/>
              <w:rPr>
                <w:rFonts w:ascii="Myriad Pro" w:eastAsia="Calibri" w:hAnsi="Myriad Pro" w:cs="Times New Roman"/>
              </w:rPr>
            </w:pPr>
            <w:r w:rsidRPr="00296C71">
              <w:rPr>
                <w:rFonts w:ascii="Myriad Pro" w:eastAsia="Calibri" w:hAnsi="Myriad Pro" w:cs="Times New Roman"/>
              </w:rPr>
              <w:t>4 973,42</w:t>
            </w:r>
          </w:p>
        </w:tc>
        <w:tc>
          <w:tcPr>
            <w:tcW w:w="1183" w:type="pct"/>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56054CE7" w14:textId="77777777" w:rsidR="006415BC" w:rsidRPr="00296C71" w:rsidRDefault="006415BC" w:rsidP="00296C71">
            <w:pPr>
              <w:tabs>
                <w:tab w:val="left" w:pos="1134"/>
              </w:tabs>
              <w:spacing w:after="0" w:line="360" w:lineRule="auto"/>
              <w:jc w:val="both"/>
              <w:rPr>
                <w:rFonts w:ascii="Myriad Pro" w:eastAsia="Calibri" w:hAnsi="Myriad Pro" w:cs="Times New Roman"/>
              </w:rPr>
            </w:pPr>
            <w:r w:rsidRPr="00296C71">
              <w:rPr>
                <w:rFonts w:ascii="Myriad Pro" w:eastAsia="Calibri" w:hAnsi="Myriad Pro" w:cs="Times New Roman"/>
              </w:rPr>
              <w:t>4 747,57</w:t>
            </w:r>
          </w:p>
        </w:tc>
        <w:tc>
          <w:tcPr>
            <w:tcW w:w="1001" w:type="pct"/>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246418DB" w14:textId="77777777" w:rsidR="006415BC" w:rsidRPr="00296C71" w:rsidRDefault="006415BC" w:rsidP="00296C71">
            <w:pPr>
              <w:tabs>
                <w:tab w:val="left" w:pos="1134"/>
              </w:tabs>
              <w:spacing w:after="0" w:line="360" w:lineRule="auto"/>
              <w:jc w:val="both"/>
              <w:rPr>
                <w:rFonts w:ascii="Myriad Pro" w:eastAsia="Calibri" w:hAnsi="Myriad Pro" w:cs="Times New Roman"/>
              </w:rPr>
            </w:pPr>
            <w:r w:rsidRPr="00296C71">
              <w:rPr>
                <w:rFonts w:ascii="Myriad Pro" w:eastAsia="Calibri" w:hAnsi="Myriad Pro" w:cs="Times New Roman"/>
              </w:rPr>
              <w:t>9 720,98</w:t>
            </w:r>
          </w:p>
        </w:tc>
      </w:tr>
      <w:tr w:rsidR="006415BC" w:rsidRPr="00296C71" w14:paraId="16F68091" w14:textId="77777777" w:rsidTr="00296C71">
        <w:trPr>
          <w:trHeight w:val="20"/>
        </w:trPr>
        <w:tc>
          <w:tcPr>
            <w:tcW w:w="1632" w:type="pct"/>
            <w:tcBorders>
              <w:top w:val="nil"/>
              <w:left w:val="single" w:sz="8" w:space="0" w:color="auto"/>
              <w:bottom w:val="single" w:sz="4" w:space="0" w:color="auto"/>
              <w:right w:val="single" w:sz="4" w:space="0" w:color="auto"/>
            </w:tcBorders>
            <w:shd w:val="clear" w:color="auto" w:fill="auto"/>
            <w:noWrap/>
            <w:vAlign w:val="center"/>
            <w:hideMark/>
          </w:tcPr>
          <w:p w14:paraId="1D706AC3" w14:textId="77777777" w:rsidR="006415BC" w:rsidRPr="00296C71" w:rsidRDefault="006415BC" w:rsidP="00296C71">
            <w:pPr>
              <w:tabs>
                <w:tab w:val="left" w:pos="1134"/>
              </w:tabs>
              <w:spacing w:after="0" w:line="360" w:lineRule="auto"/>
              <w:jc w:val="both"/>
              <w:rPr>
                <w:rFonts w:ascii="Myriad Pro" w:eastAsia="Calibri" w:hAnsi="Myriad Pro" w:cs="Times New Roman"/>
              </w:rPr>
            </w:pPr>
            <w:r w:rsidRPr="00296C71">
              <w:rPr>
                <w:rFonts w:ascii="Myriad Pro" w:eastAsia="Calibri" w:hAnsi="Myriad Pro" w:cs="Times New Roman"/>
              </w:rPr>
              <w:t>BH</w:t>
            </w:r>
          </w:p>
        </w:tc>
        <w:tc>
          <w:tcPr>
            <w:tcW w:w="1183" w:type="pct"/>
            <w:tcBorders>
              <w:top w:val="nil"/>
              <w:left w:val="single" w:sz="4" w:space="0" w:color="auto"/>
              <w:bottom w:val="single" w:sz="4" w:space="0" w:color="auto"/>
              <w:right w:val="single" w:sz="4" w:space="0" w:color="auto"/>
            </w:tcBorders>
            <w:shd w:val="clear" w:color="auto" w:fill="auto"/>
            <w:noWrap/>
            <w:vAlign w:val="center"/>
            <w:hideMark/>
          </w:tcPr>
          <w:p w14:paraId="7CBC7C2D" w14:textId="77777777" w:rsidR="006415BC" w:rsidRPr="00296C71" w:rsidRDefault="006415BC" w:rsidP="00296C71">
            <w:pPr>
              <w:tabs>
                <w:tab w:val="left" w:pos="1134"/>
              </w:tabs>
              <w:spacing w:after="0" w:line="360" w:lineRule="auto"/>
              <w:jc w:val="both"/>
              <w:rPr>
                <w:rFonts w:ascii="Myriad Pro" w:eastAsia="Calibri" w:hAnsi="Myriad Pro" w:cs="Times New Roman"/>
              </w:rPr>
            </w:pPr>
            <w:r w:rsidRPr="00296C71">
              <w:rPr>
                <w:rFonts w:ascii="Myriad Pro" w:eastAsia="Calibri" w:hAnsi="Myriad Pro" w:cs="Times New Roman"/>
              </w:rPr>
              <w:t>3 501,78</w:t>
            </w:r>
          </w:p>
        </w:tc>
        <w:tc>
          <w:tcPr>
            <w:tcW w:w="1183" w:type="pct"/>
            <w:tcBorders>
              <w:top w:val="nil"/>
              <w:left w:val="nil"/>
              <w:bottom w:val="single" w:sz="4" w:space="0" w:color="auto"/>
              <w:right w:val="single" w:sz="4" w:space="0" w:color="auto"/>
            </w:tcBorders>
            <w:shd w:val="clear" w:color="auto" w:fill="auto"/>
            <w:noWrap/>
            <w:vAlign w:val="center"/>
            <w:hideMark/>
          </w:tcPr>
          <w:p w14:paraId="65F4B32C" w14:textId="77777777" w:rsidR="006415BC" w:rsidRPr="00296C71" w:rsidRDefault="006415BC" w:rsidP="00296C71">
            <w:pPr>
              <w:tabs>
                <w:tab w:val="left" w:pos="1134"/>
              </w:tabs>
              <w:spacing w:after="0" w:line="360" w:lineRule="auto"/>
              <w:jc w:val="both"/>
              <w:rPr>
                <w:rFonts w:ascii="Myriad Pro" w:eastAsia="Calibri" w:hAnsi="Myriad Pro" w:cs="Times New Roman"/>
              </w:rPr>
            </w:pPr>
            <w:r w:rsidRPr="00296C71">
              <w:rPr>
                <w:rFonts w:ascii="Myriad Pro" w:eastAsia="Calibri" w:hAnsi="Myriad Pro" w:cs="Times New Roman"/>
              </w:rPr>
              <w:t>3 413,21</w:t>
            </w:r>
          </w:p>
        </w:tc>
        <w:tc>
          <w:tcPr>
            <w:tcW w:w="1001" w:type="pct"/>
            <w:tcBorders>
              <w:top w:val="nil"/>
              <w:left w:val="nil"/>
              <w:bottom w:val="single" w:sz="4" w:space="0" w:color="auto"/>
              <w:right w:val="single" w:sz="4" w:space="0" w:color="auto"/>
            </w:tcBorders>
            <w:shd w:val="clear" w:color="auto" w:fill="auto"/>
            <w:noWrap/>
            <w:vAlign w:val="center"/>
            <w:hideMark/>
          </w:tcPr>
          <w:p w14:paraId="778A7D51" w14:textId="77777777" w:rsidR="006415BC" w:rsidRPr="00296C71" w:rsidRDefault="006415BC" w:rsidP="00296C71">
            <w:pPr>
              <w:tabs>
                <w:tab w:val="left" w:pos="1134"/>
              </w:tabs>
              <w:spacing w:after="0" w:line="360" w:lineRule="auto"/>
              <w:jc w:val="both"/>
              <w:rPr>
                <w:rFonts w:ascii="Myriad Pro" w:eastAsia="Calibri" w:hAnsi="Myriad Pro" w:cs="Times New Roman"/>
              </w:rPr>
            </w:pPr>
            <w:r w:rsidRPr="00296C71">
              <w:rPr>
                <w:rFonts w:ascii="Myriad Pro" w:eastAsia="Calibri" w:hAnsi="Myriad Pro" w:cs="Times New Roman"/>
              </w:rPr>
              <w:t>6 914,99</w:t>
            </w:r>
          </w:p>
        </w:tc>
      </w:tr>
      <w:tr w:rsidR="006415BC" w:rsidRPr="00296C71" w14:paraId="2A41FCDC" w14:textId="77777777" w:rsidTr="00296C71">
        <w:trPr>
          <w:trHeight w:val="20"/>
        </w:trPr>
        <w:tc>
          <w:tcPr>
            <w:tcW w:w="1632" w:type="pct"/>
            <w:tcBorders>
              <w:top w:val="nil"/>
              <w:left w:val="single" w:sz="8" w:space="0" w:color="auto"/>
              <w:bottom w:val="single" w:sz="4" w:space="0" w:color="auto"/>
              <w:right w:val="single" w:sz="4" w:space="0" w:color="auto"/>
            </w:tcBorders>
            <w:shd w:val="clear" w:color="auto" w:fill="auto"/>
            <w:noWrap/>
            <w:vAlign w:val="center"/>
            <w:hideMark/>
          </w:tcPr>
          <w:p w14:paraId="09AF0323" w14:textId="77777777" w:rsidR="006415BC" w:rsidRPr="00296C71" w:rsidRDefault="006415BC" w:rsidP="00296C71">
            <w:pPr>
              <w:tabs>
                <w:tab w:val="left" w:pos="1134"/>
              </w:tabs>
              <w:spacing w:after="0" w:line="360" w:lineRule="auto"/>
              <w:jc w:val="both"/>
              <w:rPr>
                <w:rFonts w:ascii="Myriad Pro" w:eastAsia="Calibri" w:hAnsi="Myriad Pro" w:cs="Times New Roman"/>
              </w:rPr>
            </w:pPr>
            <w:r w:rsidRPr="00296C71">
              <w:rPr>
                <w:rFonts w:ascii="Myriad Pro" w:eastAsia="Calibri" w:hAnsi="Myriad Pro" w:cs="Times New Roman"/>
              </w:rPr>
              <w:t>ГН</w:t>
            </w:r>
          </w:p>
        </w:tc>
        <w:tc>
          <w:tcPr>
            <w:tcW w:w="1183" w:type="pct"/>
            <w:tcBorders>
              <w:top w:val="nil"/>
              <w:left w:val="single" w:sz="4" w:space="0" w:color="auto"/>
              <w:bottom w:val="single" w:sz="4" w:space="0" w:color="auto"/>
              <w:right w:val="single" w:sz="4" w:space="0" w:color="auto"/>
            </w:tcBorders>
            <w:shd w:val="clear" w:color="auto" w:fill="auto"/>
            <w:noWrap/>
            <w:vAlign w:val="center"/>
            <w:hideMark/>
          </w:tcPr>
          <w:p w14:paraId="1A17FBA2" w14:textId="77777777" w:rsidR="006415BC" w:rsidRPr="00296C71" w:rsidRDefault="006415BC" w:rsidP="00296C71">
            <w:pPr>
              <w:tabs>
                <w:tab w:val="left" w:pos="1134"/>
              </w:tabs>
              <w:spacing w:after="0" w:line="360" w:lineRule="auto"/>
              <w:jc w:val="both"/>
              <w:rPr>
                <w:rFonts w:ascii="Myriad Pro" w:eastAsia="Calibri" w:hAnsi="Myriad Pro" w:cs="Times New Roman"/>
              </w:rPr>
            </w:pPr>
            <w:r w:rsidRPr="00296C71">
              <w:rPr>
                <w:rFonts w:ascii="Myriad Pro" w:eastAsia="Calibri" w:hAnsi="Myriad Pro" w:cs="Times New Roman"/>
              </w:rPr>
              <w:t>424,58</w:t>
            </w:r>
          </w:p>
        </w:tc>
        <w:tc>
          <w:tcPr>
            <w:tcW w:w="1183" w:type="pct"/>
            <w:tcBorders>
              <w:top w:val="nil"/>
              <w:left w:val="nil"/>
              <w:bottom w:val="single" w:sz="4" w:space="0" w:color="auto"/>
              <w:right w:val="single" w:sz="4" w:space="0" w:color="auto"/>
            </w:tcBorders>
            <w:shd w:val="clear" w:color="auto" w:fill="auto"/>
            <w:noWrap/>
            <w:vAlign w:val="center"/>
            <w:hideMark/>
          </w:tcPr>
          <w:p w14:paraId="251D25E2" w14:textId="77777777" w:rsidR="006415BC" w:rsidRPr="00296C71" w:rsidRDefault="006415BC" w:rsidP="00296C71">
            <w:pPr>
              <w:tabs>
                <w:tab w:val="left" w:pos="1134"/>
              </w:tabs>
              <w:spacing w:after="0" w:line="360" w:lineRule="auto"/>
              <w:jc w:val="both"/>
              <w:rPr>
                <w:rFonts w:ascii="Myriad Pro" w:eastAsia="Calibri" w:hAnsi="Myriad Pro" w:cs="Times New Roman"/>
              </w:rPr>
            </w:pPr>
            <w:r w:rsidRPr="00296C71">
              <w:rPr>
                <w:rFonts w:ascii="Myriad Pro" w:eastAsia="Calibri" w:hAnsi="Myriad Pro" w:cs="Times New Roman"/>
              </w:rPr>
              <w:t>429,52</w:t>
            </w:r>
          </w:p>
        </w:tc>
        <w:tc>
          <w:tcPr>
            <w:tcW w:w="1001" w:type="pct"/>
            <w:tcBorders>
              <w:top w:val="nil"/>
              <w:left w:val="nil"/>
              <w:bottom w:val="single" w:sz="4" w:space="0" w:color="auto"/>
              <w:right w:val="single" w:sz="4" w:space="0" w:color="auto"/>
            </w:tcBorders>
            <w:shd w:val="clear" w:color="auto" w:fill="auto"/>
            <w:noWrap/>
            <w:vAlign w:val="center"/>
            <w:hideMark/>
          </w:tcPr>
          <w:p w14:paraId="6A431322" w14:textId="77777777" w:rsidR="006415BC" w:rsidRPr="00296C71" w:rsidRDefault="006415BC" w:rsidP="00296C71">
            <w:pPr>
              <w:tabs>
                <w:tab w:val="left" w:pos="1134"/>
              </w:tabs>
              <w:spacing w:after="0" w:line="360" w:lineRule="auto"/>
              <w:jc w:val="both"/>
              <w:rPr>
                <w:rFonts w:ascii="Myriad Pro" w:eastAsia="Calibri" w:hAnsi="Myriad Pro" w:cs="Times New Roman"/>
              </w:rPr>
            </w:pPr>
            <w:r w:rsidRPr="00296C71">
              <w:rPr>
                <w:rFonts w:ascii="Myriad Pro" w:eastAsia="Calibri" w:hAnsi="Myriad Pro" w:cs="Times New Roman"/>
              </w:rPr>
              <w:t>854,10</w:t>
            </w:r>
          </w:p>
        </w:tc>
      </w:tr>
      <w:tr w:rsidR="006415BC" w:rsidRPr="00296C71" w14:paraId="06446AD6" w14:textId="77777777" w:rsidTr="00296C71">
        <w:trPr>
          <w:trHeight w:val="20"/>
        </w:trPr>
        <w:tc>
          <w:tcPr>
            <w:tcW w:w="1632" w:type="pct"/>
            <w:tcBorders>
              <w:top w:val="nil"/>
              <w:left w:val="single" w:sz="8" w:space="0" w:color="auto"/>
              <w:bottom w:val="single" w:sz="4" w:space="0" w:color="auto"/>
              <w:right w:val="single" w:sz="4" w:space="0" w:color="auto"/>
            </w:tcBorders>
            <w:shd w:val="clear" w:color="auto" w:fill="auto"/>
            <w:noWrap/>
            <w:vAlign w:val="center"/>
            <w:hideMark/>
          </w:tcPr>
          <w:p w14:paraId="408E40EA" w14:textId="77777777" w:rsidR="006415BC" w:rsidRPr="00296C71" w:rsidRDefault="006415BC" w:rsidP="00296C71">
            <w:pPr>
              <w:tabs>
                <w:tab w:val="left" w:pos="1134"/>
              </w:tabs>
              <w:spacing w:after="0" w:line="360" w:lineRule="auto"/>
              <w:jc w:val="both"/>
              <w:rPr>
                <w:rFonts w:ascii="Myriad Pro" w:eastAsia="Calibri" w:hAnsi="Myriad Pro" w:cs="Times New Roman"/>
              </w:rPr>
            </w:pPr>
            <w:r w:rsidRPr="00296C71">
              <w:rPr>
                <w:rFonts w:ascii="Myriad Pro" w:eastAsia="Calibri" w:hAnsi="Myriad Pro" w:cs="Times New Roman"/>
              </w:rPr>
              <w:t>CH-I</w:t>
            </w:r>
          </w:p>
        </w:tc>
        <w:tc>
          <w:tcPr>
            <w:tcW w:w="1183" w:type="pct"/>
            <w:tcBorders>
              <w:top w:val="nil"/>
              <w:left w:val="single" w:sz="4" w:space="0" w:color="auto"/>
              <w:bottom w:val="single" w:sz="4" w:space="0" w:color="auto"/>
              <w:right w:val="single" w:sz="4" w:space="0" w:color="auto"/>
            </w:tcBorders>
            <w:shd w:val="clear" w:color="auto" w:fill="auto"/>
            <w:noWrap/>
            <w:vAlign w:val="center"/>
            <w:hideMark/>
          </w:tcPr>
          <w:p w14:paraId="2C5D254E" w14:textId="77777777" w:rsidR="006415BC" w:rsidRPr="00296C71" w:rsidRDefault="006415BC" w:rsidP="00296C71">
            <w:pPr>
              <w:tabs>
                <w:tab w:val="left" w:pos="1134"/>
              </w:tabs>
              <w:spacing w:after="0" w:line="360" w:lineRule="auto"/>
              <w:jc w:val="both"/>
              <w:rPr>
                <w:rFonts w:ascii="Myriad Pro" w:eastAsia="Calibri" w:hAnsi="Myriad Pro" w:cs="Times New Roman"/>
              </w:rPr>
            </w:pPr>
            <w:r w:rsidRPr="00296C71">
              <w:rPr>
                <w:rFonts w:ascii="Myriad Pro" w:eastAsia="Calibri" w:hAnsi="Myriad Pro" w:cs="Times New Roman"/>
              </w:rPr>
              <w:t>197,91</w:t>
            </w:r>
          </w:p>
        </w:tc>
        <w:tc>
          <w:tcPr>
            <w:tcW w:w="1183" w:type="pct"/>
            <w:tcBorders>
              <w:top w:val="nil"/>
              <w:left w:val="nil"/>
              <w:bottom w:val="single" w:sz="4" w:space="0" w:color="auto"/>
              <w:right w:val="single" w:sz="4" w:space="0" w:color="auto"/>
            </w:tcBorders>
            <w:shd w:val="clear" w:color="auto" w:fill="auto"/>
            <w:noWrap/>
            <w:vAlign w:val="center"/>
            <w:hideMark/>
          </w:tcPr>
          <w:p w14:paraId="0C6CE214" w14:textId="77777777" w:rsidR="006415BC" w:rsidRPr="00296C71" w:rsidRDefault="006415BC" w:rsidP="00296C71">
            <w:pPr>
              <w:tabs>
                <w:tab w:val="left" w:pos="1134"/>
              </w:tabs>
              <w:spacing w:after="0" w:line="360" w:lineRule="auto"/>
              <w:jc w:val="both"/>
              <w:rPr>
                <w:rFonts w:ascii="Myriad Pro" w:eastAsia="Calibri" w:hAnsi="Myriad Pro" w:cs="Times New Roman"/>
              </w:rPr>
            </w:pPr>
            <w:r w:rsidRPr="00296C71">
              <w:rPr>
                <w:rFonts w:ascii="Myriad Pro" w:eastAsia="Calibri" w:hAnsi="Myriad Pro" w:cs="Times New Roman"/>
              </w:rPr>
              <w:t>168,75</w:t>
            </w:r>
          </w:p>
        </w:tc>
        <w:tc>
          <w:tcPr>
            <w:tcW w:w="1001" w:type="pct"/>
            <w:tcBorders>
              <w:top w:val="nil"/>
              <w:left w:val="nil"/>
              <w:bottom w:val="single" w:sz="4" w:space="0" w:color="auto"/>
              <w:right w:val="single" w:sz="4" w:space="0" w:color="auto"/>
            </w:tcBorders>
            <w:shd w:val="clear" w:color="auto" w:fill="auto"/>
            <w:noWrap/>
            <w:vAlign w:val="center"/>
            <w:hideMark/>
          </w:tcPr>
          <w:p w14:paraId="4829CA58" w14:textId="77777777" w:rsidR="006415BC" w:rsidRPr="00296C71" w:rsidRDefault="006415BC" w:rsidP="00296C71">
            <w:pPr>
              <w:tabs>
                <w:tab w:val="left" w:pos="1134"/>
              </w:tabs>
              <w:spacing w:after="0" w:line="360" w:lineRule="auto"/>
              <w:jc w:val="both"/>
              <w:rPr>
                <w:rFonts w:ascii="Myriad Pro" w:eastAsia="Calibri" w:hAnsi="Myriad Pro" w:cs="Times New Roman"/>
              </w:rPr>
            </w:pPr>
            <w:r w:rsidRPr="00296C71">
              <w:rPr>
                <w:rFonts w:ascii="Myriad Pro" w:eastAsia="Calibri" w:hAnsi="Myriad Pro" w:cs="Times New Roman"/>
              </w:rPr>
              <w:t>366,66</w:t>
            </w:r>
          </w:p>
        </w:tc>
      </w:tr>
      <w:tr w:rsidR="006415BC" w:rsidRPr="00296C71" w14:paraId="126061DC" w14:textId="77777777" w:rsidTr="00296C71">
        <w:trPr>
          <w:trHeight w:val="20"/>
        </w:trPr>
        <w:tc>
          <w:tcPr>
            <w:tcW w:w="1632" w:type="pct"/>
            <w:tcBorders>
              <w:top w:val="nil"/>
              <w:left w:val="single" w:sz="8" w:space="0" w:color="auto"/>
              <w:bottom w:val="single" w:sz="4" w:space="0" w:color="auto"/>
              <w:right w:val="single" w:sz="4" w:space="0" w:color="auto"/>
            </w:tcBorders>
            <w:shd w:val="clear" w:color="auto" w:fill="auto"/>
            <w:noWrap/>
            <w:vAlign w:val="center"/>
            <w:hideMark/>
          </w:tcPr>
          <w:p w14:paraId="09C3578E" w14:textId="77777777" w:rsidR="006415BC" w:rsidRPr="00296C71" w:rsidRDefault="006415BC" w:rsidP="00296C71">
            <w:pPr>
              <w:tabs>
                <w:tab w:val="left" w:pos="1134"/>
              </w:tabs>
              <w:spacing w:after="0" w:line="360" w:lineRule="auto"/>
              <w:jc w:val="both"/>
              <w:rPr>
                <w:rFonts w:ascii="Myriad Pro" w:eastAsia="Calibri" w:hAnsi="Myriad Pro" w:cs="Times New Roman"/>
              </w:rPr>
            </w:pPr>
            <w:r w:rsidRPr="00296C71">
              <w:rPr>
                <w:rFonts w:ascii="Myriad Pro" w:eastAsia="Calibri" w:hAnsi="Myriad Pro" w:cs="Times New Roman"/>
              </w:rPr>
              <w:lastRenderedPageBreak/>
              <w:t>CH-II</w:t>
            </w:r>
          </w:p>
        </w:tc>
        <w:tc>
          <w:tcPr>
            <w:tcW w:w="1183" w:type="pct"/>
            <w:tcBorders>
              <w:top w:val="nil"/>
              <w:left w:val="single" w:sz="4" w:space="0" w:color="auto"/>
              <w:bottom w:val="single" w:sz="4" w:space="0" w:color="auto"/>
              <w:right w:val="single" w:sz="4" w:space="0" w:color="auto"/>
            </w:tcBorders>
            <w:shd w:val="clear" w:color="auto" w:fill="auto"/>
            <w:noWrap/>
            <w:vAlign w:val="center"/>
            <w:hideMark/>
          </w:tcPr>
          <w:p w14:paraId="2602A4D3" w14:textId="77777777" w:rsidR="006415BC" w:rsidRPr="00296C71" w:rsidRDefault="006415BC" w:rsidP="00296C71">
            <w:pPr>
              <w:tabs>
                <w:tab w:val="left" w:pos="1134"/>
              </w:tabs>
              <w:spacing w:after="0" w:line="360" w:lineRule="auto"/>
              <w:jc w:val="both"/>
              <w:rPr>
                <w:rFonts w:ascii="Myriad Pro" w:eastAsia="Calibri" w:hAnsi="Myriad Pro" w:cs="Times New Roman"/>
              </w:rPr>
            </w:pPr>
            <w:r w:rsidRPr="00296C71">
              <w:rPr>
                <w:rFonts w:ascii="Myriad Pro" w:eastAsia="Calibri" w:hAnsi="Myriad Pro" w:cs="Times New Roman"/>
              </w:rPr>
              <w:t>422,61</w:t>
            </w:r>
          </w:p>
        </w:tc>
        <w:tc>
          <w:tcPr>
            <w:tcW w:w="1183" w:type="pct"/>
            <w:tcBorders>
              <w:top w:val="nil"/>
              <w:left w:val="nil"/>
              <w:bottom w:val="single" w:sz="4" w:space="0" w:color="auto"/>
              <w:right w:val="single" w:sz="4" w:space="0" w:color="auto"/>
            </w:tcBorders>
            <w:shd w:val="clear" w:color="auto" w:fill="auto"/>
            <w:noWrap/>
            <w:vAlign w:val="center"/>
            <w:hideMark/>
          </w:tcPr>
          <w:p w14:paraId="4E79FC02" w14:textId="77777777" w:rsidR="006415BC" w:rsidRPr="00296C71" w:rsidRDefault="006415BC" w:rsidP="00296C71">
            <w:pPr>
              <w:tabs>
                <w:tab w:val="left" w:pos="1134"/>
              </w:tabs>
              <w:spacing w:after="0" w:line="360" w:lineRule="auto"/>
              <w:jc w:val="both"/>
              <w:rPr>
                <w:rFonts w:ascii="Myriad Pro" w:eastAsia="Calibri" w:hAnsi="Myriad Pro" w:cs="Times New Roman"/>
              </w:rPr>
            </w:pPr>
            <w:r w:rsidRPr="00296C71">
              <w:rPr>
                <w:rFonts w:ascii="Myriad Pro" w:eastAsia="Calibri" w:hAnsi="Myriad Pro" w:cs="Times New Roman"/>
              </w:rPr>
              <w:t>347,83</w:t>
            </w:r>
          </w:p>
        </w:tc>
        <w:tc>
          <w:tcPr>
            <w:tcW w:w="1001" w:type="pct"/>
            <w:tcBorders>
              <w:top w:val="nil"/>
              <w:left w:val="nil"/>
              <w:bottom w:val="single" w:sz="4" w:space="0" w:color="auto"/>
              <w:right w:val="single" w:sz="4" w:space="0" w:color="auto"/>
            </w:tcBorders>
            <w:shd w:val="clear" w:color="auto" w:fill="auto"/>
            <w:noWrap/>
            <w:vAlign w:val="center"/>
            <w:hideMark/>
          </w:tcPr>
          <w:p w14:paraId="38C5ABE6" w14:textId="77777777" w:rsidR="006415BC" w:rsidRPr="00296C71" w:rsidRDefault="006415BC" w:rsidP="00296C71">
            <w:pPr>
              <w:tabs>
                <w:tab w:val="left" w:pos="1134"/>
              </w:tabs>
              <w:spacing w:after="0" w:line="360" w:lineRule="auto"/>
              <w:jc w:val="both"/>
              <w:rPr>
                <w:rFonts w:ascii="Myriad Pro" w:eastAsia="Calibri" w:hAnsi="Myriad Pro" w:cs="Times New Roman"/>
              </w:rPr>
            </w:pPr>
            <w:r w:rsidRPr="00296C71">
              <w:rPr>
                <w:rFonts w:ascii="Myriad Pro" w:eastAsia="Calibri" w:hAnsi="Myriad Pro" w:cs="Times New Roman"/>
              </w:rPr>
              <w:t>770,44</w:t>
            </w:r>
          </w:p>
        </w:tc>
      </w:tr>
      <w:tr w:rsidR="006415BC" w:rsidRPr="00296C71" w14:paraId="5F557AA8" w14:textId="77777777" w:rsidTr="00296C71">
        <w:trPr>
          <w:trHeight w:val="20"/>
        </w:trPr>
        <w:tc>
          <w:tcPr>
            <w:tcW w:w="1632" w:type="pct"/>
            <w:tcBorders>
              <w:top w:val="nil"/>
              <w:left w:val="single" w:sz="8" w:space="0" w:color="auto"/>
              <w:bottom w:val="single" w:sz="4" w:space="0" w:color="auto"/>
              <w:right w:val="single" w:sz="4" w:space="0" w:color="auto"/>
            </w:tcBorders>
            <w:shd w:val="clear" w:color="auto" w:fill="auto"/>
            <w:noWrap/>
            <w:vAlign w:val="center"/>
            <w:hideMark/>
          </w:tcPr>
          <w:p w14:paraId="1696FD75" w14:textId="77777777" w:rsidR="006415BC" w:rsidRPr="00296C71" w:rsidRDefault="006415BC" w:rsidP="00296C71">
            <w:pPr>
              <w:tabs>
                <w:tab w:val="left" w:pos="1134"/>
              </w:tabs>
              <w:spacing w:after="0" w:line="360" w:lineRule="auto"/>
              <w:jc w:val="both"/>
              <w:rPr>
                <w:rFonts w:ascii="Myriad Pro" w:eastAsia="Calibri" w:hAnsi="Myriad Pro" w:cs="Times New Roman"/>
              </w:rPr>
            </w:pPr>
            <w:r w:rsidRPr="00296C71">
              <w:rPr>
                <w:rFonts w:ascii="Myriad Pro" w:eastAsia="Calibri" w:hAnsi="Myriad Pro" w:cs="Times New Roman"/>
              </w:rPr>
              <w:t>HH</w:t>
            </w:r>
          </w:p>
        </w:tc>
        <w:tc>
          <w:tcPr>
            <w:tcW w:w="1183" w:type="pct"/>
            <w:tcBorders>
              <w:top w:val="nil"/>
              <w:left w:val="single" w:sz="4" w:space="0" w:color="auto"/>
              <w:bottom w:val="single" w:sz="4" w:space="0" w:color="auto"/>
              <w:right w:val="single" w:sz="4" w:space="0" w:color="auto"/>
            </w:tcBorders>
            <w:shd w:val="clear" w:color="auto" w:fill="auto"/>
            <w:noWrap/>
            <w:vAlign w:val="center"/>
            <w:hideMark/>
          </w:tcPr>
          <w:p w14:paraId="39861E63" w14:textId="77777777" w:rsidR="006415BC" w:rsidRPr="00296C71" w:rsidRDefault="006415BC" w:rsidP="00296C71">
            <w:pPr>
              <w:tabs>
                <w:tab w:val="left" w:pos="1134"/>
              </w:tabs>
              <w:spacing w:after="0" w:line="360" w:lineRule="auto"/>
              <w:jc w:val="both"/>
              <w:rPr>
                <w:rFonts w:ascii="Myriad Pro" w:eastAsia="Calibri" w:hAnsi="Myriad Pro" w:cs="Times New Roman"/>
              </w:rPr>
            </w:pPr>
            <w:r w:rsidRPr="00296C71">
              <w:rPr>
                <w:rFonts w:ascii="Myriad Pro" w:eastAsia="Calibri" w:hAnsi="Myriad Pro" w:cs="Times New Roman"/>
              </w:rPr>
              <w:t>190,76</w:t>
            </w:r>
          </w:p>
        </w:tc>
        <w:tc>
          <w:tcPr>
            <w:tcW w:w="1183" w:type="pct"/>
            <w:tcBorders>
              <w:top w:val="nil"/>
              <w:left w:val="nil"/>
              <w:bottom w:val="single" w:sz="4" w:space="0" w:color="auto"/>
              <w:right w:val="single" w:sz="4" w:space="0" w:color="auto"/>
            </w:tcBorders>
            <w:shd w:val="clear" w:color="auto" w:fill="auto"/>
            <w:noWrap/>
            <w:vAlign w:val="center"/>
            <w:hideMark/>
          </w:tcPr>
          <w:p w14:paraId="69488E3C" w14:textId="77777777" w:rsidR="006415BC" w:rsidRPr="00296C71" w:rsidRDefault="006415BC" w:rsidP="00296C71">
            <w:pPr>
              <w:tabs>
                <w:tab w:val="left" w:pos="1134"/>
              </w:tabs>
              <w:spacing w:after="0" w:line="360" w:lineRule="auto"/>
              <w:jc w:val="both"/>
              <w:rPr>
                <w:rFonts w:ascii="Myriad Pro" w:eastAsia="Calibri" w:hAnsi="Myriad Pro" w:cs="Times New Roman"/>
              </w:rPr>
            </w:pPr>
            <w:r w:rsidRPr="00296C71">
              <w:rPr>
                <w:rFonts w:ascii="Myriad Pro" w:eastAsia="Calibri" w:hAnsi="Myriad Pro" w:cs="Times New Roman"/>
              </w:rPr>
              <w:t>156,42</w:t>
            </w:r>
          </w:p>
        </w:tc>
        <w:tc>
          <w:tcPr>
            <w:tcW w:w="1001" w:type="pct"/>
            <w:tcBorders>
              <w:top w:val="nil"/>
              <w:left w:val="nil"/>
              <w:bottom w:val="single" w:sz="4" w:space="0" w:color="auto"/>
              <w:right w:val="single" w:sz="4" w:space="0" w:color="auto"/>
            </w:tcBorders>
            <w:shd w:val="clear" w:color="auto" w:fill="auto"/>
            <w:noWrap/>
            <w:vAlign w:val="center"/>
            <w:hideMark/>
          </w:tcPr>
          <w:p w14:paraId="1F857E92" w14:textId="77777777" w:rsidR="006415BC" w:rsidRPr="00296C71" w:rsidRDefault="006415BC" w:rsidP="00296C71">
            <w:pPr>
              <w:tabs>
                <w:tab w:val="left" w:pos="1134"/>
              </w:tabs>
              <w:spacing w:after="0" w:line="360" w:lineRule="auto"/>
              <w:jc w:val="both"/>
              <w:rPr>
                <w:rFonts w:ascii="Myriad Pro" w:eastAsia="Calibri" w:hAnsi="Myriad Pro" w:cs="Times New Roman"/>
              </w:rPr>
            </w:pPr>
            <w:r w:rsidRPr="00296C71">
              <w:rPr>
                <w:rFonts w:ascii="Myriad Pro" w:eastAsia="Calibri" w:hAnsi="Myriad Pro" w:cs="Times New Roman"/>
              </w:rPr>
              <w:t>347,18</w:t>
            </w:r>
          </w:p>
        </w:tc>
      </w:tr>
      <w:tr w:rsidR="006415BC" w:rsidRPr="00296C71" w14:paraId="077CA3DB" w14:textId="77777777" w:rsidTr="00296C71">
        <w:trPr>
          <w:trHeight w:val="20"/>
        </w:trPr>
        <w:tc>
          <w:tcPr>
            <w:tcW w:w="1632" w:type="pct"/>
            <w:tcBorders>
              <w:top w:val="nil"/>
              <w:left w:val="single" w:sz="8" w:space="0" w:color="auto"/>
              <w:bottom w:val="single" w:sz="4" w:space="0" w:color="auto"/>
              <w:right w:val="single" w:sz="4" w:space="0" w:color="auto"/>
            </w:tcBorders>
            <w:shd w:val="clear" w:color="auto" w:fill="auto"/>
            <w:vAlign w:val="center"/>
            <w:hideMark/>
          </w:tcPr>
          <w:p w14:paraId="6D4F7424" w14:textId="77777777" w:rsidR="006415BC" w:rsidRPr="00296C71" w:rsidRDefault="006415BC" w:rsidP="00296C71">
            <w:pPr>
              <w:tabs>
                <w:tab w:val="left" w:pos="1134"/>
              </w:tabs>
              <w:spacing w:after="0" w:line="360" w:lineRule="auto"/>
              <w:jc w:val="both"/>
              <w:rPr>
                <w:rFonts w:ascii="Myriad Pro" w:eastAsia="Calibri" w:hAnsi="Myriad Pro" w:cs="Times New Roman"/>
              </w:rPr>
            </w:pPr>
            <w:r w:rsidRPr="00296C71">
              <w:rPr>
                <w:rFonts w:ascii="Myriad Pro" w:eastAsia="Calibri" w:hAnsi="Myriad Pro" w:cs="Times New Roman"/>
              </w:rPr>
              <w:t>население, в том числе:</w:t>
            </w:r>
          </w:p>
        </w:tc>
        <w:tc>
          <w:tcPr>
            <w:tcW w:w="1183" w:type="pct"/>
            <w:tcBorders>
              <w:top w:val="nil"/>
              <w:left w:val="single" w:sz="4" w:space="0" w:color="auto"/>
              <w:bottom w:val="single" w:sz="4" w:space="0" w:color="auto"/>
              <w:right w:val="single" w:sz="4" w:space="0" w:color="auto"/>
            </w:tcBorders>
            <w:shd w:val="clear" w:color="auto" w:fill="auto"/>
            <w:noWrap/>
            <w:vAlign w:val="center"/>
            <w:hideMark/>
          </w:tcPr>
          <w:p w14:paraId="1C27859D" w14:textId="77777777" w:rsidR="006415BC" w:rsidRPr="00296C71" w:rsidRDefault="006415BC" w:rsidP="00296C71">
            <w:pPr>
              <w:tabs>
                <w:tab w:val="left" w:pos="1134"/>
              </w:tabs>
              <w:spacing w:after="0" w:line="360" w:lineRule="auto"/>
              <w:jc w:val="both"/>
              <w:rPr>
                <w:rFonts w:ascii="Myriad Pro" w:eastAsia="Calibri" w:hAnsi="Myriad Pro" w:cs="Times New Roman"/>
              </w:rPr>
            </w:pPr>
            <w:r w:rsidRPr="00296C71">
              <w:rPr>
                <w:rFonts w:ascii="Myriad Pro" w:eastAsia="Calibri" w:hAnsi="Myriad Pro" w:cs="Times New Roman"/>
              </w:rPr>
              <w:t>235,78</w:t>
            </w:r>
          </w:p>
        </w:tc>
        <w:tc>
          <w:tcPr>
            <w:tcW w:w="1183" w:type="pct"/>
            <w:tcBorders>
              <w:top w:val="nil"/>
              <w:left w:val="nil"/>
              <w:bottom w:val="single" w:sz="4" w:space="0" w:color="auto"/>
              <w:right w:val="single" w:sz="4" w:space="0" w:color="auto"/>
            </w:tcBorders>
            <w:shd w:val="clear" w:color="auto" w:fill="auto"/>
            <w:noWrap/>
            <w:vAlign w:val="center"/>
            <w:hideMark/>
          </w:tcPr>
          <w:p w14:paraId="333D8751" w14:textId="77777777" w:rsidR="006415BC" w:rsidRPr="00296C71" w:rsidRDefault="006415BC" w:rsidP="00296C71">
            <w:pPr>
              <w:tabs>
                <w:tab w:val="left" w:pos="1134"/>
              </w:tabs>
              <w:spacing w:after="0" w:line="360" w:lineRule="auto"/>
              <w:jc w:val="both"/>
              <w:rPr>
                <w:rFonts w:ascii="Myriad Pro" w:eastAsia="Calibri" w:hAnsi="Myriad Pro" w:cs="Times New Roman"/>
              </w:rPr>
            </w:pPr>
            <w:r w:rsidRPr="00296C71">
              <w:rPr>
                <w:rFonts w:ascii="Myriad Pro" w:eastAsia="Calibri" w:hAnsi="Myriad Pro" w:cs="Times New Roman"/>
              </w:rPr>
              <w:t>231,84</w:t>
            </w:r>
          </w:p>
        </w:tc>
        <w:tc>
          <w:tcPr>
            <w:tcW w:w="1001" w:type="pct"/>
            <w:tcBorders>
              <w:top w:val="nil"/>
              <w:left w:val="nil"/>
              <w:bottom w:val="single" w:sz="4" w:space="0" w:color="auto"/>
              <w:right w:val="single" w:sz="4" w:space="0" w:color="auto"/>
            </w:tcBorders>
            <w:shd w:val="clear" w:color="auto" w:fill="auto"/>
            <w:noWrap/>
            <w:vAlign w:val="center"/>
            <w:hideMark/>
          </w:tcPr>
          <w:p w14:paraId="5A7CF981" w14:textId="77777777" w:rsidR="006415BC" w:rsidRPr="00296C71" w:rsidRDefault="006415BC" w:rsidP="00296C71">
            <w:pPr>
              <w:tabs>
                <w:tab w:val="left" w:pos="1134"/>
              </w:tabs>
              <w:spacing w:after="0" w:line="360" w:lineRule="auto"/>
              <w:jc w:val="both"/>
              <w:rPr>
                <w:rFonts w:ascii="Myriad Pro" w:eastAsia="Calibri" w:hAnsi="Myriad Pro" w:cs="Times New Roman"/>
              </w:rPr>
            </w:pPr>
            <w:r w:rsidRPr="00296C71">
              <w:rPr>
                <w:rFonts w:ascii="Myriad Pro" w:eastAsia="Calibri" w:hAnsi="Myriad Pro" w:cs="Times New Roman"/>
              </w:rPr>
              <w:t>467,61</w:t>
            </w:r>
          </w:p>
        </w:tc>
      </w:tr>
      <w:tr w:rsidR="006415BC" w:rsidRPr="00296C71" w14:paraId="5D1C3875" w14:textId="77777777" w:rsidTr="00296C71">
        <w:trPr>
          <w:trHeight w:val="20"/>
        </w:trPr>
        <w:tc>
          <w:tcPr>
            <w:tcW w:w="1632" w:type="pct"/>
            <w:tcBorders>
              <w:top w:val="nil"/>
              <w:left w:val="single" w:sz="8" w:space="0" w:color="auto"/>
              <w:bottom w:val="single" w:sz="4" w:space="0" w:color="auto"/>
              <w:right w:val="single" w:sz="4" w:space="0" w:color="auto"/>
            </w:tcBorders>
            <w:shd w:val="clear" w:color="auto" w:fill="auto"/>
            <w:vAlign w:val="center"/>
            <w:hideMark/>
          </w:tcPr>
          <w:p w14:paraId="53A6C1CE" w14:textId="77777777" w:rsidR="006415BC" w:rsidRPr="00296C71" w:rsidRDefault="006415BC" w:rsidP="00296C71">
            <w:pPr>
              <w:tabs>
                <w:tab w:val="left" w:pos="1134"/>
              </w:tabs>
              <w:spacing w:after="0" w:line="360" w:lineRule="auto"/>
              <w:jc w:val="both"/>
              <w:rPr>
                <w:rFonts w:ascii="Myriad Pro" w:eastAsia="Calibri" w:hAnsi="Myriad Pro" w:cs="Times New Roman"/>
              </w:rPr>
            </w:pPr>
            <w:r w:rsidRPr="00296C71">
              <w:rPr>
                <w:rFonts w:ascii="Myriad Pro" w:eastAsia="Calibri" w:hAnsi="Myriad Pro" w:cs="Times New Roman"/>
              </w:rPr>
              <w:t>Выручка от ТСО НИЗ</w:t>
            </w:r>
          </w:p>
        </w:tc>
        <w:tc>
          <w:tcPr>
            <w:tcW w:w="1183" w:type="pct"/>
            <w:tcBorders>
              <w:top w:val="nil"/>
              <w:left w:val="single" w:sz="4" w:space="0" w:color="auto"/>
              <w:bottom w:val="single" w:sz="4" w:space="0" w:color="auto"/>
              <w:right w:val="single" w:sz="4" w:space="0" w:color="auto"/>
            </w:tcBorders>
            <w:shd w:val="clear" w:color="auto" w:fill="auto"/>
            <w:noWrap/>
            <w:vAlign w:val="center"/>
            <w:hideMark/>
          </w:tcPr>
          <w:p w14:paraId="3F65CCFC" w14:textId="77777777" w:rsidR="006415BC" w:rsidRPr="00296C71" w:rsidRDefault="006415BC" w:rsidP="00296C71">
            <w:pPr>
              <w:tabs>
                <w:tab w:val="left" w:pos="1134"/>
              </w:tabs>
              <w:spacing w:after="0" w:line="360" w:lineRule="auto"/>
              <w:jc w:val="both"/>
              <w:rPr>
                <w:rFonts w:ascii="Myriad Pro" w:eastAsia="Calibri" w:hAnsi="Myriad Pro" w:cs="Times New Roman"/>
              </w:rPr>
            </w:pPr>
            <w:r w:rsidRPr="00296C71">
              <w:rPr>
                <w:rFonts w:ascii="Myriad Pro" w:eastAsia="Calibri" w:hAnsi="Myriad Pro" w:cs="Times New Roman"/>
              </w:rPr>
              <w:t>628,91</w:t>
            </w:r>
          </w:p>
        </w:tc>
        <w:tc>
          <w:tcPr>
            <w:tcW w:w="1183" w:type="pct"/>
            <w:tcBorders>
              <w:top w:val="nil"/>
              <w:left w:val="nil"/>
              <w:bottom w:val="single" w:sz="4" w:space="0" w:color="auto"/>
              <w:right w:val="single" w:sz="4" w:space="0" w:color="auto"/>
            </w:tcBorders>
            <w:shd w:val="clear" w:color="auto" w:fill="auto"/>
            <w:noWrap/>
            <w:vAlign w:val="center"/>
            <w:hideMark/>
          </w:tcPr>
          <w:p w14:paraId="3F75AE86" w14:textId="77777777" w:rsidR="006415BC" w:rsidRPr="00296C71" w:rsidRDefault="006415BC" w:rsidP="00296C71">
            <w:pPr>
              <w:tabs>
                <w:tab w:val="left" w:pos="1134"/>
              </w:tabs>
              <w:spacing w:after="0" w:line="360" w:lineRule="auto"/>
              <w:jc w:val="both"/>
              <w:rPr>
                <w:rFonts w:ascii="Myriad Pro" w:eastAsia="Calibri" w:hAnsi="Myriad Pro" w:cs="Times New Roman"/>
              </w:rPr>
            </w:pPr>
            <w:r w:rsidRPr="00296C71">
              <w:rPr>
                <w:rFonts w:ascii="Myriad Pro" w:eastAsia="Calibri" w:hAnsi="Myriad Pro" w:cs="Times New Roman"/>
              </w:rPr>
              <w:t>583,66</w:t>
            </w:r>
          </w:p>
        </w:tc>
        <w:tc>
          <w:tcPr>
            <w:tcW w:w="1001" w:type="pct"/>
            <w:tcBorders>
              <w:top w:val="nil"/>
              <w:left w:val="nil"/>
              <w:bottom w:val="single" w:sz="4" w:space="0" w:color="auto"/>
              <w:right w:val="single" w:sz="4" w:space="0" w:color="auto"/>
            </w:tcBorders>
            <w:shd w:val="clear" w:color="auto" w:fill="auto"/>
            <w:noWrap/>
            <w:vAlign w:val="center"/>
            <w:hideMark/>
          </w:tcPr>
          <w:p w14:paraId="20B50F64" w14:textId="77777777" w:rsidR="006415BC" w:rsidRPr="00296C71" w:rsidRDefault="006415BC" w:rsidP="00296C71">
            <w:pPr>
              <w:tabs>
                <w:tab w:val="left" w:pos="1134"/>
              </w:tabs>
              <w:spacing w:after="0" w:line="360" w:lineRule="auto"/>
              <w:jc w:val="both"/>
              <w:rPr>
                <w:rFonts w:ascii="Myriad Pro" w:eastAsia="Calibri" w:hAnsi="Myriad Pro" w:cs="Times New Roman"/>
              </w:rPr>
            </w:pPr>
            <w:r w:rsidRPr="00296C71">
              <w:rPr>
                <w:rFonts w:ascii="Myriad Pro" w:eastAsia="Calibri" w:hAnsi="Myriad Pro" w:cs="Times New Roman"/>
              </w:rPr>
              <w:t>1 212,58</w:t>
            </w:r>
          </w:p>
        </w:tc>
      </w:tr>
      <w:tr w:rsidR="006415BC" w:rsidRPr="00296C71" w14:paraId="6B6CFDAD" w14:textId="77777777" w:rsidTr="00296C71">
        <w:trPr>
          <w:trHeight w:val="20"/>
        </w:trPr>
        <w:tc>
          <w:tcPr>
            <w:tcW w:w="1632" w:type="pct"/>
            <w:tcBorders>
              <w:top w:val="nil"/>
              <w:left w:val="single" w:sz="8" w:space="0" w:color="auto"/>
              <w:bottom w:val="nil"/>
              <w:right w:val="single" w:sz="4" w:space="0" w:color="auto"/>
            </w:tcBorders>
            <w:shd w:val="clear" w:color="auto" w:fill="auto"/>
            <w:vAlign w:val="center"/>
            <w:hideMark/>
          </w:tcPr>
          <w:p w14:paraId="1EAEC523" w14:textId="77777777" w:rsidR="006415BC" w:rsidRPr="00296C71" w:rsidRDefault="006415BC" w:rsidP="00296C71">
            <w:pPr>
              <w:tabs>
                <w:tab w:val="left" w:pos="1134"/>
              </w:tabs>
              <w:spacing w:after="0" w:line="360" w:lineRule="auto"/>
              <w:jc w:val="both"/>
              <w:rPr>
                <w:rFonts w:ascii="Myriad Pro" w:eastAsia="Calibri" w:hAnsi="Myriad Pro" w:cs="Times New Roman"/>
              </w:rPr>
            </w:pPr>
            <w:r w:rsidRPr="00296C71">
              <w:rPr>
                <w:rFonts w:ascii="Myriad Pro" w:eastAsia="Calibri" w:hAnsi="Myriad Pro" w:cs="Times New Roman"/>
              </w:rPr>
              <w:t>МОЭСК</w:t>
            </w:r>
          </w:p>
        </w:tc>
        <w:tc>
          <w:tcPr>
            <w:tcW w:w="1183" w:type="pct"/>
            <w:tcBorders>
              <w:top w:val="nil"/>
              <w:left w:val="single" w:sz="4" w:space="0" w:color="auto"/>
              <w:bottom w:val="single" w:sz="4" w:space="0" w:color="auto"/>
              <w:right w:val="single" w:sz="4" w:space="0" w:color="auto"/>
            </w:tcBorders>
            <w:shd w:val="clear" w:color="auto" w:fill="auto"/>
            <w:noWrap/>
            <w:vAlign w:val="center"/>
            <w:hideMark/>
          </w:tcPr>
          <w:p w14:paraId="31CD8105" w14:textId="77777777" w:rsidR="006415BC" w:rsidRPr="00296C71" w:rsidRDefault="006415BC" w:rsidP="00296C71">
            <w:pPr>
              <w:tabs>
                <w:tab w:val="left" w:pos="1134"/>
              </w:tabs>
              <w:spacing w:after="0" w:line="360" w:lineRule="auto"/>
              <w:jc w:val="both"/>
              <w:rPr>
                <w:rFonts w:ascii="Myriad Pro" w:eastAsia="Calibri" w:hAnsi="Myriad Pro" w:cs="Times New Roman"/>
              </w:rPr>
            </w:pPr>
            <w:r w:rsidRPr="00296C71">
              <w:rPr>
                <w:rFonts w:ascii="Myriad Pro" w:eastAsia="Calibri" w:hAnsi="Myriad Pro" w:cs="Times New Roman"/>
              </w:rPr>
              <w:t>568,17</w:t>
            </w:r>
          </w:p>
        </w:tc>
        <w:tc>
          <w:tcPr>
            <w:tcW w:w="1183" w:type="pct"/>
            <w:tcBorders>
              <w:top w:val="nil"/>
              <w:left w:val="nil"/>
              <w:bottom w:val="single" w:sz="4" w:space="0" w:color="auto"/>
              <w:right w:val="single" w:sz="4" w:space="0" w:color="auto"/>
            </w:tcBorders>
            <w:shd w:val="clear" w:color="auto" w:fill="auto"/>
            <w:noWrap/>
            <w:vAlign w:val="center"/>
            <w:hideMark/>
          </w:tcPr>
          <w:p w14:paraId="33DB6439" w14:textId="77777777" w:rsidR="006415BC" w:rsidRPr="00296C71" w:rsidRDefault="006415BC" w:rsidP="00296C71">
            <w:pPr>
              <w:tabs>
                <w:tab w:val="left" w:pos="1134"/>
              </w:tabs>
              <w:spacing w:after="0" w:line="360" w:lineRule="auto"/>
              <w:jc w:val="both"/>
              <w:rPr>
                <w:rFonts w:ascii="Myriad Pro" w:eastAsia="Calibri" w:hAnsi="Myriad Pro" w:cs="Times New Roman"/>
              </w:rPr>
            </w:pPr>
            <w:r w:rsidRPr="00296C71">
              <w:rPr>
                <w:rFonts w:ascii="Myriad Pro" w:eastAsia="Calibri" w:hAnsi="Myriad Pro" w:cs="Times New Roman"/>
              </w:rPr>
              <w:t>525,78</w:t>
            </w:r>
          </w:p>
        </w:tc>
        <w:tc>
          <w:tcPr>
            <w:tcW w:w="1001" w:type="pct"/>
            <w:tcBorders>
              <w:top w:val="nil"/>
              <w:left w:val="nil"/>
              <w:bottom w:val="single" w:sz="4" w:space="0" w:color="auto"/>
              <w:right w:val="single" w:sz="4" w:space="0" w:color="auto"/>
            </w:tcBorders>
            <w:shd w:val="clear" w:color="auto" w:fill="auto"/>
            <w:noWrap/>
            <w:vAlign w:val="center"/>
            <w:hideMark/>
          </w:tcPr>
          <w:p w14:paraId="02A0BC85" w14:textId="77777777" w:rsidR="006415BC" w:rsidRPr="00296C71" w:rsidRDefault="006415BC" w:rsidP="00296C71">
            <w:pPr>
              <w:tabs>
                <w:tab w:val="left" w:pos="1134"/>
              </w:tabs>
              <w:spacing w:after="0" w:line="360" w:lineRule="auto"/>
              <w:jc w:val="both"/>
              <w:rPr>
                <w:rFonts w:ascii="Myriad Pro" w:eastAsia="Calibri" w:hAnsi="Myriad Pro" w:cs="Times New Roman"/>
              </w:rPr>
            </w:pPr>
            <w:r w:rsidRPr="00296C71">
              <w:rPr>
                <w:rFonts w:ascii="Myriad Pro" w:eastAsia="Calibri" w:hAnsi="Myriad Pro" w:cs="Times New Roman"/>
              </w:rPr>
              <w:t>1 093,95</w:t>
            </w:r>
          </w:p>
        </w:tc>
      </w:tr>
      <w:tr w:rsidR="006415BC" w:rsidRPr="00296C71" w14:paraId="674F148E" w14:textId="77777777" w:rsidTr="00296C71">
        <w:trPr>
          <w:trHeight w:val="20"/>
        </w:trPr>
        <w:tc>
          <w:tcPr>
            <w:tcW w:w="1632" w:type="pct"/>
            <w:tcBorders>
              <w:top w:val="single" w:sz="4" w:space="0" w:color="auto"/>
              <w:left w:val="single" w:sz="8" w:space="0" w:color="auto"/>
              <w:bottom w:val="nil"/>
              <w:right w:val="single" w:sz="4" w:space="0" w:color="auto"/>
            </w:tcBorders>
            <w:shd w:val="clear" w:color="auto" w:fill="auto"/>
            <w:vAlign w:val="center"/>
            <w:hideMark/>
          </w:tcPr>
          <w:p w14:paraId="4F4CBB01" w14:textId="77777777" w:rsidR="006415BC" w:rsidRPr="00296C71" w:rsidRDefault="006415BC" w:rsidP="00296C71">
            <w:pPr>
              <w:tabs>
                <w:tab w:val="left" w:pos="1134"/>
              </w:tabs>
              <w:spacing w:after="0" w:line="360" w:lineRule="auto"/>
              <w:jc w:val="both"/>
              <w:rPr>
                <w:rFonts w:ascii="Myriad Pro" w:eastAsia="Calibri" w:hAnsi="Myriad Pro" w:cs="Times New Roman"/>
              </w:rPr>
            </w:pPr>
            <w:r w:rsidRPr="00296C71">
              <w:rPr>
                <w:rFonts w:ascii="Myriad Pro" w:eastAsia="Calibri" w:hAnsi="Myriad Pro" w:cs="Times New Roman"/>
              </w:rPr>
              <w:t>МЭС</w:t>
            </w:r>
          </w:p>
        </w:tc>
        <w:tc>
          <w:tcPr>
            <w:tcW w:w="1183" w:type="pct"/>
            <w:tcBorders>
              <w:top w:val="nil"/>
              <w:left w:val="single" w:sz="4" w:space="0" w:color="auto"/>
              <w:bottom w:val="single" w:sz="4" w:space="0" w:color="auto"/>
              <w:right w:val="single" w:sz="4" w:space="0" w:color="auto"/>
            </w:tcBorders>
            <w:shd w:val="clear" w:color="auto" w:fill="auto"/>
            <w:noWrap/>
            <w:vAlign w:val="center"/>
            <w:hideMark/>
          </w:tcPr>
          <w:p w14:paraId="4DAEE829" w14:textId="77777777" w:rsidR="006415BC" w:rsidRPr="00296C71" w:rsidRDefault="006415BC" w:rsidP="00296C71">
            <w:pPr>
              <w:tabs>
                <w:tab w:val="left" w:pos="1134"/>
              </w:tabs>
              <w:spacing w:after="0" w:line="360" w:lineRule="auto"/>
              <w:jc w:val="both"/>
              <w:rPr>
                <w:rFonts w:ascii="Myriad Pro" w:eastAsia="Calibri" w:hAnsi="Myriad Pro" w:cs="Times New Roman"/>
              </w:rPr>
            </w:pPr>
            <w:r w:rsidRPr="00296C71">
              <w:rPr>
                <w:rFonts w:ascii="Myriad Pro" w:eastAsia="Calibri" w:hAnsi="Myriad Pro" w:cs="Times New Roman"/>
              </w:rPr>
              <w:t>60,75</w:t>
            </w:r>
          </w:p>
        </w:tc>
        <w:tc>
          <w:tcPr>
            <w:tcW w:w="1183" w:type="pct"/>
            <w:tcBorders>
              <w:top w:val="nil"/>
              <w:left w:val="nil"/>
              <w:bottom w:val="single" w:sz="4" w:space="0" w:color="auto"/>
              <w:right w:val="single" w:sz="4" w:space="0" w:color="auto"/>
            </w:tcBorders>
            <w:shd w:val="clear" w:color="auto" w:fill="auto"/>
            <w:noWrap/>
            <w:vAlign w:val="center"/>
            <w:hideMark/>
          </w:tcPr>
          <w:p w14:paraId="4A0D3BB8" w14:textId="77777777" w:rsidR="006415BC" w:rsidRPr="00296C71" w:rsidRDefault="006415BC" w:rsidP="00296C71">
            <w:pPr>
              <w:tabs>
                <w:tab w:val="left" w:pos="1134"/>
              </w:tabs>
              <w:spacing w:after="0" w:line="360" w:lineRule="auto"/>
              <w:jc w:val="both"/>
              <w:rPr>
                <w:rFonts w:ascii="Myriad Pro" w:eastAsia="Calibri" w:hAnsi="Myriad Pro" w:cs="Times New Roman"/>
              </w:rPr>
            </w:pPr>
            <w:r w:rsidRPr="00296C71">
              <w:rPr>
                <w:rFonts w:ascii="Myriad Pro" w:eastAsia="Calibri" w:hAnsi="Myriad Pro" w:cs="Times New Roman"/>
              </w:rPr>
              <w:t>57,88</w:t>
            </w:r>
          </w:p>
        </w:tc>
        <w:tc>
          <w:tcPr>
            <w:tcW w:w="1001" w:type="pct"/>
            <w:tcBorders>
              <w:top w:val="nil"/>
              <w:left w:val="nil"/>
              <w:bottom w:val="single" w:sz="4" w:space="0" w:color="auto"/>
              <w:right w:val="single" w:sz="4" w:space="0" w:color="auto"/>
            </w:tcBorders>
            <w:shd w:val="clear" w:color="auto" w:fill="auto"/>
            <w:noWrap/>
            <w:vAlign w:val="center"/>
            <w:hideMark/>
          </w:tcPr>
          <w:p w14:paraId="78B8DEFA" w14:textId="77777777" w:rsidR="006415BC" w:rsidRPr="00296C71" w:rsidRDefault="006415BC" w:rsidP="00296C71">
            <w:pPr>
              <w:tabs>
                <w:tab w:val="left" w:pos="1134"/>
              </w:tabs>
              <w:spacing w:after="0" w:line="360" w:lineRule="auto"/>
              <w:jc w:val="both"/>
              <w:rPr>
                <w:rFonts w:ascii="Myriad Pro" w:eastAsia="Calibri" w:hAnsi="Myriad Pro" w:cs="Times New Roman"/>
              </w:rPr>
            </w:pPr>
            <w:r w:rsidRPr="00296C71">
              <w:rPr>
                <w:rFonts w:ascii="Myriad Pro" w:eastAsia="Calibri" w:hAnsi="Myriad Pro" w:cs="Times New Roman"/>
              </w:rPr>
              <w:t>118,63</w:t>
            </w:r>
          </w:p>
        </w:tc>
      </w:tr>
      <w:tr w:rsidR="006415BC" w:rsidRPr="00296C71" w14:paraId="52A143E9" w14:textId="77777777" w:rsidTr="00296C71">
        <w:trPr>
          <w:trHeight w:val="20"/>
        </w:trPr>
        <w:tc>
          <w:tcPr>
            <w:tcW w:w="1632" w:type="pct"/>
            <w:tcBorders>
              <w:top w:val="single" w:sz="4" w:space="0" w:color="auto"/>
              <w:left w:val="single" w:sz="8" w:space="0" w:color="auto"/>
              <w:bottom w:val="single" w:sz="8" w:space="0" w:color="auto"/>
              <w:right w:val="single" w:sz="4" w:space="0" w:color="auto"/>
            </w:tcBorders>
            <w:shd w:val="clear" w:color="auto" w:fill="auto"/>
            <w:vAlign w:val="center"/>
            <w:hideMark/>
          </w:tcPr>
          <w:p w14:paraId="1129DC16" w14:textId="73F2FF47" w:rsidR="006415BC" w:rsidRPr="00296C71" w:rsidRDefault="006415BC" w:rsidP="00296C71">
            <w:pPr>
              <w:tabs>
                <w:tab w:val="left" w:pos="1134"/>
              </w:tabs>
              <w:spacing w:after="0" w:line="360" w:lineRule="auto"/>
              <w:jc w:val="both"/>
              <w:rPr>
                <w:rFonts w:ascii="Myriad Pro" w:eastAsia="Calibri" w:hAnsi="Myriad Pro" w:cs="Times New Roman"/>
              </w:rPr>
            </w:pPr>
            <w:r w:rsidRPr="00296C71">
              <w:rPr>
                <w:rFonts w:ascii="Myriad Pro" w:eastAsia="Calibri" w:hAnsi="Myriad Pro" w:cs="Times New Roman"/>
              </w:rPr>
              <w:t xml:space="preserve"> Всего</w:t>
            </w:r>
          </w:p>
        </w:tc>
        <w:tc>
          <w:tcPr>
            <w:tcW w:w="1183" w:type="pct"/>
            <w:tcBorders>
              <w:top w:val="nil"/>
              <w:left w:val="single" w:sz="4" w:space="0" w:color="auto"/>
              <w:bottom w:val="single" w:sz="4" w:space="0" w:color="auto"/>
              <w:right w:val="single" w:sz="4" w:space="0" w:color="auto"/>
            </w:tcBorders>
            <w:shd w:val="clear" w:color="auto" w:fill="auto"/>
            <w:noWrap/>
            <w:vAlign w:val="center"/>
            <w:hideMark/>
          </w:tcPr>
          <w:p w14:paraId="0DECE52D" w14:textId="77777777" w:rsidR="006415BC" w:rsidRPr="00296C71" w:rsidRDefault="006415BC" w:rsidP="00296C71">
            <w:pPr>
              <w:tabs>
                <w:tab w:val="left" w:pos="1134"/>
              </w:tabs>
              <w:spacing w:after="0" w:line="360" w:lineRule="auto"/>
              <w:jc w:val="both"/>
              <w:rPr>
                <w:rFonts w:ascii="Myriad Pro" w:eastAsia="Calibri" w:hAnsi="Myriad Pro" w:cs="Times New Roman"/>
              </w:rPr>
            </w:pPr>
            <w:r w:rsidRPr="00296C71">
              <w:rPr>
                <w:rFonts w:ascii="Myriad Pro" w:eastAsia="Calibri" w:hAnsi="Myriad Pro" w:cs="Times New Roman"/>
              </w:rPr>
              <w:t>5 602,33</w:t>
            </w:r>
          </w:p>
        </w:tc>
        <w:tc>
          <w:tcPr>
            <w:tcW w:w="1183" w:type="pct"/>
            <w:tcBorders>
              <w:top w:val="nil"/>
              <w:left w:val="nil"/>
              <w:bottom w:val="single" w:sz="4" w:space="0" w:color="auto"/>
              <w:right w:val="single" w:sz="4" w:space="0" w:color="auto"/>
            </w:tcBorders>
            <w:shd w:val="clear" w:color="auto" w:fill="auto"/>
            <w:noWrap/>
            <w:vAlign w:val="center"/>
            <w:hideMark/>
          </w:tcPr>
          <w:p w14:paraId="5420B721" w14:textId="77777777" w:rsidR="006415BC" w:rsidRPr="00296C71" w:rsidRDefault="006415BC" w:rsidP="00296C71">
            <w:pPr>
              <w:tabs>
                <w:tab w:val="left" w:pos="1134"/>
              </w:tabs>
              <w:spacing w:after="0" w:line="360" w:lineRule="auto"/>
              <w:jc w:val="both"/>
              <w:rPr>
                <w:rFonts w:ascii="Myriad Pro" w:eastAsia="Calibri" w:hAnsi="Myriad Pro" w:cs="Times New Roman"/>
              </w:rPr>
            </w:pPr>
            <w:r w:rsidRPr="00296C71">
              <w:rPr>
                <w:rFonts w:ascii="Myriad Pro" w:eastAsia="Calibri" w:hAnsi="Myriad Pro" w:cs="Times New Roman"/>
              </w:rPr>
              <w:t>5 331,23</w:t>
            </w:r>
          </w:p>
        </w:tc>
        <w:tc>
          <w:tcPr>
            <w:tcW w:w="1001" w:type="pct"/>
            <w:tcBorders>
              <w:top w:val="nil"/>
              <w:left w:val="nil"/>
              <w:bottom w:val="single" w:sz="4" w:space="0" w:color="auto"/>
              <w:right w:val="single" w:sz="4" w:space="0" w:color="auto"/>
            </w:tcBorders>
            <w:shd w:val="clear" w:color="auto" w:fill="auto"/>
            <w:noWrap/>
            <w:vAlign w:val="center"/>
            <w:hideMark/>
          </w:tcPr>
          <w:p w14:paraId="061E4748" w14:textId="77777777" w:rsidR="006415BC" w:rsidRPr="00296C71" w:rsidRDefault="006415BC" w:rsidP="00296C71">
            <w:pPr>
              <w:tabs>
                <w:tab w:val="left" w:pos="1134"/>
              </w:tabs>
              <w:spacing w:after="0" w:line="360" w:lineRule="auto"/>
              <w:jc w:val="both"/>
              <w:rPr>
                <w:rFonts w:ascii="Myriad Pro" w:eastAsia="Calibri" w:hAnsi="Myriad Pro" w:cs="Times New Roman"/>
              </w:rPr>
            </w:pPr>
            <w:r w:rsidRPr="00296C71">
              <w:rPr>
                <w:rFonts w:ascii="Myriad Pro" w:eastAsia="Calibri" w:hAnsi="Myriad Pro" w:cs="Times New Roman"/>
              </w:rPr>
              <w:t>10 933,56</w:t>
            </w:r>
          </w:p>
        </w:tc>
      </w:tr>
    </w:tbl>
    <w:p w14:paraId="04931794" w14:textId="77777777" w:rsidR="006415BC" w:rsidRPr="00296C71" w:rsidRDefault="006415BC" w:rsidP="00296C71">
      <w:pPr>
        <w:tabs>
          <w:tab w:val="left" w:pos="1134"/>
        </w:tabs>
        <w:spacing w:after="0" w:line="360" w:lineRule="auto"/>
        <w:ind w:firstLine="567"/>
        <w:jc w:val="both"/>
        <w:rPr>
          <w:rFonts w:ascii="Myriad Pro" w:eastAsia="Calibri" w:hAnsi="Myriad Pro" w:cs="Times New Roman"/>
          <w:sz w:val="26"/>
          <w:szCs w:val="26"/>
        </w:rPr>
      </w:pPr>
    </w:p>
    <w:p w14:paraId="267E3D7F" w14:textId="6CB4FA00" w:rsidR="00450684" w:rsidRPr="00296C71" w:rsidRDefault="006415BC" w:rsidP="00296C71">
      <w:pPr>
        <w:tabs>
          <w:tab w:val="left" w:pos="1134"/>
        </w:tabs>
        <w:spacing w:after="0" w:line="360" w:lineRule="auto"/>
        <w:ind w:firstLine="567"/>
        <w:jc w:val="both"/>
        <w:rPr>
          <w:rFonts w:ascii="Myriad Pro" w:eastAsia="Calibri" w:hAnsi="Myriad Pro" w:cs="Times New Roman"/>
          <w:sz w:val="26"/>
          <w:szCs w:val="26"/>
        </w:rPr>
      </w:pPr>
      <w:r w:rsidRPr="00296C71">
        <w:rPr>
          <w:rFonts w:ascii="Myriad Pro" w:eastAsia="Calibri" w:hAnsi="Myriad Pro" w:cs="Times New Roman"/>
          <w:sz w:val="26"/>
          <w:szCs w:val="26"/>
        </w:rPr>
        <w:t>Предложение филиала ПАО «МРСК Северо-Запада» «Колэнерго»</w:t>
      </w:r>
    </w:p>
    <w:tbl>
      <w:tblPr>
        <w:tblW w:w="9344" w:type="dxa"/>
        <w:tblLook w:val="04A0" w:firstRow="1" w:lastRow="0" w:firstColumn="1" w:lastColumn="0" w:noHBand="0" w:noVBand="1"/>
      </w:tblPr>
      <w:tblGrid>
        <w:gridCol w:w="2078"/>
        <w:gridCol w:w="1828"/>
        <w:gridCol w:w="1292"/>
        <w:gridCol w:w="1382"/>
        <w:gridCol w:w="1382"/>
        <w:gridCol w:w="1382"/>
      </w:tblGrid>
      <w:tr w:rsidR="00296C71" w:rsidRPr="00296C71" w14:paraId="4E393A4C" w14:textId="77777777" w:rsidTr="00296C71">
        <w:trPr>
          <w:trHeight w:val="525"/>
        </w:trPr>
        <w:tc>
          <w:tcPr>
            <w:tcW w:w="2078"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617B804D" w14:textId="69149AEA" w:rsidR="00296C71" w:rsidRPr="00296C71" w:rsidRDefault="00296C71" w:rsidP="00296C71">
            <w:pPr>
              <w:tabs>
                <w:tab w:val="left" w:pos="1134"/>
              </w:tabs>
              <w:spacing w:after="0" w:line="360" w:lineRule="auto"/>
              <w:jc w:val="center"/>
              <w:rPr>
                <w:rFonts w:ascii="Myriad Pro" w:eastAsia="Calibri" w:hAnsi="Myriad Pro" w:cs="Times New Roman"/>
                <w:color w:val="FFFFFF" w:themeColor="background1"/>
              </w:rPr>
            </w:pPr>
            <w:r w:rsidRPr="00296C71">
              <w:rPr>
                <w:rFonts w:ascii="Myriad Pro" w:eastAsia="Calibri" w:hAnsi="Myriad Pro" w:cs="Times New Roman"/>
                <w:color w:val="FFFFFF" w:themeColor="background1"/>
              </w:rPr>
              <w:t>2019 год</w:t>
            </w:r>
          </w:p>
        </w:tc>
        <w:tc>
          <w:tcPr>
            <w:tcW w:w="7266"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F60561" w14:textId="77777777" w:rsidR="00296C71" w:rsidRPr="00296C71" w:rsidRDefault="00296C71" w:rsidP="00296C71">
            <w:pPr>
              <w:tabs>
                <w:tab w:val="left" w:pos="1134"/>
              </w:tabs>
              <w:spacing w:after="0" w:line="360" w:lineRule="auto"/>
              <w:jc w:val="center"/>
              <w:rPr>
                <w:rFonts w:ascii="Myriad Pro" w:eastAsia="Calibri" w:hAnsi="Myriad Pro" w:cs="Times New Roman"/>
                <w:color w:val="FFFFFF" w:themeColor="background1"/>
              </w:rPr>
            </w:pPr>
            <w:r w:rsidRPr="00296C71">
              <w:rPr>
                <w:rFonts w:ascii="Myriad Pro" w:eastAsia="Calibri" w:hAnsi="Myriad Pro" w:cs="Times New Roman"/>
                <w:color w:val="FFFFFF" w:themeColor="background1"/>
              </w:rPr>
              <w:t>Объем услуг по передаче электрической энергии, млн. кВт*ч</w:t>
            </w:r>
          </w:p>
        </w:tc>
      </w:tr>
      <w:tr w:rsidR="00296C71" w:rsidRPr="00296C71" w14:paraId="13A1B2BB" w14:textId="77777777" w:rsidTr="00296C71">
        <w:trPr>
          <w:trHeight w:val="345"/>
        </w:trPr>
        <w:tc>
          <w:tcPr>
            <w:tcW w:w="2078" w:type="dxa"/>
            <w:vMerge/>
            <w:tcBorders>
              <w:left w:val="single" w:sz="4" w:space="0" w:color="FFFFFF" w:themeColor="background1"/>
              <w:right w:val="single" w:sz="4" w:space="0" w:color="FFFFFF" w:themeColor="background1"/>
            </w:tcBorders>
            <w:shd w:val="clear" w:color="auto" w:fill="4F6228" w:themeFill="accent3" w:themeFillShade="80"/>
            <w:vAlign w:val="center"/>
            <w:hideMark/>
          </w:tcPr>
          <w:p w14:paraId="047E4A35" w14:textId="6A50EA90" w:rsidR="00296C71" w:rsidRPr="00296C71" w:rsidRDefault="00296C71" w:rsidP="00296C71">
            <w:pPr>
              <w:tabs>
                <w:tab w:val="left" w:pos="1134"/>
              </w:tabs>
              <w:spacing w:after="0" w:line="360" w:lineRule="auto"/>
              <w:jc w:val="center"/>
              <w:rPr>
                <w:rFonts w:ascii="Myriad Pro" w:eastAsia="Calibri" w:hAnsi="Myriad Pro" w:cs="Times New Roman"/>
                <w:color w:val="FFFFFF" w:themeColor="background1"/>
              </w:rPr>
            </w:pPr>
          </w:p>
        </w:tc>
        <w:tc>
          <w:tcPr>
            <w:tcW w:w="182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BF18980" w14:textId="5687FE6A" w:rsidR="00296C71" w:rsidRPr="00296C71" w:rsidRDefault="00296C71" w:rsidP="00296C71">
            <w:pPr>
              <w:tabs>
                <w:tab w:val="left" w:pos="1134"/>
              </w:tabs>
              <w:spacing w:after="0" w:line="360" w:lineRule="auto"/>
              <w:jc w:val="center"/>
              <w:rPr>
                <w:rFonts w:ascii="Myriad Pro" w:eastAsia="Calibri" w:hAnsi="Myriad Pro" w:cs="Times New Roman"/>
                <w:color w:val="FFFFFF" w:themeColor="background1"/>
              </w:rPr>
            </w:pPr>
            <w:r w:rsidRPr="00296C71">
              <w:rPr>
                <w:rFonts w:ascii="Myriad Pro" w:eastAsia="Calibri" w:hAnsi="Myriad Pro" w:cs="Times New Roman"/>
                <w:color w:val="FFFFFF" w:themeColor="background1"/>
              </w:rPr>
              <w:t>всего</w:t>
            </w:r>
          </w:p>
        </w:tc>
        <w:tc>
          <w:tcPr>
            <w:tcW w:w="5438"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C34E0D1" w14:textId="77777777" w:rsidR="00296C71" w:rsidRPr="00296C71" w:rsidRDefault="00296C71" w:rsidP="00296C71">
            <w:pPr>
              <w:tabs>
                <w:tab w:val="left" w:pos="1134"/>
              </w:tabs>
              <w:spacing w:after="0" w:line="360" w:lineRule="auto"/>
              <w:jc w:val="center"/>
              <w:rPr>
                <w:rFonts w:ascii="Myriad Pro" w:eastAsia="Calibri" w:hAnsi="Myriad Pro" w:cs="Times New Roman"/>
                <w:color w:val="FFFFFF" w:themeColor="background1"/>
              </w:rPr>
            </w:pPr>
            <w:r w:rsidRPr="00296C71">
              <w:rPr>
                <w:rFonts w:ascii="Myriad Pro" w:eastAsia="Calibri" w:hAnsi="Myriad Pro" w:cs="Times New Roman"/>
                <w:color w:val="FFFFFF" w:themeColor="background1"/>
              </w:rPr>
              <w:t>в том числе по уровням напряжения</w:t>
            </w:r>
          </w:p>
        </w:tc>
      </w:tr>
      <w:tr w:rsidR="00296C71" w:rsidRPr="00296C71" w14:paraId="093E20A8" w14:textId="77777777" w:rsidTr="00296C71">
        <w:trPr>
          <w:trHeight w:val="390"/>
        </w:trPr>
        <w:tc>
          <w:tcPr>
            <w:tcW w:w="2078" w:type="dxa"/>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526CB3" w14:textId="7573016A" w:rsidR="00296C71" w:rsidRPr="00296C71" w:rsidRDefault="00296C71" w:rsidP="00296C71">
            <w:pPr>
              <w:tabs>
                <w:tab w:val="left" w:pos="1134"/>
              </w:tabs>
              <w:spacing w:after="0" w:line="360" w:lineRule="auto"/>
              <w:jc w:val="center"/>
              <w:rPr>
                <w:rFonts w:ascii="Myriad Pro" w:eastAsia="Calibri" w:hAnsi="Myriad Pro" w:cs="Times New Roman"/>
                <w:color w:val="FFFFFF" w:themeColor="background1"/>
              </w:rPr>
            </w:pPr>
          </w:p>
        </w:tc>
        <w:tc>
          <w:tcPr>
            <w:tcW w:w="182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E20F4C8" w14:textId="4641357F" w:rsidR="00296C71" w:rsidRPr="00296C71" w:rsidRDefault="00296C71" w:rsidP="00296C71">
            <w:pPr>
              <w:tabs>
                <w:tab w:val="left" w:pos="1134"/>
              </w:tabs>
              <w:spacing w:after="0" w:line="360" w:lineRule="auto"/>
              <w:jc w:val="center"/>
              <w:rPr>
                <w:rFonts w:ascii="Myriad Pro" w:eastAsia="Calibri" w:hAnsi="Myriad Pro" w:cs="Times New Roman"/>
                <w:color w:val="FFFFFF" w:themeColor="background1"/>
              </w:rPr>
            </w:pPr>
          </w:p>
        </w:tc>
        <w:tc>
          <w:tcPr>
            <w:tcW w:w="12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15B69C1" w14:textId="77777777" w:rsidR="00296C71" w:rsidRPr="00296C71" w:rsidRDefault="00296C71" w:rsidP="00296C71">
            <w:pPr>
              <w:tabs>
                <w:tab w:val="left" w:pos="1134"/>
              </w:tabs>
              <w:spacing w:after="0" w:line="360" w:lineRule="auto"/>
              <w:jc w:val="center"/>
              <w:rPr>
                <w:rFonts w:ascii="Myriad Pro" w:eastAsia="Calibri" w:hAnsi="Myriad Pro" w:cs="Times New Roman"/>
                <w:color w:val="FFFFFF" w:themeColor="background1"/>
              </w:rPr>
            </w:pPr>
            <w:r w:rsidRPr="00296C71">
              <w:rPr>
                <w:rFonts w:ascii="Myriad Pro" w:eastAsia="Calibri" w:hAnsi="Myriad Pro" w:cs="Times New Roman"/>
                <w:color w:val="FFFFFF" w:themeColor="background1"/>
              </w:rPr>
              <w:t>ВН</w:t>
            </w:r>
          </w:p>
        </w:tc>
        <w:tc>
          <w:tcPr>
            <w:tcW w:w="13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AF50DCB" w14:textId="77777777" w:rsidR="00296C71" w:rsidRPr="00296C71" w:rsidRDefault="00296C71" w:rsidP="00296C71">
            <w:pPr>
              <w:tabs>
                <w:tab w:val="left" w:pos="1134"/>
              </w:tabs>
              <w:spacing w:after="0" w:line="360" w:lineRule="auto"/>
              <w:jc w:val="center"/>
              <w:rPr>
                <w:rFonts w:ascii="Myriad Pro" w:eastAsia="Calibri" w:hAnsi="Myriad Pro" w:cs="Times New Roman"/>
                <w:color w:val="FFFFFF" w:themeColor="background1"/>
              </w:rPr>
            </w:pPr>
            <w:r w:rsidRPr="00296C71">
              <w:rPr>
                <w:rFonts w:ascii="Myriad Pro" w:eastAsia="Calibri" w:hAnsi="Myriad Pro" w:cs="Times New Roman"/>
                <w:color w:val="FFFFFF" w:themeColor="background1"/>
              </w:rPr>
              <w:t>СН1</w:t>
            </w:r>
          </w:p>
        </w:tc>
        <w:tc>
          <w:tcPr>
            <w:tcW w:w="13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61F082E" w14:textId="77777777" w:rsidR="00296C71" w:rsidRPr="00296C71" w:rsidRDefault="00296C71" w:rsidP="00296C71">
            <w:pPr>
              <w:tabs>
                <w:tab w:val="left" w:pos="1134"/>
              </w:tabs>
              <w:spacing w:after="0" w:line="360" w:lineRule="auto"/>
              <w:jc w:val="center"/>
              <w:rPr>
                <w:rFonts w:ascii="Myriad Pro" w:eastAsia="Calibri" w:hAnsi="Myriad Pro" w:cs="Times New Roman"/>
                <w:color w:val="FFFFFF" w:themeColor="background1"/>
              </w:rPr>
            </w:pPr>
            <w:r w:rsidRPr="00296C71">
              <w:rPr>
                <w:rFonts w:ascii="Myriad Pro" w:eastAsia="Calibri" w:hAnsi="Myriad Pro" w:cs="Times New Roman"/>
                <w:color w:val="FFFFFF" w:themeColor="background1"/>
              </w:rPr>
              <w:t>СН2</w:t>
            </w:r>
          </w:p>
        </w:tc>
        <w:tc>
          <w:tcPr>
            <w:tcW w:w="13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F89819C" w14:textId="77777777" w:rsidR="00296C71" w:rsidRPr="00296C71" w:rsidRDefault="00296C71" w:rsidP="00296C71">
            <w:pPr>
              <w:tabs>
                <w:tab w:val="left" w:pos="1134"/>
              </w:tabs>
              <w:spacing w:after="0" w:line="360" w:lineRule="auto"/>
              <w:jc w:val="center"/>
              <w:rPr>
                <w:rFonts w:ascii="Myriad Pro" w:eastAsia="Calibri" w:hAnsi="Myriad Pro" w:cs="Times New Roman"/>
                <w:color w:val="FFFFFF" w:themeColor="background1"/>
              </w:rPr>
            </w:pPr>
            <w:r w:rsidRPr="00296C71">
              <w:rPr>
                <w:rFonts w:ascii="Myriad Pro" w:eastAsia="Calibri" w:hAnsi="Myriad Pro" w:cs="Times New Roman"/>
                <w:color w:val="FFFFFF" w:themeColor="background1"/>
              </w:rPr>
              <w:t>НН</w:t>
            </w:r>
          </w:p>
        </w:tc>
      </w:tr>
      <w:tr w:rsidR="006415BC" w:rsidRPr="00296C71" w14:paraId="4256B0ED" w14:textId="77777777" w:rsidTr="00296C71">
        <w:trPr>
          <w:trHeight w:val="630"/>
        </w:trPr>
        <w:tc>
          <w:tcPr>
            <w:tcW w:w="2078"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F777E8F" w14:textId="77777777" w:rsidR="006415BC" w:rsidRPr="00296C71" w:rsidRDefault="006415BC" w:rsidP="00296C71">
            <w:pPr>
              <w:tabs>
                <w:tab w:val="left" w:pos="1134"/>
              </w:tabs>
              <w:spacing w:after="0" w:line="360" w:lineRule="auto"/>
              <w:jc w:val="both"/>
              <w:rPr>
                <w:rFonts w:ascii="Myriad Pro" w:eastAsia="Calibri" w:hAnsi="Myriad Pro" w:cs="Times New Roman"/>
              </w:rPr>
            </w:pPr>
            <w:r w:rsidRPr="00296C71">
              <w:rPr>
                <w:rFonts w:ascii="Myriad Pro" w:eastAsia="Calibri" w:hAnsi="Myriad Pro" w:cs="Times New Roman"/>
              </w:rPr>
              <w:t>предложение Филиала на 2019</w:t>
            </w:r>
          </w:p>
        </w:tc>
        <w:tc>
          <w:tcPr>
            <w:tcW w:w="182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63F1044" w14:textId="77777777" w:rsidR="006415BC" w:rsidRPr="00296C71" w:rsidRDefault="006415BC" w:rsidP="00296C71">
            <w:pPr>
              <w:tabs>
                <w:tab w:val="left" w:pos="1134"/>
              </w:tabs>
              <w:spacing w:after="0" w:line="360" w:lineRule="auto"/>
              <w:jc w:val="both"/>
              <w:rPr>
                <w:rFonts w:ascii="Myriad Pro" w:eastAsia="Calibri" w:hAnsi="Myriad Pro" w:cs="Times New Roman"/>
              </w:rPr>
            </w:pPr>
            <w:r w:rsidRPr="00296C71">
              <w:rPr>
                <w:rFonts w:ascii="Myriad Pro" w:eastAsia="Calibri" w:hAnsi="Myriad Pro" w:cs="Times New Roman"/>
              </w:rPr>
              <w:t>10 841,34</w:t>
            </w:r>
          </w:p>
        </w:tc>
        <w:tc>
          <w:tcPr>
            <w:tcW w:w="129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C5FABCA" w14:textId="77777777" w:rsidR="006415BC" w:rsidRPr="00296C71" w:rsidRDefault="006415BC" w:rsidP="00296C71">
            <w:pPr>
              <w:tabs>
                <w:tab w:val="left" w:pos="1134"/>
              </w:tabs>
              <w:spacing w:after="0" w:line="360" w:lineRule="auto"/>
              <w:jc w:val="both"/>
              <w:rPr>
                <w:rFonts w:ascii="Myriad Pro" w:eastAsia="Calibri" w:hAnsi="Myriad Pro" w:cs="Times New Roman"/>
              </w:rPr>
            </w:pPr>
            <w:r w:rsidRPr="00296C71">
              <w:rPr>
                <w:rFonts w:ascii="Myriad Pro" w:eastAsia="Calibri" w:hAnsi="Myriad Pro" w:cs="Times New Roman"/>
              </w:rPr>
              <w:t>9 403,81</w:t>
            </w:r>
          </w:p>
        </w:tc>
        <w:tc>
          <w:tcPr>
            <w:tcW w:w="138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D4E28DE" w14:textId="77777777" w:rsidR="006415BC" w:rsidRPr="00296C71" w:rsidRDefault="006415BC" w:rsidP="00296C71">
            <w:pPr>
              <w:tabs>
                <w:tab w:val="left" w:pos="1134"/>
              </w:tabs>
              <w:spacing w:after="0" w:line="360" w:lineRule="auto"/>
              <w:jc w:val="both"/>
              <w:rPr>
                <w:rFonts w:ascii="Myriad Pro" w:eastAsia="Calibri" w:hAnsi="Myriad Pro" w:cs="Times New Roman"/>
              </w:rPr>
            </w:pPr>
            <w:r w:rsidRPr="00296C71">
              <w:rPr>
                <w:rFonts w:ascii="Myriad Pro" w:eastAsia="Calibri" w:hAnsi="Myriad Pro" w:cs="Times New Roman"/>
              </w:rPr>
              <w:t>950,32</w:t>
            </w:r>
          </w:p>
        </w:tc>
        <w:tc>
          <w:tcPr>
            <w:tcW w:w="138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A82A73D" w14:textId="77777777" w:rsidR="006415BC" w:rsidRPr="00296C71" w:rsidRDefault="006415BC" w:rsidP="00296C71">
            <w:pPr>
              <w:tabs>
                <w:tab w:val="left" w:pos="1134"/>
              </w:tabs>
              <w:spacing w:after="0" w:line="360" w:lineRule="auto"/>
              <w:jc w:val="both"/>
              <w:rPr>
                <w:rFonts w:ascii="Myriad Pro" w:eastAsia="Calibri" w:hAnsi="Myriad Pro" w:cs="Times New Roman"/>
              </w:rPr>
            </w:pPr>
            <w:r w:rsidRPr="00296C71">
              <w:rPr>
                <w:rFonts w:ascii="Myriad Pro" w:eastAsia="Calibri" w:hAnsi="Myriad Pro" w:cs="Times New Roman"/>
              </w:rPr>
              <w:t>341,50</w:t>
            </w:r>
          </w:p>
        </w:tc>
        <w:tc>
          <w:tcPr>
            <w:tcW w:w="138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15699CB" w14:textId="77777777" w:rsidR="006415BC" w:rsidRPr="00296C71" w:rsidRDefault="006415BC" w:rsidP="00296C71">
            <w:pPr>
              <w:tabs>
                <w:tab w:val="left" w:pos="1134"/>
              </w:tabs>
              <w:spacing w:after="0" w:line="360" w:lineRule="auto"/>
              <w:jc w:val="both"/>
              <w:rPr>
                <w:rFonts w:ascii="Myriad Pro" w:eastAsia="Calibri" w:hAnsi="Myriad Pro" w:cs="Times New Roman"/>
              </w:rPr>
            </w:pPr>
            <w:r w:rsidRPr="00296C71">
              <w:rPr>
                <w:rFonts w:ascii="Myriad Pro" w:eastAsia="Calibri" w:hAnsi="Myriad Pro" w:cs="Times New Roman"/>
              </w:rPr>
              <w:t>145,70</w:t>
            </w:r>
          </w:p>
        </w:tc>
      </w:tr>
    </w:tbl>
    <w:p w14:paraId="4476F9B2" w14:textId="3A80EB93" w:rsidR="00B1094A" w:rsidRPr="00FB0A3A" w:rsidRDefault="00415862" w:rsidP="002F115E">
      <w:pPr>
        <w:pStyle w:val="afff4"/>
        <w:tabs>
          <w:tab w:val="clear" w:pos="960"/>
          <w:tab w:val="left" w:pos="1134"/>
        </w:tabs>
        <w:spacing w:after="0"/>
        <w:rPr>
          <w:lang w:val="ru-RU"/>
        </w:rPr>
      </w:pPr>
      <w:r w:rsidRPr="00296C71">
        <w:rPr>
          <w:lang w:val="ru-RU"/>
        </w:rPr>
        <w:t xml:space="preserve">Исполнителем произведен расчет </w:t>
      </w:r>
      <w:r w:rsidR="00B1094A" w:rsidRPr="00296C71">
        <w:rPr>
          <w:lang w:val="ru-RU"/>
        </w:rPr>
        <w:t>объемов отпуска электрической энергии,</w:t>
      </w:r>
      <w:r w:rsidR="00B1094A" w:rsidRPr="00FB0A3A">
        <w:rPr>
          <w:lang w:val="ru-RU"/>
        </w:rPr>
        <w:t xml:space="preserve"> возможным к применению при расчете тарифов на услуги по передаче электрической энергии филиалу ПАО</w:t>
      </w:r>
      <w:r w:rsidR="00996030">
        <w:rPr>
          <w:lang w:val="ru-RU"/>
        </w:rPr>
        <w:t> </w:t>
      </w:r>
      <w:r w:rsidR="00655FFA" w:rsidRPr="00FB0A3A">
        <w:rPr>
          <w:lang w:val="ru-RU"/>
        </w:rPr>
        <w:t>«</w:t>
      </w:r>
      <w:r w:rsidR="00B1094A" w:rsidRPr="00FB0A3A">
        <w:rPr>
          <w:lang w:val="ru-RU"/>
        </w:rPr>
        <w:t>МРСК</w:t>
      </w:r>
      <w:r w:rsidR="00996030">
        <w:rPr>
          <w:lang w:val="ru-RU"/>
        </w:rPr>
        <w:t> </w:t>
      </w:r>
      <w:r w:rsidR="00B1094A" w:rsidRPr="00FB0A3A">
        <w:rPr>
          <w:lang w:val="ru-RU"/>
        </w:rPr>
        <w:t>Северо-Запада</w:t>
      </w:r>
      <w:r w:rsidR="00655FFA" w:rsidRPr="00FB0A3A">
        <w:rPr>
          <w:lang w:val="ru-RU"/>
        </w:rPr>
        <w:t>»</w:t>
      </w:r>
      <w:r w:rsidR="00B1094A" w:rsidRPr="00FB0A3A">
        <w:rPr>
          <w:lang w:val="ru-RU"/>
        </w:rPr>
        <w:t xml:space="preserve"> </w:t>
      </w:r>
      <w:r w:rsidR="00655FFA" w:rsidRPr="00FB0A3A">
        <w:rPr>
          <w:lang w:val="ru-RU"/>
        </w:rPr>
        <w:t>«</w:t>
      </w:r>
      <w:r w:rsidR="00B1094A" w:rsidRPr="00FB0A3A">
        <w:rPr>
          <w:lang w:val="ru-RU"/>
        </w:rPr>
        <w:t>Колэнерго</w:t>
      </w:r>
      <w:r w:rsidR="00655FFA" w:rsidRPr="00FB0A3A">
        <w:rPr>
          <w:lang w:val="ru-RU"/>
        </w:rPr>
        <w:t>»</w:t>
      </w:r>
      <w:r w:rsidR="00B1094A" w:rsidRPr="00FB0A3A">
        <w:rPr>
          <w:lang w:val="ru-RU"/>
        </w:rPr>
        <w:t>.</w:t>
      </w:r>
      <w:r w:rsidR="005630C6" w:rsidRPr="00FB0A3A">
        <w:rPr>
          <w:lang w:val="ru-RU"/>
        </w:rPr>
        <w:t xml:space="preserve"> </w:t>
      </w:r>
      <w:r w:rsidR="00B1094A" w:rsidRPr="00FB0A3A">
        <w:rPr>
          <w:lang w:val="ru-RU"/>
        </w:rPr>
        <w:t xml:space="preserve">Исполнителем проанализирована информация, опубликованная на официальном сайте ПАО </w:t>
      </w:r>
      <w:r w:rsidR="00655FFA" w:rsidRPr="00FB0A3A">
        <w:rPr>
          <w:lang w:val="ru-RU"/>
        </w:rPr>
        <w:t>«</w:t>
      </w:r>
      <w:r w:rsidR="00B1094A" w:rsidRPr="00FB0A3A">
        <w:rPr>
          <w:lang w:val="ru-RU"/>
        </w:rPr>
        <w:t>МРСК Северо-Запада</w:t>
      </w:r>
      <w:r w:rsidR="00655FFA" w:rsidRPr="00FB0A3A">
        <w:rPr>
          <w:lang w:val="ru-RU"/>
        </w:rPr>
        <w:t>»</w:t>
      </w:r>
      <w:r w:rsidR="00A31747" w:rsidRPr="00FB0A3A">
        <w:rPr>
          <w:lang w:val="ru-RU"/>
        </w:rPr>
        <w:t xml:space="preserve"> </w:t>
      </w:r>
      <w:r w:rsidR="00B1094A" w:rsidRPr="00FB0A3A">
        <w:rPr>
          <w:lang w:val="ru-RU"/>
        </w:rPr>
        <w:t>(</w:t>
      </w:r>
      <w:hyperlink r:id="rId25" w:history="1">
        <w:r w:rsidR="00B1094A" w:rsidRPr="00FB0A3A">
          <w:rPr>
            <w:lang w:val="ru-RU"/>
          </w:rPr>
          <w:t>http://www.mrsksevzap.ru/id_7balance</w:t>
        </w:r>
      </w:hyperlink>
      <w:r w:rsidR="00B1094A" w:rsidRPr="00FB0A3A">
        <w:rPr>
          <w:lang w:val="ru-RU"/>
        </w:rPr>
        <w:t xml:space="preserve">) в рамках раскрытия информации (абз. 4 п. 11 </w:t>
      </w:r>
      <w:r w:rsidR="00655FFA" w:rsidRPr="00FB0A3A">
        <w:rPr>
          <w:lang w:val="ru-RU"/>
        </w:rPr>
        <w:t>«</w:t>
      </w:r>
      <w:r w:rsidR="00B1094A" w:rsidRPr="00FB0A3A">
        <w:rPr>
          <w:lang w:val="ru-RU"/>
        </w:rPr>
        <w:t>б</w:t>
      </w:r>
      <w:r w:rsidR="00655FFA" w:rsidRPr="00FB0A3A">
        <w:rPr>
          <w:lang w:val="ru-RU"/>
        </w:rPr>
        <w:t>»</w:t>
      </w:r>
      <w:r w:rsidR="00B1094A" w:rsidRPr="00FB0A3A">
        <w:rPr>
          <w:lang w:val="ru-RU"/>
        </w:rPr>
        <w:t xml:space="preserve"> ПП РФ № 24 от 21.01.2004)</w:t>
      </w:r>
      <w:r w:rsidR="005630C6" w:rsidRPr="00FB0A3A">
        <w:rPr>
          <w:lang w:val="ru-RU"/>
        </w:rPr>
        <w:t xml:space="preserve"> за период 2015-2017 гг.</w:t>
      </w:r>
    </w:p>
    <w:tbl>
      <w:tblPr>
        <w:tblStyle w:val="afff6"/>
        <w:tblW w:w="5000" w:type="pct"/>
        <w:tblLook w:val="04A0" w:firstRow="1" w:lastRow="0" w:firstColumn="1" w:lastColumn="0" w:noHBand="0" w:noVBand="1"/>
      </w:tblPr>
      <w:tblGrid>
        <w:gridCol w:w="2649"/>
        <w:gridCol w:w="1405"/>
        <w:gridCol w:w="1286"/>
        <w:gridCol w:w="1334"/>
        <w:gridCol w:w="1334"/>
        <w:gridCol w:w="1336"/>
      </w:tblGrid>
      <w:tr w:rsidR="005630C6" w:rsidRPr="00FB0A3A" w14:paraId="49B6FFBC" w14:textId="77777777" w:rsidTr="00C079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97B5AD3" w14:textId="77777777" w:rsidR="005630C6" w:rsidRPr="00FB0A3A" w:rsidRDefault="005630C6" w:rsidP="00A31747">
            <w:pPr>
              <w:tabs>
                <w:tab w:val="left" w:pos="1134"/>
              </w:tabs>
              <w:jc w:val="center"/>
              <w:rPr>
                <w:rFonts w:eastAsia="Calibri" w:cs="Times New Roman"/>
                <w:szCs w:val="18"/>
              </w:rPr>
            </w:pPr>
            <w:r w:rsidRPr="00FB0A3A">
              <w:rPr>
                <w:rFonts w:eastAsia="Calibri" w:cs="Times New Roman"/>
                <w:szCs w:val="18"/>
              </w:rPr>
              <w:t>Год</w:t>
            </w:r>
          </w:p>
        </w:tc>
        <w:tc>
          <w:tcPr>
            <w:tcW w:w="3583"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C5811FE" w14:textId="77777777" w:rsidR="005630C6" w:rsidRPr="00FB0A3A" w:rsidRDefault="005630C6" w:rsidP="00A31747">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Объем услуг по передаче электрической энергии, млн. кВт*ч</w:t>
            </w:r>
          </w:p>
        </w:tc>
      </w:tr>
      <w:tr w:rsidR="005630C6" w:rsidRPr="00FB0A3A" w14:paraId="0F345D40" w14:textId="77777777" w:rsidTr="00C0799E">
        <w:tc>
          <w:tcPr>
            <w:cnfStyle w:val="001000000000" w:firstRow="0" w:lastRow="0" w:firstColumn="1" w:lastColumn="0" w:oddVBand="0" w:evenVBand="0" w:oddHBand="0" w:evenHBand="0" w:firstRowFirstColumn="0" w:firstRowLastColumn="0" w:lastRowFirstColumn="0" w:lastRowLastColumn="0"/>
            <w:tcW w:w="141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C7DAD8F" w14:textId="77777777" w:rsidR="005630C6" w:rsidRPr="00FB0A3A" w:rsidRDefault="005630C6" w:rsidP="00A31747">
            <w:pPr>
              <w:tabs>
                <w:tab w:val="left" w:pos="1134"/>
              </w:tabs>
              <w:jc w:val="center"/>
              <w:rPr>
                <w:rFonts w:eastAsia="Calibri" w:cs="Times New Roman"/>
                <w:szCs w:val="18"/>
              </w:rPr>
            </w:pPr>
          </w:p>
        </w:tc>
        <w:tc>
          <w:tcPr>
            <w:tcW w:w="75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4C780DC2" w14:textId="77777777" w:rsidR="005630C6" w:rsidRPr="00FB0A3A" w:rsidRDefault="005630C6" w:rsidP="00A3174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color w:val="FFFFFF" w:themeColor="background1"/>
                <w:szCs w:val="18"/>
              </w:rPr>
            </w:pPr>
            <w:r w:rsidRPr="00FB0A3A">
              <w:rPr>
                <w:rFonts w:eastAsia="Calibri" w:cs="Times New Roman"/>
                <w:color w:val="FFFFFF" w:themeColor="background1"/>
                <w:szCs w:val="18"/>
              </w:rPr>
              <w:t>всего</w:t>
            </w:r>
          </w:p>
        </w:tc>
        <w:tc>
          <w:tcPr>
            <w:tcW w:w="2831"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34B497E8" w14:textId="77777777" w:rsidR="005630C6" w:rsidRPr="00FB0A3A" w:rsidRDefault="005630C6" w:rsidP="00A3174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color w:val="FFFFFF" w:themeColor="background1"/>
                <w:szCs w:val="18"/>
              </w:rPr>
            </w:pPr>
            <w:r w:rsidRPr="00FB0A3A">
              <w:rPr>
                <w:rFonts w:eastAsia="Calibri" w:cs="Times New Roman"/>
                <w:color w:val="FFFFFF" w:themeColor="background1"/>
                <w:szCs w:val="18"/>
              </w:rPr>
              <w:t>в том числе по уровням напряжения</w:t>
            </w:r>
          </w:p>
        </w:tc>
      </w:tr>
      <w:tr w:rsidR="005630C6" w:rsidRPr="00FB0A3A" w14:paraId="3E5766A1" w14:textId="77777777" w:rsidTr="00296C71">
        <w:tc>
          <w:tcPr>
            <w:cnfStyle w:val="001000000000" w:firstRow="0" w:lastRow="0" w:firstColumn="1" w:lastColumn="0" w:oddVBand="0" w:evenVBand="0" w:oddHBand="0" w:evenHBand="0" w:firstRowFirstColumn="0" w:firstRowLastColumn="0" w:lastRowFirstColumn="0" w:lastRowLastColumn="0"/>
            <w:tcW w:w="1417" w:type="pct"/>
            <w:vMerge/>
            <w:tcBorders>
              <w:top w:val="single" w:sz="4" w:space="0" w:color="FFFFFF" w:themeColor="background1"/>
              <w:left w:val="single" w:sz="4" w:space="0" w:color="FFFFFF" w:themeColor="background1"/>
              <w:bottom w:val="single" w:sz="4" w:space="0" w:color="auto"/>
              <w:right w:val="single" w:sz="4" w:space="0" w:color="FFFFFF" w:themeColor="background1"/>
            </w:tcBorders>
            <w:hideMark/>
          </w:tcPr>
          <w:p w14:paraId="66EA1C0A" w14:textId="77777777" w:rsidR="005630C6" w:rsidRPr="00FB0A3A" w:rsidRDefault="005630C6" w:rsidP="00A31747">
            <w:pPr>
              <w:tabs>
                <w:tab w:val="left" w:pos="1134"/>
              </w:tabs>
              <w:jc w:val="center"/>
              <w:rPr>
                <w:rFonts w:eastAsia="Calibri" w:cs="Times New Roman"/>
                <w:szCs w:val="18"/>
              </w:rPr>
            </w:pPr>
          </w:p>
        </w:tc>
        <w:tc>
          <w:tcPr>
            <w:tcW w:w="752" w:type="pct"/>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hideMark/>
          </w:tcPr>
          <w:p w14:paraId="3E42A9E3" w14:textId="77777777" w:rsidR="005630C6" w:rsidRPr="00FB0A3A" w:rsidRDefault="005630C6" w:rsidP="00A3174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color w:val="FFFFFF" w:themeColor="background1"/>
                <w:szCs w:val="18"/>
              </w:rPr>
            </w:pPr>
          </w:p>
        </w:tc>
        <w:tc>
          <w:tcPr>
            <w:tcW w:w="688"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noWrap/>
            <w:hideMark/>
          </w:tcPr>
          <w:p w14:paraId="1E7C45C7" w14:textId="77777777" w:rsidR="005630C6" w:rsidRPr="00FB0A3A" w:rsidRDefault="005630C6" w:rsidP="00A3174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color w:val="FFFFFF" w:themeColor="background1"/>
                <w:szCs w:val="18"/>
              </w:rPr>
            </w:pPr>
            <w:r w:rsidRPr="00FB0A3A">
              <w:rPr>
                <w:rFonts w:eastAsia="Calibri" w:cs="Times New Roman"/>
                <w:color w:val="FFFFFF" w:themeColor="background1"/>
                <w:szCs w:val="18"/>
              </w:rPr>
              <w:t>ВН</w:t>
            </w:r>
          </w:p>
        </w:tc>
        <w:tc>
          <w:tcPr>
            <w:tcW w:w="714"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noWrap/>
            <w:hideMark/>
          </w:tcPr>
          <w:p w14:paraId="208DB4BE" w14:textId="77777777" w:rsidR="005630C6" w:rsidRPr="00FB0A3A" w:rsidRDefault="005630C6" w:rsidP="00A3174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color w:val="FFFFFF" w:themeColor="background1"/>
                <w:szCs w:val="18"/>
              </w:rPr>
            </w:pPr>
            <w:r w:rsidRPr="00FB0A3A">
              <w:rPr>
                <w:rFonts w:eastAsia="Calibri" w:cs="Times New Roman"/>
                <w:color w:val="FFFFFF" w:themeColor="background1"/>
                <w:szCs w:val="18"/>
              </w:rPr>
              <w:t>СН1</w:t>
            </w:r>
          </w:p>
        </w:tc>
        <w:tc>
          <w:tcPr>
            <w:tcW w:w="714"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noWrap/>
            <w:hideMark/>
          </w:tcPr>
          <w:p w14:paraId="775BA181" w14:textId="77777777" w:rsidR="005630C6" w:rsidRPr="00FB0A3A" w:rsidRDefault="005630C6" w:rsidP="00A3174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color w:val="FFFFFF" w:themeColor="background1"/>
                <w:szCs w:val="18"/>
              </w:rPr>
            </w:pPr>
            <w:r w:rsidRPr="00FB0A3A">
              <w:rPr>
                <w:rFonts w:eastAsia="Calibri" w:cs="Times New Roman"/>
                <w:color w:val="FFFFFF" w:themeColor="background1"/>
                <w:szCs w:val="18"/>
              </w:rPr>
              <w:t>СН2</w:t>
            </w:r>
          </w:p>
        </w:tc>
        <w:tc>
          <w:tcPr>
            <w:tcW w:w="715"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noWrap/>
            <w:hideMark/>
          </w:tcPr>
          <w:p w14:paraId="114FD2D1" w14:textId="77777777" w:rsidR="005630C6" w:rsidRPr="00FB0A3A" w:rsidRDefault="005630C6" w:rsidP="00A3174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color w:val="FFFFFF" w:themeColor="background1"/>
                <w:szCs w:val="18"/>
              </w:rPr>
            </w:pPr>
            <w:r w:rsidRPr="00FB0A3A">
              <w:rPr>
                <w:rFonts w:eastAsia="Calibri" w:cs="Times New Roman"/>
                <w:color w:val="FFFFFF" w:themeColor="background1"/>
                <w:szCs w:val="18"/>
              </w:rPr>
              <w:t>НН</w:t>
            </w:r>
          </w:p>
        </w:tc>
      </w:tr>
      <w:tr w:rsidR="005630C6" w:rsidRPr="00FB0A3A" w14:paraId="04820200" w14:textId="77777777" w:rsidTr="00296C71">
        <w:tc>
          <w:tcPr>
            <w:cnfStyle w:val="001000000000" w:firstRow="0" w:lastRow="0" w:firstColumn="1" w:lastColumn="0" w:oddVBand="0" w:evenVBand="0" w:oddHBand="0" w:evenHBand="0" w:firstRowFirstColumn="0" w:firstRowLastColumn="0" w:lastRowFirstColumn="0" w:lastRowLastColumn="0"/>
            <w:tcW w:w="1417" w:type="pct"/>
            <w:tcBorders>
              <w:top w:val="single" w:sz="4" w:space="0" w:color="auto"/>
              <w:left w:val="single" w:sz="4" w:space="0" w:color="auto"/>
              <w:bottom w:val="single" w:sz="4" w:space="0" w:color="auto"/>
              <w:right w:val="single" w:sz="4" w:space="0" w:color="auto"/>
            </w:tcBorders>
            <w:hideMark/>
          </w:tcPr>
          <w:p w14:paraId="6242C166" w14:textId="77777777" w:rsidR="005630C6" w:rsidRPr="00FB0A3A" w:rsidRDefault="005630C6" w:rsidP="00A31747">
            <w:pPr>
              <w:tabs>
                <w:tab w:val="left" w:pos="1134"/>
              </w:tabs>
              <w:rPr>
                <w:rFonts w:eastAsia="Calibri" w:cs="Times New Roman"/>
                <w:szCs w:val="18"/>
              </w:rPr>
            </w:pPr>
            <w:r w:rsidRPr="00FB0A3A">
              <w:rPr>
                <w:rFonts w:eastAsia="Calibri" w:cs="Times New Roman"/>
                <w:szCs w:val="18"/>
              </w:rPr>
              <w:t>2015</w:t>
            </w:r>
          </w:p>
        </w:tc>
        <w:tc>
          <w:tcPr>
            <w:tcW w:w="752" w:type="pct"/>
            <w:tcBorders>
              <w:top w:val="single" w:sz="4" w:space="0" w:color="auto"/>
              <w:left w:val="single" w:sz="4" w:space="0" w:color="auto"/>
              <w:bottom w:val="single" w:sz="4" w:space="0" w:color="auto"/>
              <w:right w:val="single" w:sz="4" w:space="0" w:color="auto"/>
            </w:tcBorders>
            <w:noWrap/>
            <w:hideMark/>
          </w:tcPr>
          <w:p w14:paraId="3602473D" w14:textId="77777777" w:rsidR="005630C6" w:rsidRPr="00FB0A3A" w:rsidRDefault="005630C6" w:rsidP="00A3174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10 493,06</w:t>
            </w:r>
          </w:p>
        </w:tc>
        <w:tc>
          <w:tcPr>
            <w:tcW w:w="688" w:type="pct"/>
            <w:tcBorders>
              <w:top w:val="single" w:sz="4" w:space="0" w:color="auto"/>
              <w:left w:val="single" w:sz="4" w:space="0" w:color="auto"/>
              <w:bottom w:val="single" w:sz="4" w:space="0" w:color="auto"/>
              <w:right w:val="single" w:sz="4" w:space="0" w:color="auto"/>
            </w:tcBorders>
            <w:noWrap/>
            <w:hideMark/>
          </w:tcPr>
          <w:p w14:paraId="1073C6D4" w14:textId="77777777" w:rsidR="005630C6" w:rsidRPr="00FB0A3A" w:rsidRDefault="005630C6" w:rsidP="00A3174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9 027,20</w:t>
            </w:r>
          </w:p>
        </w:tc>
        <w:tc>
          <w:tcPr>
            <w:tcW w:w="714" w:type="pct"/>
            <w:tcBorders>
              <w:top w:val="single" w:sz="4" w:space="0" w:color="auto"/>
              <w:left w:val="single" w:sz="4" w:space="0" w:color="auto"/>
              <w:bottom w:val="single" w:sz="4" w:space="0" w:color="auto"/>
              <w:right w:val="single" w:sz="4" w:space="0" w:color="auto"/>
            </w:tcBorders>
            <w:noWrap/>
            <w:hideMark/>
          </w:tcPr>
          <w:p w14:paraId="449F7A6C" w14:textId="77777777" w:rsidR="005630C6" w:rsidRPr="00FB0A3A" w:rsidRDefault="005630C6" w:rsidP="00A3174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1 053,72</w:t>
            </w:r>
          </w:p>
        </w:tc>
        <w:tc>
          <w:tcPr>
            <w:tcW w:w="714" w:type="pct"/>
            <w:tcBorders>
              <w:top w:val="single" w:sz="4" w:space="0" w:color="auto"/>
              <w:left w:val="single" w:sz="4" w:space="0" w:color="auto"/>
              <w:bottom w:val="single" w:sz="4" w:space="0" w:color="auto"/>
              <w:right w:val="single" w:sz="4" w:space="0" w:color="auto"/>
            </w:tcBorders>
            <w:noWrap/>
            <w:hideMark/>
          </w:tcPr>
          <w:p w14:paraId="35285F0C" w14:textId="77777777" w:rsidR="005630C6" w:rsidRPr="00FB0A3A" w:rsidRDefault="005630C6" w:rsidP="00A3174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315,43</w:t>
            </w:r>
          </w:p>
        </w:tc>
        <w:tc>
          <w:tcPr>
            <w:tcW w:w="715" w:type="pct"/>
            <w:tcBorders>
              <w:top w:val="single" w:sz="4" w:space="0" w:color="auto"/>
              <w:left w:val="single" w:sz="4" w:space="0" w:color="auto"/>
              <w:bottom w:val="single" w:sz="4" w:space="0" w:color="auto"/>
              <w:right w:val="single" w:sz="4" w:space="0" w:color="auto"/>
            </w:tcBorders>
            <w:noWrap/>
            <w:hideMark/>
          </w:tcPr>
          <w:p w14:paraId="68D312B8" w14:textId="77777777" w:rsidR="005630C6" w:rsidRPr="00FB0A3A" w:rsidRDefault="005630C6" w:rsidP="00A3174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96,72</w:t>
            </w:r>
          </w:p>
        </w:tc>
      </w:tr>
      <w:tr w:rsidR="005630C6" w:rsidRPr="00FB0A3A" w14:paraId="55053DEE" w14:textId="77777777" w:rsidTr="00296C71">
        <w:tc>
          <w:tcPr>
            <w:cnfStyle w:val="001000000000" w:firstRow="0" w:lastRow="0" w:firstColumn="1" w:lastColumn="0" w:oddVBand="0" w:evenVBand="0" w:oddHBand="0" w:evenHBand="0" w:firstRowFirstColumn="0" w:firstRowLastColumn="0" w:lastRowFirstColumn="0" w:lastRowLastColumn="0"/>
            <w:tcW w:w="1417" w:type="pct"/>
            <w:tcBorders>
              <w:top w:val="single" w:sz="4" w:space="0" w:color="auto"/>
              <w:left w:val="single" w:sz="4" w:space="0" w:color="auto"/>
              <w:bottom w:val="single" w:sz="4" w:space="0" w:color="auto"/>
              <w:right w:val="single" w:sz="4" w:space="0" w:color="auto"/>
            </w:tcBorders>
            <w:hideMark/>
          </w:tcPr>
          <w:p w14:paraId="0A9375B9" w14:textId="24043678" w:rsidR="005630C6" w:rsidRPr="00FB0A3A" w:rsidRDefault="00A31747" w:rsidP="00A31747">
            <w:pPr>
              <w:tabs>
                <w:tab w:val="left" w:pos="1134"/>
              </w:tabs>
              <w:ind w:left="306"/>
              <w:rPr>
                <w:rFonts w:eastAsia="Calibri" w:cs="Times New Roman"/>
                <w:i/>
                <w:szCs w:val="18"/>
              </w:rPr>
            </w:pPr>
            <w:r w:rsidRPr="00FB0A3A">
              <w:rPr>
                <w:rFonts w:eastAsia="Calibri" w:cs="Times New Roman"/>
                <w:i/>
                <w:szCs w:val="18"/>
              </w:rPr>
              <w:t>удельный вес</w:t>
            </w:r>
          </w:p>
        </w:tc>
        <w:tc>
          <w:tcPr>
            <w:tcW w:w="752" w:type="pct"/>
            <w:tcBorders>
              <w:top w:val="single" w:sz="4" w:space="0" w:color="auto"/>
              <w:left w:val="single" w:sz="4" w:space="0" w:color="auto"/>
              <w:bottom w:val="single" w:sz="4" w:space="0" w:color="auto"/>
              <w:right w:val="single" w:sz="4" w:space="0" w:color="auto"/>
            </w:tcBorders>
            <w:hideMark/>
          </w:tcPr>
          <w:p w14:paraId="5617E4C4" w14:textId="77777777" w:rsidR="005630C6" w:rsidRPr="00FB0A3A" w:rsidRDefault="005630C6" w:rsidP="00A3174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
                <w:szCs w:val="18"/>
              </w:rPr>
            </w:pPr>
            <w:r w:rsidRPr="00FB0A3A">
              <w:rPr>
                <w:rFonts w:eastAsia="Calibri" w:cs="Times New Roman"/>
                <w:i/>
                <w:szCs w:val="18"/>
              </w:rPr>
              <w:t>100,0%</w:t>
            </w:r>
          </w:p>
        </w:tc>
        <w:tc>
          <w:tcPr>
            <w:tcW w:w="688" w:type="pct"/>
            <w:tcBorders>
              <w:top w:val="single" w:sz="4" w:space="0" w:color="auto"/>
              <w:left w:val="single" w:sz="4" w:space="0" w:color="auto"/>
              <w:bottom w:val="single" w:sz="4" w:space="0" w:color="auto"/>
              <w:right w:val="single" w:sz="4" w:space="0" w:color="auto"/>
            </w:tcBorders>
            <w:hideMark/>
          </w:tcPr>
          <w:p w14:paraId="6DB013A2" w14:textId="77777777" w:rsidR="005630C6" w:rsidRPr="00FB0A3A" w:rsidRDefault="005630C6" w:rsidP="00A3174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
                <w:szCs w:val="18"/>
              </w:rPr>
            </w:pPr>
            <w:r w:rsidRPr="00FB0A3A">
              <w:rPr>
                <w:rFonts w:eastAsia="Calibri" w:cs="Times New Roman"/>
                <w:i/>
                <w:szCs w:val="18"/>
              </w:rPr>
              <w:t>86,0%</w:t>
            </w:r>
          </w:p>
        </w:tc>
        <w:tc>
          <w:tcPr>
            <w:tcW w:w="714" w:type="pct"/>
            <w:tcBorders>
              <w:top w:val="single" w:sz="4" w:space="0" w:color="auto"/>
              <w:left w:val="single" w:sz="4" w:space="0" w:color="auto"/>
              <w:bottom w:val="single" w:sz="4" w:space="0" w:color="auto"/>
              <w:right w:val="single" w:sz="4" w:space="0" w:color="auto"/>
            </w:tcBorders>
            <w:hideMark/>
          </w:tcPr>
          <w:p w14:paraId="16EE254A" w14:textId="77777777" w:rsidR="005630C6" w:rsidRPr="00FB0A3A" w:rsidRDefault="005630C6" w:rsidP="00A3174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
                <w:szCs w:val="18"/>
              </w:rPr>
            </w:pPr>
            <w:r w:rsidRPr="00FB0A3A">
              <w:rPr>
                <w:rFonts w:eastAsia="Calibri" w:cs="Times New Roman"/>
                <w:i/>
                <w:szCs w:val="18"/>
              </w:rPr>
              <w:t>10,0%</w:t>
            </w:r>
          </w:p>
        </w:tc>
        <w:tc>
          <w:tcPr>
            <w:tcW w:w="714" w:type="pct"/>
            <w:tcBorders>
              <w:top w:val="single" w:sz="4" w:space="0" w:color="auto"/>
              <w:left w:val="single" w:sz="4" w:space="0" w:color="auto"/>
              <w:bottom w:val="single" w:sz="4" w:space="0" w:color="auto"/>
              <w:right w:val="single" w:sz="4" w:space="0" w:color="auto"/>
            </w:tcBorders>
            <w:hideMark/>
          </w:tcPr>
          <w:p w14:paraId="4919500A" w14:textId="77777777" w:rsidR="005630C6" w:rsidRPr="00FB0A3A" w:rsidRDefault="005630C6" w:rsidP="00A3174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
                <w:szCs w:val="18"/>
              </w:rPr>
            </w:pPr>
            <w:r w:rsidRPr="00FB0A3A">
              <w:rPr>
                <w:rFonts w:eastAsia="Calibri" w:cs="Times New Roman"/>
                <w:i/>
                <w:szCs w:val="18"/>
              </w:rPr>
              <w:t>3,0%</w:t>
            </w:r>
          </w:p>
        </w:tc>
        <w:tc>
          <w:tcPr>
            <w:tcW w:w="715" w:type="pct"/>
            <w:tcBorders>
              <w:top w:val="single" w:sz="4" w:space="0" w:color="auto"/>
              <w:left w:val="single" w:sz="4" w:space="0" w:color="auto"/>
              <w:bottom w:val="single" w:sz="4" w:space="0" w:color="auto"/>
              <w:right w:val="single" w:sz="4" w:space="0" w:color="auto"/>
            </w:tcBorders>
            <w:hideMark/>
          </w:tcPr>
          <w:p w14:paraId="6B206666" w14:textId="38A03014" w:rsidR="005630C6" w:rsidRPr="00FB0A3A" w:rsidRDefault="00F5323C" w:rsidP="00A3174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
                <w:szCs w:val="18"/>
              </w:rPr>
            </w:pPr>
            <w:r w:rsidRPr="00FB0A3A">
              <w:rPr>
                <w:rFonts w:eastAsia="Calibri" w:cs="Times New Roman"/>
                <w:i/>
                <w:szCs w:val="18"/>
              </w:rPr>
              <w:t>1,0</w:t>
            </w:r>
            <w:r w:rsidR="005630C6" w:rsidRPr="00FB0A3A">
              <w:rPr>
                <w:rFonts w:eastAsia="Calibri" w:cs="Times New Roman"/>
                <w:i/>
                <w:szCs w:val="18"/>
              </w:rPr>
              <w:t>%</w:t>
            </w:r>
          </w:p>
        </w:tc>
      </w:tr>
      <w:tr w:rsidR="005630C6" w:rsidRPr="00FB0A3A" w14:paraId="0CB023F8" w14:textId="77777777" w:rsidTr="00296C71">
        <w:tc>
          <w:tcPr>
            <w:cnfStyle w:val="001000000000" w:firstRow="0" w:lastRow="0" w:firstColumn="1" w:lastColumn="0" w:oddVBand="0" w:evenVBand="0" w:oddHBand="0" w:evenHBand="0" w:firstRowFirstColumn="0" w:firstRowLastColumn="0" w:lastRowFirstColumn="0" w:lastRowLastColumn="0"/>
            <w:tcW w:w="1417" w:type="pct"/>
            <w:tcBorders>
              <w:top w:val="single" w:sz="4" w:space="0" w:color="auto"/>
              <w:left w:val="single" w:sz="4" w:space="0" w:color="auto"/>
              <w:bottom w:val="single" w:sz="4" w:space="0" w:color="auto"/>
              <w:right w:val="single" w:sz="4" w:space="0" w:color="auto"/>
            </w:tcBorders>
            <w:hideMark/>
          </w:tcPr>
          <w:p w14:paraId="4525BC6F" w14:textId="77777777" w:rsidR="005630C6" w:rsidRPr="00FB0A3A" w:rsidRDefault="005630C6" w:rsidP="00A31747">
            <w:pPr>
              <w:tabs>
                <w:tab w:val="left" w:pos="1134"/>
              </w:tabs>
              <w:rPr>
                <w:rFonts w:eastAsia="Calibri" w:cs="Times New Roman"/>
                <w:szCs w:val="18"/>
              </w:rPr>
            </w:pPr>
            <w:r w:rsidRPr="00FB0A3A">
              <w:rPr>
                <w:rFonts w:eastAsia="Calibri" w:cs="Times New Roman"/>
                <w:szCs w:val="18"/>
              </w:rPr>
              <w:t>2016</w:t>
            </w:r>
          </w:p>
        </w:tc>
        <w:tc>
          <w:tcPr>
            <w:tcW w:w="752" w:type="pct"/>
            <w:tcBorders>
              <w:top w:val="single" w:sz="4" w:space="0" w:color="auto"/>
              <w:left w:val="single" w:sz="4" w:space="0" w:color="auto"/>
              <w:bottom w:val="single" w:sz="4" w:space="0" w:color="auto"/>
              <w:right w:val="single" w:sz="4" w:space="0" w:color="auto"/>
            </w:tcBorders>
            <w:noWrap/>
            <w:hideMark/>
          </w:tcPr>
          <w:p w14:paraId="53BADA85" w14:textId="77777777" w:rsidR="005630C6" w:rsidRPr="00FB0A3A" w:rsidRDefault="005630C6" w:rsidP="00A3174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10 462,61</w:t>
            </w:r>
          </w:p>
        </w:tc>
        <w:tc>
          <w:tcPr>
            <w:tcW w:w="688" w:type="pct"/>
            <w:tcBorders>
              <w:top w:val="single" w:sz="4" w:space="0" w:color="auto"/>
              <w:left w:val="single" w:sz="4" w:space="0" w:color="auto"/>
              <w:bottom w:val="single" w:sz="4" w:space="0" w:color="auto"/>
              <w:right w:val="single" w:sz="4" w:space="0" w:color="auto"/>
            </w:tcBorders>
            <w:noWrap/>
            <w:hideMark/>
          </w:tcPr>
          <w:p w14:paraId="425E053F" w14:textId="77777777" w:rsidR="005630C6" w:rsidRPr="00FB0A3A" w:rsidRDefault="005630C6" w:rsidP="00A3174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8 039,81</w:t>
            </w:r>
          </w:p>
        </w:tc>
        <w:tc>
          <w:tcPr>
            <w:tcW w:w="714" w:type="pct"/>
            <w:tcBorders>
              <w:top w:val="single" w:sz="4" w:space="0" w:color="auto"/>
              <w:left w:val="single" w:sz="4" w:space="0" w:color="auto"/>
              <w:bottom w:val="single" w:sz="4" w:space="0" w:color="auto"/>
              <w:right w:val="single" w:sz="4" w:space="0" w:color="auto"/>
            </w:tcBorders>
            <w:noWrap/>
            <w:hideMark/>
          </w:tcPr>
          <w:p w14:paraId="2BFC0F10" w14:textId="77777777" w:rsidR="005630C6" w:rsidRPr="00FB0A3A" w:rsidRDefault="005630C6" w:rsidP="00A3174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795,75</w:t>
            </w:r>
          </w:p>
        </w:tc>
        <w:tc>
          <w:tcPr>
            <w:tcW w:w="714" w:type="pct"/>
            <w:tcBorders>
              <w:top w:val="single" w:sz="4" w:space="0" w:color="auto"/>
              <w:left w:val="single" w:sz="4" w:space="0" w:color="auto"/>
              <w:bottom w:val="single" w:sz="4" w:space="0" w:color="auto"/>
              <w:right w:val="single" w:sz="4" w:space="0" w:color="auto"/>
            </w:tcBorders>
            <w:noWrap/>
            <w:hideMark/>
          </w:tcPr>
          <w:p w14:paraId="7FDAB618" w14:textId="77777777" w:rsidR="005630C6" w:rsidRPr="00FB0A3A" w:rsidRDefault="005630C6" w:rsidP="00A3174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894,29</w:t>
            </w:r>
          </w:p>
        </w:tc>
        <w:tc>
          <w:tcPr>
            <w:tcW w:w="715" w:type="pct"/>
            <w:tcBorders>
              <w:top w:val="single" w:sz="4" w:space="0" w:color="auto"/>
              <w:left w:val="single" w:sz="4" w:space="0" w:color="auto"/>
              <w:bottom w:val="single" w:sz="4" w:space="0" w:color="auto"/>
              <w:right w:val="single" w:sz="4" w:space="0" w:color="auto"/>
            </w:tcBorders>
            <w:noWrap/>
            <w:hideMark/>
          </w:tcPr>
          <w:p w14:paraId="0488BC65" w14:textId="77777777" w:rsidR="005630C6" w:rsidRPr="00FB0A3A" w:rsidRDefault="005630C6" w:rsidP="00A3174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732,76</w:t>
            </w:r>
          </w:p>
        </w:tc>
      </w:tr>
      <w:tr w:rsidR="005630C6" w:rsidRPr="00FB0A3A" w14:paraId="601D845E" w14:textId="77777777" w:rsidTr="00296C71">
        <w:tc>
          <w:tcPr>
            <w:cnfStyle w:val="001000000000" w:firstRow="0" w:lastRow="0" w:firstColumn="1" w:lastColumn="0" w:oddVBand="0" w:evenVBand="0" w:oddHBand="0" w:evenHBand="0" w:firstRowFirstColumn="0" w:firstRowLastColumn="0" w:lastRowFirstColumn="0" w:lastRowLastColumn="0"/>
            <w:tcW w:w="1417" w:type="pct"/>
            <w:tcBorders>
              <w:top w:val="single" w:sz="4" w:space="0" w:color="auto"/>
            </w:tcBorders>
            <w:hideMark/>
          </w:tcPr>
          <w:p w14:paraId="5C609A30" w14:textId="3269858C" w:rsidR="005630C6" w:rsidRPr="00FB0A3A" w:rsidRDefault="00A31747" w:rsidP="00A31747">
            <w:pPr>
              <w:tabs>
                <w:tab w:val="left" w:pos="1134"/>
              </w:tabs>
              <w:ind w:left="306"/>
              <w:rPr>
                <w:rFonts w:eastAsia="Calibri" w:cs="Times New Roman"/>
                <w:i/>
                <w:szCs w:val="18"/>
              </w:rPr>
            </w:pPr>
            <w:r w:rsidRPr="00FB0A3A">
              <w:rPr>
                <w:rFonts w:eastAsia="Calibri" w:cs="Times New Roman"/>
                <w:i/>
                <w:szCs w:val="18"/>
              </w:rPr>
              <w:t>удельный вес</w:t>
            </w:r>
          </w:p>
        </w:tc>
        <w:tc>
          <w:tcPr>
            <w:tcW w:w="752" w:type="pct"/>
            <w:tcBorders>
              <w:top w:val="single" w:sz="4" w:space="0" w:color="auto"/>
            </w:tcBorders>
            <w:hideMark/>
          </w:tcPr>
          <w:p w14:paraId="01080D04" w14:textId="77777777" w:rsidR="005630C6" w:rsidRPr="00FB0A3A" w:rsidRDefault="005630C6" w:rsidP="00A3174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
                <w:szCs w:val="18"/>
              </w:rPr>
            </w:pPr>
            <w:r w:rsidRPr="00FB0A3A">
              <w:rPr>
                <w:rFonts w:eastAsia="Calibri" w:cs="Times New Roman"/>
                <w:i/>
                <w:szCs w:val="18"/>
              </w:rPr>
              <w:t>100,0%</w:t>
            </w:r>
          </w:p>
        </w:tc>
        <w:tc>
          <w:tcPr>
            <w:tcW w:w="688" w:type="pct"/>
            <w:tcBorders>
              <w:top w:val="single" w:sz="4" w:space="0" w:color="auto"/>
            </w:tcBorders>
            <w:hideMark/>
          </w:tcPr>
          <w:p w14:paraId="2CE8034F" w14:textId="77777777" w:rsidR="005630C6" w:rsidRPr="00FB0A3A" w:rsidRDefault="005630C6" w:rsidP="00A3174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
                <w:szCs w:val="18"/>
              </w:rPr>
            </w:pPr>
            <w:r w:rsidRPr="00FB0A3A">
              <w:rPr>
                <w:rFonts w:eastAsia="Calibri" w:cs="Times New Roman"/>
                <w:i/>
                <w:szCs w:val="18"/>
              </w:rPr>
              <w:t>76,8%</w:t>
            </w:r>
          </w:p>
        </w:tc>
        <w:tc>
          <w:tcPr>
            <w:tcW w:w="714" w:type="pct"/>
            <w:tcBorders>
              <w:top w:val="single" w:sz="4" w:space="0" w:color="auto"/>
            </w:tcBorders>
            <w:hideMark/>
          </w:tcPr>
          <w:p w14:paraId="5BD3B1A9" w14:textId="77777777" w:rsidR="005630C6" w:rsidRPr="00FB0A3A" w:rsidRDefault="005630C6" w:rsidP="00A3174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
                <w:szCs w:val="18"/>
              </w:rPr>
            </w:pPr>
            <w:r w:rsidRPr="00FB0A3A">
              <w:rPr>
                <w:rFonts w:eastAsia="Calibri" w:cs="Times New Roman"/>
                <w:i/>
                <w:szCs w:val="18"/>
              </w:rPr>
              <w:t>7,6%</w:t>
            </w:r>
          </w:p>
        </w:tc>
        <w:tc>
          <w:tcPr>
            <w:tcW w:w="714" w:type="pct"/>
            <w:tcBorders>
              <w:top w:val="single" w:sz="4" w:space="0" w:color="auto"/>
            </w:tcBorders>
            <w:hideMark/>
          </w:tcPr>
          <w:p w14:paraId="63537C11" w14:textId="5A2B87DE" w:rsidR="005630C6" w:rsidRPr="00FB0A3A" w:rsidRDefault="009B78FC" w:rsidP="00A3174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
                <w:szCs w:val="18"/>
              </w:rPr>
            </w:pPr>
            <w:r w:rsidRPr="00FB0A3A">
              <w:rPr>
                <w:rFonts w:eastAsia="Calibri" w:cs="Times New Roman"/>
                <w:i/>
                <w:szCs w:val="18"/>
              </w:rPr>
              <w:t>8,6</w:t>
            </w:r>
            <w:r w:rsidR="005630C6" w:rsidRPr="00FB0A3A">
              <w:rPr>
                <w:rFonts w:eastAsia="Calibri" w:cs="Times New Roman"/>
                <w:i/>
                <w:szCs w:val="18"/>
              </w:rPr>
              <w:t>%</w:t>
            </w:r>
          </w:p>
        </w:tc>
        <w:tc>
          <w:tcPr>
            <w:tcW w:w="715" w:type="pct"/>
            <w:tcBorders>
              <w:top w:val="single" w:sz="4" w:space="0" w:color="auto"/>
            </w:tcBorders>
            <w:hideMark/>
          </w:tcPr>
          <w:p w14:paraId="14CB8E44" w14:textId="77777777" w:rsidR="005630C6" w:rsidRPr="00FB0A3A" w:rsidRDefault="005630C6" w:rsidP="00A3174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
                <w:szCs w:val="18"/>
              </w:rPr>
            </w:pPr>
            <w:r w:rsidRPr="00FB0A3A">
              <w:rPr>
                <w:rFonts w:eastAsia="Calibri" w:cs="Times New Roman"/>
                <w:i/>
                <w:szCs w:val="18"/>
              </w:rPr>
              <w:t>7,0%</w:t>
            </w:r>
          </w:p>
        </w:tc>
      </w:tr>
      <w:tr w:rsidR="005630C6" w:rsidRPr="00FB0A3A" w14:paraId="2A6342B9" w14:textId="77777777" w:rsidTr="00A31747">
        <w:tc>
          <w:tcPr>
            <w:cnfStyle w:val="001000000000" w:firstRow="0" w:lastRow="0" w:firstColumn="1" w:lastColumn="0" w:oddVBand="0" w:evenVBand="0" w:oddHBand="0" w:evenHBand="0" w:firstRowFirstColumn="0" w:firstRowLastColumn="0" w:lastRowFirstColumn="0" w:lastRowLastColumn="0"/>
            <w:tcW w:w="1417" w:type="pct"/>
            <w:hideMark/>
          </w:tcPr>
          <w:p w14:paraId="676BF6CB" w14:textId="77777777" w:rsidR="005630C6" w:rsidRPr="00FB0A3A" w:rsidRDefault="005630C6" w:rsidP="00A31747">
            <w:pPr>
              <w:tabs>
                <w:tab w:val="left" w:pos="1134"/>
              </w:tabs>
              <w:rPr>
                <w:rFonts w:eastAsia="Calibri" w:cs="Times New Roman"/>
                <w:szCs w:val="18"/>
              </w:rPr>
            </w:pPr>
            <w:r w:rsidRPr="00FB0A3A">
              <w:rPr>
                <w:rFonts w:eastAsia="Calibri" w:cs="Times New Roman"/>
                <w:szCs w:val="18"/>
              </w:rPr>
              <w:t>2017</w:t>
            </w:r>
          </w:p>
        </w:tc>
        <w:tc>
          <w:tcPr>
            <w:tcW w:w="752" w:type="pct"/>
            <w:noWrap/>
            <w:hideMark/>
          </w:tcPr>
          <w:p w14:paraId="33E7B21F" w14:textId="77777777" w:rsidR="005630C6" w:rsidRPr="00FB0A3A" w:rsidRDefault="005630C6" w:rsidP="00A3174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10 845,00</w:t>
            </w:r>
          </w:p>
        </w:tc>
        <w:tc>
          <w:tcPr>
            <w:tcW w:w="688" w:type="pct"/>
            <w:noWrap/>
            <w:hideMark/>
          </w:tcPr>
          <w:p w14:paraId="5AA92A13" w14:textId="77777777" w:rsidR="005630C6" w:rsidRPr="00FB0A3A" w:rsidRDefault="005630C6" w:rsidP="00A3174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8 353,26</w:t>
            </w:r>
          </w:p>
        </w:tc>
        <w:tc>
          <w:tcPr>
            <w:tcW w:w="714" w:type="pct"/>
            <w:noWrap/>
            <w:hideMark/>
          </w:tcPr>
          <w:p w14:paraId="26BFFA70" w14:textId="77777777" w:rsidR="005630C6" w:rsidRPr="00FB0A3A" w:rsidRDefault="005630C6" w:rsidP="00A3174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828,17</w:t>
            </w:r>
          </w:p>
        </w:tc>
        <w:tc>
          <w:tcPr>
            <w:tcW w:w="714" w:type="pct"/>
            <w:noWrap/>
            <w:hideMark/>
          </w:tcPr>
          <w:p w14:paraId="2DF764DE" w14:textId="77777777" w:rsidR="005630C6" w:rsidRPr="00FB0A3A" w:rsidRDefault="005630C6" w:rsidP="00A3174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857,25</w:t>
            </w:r>
          </w:p>
        </w:tc>
        <w:tc>
          <w:tcPr>
            <w:tcW w:w="715" w:type="pct"/>
            <w:noWrap/>
            <w:hideMark/>
          </w:tcPr>
          <w:p w14:paraId="06E56BBF" w14:textId="77777777" w:rsidR="005630C6" w:rsidRPr="00FB0A3A" w:rsidRDefault="005630C6" w:rsidP="00A3174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806,33</w:t>
            </w:r>
          </w:p>
        </w:tc>
      </w:tr>
      <w:tr w:rsidR="005630C6" w:rsidRPr="00FB0A3A" w14:paraId="3CBD733C" w14:textId="77777777" w:rsidTr="00A31747">
        <w:tc>
          <w:tcPr>
            <w:cnfStyle w:val="001000000000" w:firstRow="0" w:lastRow="0" w:firstColumn="1" w:lastColumn="0" w:oddVBand="0" w:evenVBand="0" w:oddHBand="0" w:evenHBand="0" w:firstRowFirstColumn="0" w:firstRowLastColumn="0" w:lastRowFirstColumn="0" w:lastRowLastColumn="0"/>
            <w:tcW w:w="1417" w:type="pct"/>
            <w:hideMark/>
          </w:tcPr>
          <w:p w14:paraId="3D037FDC" w14:textId="2F1A220F" w:rsidR="005630C6" w:rsidRPr="00FB0A3A" w:rsidRDefault="00A31747" w:rsidP="00A31747">
            <w:pPr>
              <w:tabs>
                <w:tab w:val="left" w:pos="1134"/>
              </w:tabs>
              <w:ind w:left="306"/>
              <w:rPr>
                <w:rFonts w:eastAsia="Calibri" w:cs="Times New Roman"/>
                <w:i/>
                <w:szCs w:val="18"/>
              </w:rPr>
            </w:pPr>
            <w:r w:rsidRPr="00FB0A3A">
              <w:rPr>
                <w:rFonts w:eastAsia="Calibri" w:cs="Times New Roman"/>
                <w:i/>
                <w:szCs w:val="18"/>
              </w:rPr>
              <w:t>удельный вес</w:t>
            </w:r>
          </w:p>
        </w:tc>
        <w:tc>
          <w:tcPr>
            <w:tcW w:w="752" w:type="pct"/>
            <w:hideMark/>
          </w:tcPr>
          <w:p w14:paraId="4A4CEDCB" w14:textId="77777777" w:rsidR="005630C6" w:rsidRPr="00FB0A3A" w:rsidRDefault="005630C6" w:rsidP="00A3174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
                <w:szCs w:val="18"/>
              </w:rPr>
            </w:pPr>
            <w:r w:rsidRPr="00FB0A3A">
              <w:rPr>
                <w:rFonts w:eastAsia="Calibri" w:cs="Times New Roman"/>
                <w:i/>
                <w:szCs w:val="18"/>
              </w:rPr>
              <w:t>100,0%</w:t>
            </w:r>
          </w:p>
        </w:tc>
        <w:tc>
          <w:tcPr>
            <w:tcW w:w="688" w:type="pct"/>
            <w:hideMark/>
          </w:tcPr>
          <w:p w14:paraId="044B5A8B" w14:textId="2FD9EB65" w:rsidR="005630C6" w:rsidRPr="00FB0A3A" w:rsidRDefault="009B78FC" w:rsidP="00A3174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
                <w:szCs w:val="18"/>
              </w:rPr>
            </w:pPr>
            <w:r w:rsidRPr="00FB0A3A">
              <w:rPr>
                <w:rFonts w:eastAsia="Calibri" w:cs="Times New Roman"/>
                <w:i/>
                <w:szCs w:val="18"/>
              </w:rPr>
              <w:t>77,1</w:t>
            </w:r>
            <w:r w:rsidR="005630C6" w:rsidRPr="00FB0A3A">
              <w:rPr>
                <w:rFonts w:eastAsia="Calibri" w:cs="Times New Roman"/>
                <w:i/>
                <w:szCs w:val="18"/>
              </w:rPr>
              <w:t>%</w:t>
            </w:r>
          </w:p>
        </w:tc>
        <w:tc>
          <w:tcPr>
            <w:tcW w:w="714" w:type="pct"/>
            <w:hideMark/>
          </w:tcPr>
          <w:p w14:paraId="59DD3925" w14:textId="77777777" w:rsidR="005630C6" w:rsidRPr="00FB0A3A" w:rsidRDefault="005630C6" w:rsidP="00A3174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
                <w:szCs w:val="18"/>
              </w:rPr>
            </w:pPr>
            <w:r w:rsidRPr="00FB0A3A">
              <w:rPr>
                <w:rFonts w:eastAsia="Calibri" w:cs="Times New Roman"/>
                <w:i/>
                <w:szCs w:val="18"/>
              </w:rPr>
              <w:t>7,6%</w:t>
            </w:r>
          </w:p>
        </w:tc>
        <w:tc>
          <w:tcPr>
            <w:tcW w:w="714" w:type="pct"/>
            <w:hideMark/>
          </w:tcPr>
          <w:p w14:paraId="16E6388E" w14:textId="77777777" w:rsidR="005630C6" w:rsidRPr="00FB0A3A" w:rsidRDefault="005630C6" w:rsidP="00A3174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
                <w:szCs w:val="18"/>
              </w:rPr>
            </w:pPr>
            <w:r w:rsidRPr="00FB0A3A">
              <w:rPr>
                <w:rFonts w:eastAsia="Calibri" w:cs="Times New Roman"/>
                <w:i/>
                <w:szCs w:val="18"/>
              </w:rPr>
              <w:t>7,9%</w:t>
            </w:r>
          </w:p>
        </w:tc>
        <w:tc>
          <w:tcPr>
            <w:tcW w:w="715" w:type="pct"/>
            <w:hideMark/>
          </w:tcPr>
          <w:p w14:paraId="19145995" w14:textId="77777777" w:rsidR="005630C6" w:rsidRPr="00FB0A3A" w:rsidRDefault="005630C6" w:rsidP="00A3174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
                <w:szCs w:val="18"/>
              </w:rPr>
            </w:pPr>
            <w:r w:rsidRPr="00FB0A3A">
              <w:rPr>
                <w:rFonts w:eastAsia="Calibri" w:cs="Times New Roman"/>
                <w:i/>
                <w:szCs w:val="18"/>
              </w:rPr>
              <w:t>7,4%</w:t>
            </w:r>
          </w:p>
        </w:tc>
      </w:tr>
      <w:tr w:rsidR="00F5323C" w:rsidRPr="00FB0A3A" w14:paraId="357960E4" w14:textId="77777777" w:rsidTr="00A31747">
        <w:tc>
          <w:tcPr>
            <w:cnfStyle w:val="001000000000" w:firstRow="0" w:lastRow="0" w:firstColumn="1" w:lastColumn="0" w:oddVBand="0" w:evenVBand="0" w:oddHBand="0" w:evenHBand="0" w:firstRowFirstColumn="0" w:firstRowLastColumn="0" w:lastRowFirstColumn="0" w:lastRowLastColumn="0"/>
            <w:tcW w:w="1417" w:type="pct"/>
          </w:tcPr>
          <w:p w14:paraId="129C7E9A" w14:textId="50F45A8C" w:rsidR="00F5323C" w:rsidRPr="00FB0A3A" w:rsidRDefault="00A31747" w:rsidP="00A31747">
            <w:pPr>
              <w:tabs>
                <w:tab w:val="left" w:pos="1134"/>
              </w:tabs>
              <w:rPr>
                <w:rFonts w:eastAsia="Calibri" w:cs="Times New Roman"/>
                <w:szCs w:val="18"/>
              </w:rPr>
            </w:pPr>
            <w:r w:rsidRPr="00FB0A3A">
              <w:rPr>
                <w:rFonts w:eastAsia="Calibri" w:cs="Times New Roman"/>
                <w:szCs w:val="18"/>
              </w:rPr>
              <w:t>Удельный вес</w:t>
            </w:r>
            <w:r w:rsidR="00F5323C" w:rsidRPr="00FB0A3A">
              <w:rPr>
                <w:rFonts w:eastAsia="Calibri" w:cs="Times New Roman"/>
                <w:szCs w:val="18"/>
              </w:rPr>
              <w:t>,</w:t>
            </w:r>
          </w:p>
          <w:p w14:paraId="6875DD5D" w14:textId="5D0E8F4E" w:rsidR="00F5323C" w:rsidRPr="00FB0A3A" w:rsidRDefault="00F5323C" w:rsidP="00A31747">
            <w:pPr>
              <w:tabs>
                <w:tab w:val="left" w:pos="1134"/>
              </w:tabs>
              <w:rPr>
                <w:rFonts w:eastAsia="Calibri" w:cs="Times New Roman"/>
                <w:szCs w:val="18"/>
              </w:rPr>
            </w:pPr>
            <w:r w:rsidRPr="00FB0A3A">
              <w:rPr>
                <w:rFonts w:eastAsia="Calibri" w:cs="Times New Roman"/>
                <w:szCs w:val="18"/>
              </w:rPr>
              <w:t>средний за 2016-2017 гг.</w:t>
            </w:r>
          </w:p>
        </w:tc>
        <w:tc>
          <w:tcPr>
            <w:tcW w:w="752" w:type="pct"/>
            <w:noWrap/>
          </w:tcPr>
          <w:p w14:paraId="0CBA2AE8" w14:textId="1A06C7F8" w:rsidR="00F5323C" w:rsidRPr="00FB0A3A" w:rsidRDefault="00F5323C" w:rsidP="00A3174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i/>
                <w:szCs w:val="18"/>
              </w:rPr>
              <w:t>100,0%</w:t>
            </w:r>
          </w:p>
        </w:tc>
        <w:tc>
          <w:tcPr>
            <w:tcW w:w="688" w:type="pct"/>
            <w:noWrap/>
          </w:tcPr>
          <w:p w14:paraId="5D0CABE5" w14:textId="5658D41E" w:rsidR="00F5323C" w:rsidRPr="00FB0A3A" w:rsidRDefault="00F5323C" w:rsidP="00A3174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i/>
                <w:szCs w:val="18"/>
              </w:rPr>
              <w:t>76,9%</w:t>
            </w:r>
          </w:p>
        </w:tc>
        <w:tc>
          <w:tcPr>
            <w:tcW w:w="714" w:type="pct"/>
            <w:noWrap/>
          </w:tcPr>
          <w:p w14:paraId="4A2B5113" w14:textId="50B7C7C1" w:rsidR="00F5323C" w:rsidRPr="00FB0A3A" w:rsidRDefault="00F5323C" w:rsidP="00A3174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i/>
                <w:szCs w:val="18"/>
              </w:rPr>
              <w:t>7,6%</w:t>
            </w:r>
          </w:p>
        </w:tc>
        <w:tc>
          <w:tcPr>
            <w:tcW w:w="714" w:type="pct"/>
            <w:noWrap/>
          </w:tcPr>
          <w:p w14:paraId="7AD21A6B" w14:textId="22F7D9FB" w:rsidR="00F5323C" w:rsidRPr="00FB0A3A" w:rsidRDefault="009B78FC" w:rsidP="00A3174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i/>
                <w:szCs w:val="18"/>
              </w:rPr>
              <w:t>8,3</w:t>
            </w:r>
            <w:r w:rsidR="00F5323C" w:rsidRPr="00FB0A3A">
              <w:rPr>
                <w:rFonts w:eastAsia="Calibri" w:cs="Times New Roman"/>
                <w:i/>
                <w:szCs w:val="18"/>
              </w:rPr>
              <w:t>%</w:t>
            </w:r>
          </w:p>
        </w:tc>
        <w:tc>
          <w:tcPr>
            <w:tcW w:w="715" w:type="pct"/>
            <w:noWrap/>
          </w:tcPr>
          <w:p w14:paraId="694C76E0" w14:textId="0157FD7B" w:rsidR="00F5323C" w:rsidRPr="00FB0A3A" w:rsidRDefault="00F5323C" w:rsidP="00A3174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i/>
                <w:szCs w:val="18"/>
              </w:rPr>
              <w:t>7,2%</w:t>
            </w:r>
          </w:p>
        </w:tc>
      </w:tr>
      <w:tr w:rsidR="00F5323C" w:rsidRPr="00FB0A3A" w14:paraId="605103C9" w14:textId="77777777" w:rsidTr="00A31747">
        <w:tc>
          <w:tcPr>
            <w:cnfStyle w:val="001000000000" w:firstRow="0" w:lastRow="0" w:firstColumn="1" w:lastColumn="0" w:oddVBand="0" w:evenVBand="0" w:oddHBand="0" w:evenHBand="0" w:firstRowFirstColumn="0" w:firstRowLastColumn="0" w:lastRowFirstColumn="0" w:lastRowLastColumn="0"/>
            <w:tcW w:w="1417" w:type="pct"/>
            <w:hideMark/>
          </w:tcPr>
          <w:p w14:paraId="4AFA90EC" w14:textId="77777777" w:rsidR="00F5323C" w:rsidRPr="00FB0A3A" w:rsidRDefault="00F5323C" w:rsidP="00A31747">
            <w:pPr>
              <w:tabs>
                <w:tab w:val="left" w:pos="1134"/>
              </w:tabs>
              <w:rPr>
                <w:rFonts w:eastAsia="Calibri" w:cs="Times New Roman"/>
                <w:szCs w:val="18"/>
              </w:rPr>
            </w:pPr>
            <w:r w:rsidRPr="00FB0A3A">
              <w:rPr>
                <w:rFonts w:eastAsia="Calibri" w:cs="Times New Roman"/>
                <w:szCs w:val="18"/>
              </w:rPr>
              <w:t>предложение Филиала на 2019</w:t>
            </w:r>
          </w:p>
        </w:tc>
        <w:tc>
          <w:tcPr>
            <w:tcW w:w="752" w:type="pct"/>
            <w:noWrap/>
            <w:hideMark/>
          </w:tcPr>
          <w:p w14:paraId="09969C8F" w14:textId="77777777" w:rsidR="00F5323C" w:rsidRPr="00FB0A3A" w:rsidRDefault="00F5323C" w:rsidP="00A3174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10 841,34</w:t>
            </w:r>
          </w:p>
        </w:tc>
        <w:tc>
          <w:tcPr>
            <w:tcW w:w="688" w:type="pct"/>
            <w:noWrap/>
            <w:hideMark/>
          </w:tcPr>
          <w:p w14:paraId="7200BFDC" w14:textId="77777777" w:rsidR="00F5323C" w:rsidRPr="00FB0A3A" w:rsidRDefault="00F5323C" w:rsidP="00A3174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9 403,81</w:t>
            </w:r>
          </w:p>
        </w:tc>
        <w:tc>
          <w:tcPr>
            <w:tcW w:w="714" w:type="pct"/>
            <w:noWrap/>
            <w:hideMark/>
          </w:tcPr>
          <w:p w14:paraId="21CD57AE" w14:textId="77777777" w:rsidR="00F5323C" w:rsidRPr="00FB0A3A" w:rsidRDefault="00F5323C" w:rsidP="00A3174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950,32</w:t>
            </w:r>
          </w:p>
        </w:tc>
        <w:tc>
          <w:tcPr>
            <w:tcW w:w="714" w:type="pct"/>
            <w:noWrap/>
            <w:hideMark/>
          </w:tcPr>
          <w:p w14:paraId="5DA97252" w14:textId="77777777" w:rsidR="00F5323C" w:rsidRPr="00FB0A3A" w:rsidRDefault="00F5323C" w:rsidP="00A3174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341,50</w:t>
            </w:r>
          </w:p>
        </w:tc>
        <w:tc>
          <w:tcPr>
            <w:tcW w:w="715" w:type="pct"/>
            <w:noWrap/>
            <w:hideMark/>
          </w:tcPr>
          <w:p w14:paraId="489391E6" w14:textId="77777777" w:rsidR="00F5323C" w:rsidRPr="00FB0A3A" w:rsidRDefault="00F5323C" w:rsidP="00A3174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145,70</w:t>
            </w:r>
          </w:p>
        </w:tc>
      </w:tr>
      <w:tr w:rsidR="00F5323C" w:rsidRPr="00FB0A3A" w14:paraId="3AFED93B" w14:textId="77777777" w:rsidTr="00A31747">
        <w:tc>
          <w:tcPr>
            <w:cnfStyle w:val="001000000000" w:firstRow="0" w:lastRow="0" w:firstColumn="1" w:lastColumn="0" w:oddVBand="0" w:evenVBand="0" w:oddHBand="0" w:evenHBand="0" w:firstRowFirstColumn="0" w:firstRowLastColumn="0" w:lastRowFirstColumn="0" w:lastRowLastColumn="0"/>
            <w:tcW w:w="1417" w:type="pct"/>
            <w:hideMark/>
          </w:tcPr>
          <w:p w14:paraId="1F0B310E" w14:textId="18E5AAD0" w:rsidR="00F5323C" w:rsidRPr="00FB0A3A" w:rsidRDefault="00A31747" w:rsidP="00A31747">
            <w:pPr>
              <w:tabs>
                <w:tab w:val="left" w:pos="1134"/>
              </w:tabs>
              <w:ind w:left="306"/>
              <w:rPr>
                <w:rFonts w:eastAsia="Calibri" w:cs="Times New Roman"/>
                <w:i/>
                <w:szCs w:val="18"/>
              </w:rPr>
            </w:pPr>
            <w:r w:rsidRPr="00FB0A3A">
              <w:rPr>
                <w:rFonts w:eastAsia="Calibri" w:cs="Times New Roman"/>
                <w:i/>
                <w:szCs w:val="18"/>
              </w:rPr>
              <w:t>удельный вес</w:t>
            </w:r>
          </w:p>
        </w:tc>
        <w:tc>
          <w:tcPr>
            <w:tcW w:w="752" w:type="pct"/>
            <w:hideMark/>
          </w:tcPr>
          <w:p w14:paraId="0B65A34E" w14:textId="77777777" w:rsidR="00F5323C" w:rsidRPr="00FB0A3A" w:rsidRDefault="00F5323C" w:rsidP="00A3174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
                <w:szCs w:val="18"/>
              </w:rPr>
            </w:pPr>
            <w:r w:rsidRPr="00FB0A3A">
              <w:rPr>
                <w:rFonts w:eastAsia="Calibri" w:cs="Times New Roman"/>
                <w:i/>
                <w:szCs w:val="18"/>
              </w:rPr>
              <w:t>100,0%</w:t>
            </w:r>
          </w:p>
        </w:tc>
        <w:tc>
          <w:tcPr>
            <w:tcW w:w="688" w:type="pct"/>
            <w:hideMark/>
          </w:tcPr>
          <w:p w14:paraId="5536AA2C" w14:textId="77777777" w:rsidR="00F5323C" w:rsidRPr="00FB0A3A" w:rsidRDefault="00F5323C" w:rsidP="00A3174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
                <w:szCs w:val="18"/>
              </w:rPr>
            </w:pPr>
            <w:r w:rsidRPr="00FB0A3A">
              <w:rPr>
                <w:rFonts w:eastAsia="Calibri" w:cs="Times New Roman"/>
                <w:i/>
                <w:szCs w:val="18"/>
              </w:rPr>
              <w:t>86,7%</w:t>
            </w:r>
          </w:p>
        </w:tc>
        <w:tc>
          <w:tcPr>
            <w:tcW w:w="714" w:type="pct"/>
            <w:hideMark/>
          </w:tcPr>
          <w:p w14:paraId="2D2B34B9" w14:textId="77777777" w:rsidR="00F5323C" w:rsidRPr="00FB0A3A" w:rsidRDefault="00F5323C" w:rsidP="00A3174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
                <w:szCs w:val="18"/>
              </w:rPr>
            </w:pPr>
            <w:r w:rsidRPr="00FB0A3A">
              <w:rPr>
                <w:rFonts w:eastAsia="Calibri" w:cs="Times New Roman"/>
                <w:i/>
                <w:szCs w:val="18"/>
              </w:rPr>
              <w:t>8,8%</w:t>
            </w:r>
          </w:p>
        </w:tc>
        <w:tc>
          <w:tcPr>
            <w:tcW w:w="714" w:type="pct"/>
            <w:hideMark/>
          </w:tcPr>
          <w:p w14:paraId="6D9275C5" w14:textId="77777777" w:rsidR="00F5323C" w:rsidRPr="00FB0A3A" w:rsidRDefault="00F5323C" w:rsidP="00A3174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
                <w:szCs w:val="18"/>
              </w:rPr>
            </w:pPr>
            <w:r w:rsidRPr="00FB0A3A">
              <w:rPr>
                <w:rFonts w:eastAsia="Calibri" w:cs="Times New Roman"/>
                <w:i/>
                <w:szCs w:val="18"/>
              </w:rPr>
              <w:t>3,2%</w:t>
            </w:r>
          </w:p>
        </w:tc>
        <w:tc>
          <w:tcPr>
            <w:tcW w:w="715" w:type="pct"/>
            <w:hideMark/>
          </w:tcPr>
          <w:p w14:paraId="26BCFB3B" w14:textId="77777777" w:rsidR="00F5323C" w:rsidRPr="00FB0A3A" w:rsidRDefault="00F5323C" w:rsidP="00A3174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
                <w:szCs w:val="18"/>
              </w:rPr>
            </w:pPr>
            <w:r w:rsidRPr="00FB0A3A">
              <w:rPr>
                <w:rFonts w:eastAsia="Calibri" w:cs="Times New Roman"/>
                <w:i/>
                <w:szCs w:val="18"/>
              </w:rPr>
              <w:t>1,3%</w:t>
            </w:r>
          </w:p>
        </w:tc>
      </w:tr>
    </w:tbl>
    <w:p w14:paraId="3B794845" w14:textId="06232670" w:rsidR="008F335D" w:rsidRPr="00FB0A3A" w:rsidRDefault="008F335D" w:rsidP="00A31747">
      <w:pPr>
        <w:pStyle w:val="afff7"/>
        <w:tabs>
          <w:tab w:val="left" w:pos="1134"/>
        </w:tabs>
      </w:pPr>
      <w:r w:rsidRPr="00FB0A3A">
        <w:lastRenderedPageBreak/>
        <w:t xml:space="preserve">Исполнитель обращает внимание, что 2015 год не является показательным, т.к. большое отклонение удельного веса по уровням напряжения </w:t>
      </w:r>
      <w:r w:rsidR="00FD4048" w:rsidRPr="00FB0A3A">
        <w:t>от 2016 и 2017 гг.</w:t>
      </w:r>
    </w:p>
    <w:p w14:paraId="3E4A321F" w14:textId="12FC5308" w:rsidR="00EC23B8" w:rsidRPr="00FB0A3A" w:rsidRDefault="00EC23B8"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 xml:space="preserve">При сравнении показателей, предложенных Филиалом на 2019 год, прослеживается снижение объемов по уровню напряжения НН </w:t>
      </w:r>
      <w:r w:rsidRPr="00FB0A3A">
        <w:rPr>
          <w:rFonts w:ascii="Myriad Pro" w:eastAsia="Calibri" w:hAnsi="Myriad Pro" w:cs="Arial"/>
          <w:sz w:val="26"/>
          <w:szCs w:val="26"/>
        </w:rPr>
        <w:t xml:space="preserve">≈ </w:t>
      </w:r>
      <w:r w:rsidRPr="00FB0A3A">
        <w:rPr>
          <w:rFonts w:ascii="Myriad Pro" w:eastAsia="Calibri" w:hAnsi="Myriad Pro" w:cs="Times New Roman"/>
          <w:sz w:val="26"/>
          <w:szCs w:val="26"/>
        </w:rPr>
        <w:t xml:space="preserve">6% и увеличение объемов по уровню напряжения ВН </w:t>
      </w:r>
      <w:r w:rsidRPr="00FB0A3A">
        <w:rPr>
          <w:rFonts w:ascii="Myriad Pro" w:eastAsia="Calibri" w:hAnsi="Myriad Pro" w:cs="Arial"/>
          <w:sz w:val="26"/>
          <w:szCs w:val="26"/>
        </w:rPr>
        <w:t>≈</w:t>
      </w:r>
      <w:r w:rsidRPr="00FB0A3A">
        <w:rPr>
          <w:rFonts w:ascii="Myriad Pro" w:eastAsia="Calibri" w:hAnsi="Myriad Pro" w:cs="Times New Roman"/>
          <w:sz w:val="26"/>
          <w:szCs w:val="26"/>
        </w:rPr>
        <w:t>10%.</w:t>
      </w:r>
    </w:p>
    <w:p w14:paraId="0D864BAA" w14:textId="671C5FD2" w:rsidR="00FD4048" w:rsidRPr="00FB0A3A" w:rsidRDefault="00FD4048" w:rsidP="0069768D">
      <w:pPr>
        <w:pStyle w:val="afff4"/>
        <w:spacing w:after="120"/>
        <w:rPr>
          <w:lang w:val="ru-RU"/>
        </w:rPr>
      </w:pPr>
      <w:r w:rsidRPr="00FB0A3A">
        <w:rPr>
          <w:lang w:val="ru-RU"/>
        </w:rPr>
        <w:t>Для формирования плановых показателей на 2019 год Исполнителем учтены фактические показатели за 2016 и 2017 гг.</w:t>
      </w:r>
      <w:r w:rsidR="00EB1D40" w:rsidRPr="00FB0A3A">
        <w:rPr>
          <w:lang w:val="ru-RU"/>
        </w:rPr>
        <w:t xml:space="preserve"> Удельный вес по уровням напряжения учтен как среднеарифметическое за два года 2016-2017 гг. Объем услуг по передаче электрической энергии на 2019 год принят Исполнителем в размере фактического объема за 2017 год в размере 10 845 млн. кВт*ч.</w:t>
      </w:r>
    </w:p>
    <w:tbl>
      <w:tblPr>
        <w:tblStyle w:val="afff6"/>
        <w:tblW w:w="5000" w:type="pct"/>
        <w:tblCellMar>
          <w:top w:w="34" w:type="dxa"/>
          <w:bottom w:w="34" w:type="dxa"/>
        </w:tblCellMar>
        <w:tblLook w:val="04A0" w:firstRow="1" w:lastRow="0" w:firstColumn="1" w:lastColumn="0" w:noHBand="0" w:noVBand="1"/>
      </w:tblPr>
      <w:tblGrid>
        <w:gridCol w:w="2929"/>
        <w:gridCol w:w="1125"/>
        <w:gridCol w:w="1286"/>
        <w:gridCol w:w="1334"/>
        <w:gridCol w:w="1334"/>
        <w:gridCol w:w="1336"/>
      </w:tblGrid>
      <w:tr w:rsidR="009B78FC" w:rsidRPr="00FB0A3A" w14:paraId="1AA36738" w14:textId="77777777" w:rsidTr="00907125">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156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B7E837F" w14:textId="77777777" w:rsidR="009B78FC" w:rsidRPr="00FB0A3A" w:rsidRDefault="009B78FC" w:rsidP="00A31747">
            <w:pPr>
              <w:tabs>
                <w:tab w:val="left" w:pos="1134"/>
              </w:tabs>
              <w:jc w:val="center"/>
              <w:rPr>
                <w:rFonts w:eastAsia="Calibri" w:cs="Times New Roman"/>
                <w:b/>
                <w:bCs/>
              </w:rPr>
            </w:pPr>
            <w:r w:rsidRPr="00FB0A3A">
              <w:rPr>
                <w:rFonts w:eastAsia="Calibri" w:cs="Times New Roman"/>
                <w:b/>
                <w:bCs/>
              </w:rPr>
              <w:t>Год</w:t>
            </w:r>
          </w:p>
        </w:tc>
        <w:tc>
          <w:tcPr>
            <w:tcW w:w="3433"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F877514" w14:textId="77777777" w:rsidR="009B78FC" w:rsidRPr="00FB0A3A" w:rsidRDefault="009B78FC" w:rsidP="00A31747">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b/>
                <w:bCs/>
              </w:rPr>
            </w:pPr>
            <w:r w:rsidRPr="00FB0A3A">
              <w:rPr>
                <w:rFonts w:eastAsia="Calibri" w:cs="Times New Roman"/>
                <w:b/>
                <w:bCs/>
              </w:rPr>
              <w:t>Объем услуг по передаче электрической энергии, млн. кВт*ч</w:t>
            </w:r>
          </w:p>
        </w:tc>
      </w:tr>
      <w:tr w:rsidR="009B78FC" w:rsidRPr="00FB0A3A" w14:paraId="79C4F563" w14:textId="77777777" w:rsidTr="00907125">
        <w:tc>
          <w:tcPr>
            <w:cnfStyle w:val="001000000000" w:firstRow="0" w:lastRow="0" w:firstColumn="1" w:lastColumn="0" w:oddVBand="0" w:evenVBand="0" w:oddHBand="0" w:evenHBand="0" w:firstRowFirstColumn="0" w:firstRowLastColumn="0" w:lastRowFirstColumn="0" w:lastRowLastColumn="0"/>
            <w:tcW w:w="156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9BB98DA" w14:textId="77777777" w:rsidR="009B78FC" w:rsidRPr="00FB0A3A" w:rsidRDefault="009B78FC" w:rsidP="00A31747">
            <w:pPr>
              <w:tabs>
                <w:tab w:val="left" w:pos="1134"/>
              </w:tabs>
              <w:rPr>
                <w:rFonts w:eastAsia="Calibri" w:cs="Times New Roman"/>
                <w:b/>
                <w:bCs/>
              </w:rPr>
            </w:pPr>
          </w:p>
        </w:tc>
        <w:tc>
          <w:tcPr>
            <w:tcW w:w="60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7CE39DF0" w14:textId="6F06FDB6" w:rsidR="009B78FC" w:rsidRPr="00FB0A3A" w:rsidRDefault="00A31747" w:rsidP="00A3174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b/>
                <w:bCs/>
                <w:color w:val="FFFFFF" w:themeColor="background1"/>
              </w:rPr>
            </w:pPr>
            <w:r w:rsidRPr="00FB0A3A">
              <w:rPr>
                <w:rFonts w:eastAsia="Calibri" w:cs="Times New Roman"/>
                <w:b/>
                <w:bCs/>
                <w:color w:val="FFFFFF" w:themeColor="background1"/>
              </w:rPr>
              <w:t>В</w:t>
            </w:r>
            <w:r w:rsidR="009B78FC" w:rsidRPr="00FB0A3A">
              <w:rPr>
                <w:rFonts w:eastAsia="Calibri" w:cs="Times New Roman"/>
                <w:b/>
                <w:bCs/>
                <w:color w:val="FFFFFF" w:themeColor="background1"/>
              </w:rPr>
              <w:t>сего</w:t>
            </w:r>
          </w:p>
        </w:tc>
        <w:tc>
          <w:tcPr>
            <w:tcW w:w="2831"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432EE99D" w14:textId="77777777" w:rsidR="009B78FC" w:rsidRPr="00FB0A3A" w:rsidRDefault="009B78FC" w:rsidP="00A3174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b/>
                <w:bCs/>
                <w:color w:val="FFFFFF" w:themeColor="background1"/>
              </w:rPr>
            </w:pPr>
            <w:r w:rsidRPr="00FB0A3A">
              <w:rPr>
                <w:rFonts w:eastAsia="Calibri" w:cs="Times New Roman"/>
                <w:b/>
                <w:bCs/>
                <w:color w:val="FFFFFF" w:themeColor="background1"/>
              </w:rPr>
              <w:t>в том числе по уровням напряжения</w:t>
            </w:r>
          </w:p>
        </w:tc>
      </w:tr>
      <w:tr w:rsidR="009B78FC" w:rsidRPr="00FB0A3A" w14:paraId="033DB397" w14:textId="77777777" w:rsidTr="00907125">
        <w:trPr>
          <w:trHeight w:val="203"/>
        </w:trPr>
        <w:tc>
          <w:tcPr>
            <w:cnfStyle w:val="001000000000" w:firstRow="0" w:lastRow="0" w:firstColumn="1" w:lastColumn="0" w:oddVBand="0" w:evenVBand="0" w:oddHBand="0" w:evenHBand="0" w:firstRowFirstColumn="0" w:firstRowLastColumn="0" w:lastRowFirstColumn="0" w:lastRowLastColumn="0"/>
            <w:tcW w:w="156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406D080" w14:textId="77777777" w:rsidR="009B78FC" w:rsidRPr="00FB0A3A" w:rsidRDefault="009B78FC" w:rsidP="00A31747">
            <w:pPr>
              <w:tabs>
                <w:tab w:val="left" w:pos="1134"/>
              </w:tabs>
              <w:rPr>
                <w:rFonts w:eastAsia="Calibri" w:cs="Times New Roman"/>
                <w:b/>
                <w:bCs/>
              </w:rPr>
            </w:pPr>
          </w:p>
        </w:tc>
        <w:tc>
          <w:tcPr>
            <w:tcW w:w="60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647989F3" w14:textId="77777777" w:rsidR="009B78FC" w:rsidRPr="00FB0A3A" w:rsidRDefault="009B78FC" w:rsidP="00A3174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b/>
                <w:bCs/>
                <w:color w:val="FFFFFF" w:themeColor="background1"/>
              </w:rPr>
            </w:pPr>
          </w:p>
        </w:tc>
        <w:tc>
          <w:tcPr>
            <w:tcW w:w="6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25AE2C1C" w14:textId="77777777" w:rsidR="009B78FC" w:rsidRPr="00FB0A3A" w:rsidRDefault="009B78FC" w:rsidP="00A3174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b/>
                <w:bCs/>
                <w:color w:val="FFFFFF" w:themeColor="background1"/>
              </w:rPr>
            </w:pPr>
            <w:r w:rsidRPr="00FB0A3A">
              <w:rPr>
                <w:rFonts w:eastAsia="Calibri" w:cs="Times New Roman"/>
                <w:b/>
                <w:bCs/>
                <w:color w:val="FFFFFF" w:themeColor="background1"/>
              </w:rPr>
              <w:t>ВН</w:t>
            </w:r>
          </w:p>
        </w:tc>
        <w:tc>
          <w:tcPr>
            <w:tcW w:w="7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25DEF92D" w14:textId="77777777" w:rsidR="009B78FC" w:rsidRPr="00FB0A3A" w:rsidRDefault="009B78FC" w:rsidP="00A3174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b/>
                <w:bCs/>
                <w:color w:val="FFFFFF" w:themeColor="background1"/>
              </w:rPr>
            </w:pPr>
            <w:r w:rsidRPr="00FB0A3A">
              <w:rPr>
                <w:rFonts w:eastAsia="Calibri" w:cs="Times New Roman"/>
                <w:b/>
                <w:bCs/>
                <w:color w:val="FFFFFF" w:themeColor="background1"/>
              </w:rPr>
              <w:t>СН1</w:t>
            </w:r>
          </w:p>
        </w:tc>
        <w:tc>
          <w:tcPr>
            <w:tcW w:w="7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760A065D" w14:textId="77777777" w:rsidR="009B78FC" w:rsidRPr="00FB0A3A" w:rsidRDefault="009B78FC" w:rsidP="00A3174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b/>
                <w:bCs/>
                <w:color w:val="FFFFFF" w:themeColor="background1"/>
              </w:rPr>
            </w:pPr>
            <w:r w:rsidRPr="00FB0A3A">
              <w:rPr>
                <w:rFonts w:eastAsia="Calibri" w:cs="Times New Roman"/>
                <w:b/>
                <w:bCs/>
                <w:color w:val="FFFFFF" w:themeColor="background1"/>
              </w:rPr>
              <w:t>СН2</w:t>
            </w:r>
          </w:p>
        </w:tc>
        <w:tc>
          <w:tcPr>
            <w:tcW w:w="7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79A327E0" w14:textId="77777777" w:rsidR="009B78FC" w:rsidRPr="00FB0A3A" w:rsidRDefault="009B78FC" w:rsidP="00A3174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b/>
                <w:bCs/>
                <w:color w:val="FFFFFF" w:themeColor="background1"/>
              </w:rPr>
            </w:pPr>
            <w:r w:rsidRPr="00FB0A3A">
              <w:rPr>
                <w:rFonts w:eastAsia="Calibri" w:cs="Times New Roman"/>
                <w:b/>
                <w:bCs/>
                <w:color w:val="FFFFFF" w:themeColor="background1"/>
              </w:rPr>
              <w:t>НН</w:t>
            </w:r>
          </w:p>
        </w:tc>
      </w:tr>
      <w:tr w:rsidR="009B78FC" w:rsidRPr="00FB0A3A" w14:paraId="256707CF" w14:textId="77777777" w:rsidTr="00907125">
        <w:tc>
          <w:tcPr>
            <w:cnfStyle w:val="001000000000" w:firstRow="0" w:lastRow="0" w:firstColumn="1" w:lastColumn="0" w:oddVBand="0" w:evenVBand="0" w:oddHBand="0" w:evenHBand="0" w:firstRowFirstColumn="0" w:firstRowLastColumn="0" w:lastRowFirstColumn="0" w:lastRowLastColumn="0"/>
            <w:tcW w:w="1567" w:type="pct"/>
            <w:tcBorders>
              <w:top w:val="single" w:sz="4" w:space="0" w:color="FFFFFF" w:themeColor="background1"/>
            </w:tcBorders>
          </w:tcPr>
          <w:p w14:paraId="7E466BDD" w14:textId="706DD176" w:rsidR="009B78FC" w:rsidRPr="00FB0A3A" w:rsidRDefault="00A31747" w:rsidP="00A31747">
            <w:pPr>
              <w:tabs>
                <w:tab w:val="left" w:pos="1134"/>
              </w:tabs>
              <w:rPr>
                <w:rFonts w:eastAsia="Calibri" w:cs="Times New Roman"/>
                <w:i/>
              </w:rPr>
            </w:pPr>
            <w:r w:rsidRPr="00FB0A3A">
              <w:rPr>
                <w:rFonts w:eastAsia="Calibri" w:cs="Times New Roman"/>
                <w:i/>
              </w:rPr>
              <w:t>Удельный вес</w:t>
            </w:r>
            <w:r w:rsidR="009B78FC" w:rsidRPr="00FB0A3A">
              <w:rPr>
                <w:rFonts w:eastAsia="Calibri" w:cs="Times New Roman"/>
                <w:i/>
              </w:rPr>
              <w:t xml:space="preserve">, </w:t>
            </w:r>
          </w:p>
          <w:p w14:paraId="6EA5073A" w14:textId="77777777" w:rsidR="009B78FC" w:rsidRPr="00FB0A3A" w:rsidRDefault="009B78FC" w:rsidP="00A31747">
            <w:pPr>
              <w:tabs>
                <w:tab w:val="left" w:pos="1134"/>
              </w:tabs>
              <w:rPr>
                <w:rFonts w:eastAsia="Calibri" w:cs="Times New Roman"/>
                <w:i/>
              </w:rPr>
            </w:pPr>
            <w:r w:rsidRPr="00FB0A3A">
              <w:rPr>
                <w:rFonts w:eastAsia="Calibri" w:cs="Times New Roman"/>
                <w:i/>
              </w:rPr>
              <w:t>средний за 2016-2017 гг.</w:t>
            </w:r>
          </w:p>
        </w:tc>
        <w:tc>
          <w:tcPr>
            <w:tcW w:w="602" w:type="pct"/>
            <w:tcBorders>
              <w:top w:val="single" w:sz="4" w:space="0" w:color="FFFFFF" w:themeColor="background1"/>
            </w:tcBorders>
            <w:noWrap/>
          </w:tcPr>
          <w:p w14:paraId="4C132558" w14:textId="77777777" w:rsidR="009B78FC" w:rsidRPr="00FB0A3A" w:rsidRDefault="009B78FC" w:rsidP="00A3174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
              </w:rPr>
            </w:pPr>
            <w:r w:rsidRPr="00FB0A3A">
              <w:rPr>
                <w:rFonts w:eastAsia="Calibri" w:cs="Times New Roman"/>
                <w:i/>
              </w:rPr>
              <w:t>100,0%</w:t>
            </w:r>
          </w:p>
        </w:tc>
        <w:tc>
          <w:tcPr>
            <w:tcW w:w="688" w:type="pct"/>
            <w:tcBorders>
              <w:top w:val="single" w:sz="4" w:space="0" w:color="FFFFFF" w:themeColor="background1"/>
            </w:tcBorders>
            <w:noWrap/>
          </w:tcPr>
          <w:p w14:paraId="158C82C1" w14:textId="77777777" w:rsidR="009B78FC" w:rsidRPr="00FB0A3A" w:rsidRDefault="009B78FC" w:rsidP="00A3174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
              </w:rPr>
            </w:pPr>
            <w:r w:rsidRPr="00FB0A3A">
              <w:rPr>
                <w:rFonts w:eastAsia="Calibri" w:cs="Times New Roman"/>
                <w:i/>
              </w:rPr>
              <w:t>76,9%</w:t>
            </w:r>
          </w:p>
        </w:tc>
        <w:tc>
          <w:tcPr>
            <w:tcW w:w="714" w:type="pct"/>
            <w:tcBorders>
              <w:top w:val="single" w:sz="4" w:space="0" w:color="FFFFFF" w:themeColor="background1"/>
            </w:tcBorders>
            <w:noWrap/>
          </w:tcPr>
          <w:p w14:paraId="4A80DB2A" w14:textId="77777777" w:rsidR="009B78FC" w:rsidRPr="00FB0A3A" w:rsidRDefault="009B78FC" w:rsidP="00A3174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
              </w:rPr>
            </w:pPr>
            <w:r w:rsidRPr="00FB0A3A">
              <w:rPr>
                <w:rFonts w:eastAsia="Calibri" w:cs="Times New Roman"/>
                <w:i/>
              </w:rPr>
              <w:t>7,6%</w:t>
            </w:r>
          </w:p>
        </w:tc>
        <w:tc>
          <w:tcPr>
            <w:tcW w:w="714" w:type="pct"/>
            <w:tcBorders>
              <w:top w:val="single" w:sz="4" w:space="0" w:color="FFFFFF" w:themeColor="background1"/>
            </w:tcBorders>
            <w:noWrap/>
          </w:tcPr>
          <w:p w14:paraId="4C64A4D0" w14:textId="77777777" w:rsidR="009B78FC" w:rsidRPr="00FB0A3A" w:rsidRDefault="009B78FC" w:rsidP="00A3174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
              </w:rPr>
            </w:pPr>
            <w:r w:rsidRPr="00FB0A3A">
              <w:rPr>
                <w:rFonts w:eastAsia="Calibri" w:cs="Times New Roman"/>
                <w:i/>
              </w:rPr>
              <w:t>8,3%</w:t>
            </w:r>
          </w:p>
        </w:tc>
        <w:tc>
          <w:tcPr>
            <w:tcW w:w="715" w:type="pct"/>
            <w:tcBorders>
              <w:top w:val="single" w:sz="4" w:space="0" w:color="FFFFFF" w:themeColor="background1"/>
            </w:tcBorders>
            <w:noWrap/>
          </w:tcPr>
          <w:p w14:paraId="4C138F23" w14:textId="77777777" w:rsidR="009B78FC" w:rsidRPr="00FB0A3A" w:rsidRDefault="009B78FC" w:rsidP="00A3174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
              </w:rPr>
            </w:pPr>
            <w:r w:rsidRPr="00FB0A3A">
              <w:rPr>
                <w:rFonts w:eastAsia="Calibri" w:cs="Times New Roman"/>
                <w:i/>
              </w:rPr>
              <w:t>7,2%</w:t>
            </w:r>
          </w:p>
        </w:tc>
      </w:tr>
      <w:tr w:rsidR="009B78FC" w:rsidRPr="00FB0A3A" w14:paraId="1A860345" w14:textId="77777777" w:rsidTr="002F115E">
        <w:tc>
          <w:tcPr>
            <w:cnfStyle w:val="001000000000" w:firstRow="0" w:lastRow="0" w:firstColumn="1" w:lastColumn="0" w:oddVBand="0" w:evenVBand="0" w:oddHBand="0" w:evenHBand="0" w:firstRowFirstColumn="0" w:firstRowLastColumn="0" w:lastRowFirstColumn="0" w:lastRowLastColumn="0"/>
            <w:tcW w:w="1567" w:type="pct"/>
            <w:tcBorders>
              <w:bottom w:val="single" w:sz="4" w:space="0" w:color="auto"/>
            </w:tcBorders>
            <w:hideMark/>
          </w:tcPr>
          <w:p w14:paraId="7CA35EB8" w14:textId="77777777" w:rsidR="009B78FC" w:rsidRPr="00FB0A3A" w:rsidRDefault="009B78FC" w:rsidP="00A31747">
            <w:pPr>
              <w:tabs>
                <w:tab w:val="left" w:pos="1134"/>
              </w:tabs>
              <w:rPr>
                <w:rFonts w:eastAsia="Calibri" w:cs="Times New Roman"/>
              </w:rPr>
            </w:pPr>
            <w:r w:rsidRPr="00FB0A3A">
              <w:rPr>
                <w:rFonts w:eastAsia="Calibri" w:cs="Times New Roman"/>
              </w:rPr>
              <w:t>предложение Филиала на 2019</w:t>
            </w:r>
          </w:p>
        </w:tc>
        <w:tc>
          <w:tcPr>
            <w:tcW w:w="602" w:type="pct"/>
            <w:tcBorders>
              <w:bottom w:val="single" w:sz="4" w:space="0" w:color="auto"/>
            </w:tcBorders>
            <w:noWrap/>
            <w:hideMark/>
          </w:tcPr>
          <w:p w14:paraId="2275C6D6" w14:textId="77777777" w:rsidR="009B78FC" w:rsidRPr="00FB0A3A" w:rsidRDefault="009B78FC" w:rsidP="00A3174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rPr>
            </w:pPr>
            <w:r w:rsidRPr="00FB0A3A">
              <w:rPr>
                <w:rFonts w:eastAsia="Calibri" w:cs="Times New Roman"/>
              </w:rPr>
              <w:t>10 841,34</w:t>
            </w:r>
          </w:p>
        </w:tc>
        <w:tc>
          <w:tcPr>
            <w:tcW w:w="688" w:type="pct"/>
            <w:tcBorders>
              <w:bottom w:val="single" w:sz="4" w:space="0" w:color="auto"/>
            </w:tcBorders>
            <w:noWrap/>
            <w:hideMark/>
          </w:tcPr>
          <w:p w14:paraId="1B59BB50" w14:textId="77777777" w:rsidR="009B78FC" w:rsidRPr="00FB0A3A" w:rsidRDefault="009B78FC" w:rsidP="00A3174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rPr>
            </w:pPr>
            <w:r w:rsidRPr="00FB0A3A">
              <w:rPr>
                <w:rFonts w:eastAsia="Calibri" w:cs="Times New Roman"/>
              </w:rPr>
              <w:t>9 403,81</w:t>
            </w:r>
          </w:p>
        </w:tc>
        <w:tc>
          <w:tcPr>
            <w:tcW w:w="714" w:type="pct"/>
            <w:tcBorders>
              <w:bottom w:val="single" w:sz="4" w:space="0" w:color="auto"/>
            </w:tcBorders>
            <w:noWrap/>
            <w:hideMark/>
          </w:tcPr>
          <w:p w14:paraId="5C73AF0C" w14:textId="77777777" w:rsidR="009B78FC" w:rsidRPr="00FB0A3A" w:rsidRDefault="009B78FC" w:rsidP="00A3174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rPr>
            </w:pPr>
            <w:r w:rsidRPr="00FB0A3A">
              <w:rPr>
                <w:rFonts w:eastAsia="Calibri" w:cs="Times New Roman"/>
              </w:rPr>
              <w:t>950,32</w:t>
            </w:r>
          </w:p>
        </w:tc>
        <w:tc>
          <w:tcPr>
            <w:tcW w:w="714" w:type="pct"/>
            <w:tcBorders>
              <w:bottom w:val="single" w:sz="4" w:space="0" w:color="auto"/>
            </w:tcBorders>
            <w:noWrap/>
            <w:hideMark/>
          </w:tcPr>
          <w:p w14:paraId="5D0F4808" w14:textId="77777777" w:rsidR="009B78FC" w:rsidRPr="00FB0A3A" w:rsidRDefault="009B78FC" w:rsidP="00A3174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rPr>
            </w:pPr>
            <w:r w:rsidRPr="00FB0A3A">
              <w:rPr>
                <w:rFonts w:eastAsia="Calibri" w:cs="Times New Roman"/>
              </w:rPr>
              <w:t>341,50</w:t>
            </w:r>
          </w:p>
        </w:tc>
        <w:tc>
          <w:tcPr>
            <w:tcW w:w="715" w:type="pct"/>
            <w:tcBorders>
              <w:bottom w:val="single" w:sz="4" w:space="0" w:color="auto"/>
            </w:tcBorders>
            <w:noWrap/>
            <w:hideMark/>
          </w:tcPr>
          <w:p w14:paraId="2E4B5198" w14:textId="77777777" w:rsidR="009B78FC" w:rsidRPr="00FB0A3A" w:rsidRDefault="009B78FC" w:rsidP="00A3174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rPr>
            </w:pPr>
            <w:r w:rsidRPr="00FB0A3A">
              <w:rPr>
                <w:rFonts w:eastAsia="Calibri" w:cs="Times New Roman"/>
              </w:rPr>
              <w:t>145,70</w:t>
            </w:r>
          </w:p>
        </w:tc>
      </w:tr>
      <w:tr w:rsidR="009B78FC" w:rsidRPr="00FB0A3A" w14:paraId="1AF4B0B7" w14:textId="77777777" w:rsidTr="002F115E">
        <w:tc>
          <w:tcPr>
            <w:cnfStyle w:val="001000000000" w:firstRow="0" w:lastRow="0" w:firstColumn="1" w:lastColumn="0" w:oddVBand="0" w:evenVBand="0" w:oddHBand="0" w:evenHBand="0" w:firstRowFirstColumn="0" w:firstRowLastColumn="0" w:lastRowFirstColumn="0" w:lastRowLastColumn="0"/>
            <w:tcW w:w="1567" w:type="pct"/>
            <w:tcBorders>
              <w:bottom w:val="single" w:sz="4" w:space="0" w:color="auto"/>
            </w:tcBorders>
            <w:hideMark/>
          </w:tcPr>
          <w:p w14:paraId="223839BF" w14:textId="4BE60E03" w:rsidR="009B78FC" w:rsidRPr="00FB0A3A" w:rsidRDefault="00A31747" w:rsidP="00A31747">
            <w:pPr>
              <w:tabs>
                <w:tab w:val="left" w:pos="1134"/>
              </w:tabs>
              <w:ind w:left="306"/>
              <w:jc w:val="both"/>
              <w:rPr>
                <w:rFonts w:eastAsia="Calibri" w:cs="Times New Roman"/>
                <w:i/>
              </w:rPr>
            </w:pPr>
            <w:r w:rsidRPr="00FB0A3A">
              <w:rPr>
                <w:rFonts w:eastAsia="Calibri" w:cs="Times New Roman"/>
                <w:i/>
              </w:rPr>
              <w:t>удельный вес</w:t>
            </w:r>
          </w:p>
        </w:tc>
        <w:tc>
          <w:tcPr>
            <w:tcW w:w="602" w:type="pct"/>
            <w:tcBorders>
              <w:bottom w:val="single" w:sz="4" w:space="0" w:color="auto"/>
            </w:tcBorders>
            <w:hideMark/>
          </w:tcPr>
          <w:p w14:paraId="620C1965" w14:textId="77777777" w:rsidR="009B78FC" w:rsidRPr="00FB0A3A" w:rsidRDefault="009B78FC" w:rsidP="00A3174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
              </w:rPr>
            </w:pPr>
            <w:r w:rsidRPr="00FB0A3A">
              <w:rPr>
                <w:rFonts w:eastAsia="Calibri" w:cs="Times New Roman"/>
                <w:i/>
              </w:rPr>
              <w:t>100,0%</w:t>
            </w:r>
          </w:p>
        </w:tc>
        <w:tc>
          <w:tcPr>
            <w:tcW w:w="688" w:type="pct"/>
            <w:tcBorders>
              <w:bottom w:val="single" w:sz="4" w:space="0" w:color="auto"/>
            </w:tcBorders>
            <w:hideMark/>
          </w:tcPr>
          <w:p w14:paraId="05371CB3" w14:textId="77777777" w:rsidR="009B78FC" w:rsidRPr="00FB0A3A" w:rsidRDefault="009B78FC" w:rsidP="00A3174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
              </w:rPr>
            </w:pPr>
            <w:r w:rsidRPr="00FB0A3A">
              <w:rPr>
                <w:rFonts w:eastAsia="Calibri" w:cs="Times New Roman"/>
                <w:i/>
              </w:rPr>
              <w:t>86,7%</w:t>
            </w:r>
          </w:p>
        </w:tc>
        <w:tc>
          <w:tcPr>
            <w:tcW w:w="714" w:type="pct"/>
            <w:tcBorders>
              <w:bottom w:val="single" w:sz="4" w:space="0" w:color="auto"/>
            </w:tcBorders>
            <w:hideMark/>
          </w:tcPr>
          <w:p w14:paraId="2E54ACCF" w14:textId="77777777" w:rsidR="009B78FC" w:rsidRPr="00FB0A3A" w:rsidRDefault="009B78FC" w:rsidP="00A3174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
              </w:rPr>
            </w:pPr>
            <w:r w:rsidRPr="00FB0A3A">
              <w:rPr>
                <w:rFonts w:eastAsia="Calibri" w:cs="Times New Roman"/>
                <w:i/>
              </w:rPr>
              <w:t>8,8%</w:t>
            </w:r>
          </w:p>
        </w:tc>
        <w:tc>
          <w:tcPr>
            <w:tcW w:w="714" w:type="pct"/>
            <w:tcBorders>
              <w:bottom w:val="single" w:sz="4" w:space="0" w:color="auto"/>
            </w:tcBorders>
            <w:hideMark/>
          </w:tcPr>
          <w:p w14:paraId="01765A5E" w14:textId="77777777" w:rsidR="009B78FC" w:rsidRPr="00FB0A3A" w:rsidRDefault="009B78FC" w:rsidP="00A3174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
              </w:rPr>
            </w:pPr>
            <w:r w:rsidRPr="00FB0A3A">
              <w:rPr>
                <w:rFonts w:eastAsia="Calibri" w:cs="Times New Roman"/>
                <w:i/>
              </w:rPr>
              <w:t>3,2%</w:t>
            </w:r>
          </w:p>
        </w:tc>
        <w:tc>
          <w:tcPr>
            <w:tcW w:w="715" w:type="pct"/>
            <w:tcBorders>
              <w:bottom w:val="single" w:sz="4" w:space="0" w:color="auto"/>
            </w:tcBorders>
            <w:hideMark/>
          </w:tcPr>
          <w:p w14:paraId="34758178" w14:textId="77777777" w:rsidR="009B78FC" w:rsidRPr="00FB0A3A" w:rsidRDefault="009B78FC" w:rsidP="00A3174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
              </w:rPr>
            </w:pPr>
            <w:r w:rsidRPr="00FB0A3A">
              <w:rPr>
                <w:rFonts w:eastAsia="Calibri" w:cs="Times New Roman"/>
                <w:i/>
              </w:rPr>
              <w:t>1,3%</w:t>
            </w:r>
          </w:p>
        </w:tc>
      </w:tr>
      <w:tr w:rsidR="009B78FC" w:rsidRPr="00FB0A3A" w14:paraId="1CCB544F" w14:textId="77777777" w:rsidTr="002F115E">
        <w:tc>
          <w:tcPr>
            <w:cnfStyle w:val="001000000000" w:firstRow="0" w:lastRow="0" w:firstColumn="1" w:lastColumn="0" w:oddVBand="0" w:evenVBand="0" w:oddHBand="0" w:evenHBand="0" w:firstRowFirstColumn="0" w:firstRowLastColumn="0" w:lastRowFirstColumn="0" w:lastRowLastColumn="0"/>
            <w:tcW w:w="1567" w:type="pct"/>
            <w:tcBorders>
              <w:top w:val="single" w:sz="4" w:space="0" w:color="auto"/>
              <w:left w:val="single" w:sz="4" w:space="0" w:color="auto"/>
              <w:bottom w:val="single" w:sz="4" w:space="0" w:color="auto"/>
              <w:right w:val="single" w:sz="4" w:space="0" w:color="auto"/>
            </w:tcBorders>
            <w:hideMark/>
          </w:tcPr>
          <w:p w14:paraId="382C0C79" w14:textId="77777777" w:rsidR="009B78FC" w:rsidRPr="00FB0A3A" w:rsidRDefault="009B78FC" w:rsidP="00A31747">
            <w:pPr>
              <w:tabs>
                <w:tab w:val="left" w:pos="1134"/>
              </w:tabs>
              <w:rPr>
                <w:rFonts w:eastAsia="Calibri" w:cs="Times New Roman"/>
              </w:rPr>
            </w:pPr>
            <w:r w:rsidRPr="00FB0A3A">
              <w:rPr>
                <w:rFonts w:eastAsia="Calibri" w:cs="Times New Roman"/>
              </w:rPr>
              <w:t>предложение Исполнителя на 2019</w:t>
            </w:r>
          </w:p>
        </w:tc>
        <w:tc>
          <w:tcPr>
            <w:tcW w:w="602" w:type="pct"/>
            <w:tcBorders>
              <w:top w:val="single" w:sz="4" w:space="0" w:color="auto"/>
              <w:left w:val="single" w:sz="4" w:space="0" w:color="auto"/>
              <w:bottom w:val="single" w:sz="4" w:space="0" w:color="auto"/>
              <w:right w:val="single" w:sz="4" w:space="0" w:color="auto"/>
            </w:tcBorders>
            <w:noWrap/>
            <w:hideMark/>
          </w:tcPr>
          <w:p w14:paraId="0CE751B1" w14:textId="77777777" w:rsidR="009B78FC" w:rsidRPr="00FB0A3A" w:rsidRDefault="009B78FC" w:rsidP="00A3174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rPr>
            </w:pPr>
            <w:r w:rsidRPr="00FB0A3A">
              <w:rPr>
                <w:rFonts w:eastAsia="Calibri" w:cs="Times New Roman"/>
              </w:rPr>
              <w:t>10 845,00</w:t>
            </w:r>
          </w:p>
        </w:tc>
        <w:tc>
          <w:tcPr>
            <w:tcW w:w="688" w:type="pct"/>
            <w:tcBorders>
              <w:top w:val="single" w:sz="4" w:space="0" w:color="auto"/>
              <w:left w:val="single" w:sz="4" w:space="0" w:color="auto"/>
              <w:bottom w:val="single" w:sz="4" w:space="0" w:color="auto"/>
              <w:right w:val="single" w:sz="4" w:space="0" w:color="auto"/>
            </w:tcBorders>
            <w:noWrap/>
            <w:hideMark/>
          </w:tcPr>
          <w:p w14:paraId="2135B949" w14:textId="77777777" w:rsidR="009B78FC" w:rsidRPr="00FB0A3A" w:rsidRDefault="009B78FC" w:rsidP="00A3174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rPr>
            </w:pPr>
            <w:r w:rsidRPr="00FB0A3A">
              <w:rPr>
                <w:rFonts w:eastAsia="Calibri" w:cs="Times New Roman"/>
              </w:rPr>
              <w:t>8 343,45</w:t>
            </w:r>
          </w:p>
        </w:tc>
        <w:tc>
          <w:tcPr>
            <w:tcW w:w="714" w:type="pct"/>
            <w:tcBorders>
              <w:top w:val="single" w:sz="4" w:space="0" w:color="auto"/>
              <w:left w:val="single" w:sz="4" w:space="0" w:color="auto"/>
              <w:bottom w:val="single" w:sz="4" w:space="0" w:color="auto"/>
              <w:right w:val="single" w:sz="4" w:space="0" w:color="auto"/>
            </w:tcBorders>
            <w:noWrap/>
            <w:hideMark/>
          </w:tcPr>
          <w:p w14:paraId="2511F206" w14:textId="77777777" w:rsidR="009B78FC" w:rsidRPr="00FB0A3A" w:rsidRDefault="009B78FC" w:rsidP="00A3174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rPr>
            </w:pPr>
            <w:r w:rsidRPr="00FB0A3A">
              <w:rPr>
                <w:rFonts w:eastAsia="Calibri" w:cs="Times New Roman"/>
              </w:rPr>
              <w:t>826,50</w:t>
            </w:r>
          </w:p>
        </w:tc>
        <w:tc>
          <w:tcPr>
            <w:tcW w:w="714" w:type="pct"/>
            <w:tcBorders>
              <w:top w:val="single" w:sz="4" w:space="0" w:color="auto"/>
              <w:left w:val="single" w:sz="4" w:space="0" w:color="auto"/>
              <w:bottom w:val="single" w:sz="4" w:space="0" w:color="auto"/>
              <w:right w:val="single" w:sz="4" w:space="0" w:color="auto"/>
            </w:tcBorders>
            <w:noWrap/>
            <w:hideMark/>
          </w:tcPr>
          <w:p w14:paraId="3C7E951D" w14:textId="77777777" w:rsidR="009B78FC" w:rsidRPr="00FB0A3A" w:rsidRDefault="009B78FC" w:rsidP="00A3174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rPr>
            </w:pPr>
            <w:r w:rsidRPr="00FB0A3A">
              <w:rPr>
                <w:rFonts w:eastAsia="Calibri" w:cs="Times New Roman"/>
              </w:rPr>
              <w:t>892,11</w:t>
            </w:r>
          </w:p>
        </w:tc>
        <w:tc>
          <w:tcPr>
            <w:tcW w:w="715" w:type="pct"/>
            <w:tcBorders>
              <w:top w:val="single" w:sz="4" w:space="0" w:color="auto"/>
              <w:left w:val="single" w:sz="4" w:space="0" w:color="auto"/>
              <w:bottom w:val="single" w:sz="4" w:space="0" w:color="auto"/>
              <w:right w:val="single" w:sz="4" w:space="0" w:color="auto"/>
            </w:tcBorders>
            <w:noWrap/>
            <w:hideMark/>
          </w:tcPr>
          <w:p w14:paraId="5F2B5792" w14:textId="77777777" w:rsidR="009B78FC" w:rsidRPr="00FB0A3A" w:rsidRDefault="009B78FC" w:rsidP="00A3174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rPr>
            </w:pPr>
            <w:r w:rsidRPr="00FB0A3A">
              <w:rPr>
                <w:rFonts w:eastAsia="Calibri" w:cs="Times New Roman"/>
              </w:rPr>
              <w:t>782,93</w:t>
            </w:r>
          </w:p>
        </w:tc>
      </w:tr>
      <w:tr w:rsidR="009B78FC" w:rsidRPr="00FB0A3A" w14:paraId="4AA1C8AE" w14:textId="77777777" w:rsidTr="002F115E">
        <w:tc>
          <w:tcPr>
            <w:cnfStyle w:val="001000000000" w:firstRow="0" w:lastRow="0" w:firstColumn="1" w:lastColumn="0" w:oddVBand="0" w:evenVBand="0" w:oddHBand="0" w:evenHBand="0" w:firstRowFirstColumn="0" w:firstRowLastColumn="0" w:lastRowFirstColumn="0" w:lastRowLastColumn="0"/>
            <w:tcW w:w="1567" w:type="pct"/>
            <w:tcBorders>
              <w:top w:val="single" w:sz="4" w:space="0" w:color="auto"/>
              <w:left w:val="single" w:sz="4" w:space="0" w:color="auto"/>
              <w:bottom w:val="single" w:sz="4" w:space="0" w:color="auto"/>
              <w:right w:val="single" w:sz="4" w:space="0" w:color="auto"/>
            </w:tcBorders>
            <w:hideMark/>
          </w:tcPr>
          <w:p w14:paraId="3F6E0D20" w14:textId="4B32AB66" w:rsidR="009B78FC" w:rsidRPr="00FB0A3A" w:rsidRDefault="00A31747" w:rsidP="00A31747">
            <w:pPr>
              <w:tabs>
                <w:tab w:val="left" w:pos="1134"/>
              </w:tabs>
              <w:ind w:left="306"/>
              <w:jc w:val="both"/>
              <w:rPr>
                <w:rFonts w:eastAsia="Calibri" w:cs="Times New Roman"/>
                <w:i/>
              </w:rPr>
            </w:pPr>
            <w:r w:rsidRPr="00FB0A3A">
              <w:rPr>
                <w:rFonts w:eastAsia="Calibri" w:cs="Times New Roman"/>
                <w:i/>
              </w:rPr>
              <w:t>удельный вес</w:t>
            </w:r>
          </w:p>
        </w:tc>
        <w:tc>
          <w:tcPr>
            <w:tcW w:w="602" w:type="pct"/>
            <w:tcBorders>
              <w:top w:val="single" w:sz="4" w:space="0" w:color="auto"/>
              <w:left w:val="single" w:sz="4" w:space="0" w:color="auto"/>
              <w:bottom w:val="single" w:sz="4" w:space="0" w:color="auto"/>
              <w:right w:val="single" w:sz="4" w:space="0" w:color="auto"/>
            </w:tcBorders>
            <w:hideMark/>
          </w:tcPr>
          <w:p w14:paraId="7BFA67D4" w14:textId="77777777" w:rsidR="009B78FC" w:rsidRPr="00FB0A3A" w:rsidRDefault="009B78FC" w:rsidP="00A3174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
              </w:rPr>
            </w:pPr>
            <w:r w:rsidRPr="00FB0A3A">
              <w:rPr>
                <w:rFonts w:eastAsia="Calibri" w:cs="Times New Roman"/>
                <w:i/>
              </w:rPr>
              <w:t>100,0%</w:t>
            </w:r>
          </w:p>
        </w:tc>
        <w:tc>
          <w:tcPr>
            <w:tcW w:w="688" w:type="pct"/>
            <w:tcBorders>
              <w:top w:val="single" w:sz="4" w:space="0" w:color="auto"/>
              <w:left w:val="single" w:sz="4" w:space="0" w:color="auto"/>
              <w:bottom w:val="single" w:sz="4" w:space="0" w:color="auto"/>
              <w:right w:val="single" w:sz="4" w:space="0" w:color="auto"/>
            </w:tcBorders>
            <w:hideMark/>
          </w:tcPr>
          <w:p w14:paraId="506E1CBC" w14:textId="77777777" w:rsidR="009B78FC" w:rsidRPr="00FB0A3A" w:rsidRDefault="009B78FC" w:rsidP="00A3174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
              </w:rPr>
            </w:pPr>
            <w:r w:rsidRPr="00FB0A3A">
              <w:rPr>
                <w:rFonts w:eastAsia="Calibri" w:cs="Times New Roman"/>
                <w:i/>
              </w:rPr>
              <w:t>76,9%</w:t>
            </w:r>
          </w:p>
        </w:tc>
        <w:tc>
          <w:tcPr>
            <w:tcW w:w="714" w:type="pct"/>
            <w:tcBorders>
              <w:top w:val="single" w:sz="4" w:space="0" w:color="auto"/>
              <w:left w:val="single" w:sz="4" w:space="0" w:color="auto"/>
              <w:bottom w:val="single" w:sz="4" w:space="0" w:color="auto"/>
              <w:right w:val="single" w:sz="4" w:space="0" w:color="auto"/>
            </w:tcBorders>
            <w:hideMark/>
          </w:tcPr>
          <w:p w14:paraId="2B5147B8" w14:textId="77777777" w:rsidR="009B78FC" w:rsidRPr="00FB0A3A" w:rsidRDefault="009B78FC" w:rsidP="00A3174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
              </w:rPr>
            </w:pPr>
            <w:r w:rsidRPr="00FB0A3A">
              <w:rPr>
                <w:rFonts w:eastAsia="Calibri" w:cs="Times New Roman"/>
                <w:i/>
              </w:rPr>
              <w:t>7,6%</w:t>
            </w:r>
          </w:p>
        </w:tc>
        <w:tc>
          <w:tcPr>
            <w:tcW w:w="714" w:type="pct"/>
            <w:tcBorders>
              <w:top w:val="single" w:sz="4" w:space="0" w:color="auto"/>
              <w:left w:val="single" w:sz="4" w:space="0" w:color="auto"/>
              <w:bottom w:val="single" w:sz="4" w:space="0" w:color="auto"/>
              <w:right w:val="single" w:sz="4" w:space="0" w:color="auto"/>
            </w:tcBorders>
            <w:hideMark/>
          </w:tcPr>
          <w:p w14:paraId="68391524" w14:textId="7D0D3856" w:rsidR="009B78FC" w:rsidRPr="00FB0A3A" w:rsidRDefault="009B78FC" w:rsidP="00A3174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
              </w:rPr>
            </w:pPr>
            <w:r w:rsidRPr="00FB0A3A">
              <w:rPr>
                <w:rFonts w:eastAsia="Calibri" w:cs="Times New Roman"/>
                <w:i/>
              </w:rPr>
              <w:t>8,3%</w:t>
            </w:r>
          </w:p>
        </w:tc>
        <w:tc>
          <w:tcPr>
            <w:tcW w:w="715" w:type="pct"/>
            <w:tcBorders>
              <w:top w:val="single" w:sz="4" w:space="0" w:color="auto"/>
              <w:left w:val="single" w:sz="4" w:space="0" w:color="auto"/>
              <w:bottom w:val="single" w:sz="4" w:space="0" w:color="auto"/>
              <w:right w:val="single" w:sz="4" w:space="0" w:color="auto"/>
            </w:tcBorders>
            <w:hideMark/>
          </w:tcPr>
          <w:p w14:paraId="70ECE1DD" w14:textId="77777777" w:rsidR="009B78FC" w:rsidRPr="00FB0A3A" w:rsidRDefault="009B78FC" w:rsidP="00A3174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
              </w:rPr>
            </w:pPr>
            <w:r w:rsidRPr="00FB0A3A">
              <w:rPr>
                <w:rFonts w:eastAsia="Calibri" w:cs="Times New Roman"/>
                <w:i/>
              </w:rPr>
              <w:t>7,2%</w:t>
            </w:r>
          </w:p>
        </w:tc>
      </w:tr>
    </w:tbl>
    <w:p w14:paraId="0003AE1F" w14:textId="5F977B84" w:rsidR="004B1982" w:rsidRPr="00FB0A3A" w:rsidRDefault="00E540C8" w:rsidP="0069768D">
      <w:pPr>
        <w:pStyle w:val="afff7"/>
        <w:spacing w:before="120" w:after="120"/>
      </w:pPr>
      <w:r w:rsidRPr="00FB0A3A">
        <w:t xml:space="preserve">Таким образом, поступление в сеть филиала ПАО </w:t>
      </w:r>
      <w:r w:rsidR="00655FFA" w:rsidRPr="00FB0A3A">
        <w:t>«</w:t>
      </w:r>
      <w:r w:rsidRPr="00FB0A3A">
        <w:t>МРСК Северо-Запада</w:t>
      </w:r>
      <w:r w:rsidR="00655FFA" w:rsidRPr="00FB0A3A">
        <w:t>»</w:t>
      </w:r>
      <w:r w:rsidRPr="00FB0A3A">
        <w:t xml:space="preserve"> </w:t>
      </w:r>
      <w:r w:rsidR="00655FFA" w:rsidRPr="00FB0A3A">
        <w:t>«</w:t>
      </w:r>
      <w:r w:rsidRPr="00FB0A3A">
        <w:t>Колэнерго</w:t>
      </w:r>
      <w:r w:rsidR="00655FFA" w:rsidRPr="00FB0A3A">
        <w:t>»</w:t>
      </w:r>
      <w:r w:rsidR="004B1982" w:rsidRPr="00FB0A3A">
        <w:t xml:space="preserve"> </w:t>
      </w:r>
      <w:r w:rsidR="003B7A99" w:rsidRPr="00FB0A3A">
        <w:t xml:space="preserve">по расчету Исполнителя </w:t>
      </w:r>
      <w:r w:rsidR="004B1982" w:rsidRPr="00FB0A3A">
        <w:t>составит 11 246,62</w:t>
      </w:r>
      <w:r w:rsidRPr="00FB0A3A">
        <w:t xml:space="preserve"> млн. кВт*ч, в том числе: объем услуг по передаче электрической энергии 10 845,0 млн. кВт*ч, расход электроэнергии на хозяйственные нужды 6,86 млн. кВт*ч (по фактическим объемам за 2017 год), </w:t>
      </w:r>
      <w:r w:rsidR="004B1982" w:rsidRPr="00FB0A3A">
        <w:t>потери электрической энергии в сетях 394,76 млн. кВт*ч</w:t>
      </w:r>
      <w:r w:rsidR="003245C3" w:rsidRPr="00FB0A3A">
        <w:t xml:space="preserve"> (3,51%</w:t>
      </w:r>
      <w:r w:rsidR="004B1982" w:rsidRPr="00FB0A3A">
        <w:t xml:space="preserve">). </w:t>
      </w:r>
    </w:p>
    <w:tbl>
      <w:tblPr>
        <w:tblStyle w:val="afff6"/>
        <w:tblW w:w="5000" w:type="pct"/>
        <w:tblLayout w:type="fixed"/>
        <w:tblCellMar>
          <w:top w:w="34" w:type="dxa"/>
          <w:bottom w:w="34" w:type="dxa"/>
        </w:tblCellMar>
        <w:tblLook w:val="04A0" w:firstRow="1" w:lastRow="0" w:firstColumn="1" w:lastColumn="0" w:noHBand="0" w:noVBand="1"/>
      </w:tblPr>
      <w:tblGrid>
        <w:gridCol w:w="1682"/>
        <w:gridCol w:w="2298"/>
        <w:gridCol w:w="1852"/>
        <w:gridCol w:w="1540"/>
        <w:gridCol w:w="1972"/>
      </w:tblGrid>
      <w:tr w:rsidR="003245C3" w:rsidRPr="00FB0A3A" w14:paraId="7290AF73" w14:textId="77777777" w:rsidTr="00907125">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7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FD060EE" w14:textId="1C91F0D6" w:rsidR="003245C3" w:rsidRPr="00FB0A3A" w:rsidRDefault="003245C3" w:rsidP="001B614A">
            <w:pPr>
              <w:tabs>
                <w:tab w:val="left" w:pos="1134"/>
              </w:tabs>
              <w:jc w:val="center"/>
              <w:rPr>
                <w:rFonts w:eastAsia="Calibri" w:cs="Times New Roman"/>
                <w:szCs w:val="18"/>
              </w:rPr>
            </w:pPr>
            <w:r w:rsidRPr="00FB0A3A">
              <w:rPr>
                <w:rFonts w:eastAsia="Calibri" w:cs="Times New Roman"/>
                <w:szCs w:val="18"/>
              </w:rPr>
              <w:t>Полезный отпуск из сети</w:t>
            </w:r>
          </w:p>
        </w:tc>
        <w:tc>
          <w:tcPr>
            <w:tcW w:w="23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27C02E96" w14:textId="06B7EB46" w:rsidR="003245C3" w:rsidRPr="00FB0A3A" w:rsidRDefault="003245C3" w:rsidP="00B12BCC">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Электроэнергия</w:t>
            </w:r>
          </w:p>
          <w:p w14:paraId="782381AB" w14:textId="1A3817EB" w:rsidR="003245C3" w:rsidRPr="00FB0A3A" w:rsidRDefault="003245C3" w:rsidP="00B12BCC">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на хозяйственные нужды</w:t>
            </w:r>
          </w:p>
        </w:tc>
        <w:tc>
          <w:tcPr>
            <w:tcW w:w="18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05327D07" w14:textId="5951CDC4" w:rsidR="003245C3" w:rsidRPr="00FB0A3A" w:rsidRDefault="003245C3" w:rsidP="00B12BCC">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Потери электроэнергии в сети</w:t>
            </w:r>
          </w:p>
        </w:tc>
        <w:tc>
          <w:tcPr>
            <w:tcW w:w="15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7CF32B6A" w14:textId="047000FD" w:rsidR="003245C3" w:rsidRPr="00FB0A3A" w:rsidRDefault="003245C3" w:rsidP="00B12BCC">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Процент потерь</w:t>
            </w:r>
          </w:p>
        </w:tc>
        <w:tc>
          <w:tcPr>
            <w:tcW w:w="20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17D5725A" w14:textId="222F9809" w:rsidR="003245C3" w:rsidRPr="00FB0A3A" w:rsidRDefault="003245C3" w:rsidP="00B12BCC">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Поступление электроэнергии в сеть</w:t>
            </w:r>
          </w:p>
        </w:tc>
      </w:tr>
      <w:tr w:rsidR="003245C3" w:rsidRPr="00FB0A3A" w14:paraId="1A58B126" w14:textId="77777777" w:rsidTr="00907125">
        <w:tc>
          <w:tcPr>
            <w:cnfStyle w:val="001000000000" w:firstRow="0" w:lastRow="0" w:firstColumn="1" w:lastColumn="0" w:oddVBand="0" w:evenVBand="0" w:oddHBand="0" w:evenHBand="0" w:firstRowFirstColumn="0" w:firstRowLastColumn="0" w:lastRowFirstColumn="0" w:lastRowLastColumn="0"/>
            <w:tcW w:w="1707" w:type="dxa"/>
            <w:tcBorders>
              <w:top w:val="single" w:sz="4" w:space="0" w:color="FFFFFF" w:themeColor="background1"/>
            </w:tcBorders>
            <w:hideMark/>
          </w:tcPr>
          <w:p w14:paraId="33A7B6EE" w14:textId="3AACA1F7" w:rsidR="003245C3" w:rsidRPr="00FB0A3A" w:rsidRDefault="003245C3" w:rsidP="00B12BCC">
            <w:pPr>
              <w:tabs>
                <w:tab w:val="left" w:pos="1134"/>
              </w:tabs>
              <w:jc w:val="center"/>
              <w:rPr>
                <w:rFonts w:eastAsia="Calibri" w:cs="Times New Roman"/>
                <w:szCs w:val="18"/>
              </w:rPr>
            </w:pPr>
            <w:r w:rsidRPr="00FB0A3A">
              <w:rPr>
                <w:rFonts w:eastAsia="Calibri" w:cs="Times New Roman"/>
                <w:szCs w:val="18"/>
              </w:rPr>
              <w:t>10</w:t>
            </w:r>
            <w:r w:rsidR="00296C71">
              <w:rPr>
                <w:rFonts w:eastAsia="Calibri" w:cs="Times New Roman"/>
                <w:szCs w:val="18"/>
              </w:rPr>
              <w:t xml:space="preserve"> </w:t>
            </w:r>
            <w:r w:rsidRPr="00FB0A3A">
              <w:rPr>
                <w:rFonts w:eastAsia="Calibri" w:cs="Times New Roman"/>
                <w:szCs w:val="18"/>
              </w:rPr>
              <w:t>845</w:t>
            </w:r>
          </w:p>
        </w:tc>
        <w:tc>
          <w:tcPr>
            <w:tcW w:w="2334" w:type="dxa"/>
            <w:tcBorders>
              <w:top w:val="single" w:sz="4" w:space="0" w:color="FFFFFF" w:themeColor="background1"/>
            </w:tcBorders>
            <w:noWrap/>
            <w:hideMark/>
          </w:tcPr>
          <w:p w14:paraId="44218E85" w14:textId="77777777" w:rsidR="003245C3" w:rsidRPr="00FB0A3A" w:rsidRDefault="003245C3" w:rsidP="00B12BCC">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6,86</w:t>
            </w:r>
          </w:p>
        </w:tc>
        <w:tc>
          <w:tcPr>
            <w:tcW w:w="1880" w:type="dxa"/>
            <w:tcBorders>
              <w:top w:val="single" w:sz="4" w:space="0" w:color="FFFFFF" w:themeColor="background1"/>
            </w:tcBorders>
            <w:noWrap/>
            <w:hideMark/>
          </w:tcPr>
          <w:p w14:paraId="566557C9" w14:textId="77777777" w:rsidR="003245C3" w:rsidRPr="00FB0A3A" w:rsidRDefault="003245C3" w:rsidP="00B12BCC">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394,76</w:t>
            </w:r>
          </w:p>
        </w:tc>
        <w:tc>
          <w:tcPr>
            <w:tcW w:w="1563" w:type="dxa"/>
            <w:tcBorders>
              <w:top w:val="single" w:sz="4" w:space="0" w:color="FFFFFF" w:themeColor="background1"/>
            </w:tcBorders>
            <w:noWrap/>
            <w:hideMark/>
          </w:tcPr>
          <w:p w14:paraId="08E5A133" w14:textId="77777777" w:rsidR="003245C3" w:rsidRPr="00FB0A3A" w:rsidRDefault="003245C3" w:rsidP="00B12BCC">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3,51%</w:t>
            </w:r>
          </w:p>
        </w:tc>
        <w:tc>
          <w:tcPr>
            <w:tcW w:w="2002" w:type="dxa"/>
            <w:tcBorders>
              <w:top w:val="single" w:sz="4" w:space="0" w:color="FFFFFF" w:themeColor="background1"/>
            </w:tcBorders>
            <w:noWrap/>
            <w:hideMark/>
          </w:tcPr>
          <w:p w14:paraId="6C65D992" w14:textId="27131555" w:rsidR="003245C3" w:rsidRPr="00FB0A3A" w:rsidRDefault="003245C3" w:rsidP="00B12BCC">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11</w:t>
            </w:r>
            <w:r w:rsidR="00AC5256" w:rsidRPr="00FB0A3A">
              <w:rPr>
                <w:rFonts w:eastAsia="Calibri" w:cs="Times New Roman"/>
                <w:szCs w:val="18"/>
              </w:rPr>
              <w:t> </w:t>
            </w:r>
            <w:r w:rsidRPr="00FB0A3A">
              <w:rPr>
                <w:rFonts w:eastAsia="Calibri" w:cs="Times New Roman"/>
                <w:szCs w:val="18"/>
              </w:rPr>
              <w:t>246,62</w:t>
            </w:r>
          </w:p>
        </w:tc>
      </w:tr>
    </w:tbl>
    <w:p w14:paraId="64F4C103" w14:textId="0627C835" w:rsidR="00A5779D" w:rsidRPr="00FB0A3A" w:rsidRDefault="00A5779D" w:rsidP="0069768D">
      <w:pPr>
        <w:pStyle w:val="afff7"/>
        <w:spacing w:before="120" w:after="120"/>
      </w:pPr>
      <w:r w:rsidRPr="00FB0A3A">
        <w:t>Фактически сложивший</w:t>
      </w:r>
      <w:r w:rsidR="00296C71">
        <w:t>ся</w:t>
      </w:r>
      <w:r w:rsidRPr="00FB0A3A">
        <w:t xml:space="preserve"> объем услуг по передаче электрической энергии за 2019 год (информация с официального сайта ПАО </w:t>
      </w:r>
      <w:r w:rsidR="00655FFA" w:rsidRPr="00FB0A3A">
        <w:t>«</w:t>
      </w:r>
      <w:r w:rsidRPr="00FB0A3A">
        <w:t>МРСК Северо-Запада</w:t>
      </w:r>
      <w:r w:rsidR="00655FFA" w:rsidRPr="00FB0A3A">
        <w:t>»</w:t>
      </w:r>
      <w:r w:rsidRPr="00FB0A3A">
        <w:t xml:space="preserve"> </w:t>
      </w:r>
      <w:hyperlink r:id="rId26" w:history="1">
        <w:r w:rsidRPr="00FB0A3A">
          <w:t>http://www.mrsksevzap.ru/id_7balance</w:t>
        </w:r>
      </w:hyperlink>
      <w:r w:rsidRPr="00FB0A3A">
        <w:t xml:space="preserve">): </w:t>
      </w:r>
    </w:p>
    <w:tbl>
      <w:tblPr>
        <w:tblStyle w:val="afff6"/>
        <w:tblW w:w="5000" w:type="pct"/>
        <w:tblLayout w:type="fixed"/>
        <w:tblCellMar>
          <w:top w:w="34" w:type="dxa"/>
          <w:bottom w:w="34" w:type="dxa"/>
        </w:tblCellMar>
        <w:tblLook w:val="04A0" w:firstRow="1" w:lastRow="0" w:firstColumn="1" w:lastColumn="0" w:noHBand="0" w:noVBand="1"/>
      </w:tblPr>
      <w:tblGrid>
        <w:gridCol w:w="536"/>
        <w:gridCol w:w="3784"/>
        <w:gridCol w:w="1116"/>
        <w:gridCol w:w="980"/>
        <w:gridCol w:w="872"/>
        <w:gridCol w:w="1028"/>
        <w:gridCol w:w="1028"/>
      </w:tblGrid>
      <w:tr w:rsidR="00A5779D" w:rsidRPr="00FB0A3A" w14:paraId="42738E95" w14:textId="77777777" w:rsidTr="00907125">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54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3E06DDE" w14:textId="77777777" w:rsidR="00A5779D" w:rsidRPr="00FB0A3A" w:rsidRDefault="00A5779D" w:rsidP="009720D8">
            <w:pPr>
              <w:tabs>
                <w:tab w:val="left" w:pos="1134"/>
              </w:tabs>
              <w:jc w:val="center"/>
              <w:rPr>
                <w:rFonts w:eastAsia="Calibri" w:cs="Times New Roman"/>
                <w:szCs w:val="18"/>
              </w:rPr>
            </w:pPr>
            <w:r w:rsidRPr="00FB0A3A">
              <w:rPr>
                <w:rFonts w:eastAsia="Calibri" w:cs="Times New Roman"/>
                <w:szCs w:val="18"/>
              </w:rPr>
              <w:lastRenderedPageBreak/>
              <w:t>№ п/п</w:t>
            </w:r>
          </w:p>
        </w:tc>
        <w:tc>
          <w:tcPr>
            <w:tcW w:w="384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3E3B7CA" w14:textId="77777777" w:rsidR="00A5779D" w:rsidRPr="00FB0A3A" w:rsidRDefault="00A5779D" w:rsidP="009720D8">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Наименование сетевой организации (филиала сетевой организации)</w:t>
            </w:r>
          </w:p>
        </w:tc>
        <w:tc>
          <w:tcPr>
            <w:tcW w:w="5096"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20E8791" w14:textId="77777777" w:rsidR="00A5779D" w:rsidRPr="00FB0A3A" w:rsidRDefault="00A5779D" w:rsidP="009720D8">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Объем услуг по передаче электрической энергии, млн. кВт*ч</w:t>
            </w:r>
          </w:p>
        </w:tc>
      </w:tr>
      <w:tr w:rsidR="00A5779D" w:rsidRPr="00FB0A3A" w14:paraId="50FC815A" w14:textId="77777777" w:rsidTr="00907125">
        <w:trPr>
          <w:trHeight w:val="203"/>
        </w:trPr>
        <w:tc>
          <w:tcPr>
            <w:cnfStyle w:val="001000000000" w:firstRow="0" w:lastRow="0" w:firstColumn="1" w:lastColumn="0" w:oddVBand="0" w:evenVBand="0" w:oddHBand="0" w:evenHBand="0" w:firstRowFirstColumn="0" w:firstRowLastColumn="0" w:lastRowFirstColumn="0" w:lastRowLastColumn="0"/>
            <w:tcW w:w="54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631B9DA" w14:textId="77777777" w:rsidR="00A5779D" w:rsidRPr="00FB0A3A" w:rsidRDefault="00A5779D" w:rsidP="009720D8">
            <w:pPr>
              <w:tabs>
                <w:tab w:val="left" w:pos="1134"/>
              </w:tabs>
              <w:rPr>
                <w:rFonts w:eastAsia="Calibri" w:cs="Times New Roman"/>
                <w:szCs w:val="18"/>
              </w:rPr>
            </w:pPr>
          </w:p>
        </w:tc>
        <w:tc>
          <w:tcPr>
            <w:tcW w:w="384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CB3C43A" w14:textId="77777777" w:rsidR="00A5779D" w:rsidRPr="00FB0A3A" w:rsidRDefault="00A5779D" w:rsidP="009720D8">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113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377BAB5B" w14:textId="77777777" w:rsidR="00A5779D" w:rsidRPr="00FB0A3A" w:rsidRDefault="00A5779D" w:rsidP="009720D8">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color w:val="FFFFFF" w:themeColor="background1"/>
                <w:szCs w:val="18"/>
              </w:rPr>
            </w:pPr>
            <w:r w:rsidRPr="00FB0A3A">
              <w:rPr>
                <w:rFonts w:eastAsia="Calibri" w:cs="Times New Roman"/>
                <w:color w:val="FFFFFF" w:themeColor="background1"/>
                <w:szCs w:val="18"/>
              </w:rPr>
              <w:t>всего</w:t>
            </w:r>
          </w:p>
        </w:tc>
        <w:tc>
          <w:tcPr>
            <w:tcW w:w="3964"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1E698413" w14:textId="77777777" w:rsidR="00A5779D" w:rsidRPr="00FB0A3A" w:rsidRDefault="00A5779D" w:rsidP="009720D8">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color w:val="FFFFFF" w:themeColor="background1"/>
                <w:szCs w:val="18"/>
              </w:rPr>
            </w:pPr>
            <w:r w:rsidRPr="00FB0A3A">
              <w:rPr>
                <w:rFonts w:eastAsia="Calibri" w:cs="Times New Roman"/>
                <w:color w:val="FFFFFF" w:themeColor="background1"/>
                <w:szCs w:val="18"/>
              </w:rPr>
              <w:t>в том числе по уровням напряжения</w:t>
            </w:r>
          </w:p>
        </w:tc>
      </w:tr>
      <w:tr w:rsidR="009720D8" w:rsidRPr="00FB0A3A" w14:paraId="7B34174B" w14:textId="77777777" w:rsidTr="00907125">
        <w:trPr>
          <w:trHeight w:val="36"/>
        </w:trPr>
        <w:tc>
          <w:tcPr>
            <w:cnfStyle w:val="001000000000" w:firstRow="0" w:lastRow="0" w:firstColumn="1" w:lastColumn="0" w:oddVBand="0" w:evenVBand="0" w:oddHBand="0" w:evenHBand="0" w:firstRowFirstColumn="0" w:firstRowLastColumn="0" w:lastRowFirstColumn="0" w:lastRowLastColumn="0"/>
            <w:tcW w:w="54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1FB393C" w14:textId="77777777" w:rsidR="00A5779D" w:rsidRPr="00FB0A3A" w:rsidRDefault="00A5779D" w:rsidP="009720D8">
            <w:pPr>
              <w:tabs>
                <w:tab w:val="left" w:pos="1134"/>
              </w:tabs>
              <w:rPr>
                <w:rFonts w:eastAsia="Calibri" w:cs="Times New Roman"/>
                <w:szCs w:val="18"/>
              </w:rPr>
            </w:pPr>
          </w:p>
        </w:tc>
        <w:tc>
          <w:tcPr>
            <w:tcW w:w="384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DCF569D" w14:textId="77777777" w:rsidR="00A5779D" w:rsidRPr="00FB0A3A" w:rsidRDefault="00A5779D" w:rsidP="009720D8">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113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363A9822" w14:textId="77777777" w:rsidR="00A5779D" w:rsidRPr="00FB0A3A" w:rsidRDefault="00A5779D" w:rsidP="009720D8">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color w:val="FFFFFF" w:themeColor="background1"/>
                <w:szCs w:val="18"/>
              </w:rPr>
            </w:pPr>
          </w:p>
        </w:tc>
        <w:tc>
          <w:tcPr>
            <w:tcW w:w="9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00EB2BB1" w14:textId="77777777" w:rsidR="00A5779D" w:rsidRPr="00FB0A3A" w:rsidRDefault="00A5779D" w:rsidP="009720D8">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color w:val="FFFFFF" w:themeColor="background1"/>
                <w:szCs w:val="18"/>
              </w:rPr>
            </w:pPr>
            <w:r w:rsidRPr="00FB0A3A">
              <w:rPr>
                <w:rFonts w:eastAsia="Calibri" w:cs="Times New Roman"/>
                <w:color w:val="FFFFFF" w:themeColor="background1"/>
                <w:szCs w:val="18"/>
              </w:rPr>
              <w:t>ВН</w:t>
            </w:r>
          </w:p>
        </w:tc>
        <w:tc>
          <w:tcPr>
            <w:tcW w:w="8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58F7E8E3" w14:textId="77777777" w:rsidR="00A5779D" w:rsidRPr="00FB0A3A" w:rsidRDefault="00A5779D" w:rsidP="009720D8">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color w:val="FFFFFF" w:themeColor="background1"/>
                <w:szCs w:val="18"/>
              </w:rPr>
            </w:pPr>
            <w:r w:rsidRPr="00FB0A3A">
              <w:rPr>
                <w:rFonts w:eastAsia="Calibri" w:cs="Times New Roman"/>
                <w:color w:val="FFFFFF" w:themeColor="background1"/>
                <w:szCs w:val="18"/>
              </w:rPr>
              <w:t>СН1</w:t>
            </w:r>
          </w:p>
        </w:tc>
        <w:tc>
          <w:tcPr>
            <w:tcW w:w="10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39AE2029" w14:textId="77777777" w:rsidR="00A5779D" w:rsidRPr="00FB0A3A" w:rsidRDefault="00A5779D" w:rsidP="009720D8">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color w:val="FFFFFF" w:themeColor="background1"/>
                <w:szCs w:val="18"/>
              </w:rPr>
            </w:pPr>
            <w:r w:rsidRPr="00FB0A3A">
              <w:rPr>
                <w:rFonts w:eastAsia="Calibri" w:cs="Times New Roman"/>
                <w:color w:val="FFFFFF" w:themeColor="background1"/>
                <w:szCs w:val="18"/>
              </w:rPr>
              <w:t>СН2</w:t>
            </w:r>
          </w:p>
        </w:tc>
        <w:tc>
          <w:tcPr>
            <w:tcW w:w="10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6814A613" w14:textId="77777777" w:rsidR="00A5779D" w:rsidRPr="00FB0A3A" w:rsidRDefault="00A5779D" w:rsidP="009720D8">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color w:val="FFFFFF" w:themeColor="background1"/>
                <w:szCs w:val="18"/>
              </w:rPr>
            </w:pPr>
            <w:r w:rsidRPr="00FB0A3A">
              <w:rPr>
                <w:rFonts w:eastAsia="Calibri" w:cs="Times New Roman"/>
                <w:color w:val="FFFFFF" w:themeColor="background1"/>
                <w:szCs w:val="18"/>
              </w:rPr>
              <w:t>НН</w:t>
            </w:r>
          </w:p>
        </w:tc>
      </w:tr>
      <w:tr w:rsidR="00907AB4" w:rsidRPr="00FB0A3A" w14:paraId="21E19290" w14:textId="77777777" w:rsidTr="00907125">
        <w:tc>
          <w:tcPr>
            <w:cnfStyle w:val="001000000000" w:firstRow="0" w:lastRow="0" w:firstColumn="1" w:lastColumn="0" w:oddVBand="0" w:evenVBand="0" w:oddHBand="0" w:evenHBand="0" w:firstRowFirstColumn="0" w:firstRowLastColumn="0" w:lastRowFirstColumn="0" w:lastRowLastColumn="0"/>
            <w:tcW w:w="541" w:type="dxa"/>
            <w:tcBorders>
              <w:top w:val="single" w:sz="4" w:space="0" w:color="FFFFFF" w:themeColor="background1"/>
            </w:tcBorders>
            <w:hideMark/>
          </w:tcPr>
          <w:p w14:paraId="7E65E33B" w14:textId="770B1DF8" w:rsidR="00A5779D" w:rsidRPr="00FB0A3A" w:rsidRDefault="009720D8" w:rsidP="009720D8">
            <w:pPr>
              <w:tabs>
                <w:tab w:val="left" w:pos="1134"/>
              </w:tabs>
              <w:jc w:val="center"/>
              <w:rPr>
                <w:rFonts w:eastAsia="Calibri" w:cs="Times New Roman"/>
                <w:szCs w:val="18"/>
              </w:rPr>
            </w:pPr>
            <w:r w:rsidRPr="00FB0A3A">
              <w:rPr>
                <w:rFonts w:eastAsia="Calibri" w:cs="Times New Roman"/>
                <w:szCs w:val="18"/>
              </w:rPr>
              <w:t>1</w:t>
            </w:r>
          </w:p>
        </w:tc>
        <w:tc>
          <w:tcPr>
            <w:tcW w:w="3849" w:type="dxa"/>
            <w:tcBorders>
              <w:top w:val="single" w:sz="4" w:space="0" w:color="FFFFFF" w:themeColor="background1"/>
            </w:tcBorders>
            <w:noWrap/>
            <w:hideMark/>
          </w:tcPr>
          <w:p w14:paraId="25CB3982" w14:textId="065CC787" w:rsidR="00A5779D" w:rsidRPr="00FB0A3A" w:rsidRDefault="0025782C" w:rsidP="0025782C">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t>Филиал ПАО «МРСК Северо-Запада» «Колэнерго»</w:t>
            </w:r>
          </w:p>
        </w:tc>
        <w:tc>
          <w:tcPr>
            <w:tcW w:w="1132" w:type="dxa"/>
            <w:tcBorders>
              <w:top w:val="single" w:sz="4" w:space="0" w:color="FFFFFF" w:themeColor="background1"/>
            </w:tcBorders>
            <w:hideMark/>
          </w:tcPr>
          <w:p w14:paraId="0069F970" w14:textId="016A9D6F" w:rsidR="00A5779D" w:rsidRPr="00FB0A3A" w:rsidRDefault="00A5779D" w:rsidP="009720D8">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10 857,04</w:t>
            </w:r>
          </w:p>
        </w:tc>
        <w:tc>
          <w:tcPr>
            <w:tcW w:w="994" w:type="dxa"/>
            <w:tcBorders>
              <w:top w:val="single" w:sz="4" w:space="0" w:color="FFFFFF" w:themeColor="background1"/>
            </w:tcBorders>
            <w:hideMark/>
          </w:tcPr>
          <w:p w14:paraId="7C92DC8E" w14:textId="2C2B924B" w:rsidR="00A5779D" w:rsidRPr="00FB0A3A" w:rsidRDefault="00A5779D" w:rsidP="009720D8">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8 344,480</w:t>
            </w:r>
          </w:p>
        </w:tc>
        <w:tc>
          <w:tcPr>
            <w:tcW w:w="884" w:type="dxa"/>
            <w:tcBorders>
              <w:top w:val="single" w:sz="4" w:space="0" w:color="FFFFFF" w:themeColor="background1"/>
            </w:tcBorders>
            <w:hideMark/>
          </w:tcPr>
          <w:p w14:paraId="29242D7F" w14:textId="51BB4D62" w:rsidR="00A5779D" w:rsidRPr="00FB0A3A" w:rsidRDefault="00A5779D" w:rsidP="009720D8">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868,089</w:t>
            </w:r>
          </w:p>
        </w:tc>
        <w:tc>
          <w:tcPr>
            <w:tcW w:w="1043" w:type="dxa"/>
            <w:tcBorders>
              <w:top w:val="single" w:sz="4" w:space="0" w:color="FFFFFF" w:themeColor="background1"/>
            </w:tcBorders>
            <w:hideMark/>
          </w:tcPr>
          <w:p w14:paraId="6BF23760" w14:textId="07F13486" w:rsidR="00A5779D" w:rsidRPr="00FB0A3A" w:rsidRDefault="00A5779D" w:rsidP="009720D8">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848,685</w:t>
            </w:r>
          </w:p>
        </w:tc>
        <w:tc>
          <w:tcPr>
            <w:tcW w:w="1043" w:type="dxa"/>
            <w:tcBorders>
              <w:top w:val="single" w:sz="4" w:space="0" w:color="FFFFFF" w:themeColor="background1"/>
            </w:tcBorders>
            <w:hideMark/>
          </w:tcPr>
          <w:p w14:paraId="464360B3" w14:textId="49553745" w:rsidR="00A5779D" w:rsidRPr="00FB0A3A" w:rsidRDefault="00A5779D" w:rsidP="009720D8">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795,781</w:t>
            </w:r>
          </w:p>
        </w:tc>
      </w:tr>
      <w:tr w:rsidR="00A5779D" w:rsidRPr="00FB0A3A" w14:paraId="2284C48D" w14:textId="77777777" w:rsidTr="0069768D">
        <w:tc>
          <w:tcPr>
            <w:cnfStyle w:val="001000000000" w:firstRow="0" w:lastRow="0" w:firstColumn="1" w:lastColumn="0" w:oddVBand="0" w:evenVBand="0" w:oddHBand="0" w:evenHBand="0" w:firstRowFirstColumn="0" w:firstRowLastColumn="0" w:lastRowFirstColumn="0" w:lastRowLastColumn="0"/>
            <w:tcW w:w="541" w:type="dxa"/>
            <w:hideMark/>
          </w:tcPr>
          <w:p w14:paraId="65C0687D" w14:textId="74D1C9DB" w:rsidR="00A5779D" w:rsidRPr="00FB0A3A" w:rsidRDefault="009720D8" w:rsidP="009720D8">
            <w:pPr>
              <w:tabs>
                <w:tab w:val="left" w:pos="1134"/>
              </w:tabs>
              <w:jc w:val="center"/>
              <w:rPr>
                <w:rFonts w:eastAsia="Calibri" w:cs="Times New Roman"/>
                <w:szCs w:val="18"/>
              </w:rPr>
            </w:pPr>
            <w:r w:rsidRPr="00FB0A3A">
              <w:rPr>
                <w:rFonts w:eastAsia="Calibri" w:cs="Times New Roman"/>
                <w:szCs w:val="18"/>
              </w:rPr>
              <w:t>2</w:t>
            </w:r>
          </w:p>
        </w:tc>
        <w:tc>
          <w:tcPr>
            <w:tcW w:w="3849" w:type="dxa"/>
            <w:noWrap/>
            <w:hideMark/>
          </w:tcPr>
          <w:p w14:paraId="21757CDF" w14:textId="1FCAD96D" w:rsidR="00A5779D" w:rsidRPr="00FB0A3A" w:rsidRDefault="009720D8" w:rsidP="009720D8">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Процент</w:t>
            </w:r>
            <w:r w:rsidR="00A5779D" w:rsidRPr="00FB0A3A">
              <w:rPr>
                <w:rFonts w:eastAsia="Calibri" w:cs="Times New Roman"/>
                <w:szCs w:val="18"/>
              </w:rPr>
              <w:t> </w:t>
            </w:r>
          </w:p>
        </w:tc>
        <w:tc>
          <w:tcPr>
            <w:tcW w:w="1132" w:type="dxa"/>
            <w:noWrap/>
            <w:hideMark/>
          </w:tcPr>
          <w:p w14:paraId="33443B59" w14:textId="199498FF" w:rsidR="00A5779D" w:rsidRPr="00FB0A3A" w:rsidRDefault="00A5779D" w:rsidP="009720D8">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994" w:type="dxa"/>
            <w:hideMark/>
          </w:tcPr>
          <w:p w14:paraId="5BA591FB" w14:textId="77777777" w:rsidR="00A5779D" w:rsidRPr="00FB0A3A" w:rsidRDefault="00A5779D" w:rsidP="009720D8">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76,86%</w:t>
            </w:r>
          </w:p>
        </w:tc>
        <w:tc>
          <w:tcPr>
            <w:tcW w:w="884" w:type="dxa"/>
            <w:hideMark/>
          </w:tcPr>
          <w:p w14:paraId="79DE436A" w14:textId="77777777" w:rsidR="00A5779D" w:rsidRPr="00FB0A3A" w:rsidRDefault="00A5779D" w:rsidP="009720D8">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8,00%</w:t>
            </w:r>
          </w:p>
        </w:tc>
        <w:tc>
          <w:tcPr>
            <w:tcW w:w="1043" w:type="dxa"/>
            <w:hideMark/>
          </w:tcPr>
          <w:p w14:paraId="5ECD35AA" w14:textId="77777777" w:rsidR="00A5779D" w:rsidRPr="00FB0A3A" w:rsidRDefault="00A5779D" w:rsidP="009720D8">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7,82%</w:t>
            </w:r>
          </w:p>
        </w:tc>
        <w:tc>
          <w:tcPr>
            <w:tcW w:w="1043" w:type="dxa"/>
            <w:hideMark/>
          </w:tcPr>
          <w:p w14:paraId="019093DA" w14:textId="77777777" w:rsidR="00A5779D" w:rsidRPr="00FB0A3A" w:rsidRDefault="00A5779D" w:rsidP="009720D8">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7,33%</w:t>
            </w:r>
          </w:p>
        </w:tc>
      </w:tr>
    </w:tbl>
    <w:p w14:paraId="6CBB3693" w14:textId="77777777" w:rsidR="009720D8" w:rsidRPr="00FB0A3A" w:rsidRDefault="009720D8">
      <w:pPr>
        <w:rPr>
          <w:rFonts w:ascii="Myriad Pro" w:eastAsia="Calibri" w:hAnsi="Myriad Pro" w:cs="Times New Roman"/>
          <w:sz w:val="26"/>
          <w:szCs w:val="26"/>
        </w:rPr>
      </w:pPr>
      <w:r w:rsidRPr="00FB0A3A">
        <w:rPr>
          <w:rFonts w:ascii="Myriad Pro" w:eastAsia="Calibri" w:hAnsi="Myriad Pro" w:cs="Times New Roman"/>
          <w:sz w:val="26"/>
          <w:szCs w:val="26"/>
        </w:rPr>
        <w:br w:type="page"/>
      </w:r>
    </w:p>
    <w:p w14:paraId="40C5EBF3" w14:textId="24725B09" w:rsidR="004D7D17" w:rsidRPr="002D6C17" w:rsidRDefault="004D7D17" w:rsidP="00E663D3">
      <w:pPr>
        <w:pStyle w:val="3"/>
        <w:numPr>
          <w:ilvl w:val="0"/>
          <w:numId w:val="67"/>
        </w:numPr>
        <w:spacing w:line="360" w:lineRule="auto"/>
        <w:jc w:val="both"/>
        <w:rPr>
          <w:rFonts w:ascii="Myriad Pro" w:hAnsi="Myriad Pro"/>
          <w:b/>
          <w:color w:val="4F6228" w:themeColor="accent3" w:themeShade="80"/>
          <w:sz w:val="28"/>
          <w:szCs w:val="28"/>
        </w:rPr>
      </w:pPr>
      <w:bookmarkStart w:id="33" w:name="_Toc40797957"/>
      <w:r w:rsidRPr="002D6C17">
        <w:rPr>
          <w:rFonts w:ascii="Myriad Pro" w:hAnsi="Myriad Pro"/>
          <w:b/>
          <w:color w:val="4F6228" w:themeColor="accent3" w:themeShade="80"/>
          <w:sz w:val="28"/>
          <w:szCs w:val="28"/>
        </w:rPr>
        <w:lastRenderedPageBreak/>
        <w:t>Экспертиза расчетов подконтрольных расходов, учтенных регулирующим органом в необходимой валовой выручке при устан</w:t>
      </w:r>
      <w:r w:rsidR="009C65EC" w:rsidRPr="002D6C17">
        <w:rPr>
          <w:rFonts w:ascii="Myriad Pro" w:hAnsi="Myriad Pro"/>
          <w:b/>
          <w:color w:val="4F6228" w:themeColor="accent3" w:themeShade="80"/>
          <w:sz w:val="28"/>
          <w:szCs w:val="28"/>
        </w:rPr>
        <w:t xml:space="preserve">овлении тарифов на 2019 год, </w:t>
      </w:r>
      <w:r w:rsidRPr="002D6C17">
        <w:rPr>
          <w:rFonts w:ascii="Myriad Pro" w:hAnsi="Myriad Pro"/>
          <w:b/>
          <w:color w:val="4F6228" w:themeColor="accent3" w:themeShade="80"/>
          <w:sz w:val="28"/>
          <w:szCs w:val="28"/>
        </w:rPr>
        <w:t>являющийся первым годом долгосрочного периода регулирования</w:t>
      </w:r>
      <w:bookmarkEnd w:id="33"/>
    </w:p>
    <w:p w14:paraId="776291E6" w14:textId="628646EE" w:rsidR="009C65EC" w:rsidRPr="00C04ABD" w:rsidRDefault="009C65EC" w:rsidP="00C04ABD">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В соответствии с п. 11 Методических указаний № 98-э необходимая валовая выручка в части содержания электрических сетей на базовый (первый) и i-й год долгосрочного периода регулирования ((</w:t>
      </w:r>
      <w:r w:rsidRPr="00C04ABD">
        <w:rPr>
          <w:rFonts w:ascii="Myriad Pro" w:hAnsi="Myriad Pro"/>
          <w:noProof/>
          <w:position w:val="-9"/>
          <w:sz w:val="26"/>
          <w:szCs w:val="26"/>
          <w:lang w:eastAsia="ru-RU"/>
        </w:rPr>
        <w:drawing>
          <wp:inline distT="0" distB="0" distL="0" distR="0" wp14:anchorId="682DC5A5" wp14:editId="3F042C6C">
            <wp:extent cx="481330" cy="240665"/>
            <wp:effectExtent l="0" t="0" r="0" b="6985"/>
            <wp:docPr id="479" name="Рисунок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81330" cy="240665"/>
                    </a:xfrm>
                    <a:prstGeom prst="rect">
                      <a:avLst/>
                    </a:prstGeom>
                    <a:noFill/>
                    <a:ln>
                      <a:noFill/>
                    </a:ln>
                  </pic:spPr>
                </pic:pic>
              </a:graphicData>
            </a:graphic>
          </wp:inline>
        </w:drawing>
      </w:r>
      <w:r w:rsidRPr="00C04ABD">
        <w:rPr>
          <w:rFonts w:ascii="Myriad Pro" w:eastAsia="Calibri" w:hAnsi="Myriad Pro" w:cs="Times New Roman"/>
          <w:sz w:val="26"/>
          <w:szCs w:val="26"/>
        </w:rPr>
        <w:t>тыс. руб.)) определяется по формулам:</w:t>
      </w:r>
    </w:p>
    <w:p w14:paraId="1B84140D" w14:textId="77777777" w:rsidR="009C65EC" w:rsidRPr="00C04ABD" w:rsidRDefault="009C65EC" w:rsidP="00C04ABD">
      <w:pPr>
        <w:widowControl w:val="0"/>
        <w:tabs>
          <w:tab w:val="left" w:pos="1134"/>
        </w:tabs>
        <w:autoSpaceDE w:val="0"/>
        <w:autoSpaceDN w:val="0"/>
        <w:adjustRightInd w:val="0"/>
        <w:spacing w:after="0" w:line="360" w:lineRule="auto"/>
        <w:ind w:firstLine="567"/>
        <w:jc w:val="center"/>
        <w:rPr>
          <w:rFonts w:ascii="Myriad Pro" w:eastAsia="Times New Roman" w:hAnsi="Myriad Pro" w:cs="Arial"/>
          <w:sz w:val="26"/>
          <w:szCs w:val="26"/>
          <w:lang w:eastAsia="ru-RU"/>
        </w:rPr>
      </w:pPr>
      <w:r w:rsidRPr="00C04ABD">
        <w:rPr>
          <w:rFonts w:ascii="Myriad Pro" w:eastAsia="Times New Roman" w:hAnsi="Myriad Pro" w:cs="Arial"/>
          <w:noProof/>
          <w:position w:val="-9"/>
          <w:sz w:val="26"/>
          <w:szCs w:val="26"/>
          <w:lang w:eastAsia="ru-RU"/>
        </w:rPr>
        <w:drawing>
          <wp:inline distT="0" distB="0" distL="0" distR="0" wp14:anchorId="1E291124" wp14:editId="288346C1">
            <wp:extent cx="1548130" cy="240665"/>
            <wp:effectExtent l="0" t="0" r="0" b="6985"/>
            <wp:docPr id="481" name="Рисунок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548130" cy="240665"/>
                    </a:xfrm>
                    <a:prstGeom prst="rect">
                      <a:avLst/>
                    </a:prstGeom>
                    <a:noFill/>
                    <a:ln>
                      <a:noFill/>
                    </a:ln>
                  </pic:spPr>
                </pic:pic>
              </a:graphicData>
            </a:graphic>
          </wp:inline>
        </w:drawing>
      </w:r>
      <w:r w:rsidRPr="00C04ABD">
        <w:rPr>
          <w:rFonts w:ascii="Myriad Pro" w:eastAsia="Times New Roman" w:hAnsi="Myriad Pro" w:cs="Arial"/>
          <w:sz w:val="26"/>
          <w:szCs w:val="26"/>
          <w:lang w:eastAsia="ru-RU"/>
        </w:rPr>
        <w:t xml:space="preserve"> (1),</w:t>
      </w:r>
    </w:p>
    <w:p w14:paraId="3501F4FD" w14:textId="77777777" w:rsidR="009C65EC" w:rsidRPr="00C04ABD" w:rsidRDefault="009C65EC" w:rsidP="00C04ABD">
      <w:pPr>
        <w:widowControl w:val="0"/>
        <w:tabs>
          <w:tab w:val="left" w:pos="1134"/>
        </w:tabs>
        <w:autoSpaceDE w:val="0"/>
        <w:autoSpaceDN w:val="0"/>
        <w:adjustRightInd w:val="0"/>
        <w:spacing w:after="0" w:line="360" w:lineRule="auto"/>
        <w:ind w:firstLine="567"/>
        <w:jc w:val="both"/>
        <w:rPr>
          <w:rFonts w:ascii="Myriad Pro" w:eastAsia="Times New Roman" w:hAnsi="Myriad Pro" w:cs="Arial"/>
          <w:sz w:val="26"/>
          <w:szCs w:val="26"/>
          <w:lang w:eastAsia="ru-RU"/>
        </w:rPr>
      </w:pPr>
    </w:p>
    <w:p w14:paraId="27206594" w14:textId="77777777" w:rsidR="009C65EC" w:rsidRPr="00C04ABD" w:rsidRDefault="009C65EC" w:rsidP="00C04ABD">
      <w:pPr>
        <w:widowControl w:val="0"/>
        <w:tabs>
          <w:tab w:val="left" w:pos="1134"/>
        </w:tabs>
        <w:autoSpaceDE w:val="0"/>
        <w:autoSpaceDN w:val="0"/>
        <w:adjustRightInd w:val="0"/>
        <w:spacing w:after="0" w:line="360" w:lineRule="auto"/>
        <w:ind w:firstLine="567"/>
        <w:jc w:val="center"/>
        <w:rPr>
          <w:rFonts w:ascii="Myriad Pro" w:eastAsia="Times New Roman" w:hAnsi="Myriad Pro" w:cs="Arial"/>
          <w:sz w:val="26"/>
          <w:szCs w:val="26"/>
          <w:lang w:eastAsia="ru-RU"/>
        </w:rPr>
      </w:pPr>
      <w:r w:rsidRPr="00C04ABD">
        <w:rPr>
          <w:rFonts w:ascii="Myriad Pro" w:eastAsia="Times New Roman" w:hAnsi="Myriad Pro" w:cs="Arial"/>
          <w:noProof/>
          <w:position w:val="-23"/>
          <w:sz w:val="26"/>
          <w:szCs w:val="26"/>
          <w:lang w:eastAsia="ru-RU"/>
        </w:rPr>
        <w:drawing>
          <wp:inline distT="0" distB="0" distL="0" distR="0" wp14:anchorId="4F3E2830" wp14:editId="1E989D9E">
            <wp:extent cx="5269865" cy="433070"/>
            <wp:effectExtent l="0" t="0" r="6985" b="5080"/>
            <wp:docPr id="480" name="Рисунок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269865" cy="433070"/>
                    </a:xfrm>
                    <a:prstGeom prst="rect">
                      <a:avLst/>
                    </a:prstGeom>
                    <a:noFill/>
                    <a:ln>
                      <a:noFill/>
                    </a:ln>
                  </pic:spPr>
                </pic:pic>
              </a:graphicData>
            </a:graphic>
          </wp:inline>
        </w:drawing>
      </w:r>
      <w:r w:rsidRPr="00C04ABD">
        <w:rPr>
          <w:rFonts w:ascii="Myriad Pro" w:eastAsia="Times New Roman" w:hAnsi="Myriad Pro" w:cs="Arial"/>
          <w:sz w:val="26"/>
          <w:szCs w:val="26"/>
          <w:lang w:eastAsia="ru-RU"/>
        </w:rPr>
        <w:t>, (2)</w:t>
      </w:r>
    </w:p>
    <w:p w14:paraId="20E5A62D" w14:textId="77777777" w:rsidR="009C65EC" w:rsidRPr="00C04ABD" w:rsidRDefault="009C65EC" w:rsidP="00C04ABD">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где:</w:t>
      </w:r>
    </w:p>
    <w:p w14:paraId="2524C3CC" w14:textId="77777777" w:rsidR="009C65EC" w:rsidRPr="00C04ABD" w:rsidRDefault="009C65EC" w:rsidP="00C04ABD">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i - год долгосрочного периода регулирования (i &gt; l);</w:t>
      </w:r>
    </w:p>
    <w:p w14:paraId="0E782C79" w14:textId="77777777" w:rsidR="009C65EC" w:rsidRPr="00C04ABD" w:rsidRDefault="009C65EC" w:rsidP="00C04ABD">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ПР</w:t>
      </w:r>
      <w:r w:rsidRPr="00C04ABD">
        <w:rPr>
          <w:rFonts w:ascii="Myriad Pro" w:eastAsia="Calibri" w:hAnsi="Myriad Pro" w:cs="Times New Roman"/>
          <w:sz w:val="26"/>
          <w:szCs w:val="26"/>
          <w:vertAlign w:val="subscript"/>
        </w:rPr>
        <w:t>1</w:t>
      </w:r>
      <w:r w:rsidRPr="00C04ABD">
        <w:rPr>
          <w:rFonts w:ascii="Myriad Pro" w:eastAsia="Calibri" w:hAnsi="Myriad Pro" w:cs="Times New Roman"/>
          <w:sz w:val="26"/>
          <w:szCs w:val="26"/>
        </w:rPr>
        <w:t>, ПР</w:t>
      </w:r>
      <w:r w:rsidRPr="00C04ABD">
        <w:rPr>
          <w:rFonts w:ascii="Myriad Pro" w:eastAsia="Calibri" w:hAnsi="Myriad Pro" w:cs="Times New Roman"/>
          <w:sz w:val="26"/>
          <w:szCs w:val="26"/>
          <w:vertAlign w:val="subscript"/>
        </w:rPr>
        <w:t>i-1</w:t>
      </w:r>
      <w:r w:rsidRPr="00C04ABD">
        <w:rPr>
          <w:rFonts w:ascii="Myriad Pro" w:eastAsia="Calibri" w:hAnsi="Myriad Pro" w:cs="Times New Roman"/>
          <w:sz w:val="26"/>
          <w:szCs w:val="26"/>
        </w:rPr>
        <w:t>, - подконтрольные расходы, учтенные соответственно в базовом и в i-1 году долгосрочного периода регулирования.</w:t>
      </w:r>
    </w:p>
    <w:p w14:paraId="334EDCBF" w14:textId="77777777" w:rsidR="009C65EC" w:rsidRPr="00C04ABD" w:rsidRDefault="009C65EC" w:rsidP="00C04ABD">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Уровень подконтрольных расходов на первый (базовый) год долгосрочного периода регулирования (базовый уровень подконтрольных расходов) устанавливается регулирующими органами в соответствии с пунктом 12 Методических указаний № 98-э методом экономически обоснованных расходов. При установлении базового уровня подконтрольных расходов учитываются результаты анализа обоснованности расходов регулируемой организации, понесенных в предыдущем периоде регулирования, и результаты проведения контрольных мероприятий;</w:t>
      </w:r>
    </w:p>
    <w:p w14:paraId="73776D77" w14:textId="77777777" w:rsidR="009C65EC" w:rsidRPr="00C04ABD" w:rsidRDefault="009C65EC" w:rsidP="00C04ABD">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I</w:t>
      </w:r>
      <w:r w:rsidRPr="00C04ABD">
        <w:rPr>
          <w:rFonts w:ascii="Myriad Pro" w:eastAsia="Calibri" w:hAnsi="Myriad Pro" w:cs="Times New Roman"/>
          <w:sz w:val="26"/>
          <w:szCs w:val="26"/>
          <w:vertAlign w:val="subscript"/>
        </w:rPr>
        <w:t>i</w:t>
      </w:r>
      <w:r w:rsidRPr="00C04ABD">
        <w:rPr>
          <w:rFonts w:ascii="Myriad Pro" w:eastAsia="Calibri" w:hAnsi="Myriad Pro" w:cs="Times New Roman"/>
          <w:sz w:val="26"/>
          <w:szCs w:val="26"/>
        </w:rPr>
        <w:t xml:space="preserve"> - индекс потребительских цен, определенный на i-й год долгосрочного периода регулирования;</w:t>
      </w:r>
    </w:p>
    <w:p w14:paraId="47AF6584" w14:textId="77777777" w:rsidR="009C65EC" w:rsidRPr="00C04ABD" w:rsidRDefault="009C65EC" w:rsidP="00C04ABD">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К</w:t>
      </w:r>
      <w:r w:rsidRPr="00C04ABD">
        <w:rPr>
          <w:rFonts w:ascii="Myriad Pro" w:eastAsia="Calibri" w:hAnsi="Myriad Pro" w:cs="Times New Roman"/>
          <w:sz w:val="26"/>
          <w:szCs w:val="26"/>
          <w:vertAlign w:val="subscript"/>
        </w:rPr>
        <w:t>эл</w:t>
      </w:r>
      <w:r w:rsidRPr="00C04ABD">
        <w:rPr>
          <w:rFonts w:ascii="Myriad Pro" w:eastAsia="Calibri" w:hAnsi="Myriad Pro" w:cs="Times New Roman"/>
          <w:sz w:val="26"/>
          <w:szCs w:val="26"/>
        </w:rPr>
        <w:t xml:space="preserve"> - коэффициент эластичности подконтрольных расходов по количеству активов, необходимых для осуществления регулируемой деятельности, в отношении регулируемых организаций, осуществляющих передачу электрической энергии, равный 0,75;</w:t>
      </w:r>
    </w:p>
    <w:p w14:paraId="2ED65963" w14:textId="77777777" w:rsidR="009C65EC" w:rsidRPr="00C04ABD" w:rsidRDefault="009C65EC" w:rsidP="00C04ABD">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lastRenderedPageBreak/>
        <w:t>уе</w:t>
      </w:r>
      <w:r w:rsidRPr="00C04ABD">
        <w:rPr>
          <w:rFonts w:ascii="Myriad Pro" w:eastAsia="Calibri" w:hAnsi="Myriad Pro" w:cs="Times New Roman"/>
          <w:sz w:val="26"/>
          <w:szCs w:val="26"/>
          <w:vertAlign w:val="subscript"/>
        </w:rPr>
        <w:t>i</w:t>
      </w:r>
      <w:r w:rsidRPr="00C04ABD">
        <w:rPr>
          <w:rFonts w:ascii="Myriad Pro" w:eastAsia="Calibri" w:hAnsi="Myriad Pro" w:cs="Times New Roman"/>
          <w:sz w:val="26"/>
          <w:szCs w:val="26"/>
        </w:rPr>
        <w:t>, уе</w:t>
      </w:r>
      <w:r w:rsidRPr="00C04ABD">
        <w:rPr>
          <w:rFonts w:ascii="Myriad Pro" w:eastAsia="Calibri" w:hAnsi="Myriad Pro" w:cs="Times New Roman"/>
          <w:sz w:val="26"/>
          <w:szCs w:val="26"/>
          <w:vertAlign w:val="subscript"/>
        </w:rPr>
        <w:t>i-1</w:t>
      </w:r>
      <w:r w:rsidRPr="00C04ABD">
        <w:rPr>
          <w:rFonts w:ascii="Myriad Pro" w:eastAsia="Calibri" w:hAnsi="Myriad Pro" w:cs="Times New Roman"/>
          <w:sz w:val="26"/>
          <w:szCs w:val="26"/>
        </w:rPr>
        <w:t xml:space="preserve"> - количество условных единиц соответственно в i-том и (i-1)-ом году долгосрочного периода регулирования;</w:t>
      </w:r>
    </w:p>
    <w:p w14:paraId="702FFC09" w14:textId="77777777" w:rsidR="009C65EC" w:rsidRPr="00C04ABD" w:rsidRDefault="009C65EC" w:rsidP="00C04ABD">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Х</w:t>
      </w:r>
      <w:r w:rsidRPr="00C04ABD">
        <w:rPr>
          <w:rFonts w:ascii="Myriad Pro" w:eastAsia="Calibri" w:hAnsi="Myriad Pro" w:cs="Times New Roman"/>
          <w:sz w:val="26"/>
          <w:szCs w:val="26"/>
          <w:vertAlign w:val="subscript"/>
        </w:rPr>
        <w:t>i</w:t>
      </w:r>
      <w:r w:rsidRPr="00C04ABD">
        <w:rPr>
          <w:rFonts w:ascii="Myriad Pro" w:eastAsia="Calibri" w:hAnsi="Myriad Pro" w:cs="Times New Roman"/>
          <w:sz w:val="26"/>
          <w:szCs w:val="26"/>
        </w:rPr>
        <w:t xml:space="preserve"> - индекс эффективности подконтрольных расходов, устанавливаемый регулирующими органами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w:t>
      </w:r>
    </w:p>
    <w:p w14:paraId="7BE4D3A3" w14:textId="77777777" w:rsidR="009C65EC" w:rsidRPr="00C04ABD" w:rsidRDefault="009C65EC" w:rsidP="00C04ABD">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НР</w:t>
      </w:r>
      <w:r w:rsidRPr="00C04ABD">
        <w:rPr>
          <w:rFonts w:ascii="Myriad Pro" w:eastAsia="Calibri" w:hAnsi="Myriad Pro" w:cs="Times New Roman"/>
          <w:sz w:val="26"/>
          <w:szCs w:val="26"/>
          <w:vertAlign w:val="subscript"/>
        </w:rPr>
        <w:t>1</w:t>
      </w:r>
      <w:r w:rsidRPr="00C04ABD">
        <w:rPr>
          <w:rFonts w:ascii="Myriad Pro" w:eastAsia="Calibri" w:hAnsi="Myriad Pro" w:cs="Times New Roman"/>
          <w:sz w:val="26"/>
          <w:szCs w:val="26"/>
        </w:rPr>
        <w:t>, НР</w:t>
      </w:r>
      <w:r w:rsidRPr="00C04ABD">
        <w:rPr>
          <w:rFonts w:ascii="Myriad Pro" w:eastAsia="Calibri" w:hAnsi="Myriad Pro" w:cs="Times New Roman"/>
          <w:sz w:val="26"/>
          <w:szCs w:val="26"/>
          <w:vertAlign w:val="subscript"/>
        </w:rPr>
        <w:t>i</w:t>
      </w:r>
      <w:r w:rsidRPr="00C04ABD">
        <w:rPr>
          <w:rFonts w:ascii="Myriad Pro" w:eastAsia="Calibri" w:hAnsi="Myriad Pro" w:cs="Times New Roman"/>
          <w:sz w:val="26"/>
          <w:szCs w:val="26"/>
        </w:rPr>
        <w:t xml:space="preserve"> - неподконтрольные расходы, определяемые методом экономически обоснованных расходов, соответственно для базового и i-го года долгосрочного периода регулирования;</w:t>
      </w:r>
    </w:p>
    <w:p w14:paraId="1498037D" w14:textId="77777777" w:rsidR="009C65EC" w:rsidRPr="00C04ABD" w:rsidRDefault="009C65EC" w:rsidP="00C04ABD">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В</w:t>
      </w:r>
      <w:r w:rsidRPr="00C04ABD">
        <w:rPr>
          <w:rFonts w:ascii="Myriad Pro" w:eastAsia="Calibri" w:hAnsi="Myriad Pro" w:cs="Times New Roman"/>
          <w:sz w:val="26"/>
          <w:szCs w:val="26"/>
          <w:vertAlign w:val="subscript"/>
        </w:rPr>
        <w:t>1</w:t>
      </w:r>
      <w:r w:rsidRPr="00C04ABD">
        <w:rPr>
          <w:rFonts w:ascii="Myriad Pro" w:eastAsia="Calibri" w:hAnsi="Myriad Pro" w:cs="Times New Roman"/>
          <w:sz w:val="26"/>
          <w:szCs w:val="26"/>
        </w:rPr>
        <w:t xml:space="preserve"> - результаты деятельности регулируемой организации до перехода к регулированию тарифов на услуги по передаче электрической энергии в форме установления долгосрочных параметров регулирования деятельности такой организации, учитываемые в базовом году долгосрочного периода регулирования в соответствии с пунктами 7 и 32 Основ ценообразования № 1178. В</w:t>
      </w:r>
      <w:r w:rsidRPr="00C04ABD">
        <w:rPr>
          <w:rFonts w:ascii="Myriad Pro" w:eastAsia="Calibri" w:hAnsi="Myriad Pro" w:cs="Times New Roman"/>
          <w:sz w:val="26"/>
          <w:szCs w:val="26"/>
          <w:vertAlign w:val="subscript"/>
        </w:rPr>
        <w:t>1</w:t>
      </w:r>
      <w:r w:rsidRPr="00C04ABD">
        <w:rPr>
          <w:rFonts w:ascii="Myriad Pro" w:eastAsia="Calibri" w:hAnsi="Myriad Pro" w:cs="Times New Roman"/>
          <w:sz w:val="26"/>
          <w:szCs w:val="26"/>
        </w:rPr>
        <w:t xml:space="preserve"> соответствует величине </w:t>
      </w:r>
      <w:r w:rsidRPr="00C04ABD">
        <w:rPr>
          <w:rFonts w:ascii="Myriad Pro" w:eastAsia="Calibri" w:hAnsi="Myriad Pro" w:cs="Times New Roman"/>
          <w:noProof/>
          <w:sz w:val="26"/>
          <w:szCs w:val="26"/>
          <w:lang w:eastAsia="ru-RU"/>
        </w:rPr>
        <w:drawing>
          <wp:inline distT="0" distB="0" distL="0" distR="0" wp14:anchorId="5FE38A9E" wp14:editId="3749AF88">
            <wp:extent cx="457200" cy="240665"/>
            <wp:effectExtent l="0" t="0" r="0" b="6985"/>
            <wp:docPr id="482" name="Рисунок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57200" cy="240665"/>
                    </a:xfrm>
                    <a:prstGeom prst="rect">
                      <a:avLst/>
                    </a:prstGeom>
                    <a:noFill/>
                    <a:ln>
                      <a:noFill/>
                    </a:ln>
                  </pic:spPr>
                </pic:pic>
              </a:graphicData>
            </a:graphic>
          </wp:inline>
        </w:drawing>
      </w:r>
      <w:r w:rsidRPr="00C04ABD">
        <w:rPr>
          <w:rFonts w:ascii="Myriad Pro" w:eastAsia="Calibri" w:hAnsi="Myriad Pro" w:cs="Times New Roman"/>
          <w:sz w:val="26"/>
          <w:szCs w:val="26"/>
        </w:rPr>
        <w:t>, определенной для первого года долгосрочного периода регулирования;</w:t>
      </w:r>
    </w:p>
    <w:p w14:paraId="26CA7BD9" w14:textId="6BF43A01" w:rsidR="009C65EC" w:rsidRPr="00C04ABD" w:rsidRDefault="009C65EC" w:rsidP="00C04ABD">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В</w:t>
      </w:r>
      <w:r w:rsidRPr="00C04ABD">
        <w:rPr>
          <w:rFonts w:ascii="Myriad Pro" w:eastAsia="Calibri" w:hAnsi="Myriad Pro" w:cs="Times New Roman"/>
          <w:sz w:val="26"/>
          <w:szCs w:val="26"/>
          <w:vertAlign w:val="subscript"/>
        </w:rPr>
        <w:t>i</w:t>
      </w:r>
      <w:r w:rsidRPr="00C04ABD">
        <w:rPr>
          <w:rFonts w:ascii="Myriad Pro" w:eastAsia="Calibri" w:hAnsi="Myriad Pro" w:cs="Times New Roman"/>
          <w:sz w:val="26"/>
          <w:szCs w:val="26"/>
        </w:rPr>
        <w:t xml:space="preserve"> - расходы i-го года долгосрочного периода регулирования, связанные с компенсацией незапланированных расходов (со знаком </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плюс</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 xml:space="preserve">) или полученного избытка (со знаком </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минус</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 xml:space="preserve">), выявленных в том числе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 регулируемых организаций, указанной в </w:t>
      </w:r>
      <w:hyperlink w:anchor="Par73" w:tooltip="9.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расчетный период регулирования. По решению регулирующего органа такая корректировка может осущ" w:history="1">
        <w:r w:rsidRPr="00C04ABD">
          <w:rPr>
            <w:rFonts w:ascii="Myriad Pro" w:hAnsi="Myriad Pro"/>
            <w:sz w:val="26"/>
            <w:szCs w:val="26"/>
          </w:rPr>
          <w:t>пункте 9</w:t>
        </w:r>
      </w:hyperlink>
      <w:r w:rsidRPr="00C04ABD">
        <w:rPr>
          <w:rFonts w:ascii="Myriad Pro" w:eastAsia="Calibri" w:hAnsi="Myriad Pro" w:cs="Times New Roman"/>
          <w:sz w:val="26"/>
          <w:szCs w:val="26"/>
        </w:rPr>
        <w:t xml:space="preserve">, а также расходы в соответствии с </w:t>
      </w:r>
      <w:hyperlink w:anchor="Par82" w:tooltip="10. Результаты деятельности регулируемой организации учитываются при определении ежегодной корректировки необходимой валовой выручки в порядке, определенном пунктом 11 настоящих Методических указаний." w:history="1">
        <w:r w:rsidRPr="00C04ABD">
          <w:rPr>
            <w:rFonts w:ascii="Myriad Pro" w:hAnsi="Myriad Pro"/>
            <w:sz w:val="26"/>
            <w:szCs w:val="26"/>
          </w:rPr>
          <w:t>пунктом 10</w:t>
        </w:r>
      </w:hyperlink>
      <w:r w:rsidRPr="00C04ABD">
        <w:rPr>
          <w:rFonts w:ascii="Myriad Pro" w:eastAsia="Calibri" w:hAnsi="Myriad Pro" w:cs="Times New Roman"/>
          <w:sz w:val="26"/>
          <w:szCs w:val="26"/>
        </w:rPr>
        <w:t xml:space="preserve"> Методических указаний №98-э и корректировка необходимой валовой выручки в соответствии с пунктом 32 Основ ценообразования №1178.</w:t>
      </w:r>
    </w:p>
    <w:p w14:paraId="40FDF877" w14:textId="77777777" w:rsidR="009C65EC" w:rsidRPr="00C04ABD" w:rsidRDefault="009C65EC" w:rsidP="00C04ABD">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КНК</w:t>
      </w:r>
      <w:r w:rsidRPr="00C04ABD">
        <w:rPr>
          <w:rFonts w:ascii="Myriad Pro" w:eastAsia="Calibri" w:hAnsi="Myriad Pro" w:cs="Times New Roman"/>
          <w:sz w:val="26"/>
          <w:szCs w:val="26"/>
          <w:vertAlign w:val="subscript"/>
        </w:rPr>
        <w:t>i</w:t>
      </w:r>
      <w:r w:rsidRPr="00C04ABD">
        <w:rPr>
          <w:rFonts w:ascii="Myriad Pro" w:eastAsia="Calibri" w:hAnsi="Myriad Pro" w:cs="Times New Roman"/>
          <w:sz w:val="26"/>
          <w:szCs w:val="26"/>
        </w:rPr>
        <w:t xml:space="preserve"> - понижающий (повышающий) коэффициент, корректирующий необходимую валовую выручку сетевой организации с учетом надежности и качества производимых (реализуемых) товаров (услуг) в году i, определяемый в </w:t>
      </w:r>
      <w:r w:rsidRPr="00C04ABD">
        <w:rPr>
          <w:rFonts w:ascii="Myriad Pro" w:eastAsia="Calibri" w:hAnsi="Myriad Pro" w:cs="Times New Roman"/>
          <w:sz w:val="26"/>
          <w:szCs w:val="26"/>
        </w:rPr>
        <w:lastRenderedPageBreak/>
        <w:t>процентах в соответствии с Методическими указаниями по расчету и применению понижающих (повышающих) коэффициентов, позволяющих обеспечить соответствие уровня тарифов, установленных для организаций, осуществляющих регулируемую деятельность, уровню надежности и качества поставляемых товаров и оказываемых услуг, утвержденными приказом ФСТ России от 26.12.2010 № 254-э/1.</w:t>
      </w:r>
    </w:p>
    <w:p w14:paraId="6A31D5C1" w14:textId="77777777" w:rsidR="009C65EC" w:rsidRPr="00C04ABD" w:rsidRDefault="009C65EC" w:rsidP="00C04ABD">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Согласно п. 12 Методических указаний №98-э при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следующие статьи затрат:</w:t>
      </w:r>
    </w:p>
    <w:p w14:paraId="14E235DE" w14:textId="77777777" w:rsidR="009C65EC" w:rsidRPr="00C04ABD" w:rsidRDefault="009C65EC" w:rsidP="00C04ABD">
      <w:pPr>
        <w:pStyle w:val="a4"/>
        <w:numPr>
          <w:ilvl w:val="0"/>
          <w:numId w:val="5"/>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сырье и материалы, определяемые в соответствии с пунктом 25 Основ ценообразования №1178;</w:t>
      </w:r>
    </w:p>
    <w:p w14:paraId="45393694" w14:textId="77777777" w:rsidR="009C65EC" w:rsidRPr="00C04ABD" w:rsidRDefault="009C65EC" w:rsidP="00C04ABD">
      <w:pPr>
        <w:pStyle w:val="a4"/>
        <w:numPr>
          <w:ilvl w:val="0"/>
          <w:numId w:val="5"/>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ремонт основных средств, определяемый на основе пункта 26 Основ ценообразования №1178;</w:t>
      </w:r>
    </w:p>
    <w:p w14:paraId="3EEF96B2" w14:textId="77777777" w:rsidR="009C65EC" w:rsidRPr="00C04ABD" w:rsidRDefault="009C65EC" w:rsidP="00C04ABD">
      <w:pPr>
        <w:pStyle w:val="a4"/>
        <w:numPr>
          <w:ilvl w:val="0"/>
          <w:numId w:val="5"/>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оплата труда, определяемая на основе пункта 27 Основ ценообразования №1178;</w:t>
      </w:r>
    </w:p>
    <w:p w14:paraId="0874F6B8" w14:textId="77777777" w:rsidR="009C65EC" w:rsidRPr="00C04ABD" w:rsidRDefault="009C65EC" w:rsidP="00C04ABD">
      <w:pPr>
        <w:pStyle w:val="a4"/>
        <w:numPr>
          <w:ilvl w:val="0"/>
          <w:numId w:val="5"/>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другие подконтрольные расходы, в том числе расходы по коллективным договорам и другие расходы, осуществляемые из прибыли регулируемой организации.</w:t>
      </w:r>
    </w:p>
    <w:p w14:paraId="0A29B256" w14:textId="41446BDC" w:rsidR="009C65EC" w:rsidRPr="00C04ABD" w:rsidRDefault="009C65EC" w:rsidP="00C04ABD">
      <w:pPr>
        <w:tabs>
          <w:tab w:val="left" w:pos="1134"/>
        </w:tabs>
        <w:spacing w:after="0" w:line="360" w:lineRule="auto"/>
        <w:ind w:firstLine="567"/>
        <w:jc w:val="both"/>
        <w:rPr>
          <w:rFonts w:ascii="Myriad Pro" w:hAnsi="Myriad Pro"/>
          <w:sz w:val="26"/>
          <w:szCs w:val="26"/>
        </w:rPr>
      </w:pPr>
      <w:r w:rsidRPr="00C04ABD">
        <w:rPr>
          <w:rFonts w:ascii="Myriad Pro" w:hAnsi="Myriad Pro"/>
          <w:sz w:val="26"/>
          <w:szCs w:val="26"/>
        </w:rPr>
        <w:t xml:space="preserve">В состав других подконтрольных расходов не включаются расходы, связанные с компенсацией незапланированных расходов (со знаком </w:t>
      </w:r>
      <w:r w:rsidR="00655FFA" w:rsidRPr="00C04ABD">
        <w:rPr>
          <w:rFonts w:ascii="Myriad Pro" w:hAnsi="Myriad Pro"/>
          <w:sz w:val="26"/>
          <w:szCs w:val="26"/>
        </w:rPr>
        <w:t>«</w:t>
      </w:r>
      <w:r w:rsidRPr="00C04ABD">
        <w:rPr>
          <w:rFonts w:ascii="Myriad Pro" w:hAnsi="Myriad Pro"/>
          <w:sz w:val="26"/>
          <w:szCs w:val="26"/>
        </w:rPr>
        <w:t>плюс</w:t>
      </w:r>
      <w:r w:rsidR="00655FFA" w:rsidRPr="00C04ABD">
        <w:rPr>
          <w:rFonts w:ascii="Myriad Pro" w:hAnsi="Myriad Pro"/>
          <w:sz w:val="26"/>
          <w:szCs w:val="26"/>
        </w:rPr>
        <w:t>»</w:t>
      </w:r>
      <w:r w:rsidRPr="00C04ABD">
        <w:rPr>
          <w:rFonts w:ascii="Myriad Pro" w:hAnsi="Myriad Pro"/>
          <w:sz w:val="26"/>
          <w:szCs w:val="26"/>
        </w:rPr>
        <w:t xml:space="preserve">) или полученного избытка (со знаком </w:t>
      </w:r>
      <w:r w:rsidR="00655FFA" w:rsidRPr="00C04ABD">
        <w:rPr>
          <w:rFonts w:ascii="Myriad Pro" w:hAnsi="Myriad Pro"/>
          <w:sz w:val="26"/>
          <w:szCs w:val="26"/>
        </w:rPr>
        <w:t>«</w:t>
      </w:r>
      <w:r w:rsidRPr="00C04ABD">
        <w:rPr>
          <w:rFonts w:ascii="Myriad Pro" w:hAnsi="Myriad Pro"/>
          <w:sz w:val="26"/>
          <w:szCs w:val="26"/>
        </w:rPr>
        <w:t>минус</w:t>
      </w:r>
      <w:r w:rsidR="00655FFA" w:rsidRPr="00C04ABD">
        <w:rPr>
          <w:rFonts w:ascii="Myriad Pro" w:hAnsi="Myriad Pro"/>
          <w:sz w:val="26"/>
          <w:szCs w:val="26"/>
        </w:rPr>
        <w:t>»</w:t>
      </w:r>
      <w:r w:rsidRPr="00C04ABD">
        <w:rPr>
          <w:rFonts w:ascii="Myriad Pro" w:hAnsi="Myriad Pro"/>
          <w:sz w:val="26"/>
          <w:szCs w:val="26"/>
        </w:rPr>
        <w:t>), выявленных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отклонением фактических значений параметров расчета тарифов от планировавшихся значений параметров расчета тарифов, а также расходы, учтенные при определении неподконтрольных расходов.</w:t>
      </w:r>
    </w:p>
    <w:p w14:paraId="7CAB3746" w14:textId="77777777" w:rsidR="009C65EC" w:rsidRPr="00C04ABD" w:rsidRDefault="009C65EC" w:rsidP="00C04ABD">
      <w:pPr>
        <w:tabs>
          <w:tab w:val="left" w:pos="1134"/>
        </w:tabs>
        <w:spacing w:after="0" w:line="360" w:lineRule="auto"/>
        <w:ind w:firstLine="567"/>
        <w:jc w:val="both"/>
        <w:rPr>
          <w:rFonts w:ascii="Myriad Pro" w:hAnsi="Myriad Pro"/>
          <w:sz w:val="26"/>
          <w:szCs w:val="26"/>
        </w:rPr>
      </w:pPr>
      <w:r w:rsidRPr="00C04ABD">
        <w:rPr>
          <w:rFonts w:ascii="Myriad Pro" w:hAnsi="Myriad Pro"/>
          <w:sz w:val="26"/>
          <w:szCs w:val="26"/>
        </w:rPr>
        <w:t xml:space="preserve">В соответствии с п. 38 Основ ценообразования №1178 базовый уровень подконтрольных расходов определяется регулирующими органами с использованием метода экономически обоснованных расходов (затрат) и метода сравнения аналогов. Базовый уровень подконтрольных расходов устанавливается </w:t>
      </w:r>
      <w:r w:rsidRPr="00C04ABD">
        <w:rPr>
          <w:rFonts w:ascii="Myriad Pro" w:hAnsi="Myriad Pro"/>
          <w:sz w:val="26"/>
          <w:szCs w:val="26"/>
        </w:rPr>
        <w:lastRenderedPageBreak/>
        <w:t>как сумма доли базового уровня подконтрольных расходов, рассчитанного с применением метода экономически обоснованных расходов (затрат) в соответствии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доли базового уровня подконтрольных расходов, рассчитанного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4F7474CF" w14:textId="77777777" w:rsidR="009C65EC" w:rsidRPr="00C04ABD" w:rsidRDefault="009C65EC" w:rsidP="00C04ABD">
      <w:pPr>
        <w:tabs>
          <w:tab w:val="left" w:pos="1134"/>
        </w:tabs>
        <w:spacing w:after="0" w:line="360" w:lineRule="auto"/>
        <w:ind w:firstLine="567"/>
        <w:jc w:val="both"/>
        <w:rPr>
          <w:rFonts w:ascii="Myriad Pro" w:hAnsi="Myriad Pro"/>
          <w:sz w:val="26"/>
          <w:szCs w:val="26"/>
        </w:rPr>
      </w:pPr>
      <w:r w:rsidRPr="00C04ABD">
        <w:rPr>
          <w:rFonts w:ascii="Myriad Pro" w:hAnsi="Myriad Pro"/>
          <w:sz w:val="26"/>
          <w:szCs w:val="26"/>
        </w:rPr>
        <w:t>Указанные в пункте 38 Основ ценообразование №1178 доли определяются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41B2171F" w14:textId="4C6F3F87" w:rsidR="009C65EC" w:rsidRPr="00C04ABD" w:rsidRDefault="009C65EC" w:rsidP="00C04ABD">
      <w:pPr>
        <w:tabs>
          <w:tab w:val="left" w:pos="1134"/>
        </w:tabs>
        <w:spacing w:after="0" w:line="360" w:lineRule="auto"/>
        <w:ind w:firstLine="567"/>
        <w:jc w:val="both"/>
        <w:rPr>
          <w:rFonts w:ascii="Myriad Pro" w:hAnsi="Myriad Pro"/>
          <w:sz w:val="26"/>
          <w:szCs w:val="26"/>
        </w:rPr>
      </w:pPr>
      <w:r w:rsidRPr="00C04ABD">
        <w:rPr>
          <w:rFonts w:ascii="Myriad Pro" w:hAnsi="Myriad Pro"/>
          <w:sz w:val="26"/>
          <w:szCs w:val="26"/>
        </w:rPr>
        <w:t>Согласно п. 9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утвержденных приказом ФСТ России от 18.03.2015 №</w:t>
      </w:r>
      <w:r w:rsidR="00486403">
        <w:rPr>
          <w:rFonts w:ascii="Myriad Pro" w:hAnsi="Myriad Pro"/>
          <w:sz w:val="26"/>
          <w:szCs w:val="26"/>
        </w:rPr>
        <w:t> </w:t>
      </w:r>
      <w:r w:rsidRPr="00C04ABD">
        <w:rPr>
          <w:rFonts w:ascii="Myriad Pro" w:hAnsi="Myriad Pro"/>
          <w:sz w:val="26"/>
          <w:szCs w:val="26"/>
        </w:rPr>
        <w:t xml:space="preserve">421-э (далее Методические указания № 421-э) для расчета долгосрочных параметров регулирования на очередной долгосрочный период регулирования с применением метода сравнения аналогов в отношении ТСО базовый уровень ОПР ТСО определяется в 70% доле от базового уровня ОПР, рассчитанных в соответствии с Методическими указаниями по регулированию тарифов с применением метода доходности инвестированного капитала или с Методическими указаниями по расчету тарифов на услуги по передаче </w:t>
      </w:r>
      <w:r w:rsidRPr="00C04ABD">
        <w:rPr>
          <w:rFonts w:ascii="Myriad Pro" w:hAnsi="Myriad Pro"/>
          <w:sz w:val="26"/>
          <w:szCs w:val="26"/>
        </w:rPr>
        <w:lastRenderedPageBreak/>
        <w:t>электрической энергии, устанавливаемых с применением метода долгосрочной индексации НВВ, в зависимости от применяемого в отношении ТСО метода регулирования, и 30% доле от базового уровня ОПР для ТСО, рассчитанного в соответствии с Методическими указаниями № 421-э.</w:t>
      </w:r>
    </w:p>
    <w:p w14:paraId="3A6C5E1A" w14:textId="77777777" w:rsidR="009720D8" w:rsidRPr="00FB0A3A" w:rsidRDefault="009720D8" w:rsidP="009720D8">
      <w:pPr>
        <w:tabs>
          <w:tab w:val="left" w:pos="1134"/>
        </w:tabs>
        <w:spacing w:after="0" w:line="360" w:lineRule="auto"/>
        <w:ind w:firstLine="567"/>
        <w:jc w:val="both"/>
        <w:rPr>
          <w:rFonts w:ascii="Myriad Pro" w:hAnsi="Myriad Pro"/>
          <w:sz w:val="26"/>
          <w:szCs w:val="26"/>
        </w:rPr>
      </w:pPr>
    </w:p>
    <w:p w14:paraId="643DD6AC" w14:textId="77777777" w:rsidR="002F115E" w:rsidRDefault="002F115E" w:rsidP="008E15A7">
      <w:pPr>
        <w:pStyle w:val="3"/>
        <w:numPr>
          <w:ilvl w:val="1"/>
          <w:numId w:val="67"/>
        </w:numPr>
        <w:spacing w:line="360" w:lineRule="auto"/>
        <w:jc w:val="both"/>
        <w:rPr>
          <w:rFonts w:ascii="Myriad Pro" w:hAnsi="Myriad Pro"/>
          <w:b/>
          <w:color w:val="4F6228" w:themeColor="accent3" w:themeShade="80"/>
          <w:sz w:val="28"/>
          <w:szCs w:val="28"/>
        </w:rPr>
        <w:sectPr w:rsidR="002F115E" w:rsidSect="00FB0A3A">
          <w:pgSz w:w="11906" w:h="16838"/>
          <w:pgMar w:top="1134" w:right="851" w:bottom="1134" w:left="1701" w:header="708" w:footer="708" w:gutter="0"/>
          <w:cols w:space="708"/>
          <w:docGrid w:linePitch="360"/>
        </w:sectPr>
      </w:pPr>
    </w:p>
    <w:p w14:paraId="17165EC6" w14:textId="178F019E" w:rsidR="00003598" w:rsidRPr="002D6C17" w:rsidRDefault="008E15A7" w:rsidP="008E15A7">
      <w:pPr>
        <w:pStyle w:val="3"/>
        <w:numPr>
          <w:ilvl w:val="1"/>
          <w:numId w:val="67"/>
        </w:numPr>
        <w:spacing w:line="360" w:lineRule="auto"/>
        <w:jc w:val="both"/>
        <w:rPr>
          <w:rFonts w:ascii="Myriad Pro" w:hAnsi="Myriad Pro"/>
          <w:b/>
          <w:color w:val="4F6228" w:themeColor="accent3" w:themeShade="80"/>
          <w:sz w:val="28"/>
          <w:szCs w:val="28"/>
        </w:rPr>
      </w:pPr>
      <w:r>
        <w:rPr>
          <w:rFonts w:ascii="Myriad Pro" w:hAnsi="Myriad Pro"/>
          <w:b/>
          <w:color w:val="4F6228" w:themeColor="accent3" w:themeShade="80"/>
          <w:sz w:val="28"/>
          <w:szCs w:val="28"/>
        </w:rPr>
        <w:lastRenderedPageBreak/>
        <w:t xml:space="preserve"> </w:t>
      </w:r>
      <w:bookmarkStart w:id="34" w:name="_Toc40797958"/>
      <w:r w:rsidR="00CA2B21" w:rsidRPr="002D6C17">
        <w:rPr>
          <w:rFonts w:ascii="Myriad Pro" w:hAnsi="Myriad Pro"/>
          <w:b/>
          <w:color w:val="4F6228" w:themeColor="accent3" w:themeShade="80"/>
          <w:sz w:val="28"/>
          <w:szCs w:val="28"/>
        </w:rPr>
        <w:t>Постатейный анализ п</w:t>
      </w:r>
      <w:r w:rsidR="00F47231" w:rsidRPr="002D6C17">
        <w:rPr>
          <w:rFonts w:ascii="Myriad Pro" w:hAnsi="Myriad Pro"/>
          <w:b/>
          <w:color w:val="4F6228" w:themeColor="accent3" w:themeShade="80"/>
          <w:sz w:val="28"/>
          <w:szCs w:val="28"/>
        </w:rPr>
        <w:t>одконтрольных расходов</w:t>
      </w:r>
      <w:r w:rsidR="00CA2B21" w:rsidRPr="002D6C17">
        <w:rPr>
          <w:rFonts w:ascii="Myriad Pro" w:hAnsi="Myriad Pro"/>
          <w:b/>
          <w:color w:val="4F6228" w:themeColor="accent3" w:themeShade="80"/>
          <w:sz w:val="28"/>
          <w:szCs w:val="28"/>
        </w:rPr>
        <w:t>, принятых в расчет базового уровня подконтрольных расходов</w:t>
      </w:r>
      <w:bookmarkEnd w:id="34"/>
    </w:p>
    <w:p w14:paraId="1D2C9F3B" w14:textId="590F6F62" w:rsidR="004D7D17" w:rsidRPr="00FB0A3A" w:rsidRDefault="000D5A41"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2019 год является первым</w:t>
      </w:r>
      <w:r w:rsidR="009E2B5B" w:rsidRPr="00FB0A3A">
        <w:rPr>
          <w:rFonts w:ascii="Myriad Pro" w:eastAsia="Calibri" w:hAnsi="Myriad Pro" w:cs="Times New Roman"/>
          <w:sz w:val="26"/>
          <w:szCs w:val="26"/>
        </w:rPr>
        <w:t xml:space="preserve"> годом пятилетнего долгосрочного периода регулирования ф</w:t>
      </w:r>
      <w:r w:rsidR="00B27FB4" w:rsidRPr="00FB0A3A">
        <w:rPr>
          <w:rFonts w:ascii="Myriad Pro" w:eastAsia="Calibri" w:hAnsi="Myriad Pro" w:cs="Times New Roman"/>
          <w:sz w:val="26"/>
          <w:szCs w:val="26"/>
        </w:rPr>
        <w:t xml:space="preserve">илиала </w:t>
      </w:r>
      <w:r w:rsidR="00350B0A" w:rsidRPr="00FB0A3A">
        <w:rPr>
          <w:rFonts w:ascii="Myriad Pro" w:eastAsia="Calibri" w:hAnsi="Myriad Pro" w:cs="Times New Roman"/>
          <w:sz w:val="26"/>
          <w:szCs w:val="26"/>
        </w:rPr>
        <w:t xml:space="preserve">ПАО </w:t>
      </w:r>
      <w:r w:rsidR="00655FFA" w:rsidRPr="00FB0A3A">
        <w:rPr>
          <w:rFonts w:ascii="Myriad Pro" w:eastAsia="Calibri" w:hAnsi="Myriad Pro" w:cs="Times New Roman"/>
          <w:sz w:val="26"/>
          <w:szCs w:val="26"/>
        </w:rPr>
        <w:t>«</w:t>
      </w:r>
      <w:r w:rsidR="00350B0A" w:rsidRPr="00FB0A3A">
        <w:rPr>
          <w:rFonts w:ascii="Myriad Pro" w:eastAsia="Calibri" w:hAnsi="Myriad Pro" w:cs="Times New Roman"/>
          <w:sz w:val="26"/>
          <w:szCs w:val="26"/>
        </w:rPr>
        <w:t>МРСК Северо-Запада</w:t>
      </w:r>
      <w:r w:rsidR="00655FFA" w:rsidRPr="00FB0A3A">
        <w:rPr>
          <w:rFonts w:ascii="Myriad Pro" w:eastAsia="Calibri" w:hAnsi="Myriad Pro" w:cs="Times New Roman"/>
          <w:sz w:val="26"/>
          <w:szCs w:val="26"/>
        </w:rPr>
        <w:t>»</w:t>
      </w:r>
      <w:r w:rsidR="00350B0A" w:rsidRPr="00FB0A3A">
        <w:rPr>
          <w:rFonts w:ascii="Myriad Pro" w:eastAsia="Calibri" w:hAnsi="Myriad Pro" w:cs="Times New Roman"/>
          <w:sz w:val="26"/>
          <w:szCs w:val="26"/>
        </w:rPr>
        <w:t xml:space="preserve"> </w:t>
      </w:r>
      <w:r w:rsidR="00655FFA" w:rsidRPr="00FB0A3A">
        <w:rPr>
          <w:rFonts w:ascii="Myriad Pro" w:eastAsia="Calibri" w:hAnsi="Myriad Pro" w:cs="Times New Roman"/>
          <w:sz w:val="26"/>
          <w:szCs w:val="26"/>
        </w:rPr>
        <w:t>«</w:t>
      </w:r>
      <w:r w:rsidR="00350B0A" w:rsidRPr="00FB0A3A">
        <w:rPr>
          <w:rFonts w:ascii="Myriad Pro" w:eastAsia="Calibri" w:hAnsi="Myriad Pro" w:cs="Times New Roman"/>
          <w:sz w:val="26"/>
          <w:szCs w:val="26"/>
        </w:rPr>
        <w:t>Колэнерго</w:t>
      </w:r>
      <w:r w:rsidR="00655FFA" w:rsidRPr="00FB0A3A">
        <w:rPr>
          <w:rFonts w:ascii="Myriad Pro" w:eastAsia="Calibri" w:hAnsi="Myriad Pro" w:cs="Times New Roman"/>
          <w:sz w:val="26"/>
          <w:szCs w:val="26"/>
        </w:rPr>
        <w:t>»</w:t>
      </w:r>
      <w:r w:rsidR="009E2B5B" w:rsidRPr="00FB0A3A">
        <w:rPr>
          <w:rFonts w:ascii="Myriad Pro" w:eastAsia="Calibri" w:hAnsi="Myriad Pro" w:cs="Times New Roman"/>
          <w:sz w:val="26"/>
          <w:szCs w:val="26"/>
        </w:rPr>
        <w:t>.</w:t>
      </w:r>
    </w:p>
    <w:p w14:paraId="044F50FD" w14:textId="50B19767" w:rsidR="006F17E2" w:rsidRPr="00FB0A3A" w:rsidRDefault="001F7773"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Постановлением</w:t>
      </w:r>
      <w:r w:rsidR="009E2B5B" w:rsidRPr="00FB0A3A">
        <w:rPr>
          <w:rFonts w:ascii="Myriad Pro" w:eastAsia="Calibri" w:hAnsi="Myriad Pro" w:cs="Times New Roman"/>
          <w:sz w:val="26"/>
          <w:szCs w:val="26"/>
        </w:rPr>
        <w:t xml:space="preserve"> </w:t>
      </w:r>
      <w:r w:rsidR="00DD5473" w:rsidRPr="00FB0A3A">
        <w:rPr>
          <w:rFonts w:ascii="Myriad Pro" w:eastAsia="Calibri" w:hAnsi="Myriad Pro" w:cs="Times New Roman"/>
          <w:sz w:val="26"/>
          <w:szCs w:val="26"/>
        </w:rPr>
        <w:t>Комитета по тарифному регулированию Мурманской области</w:t>
      </w:r>
      <w:r w:rsidR="009E2B5B" w:rsidRPr="00FB0A3A">
        <w:rPr>
          <w:rFonts w:ascii="Myriad Pro" w:eastAsia="Calibri" w:hAnsi="Myriad Pro" w:cs="Times New Roman"/>
          <w:sz w:val="26"/>
          <w:szCs w:val="26"/>
        </w:rPr>
        <w:t xml:space="preserve"> </w:t>
      </w:r>
      <w:r w:rsidR="006F17E2" w:rsidRPr="00FB0A3A">
        <w:rPr>
          <w:rFonts w:ascii="Myriad Pro" w:eastAsia="Calibri" w:hAnsi="Myriad Pro" w:cs="Times New Roman"/>
          <w:sz w:val="26"/>
          <w:szCs w:val="26"/>
        </w:rPr>
        <w:t xml:space="preserve">от 29.12.2018 № 56/2 </w:t>
      </w:r>
      <w:r w:rsidR="00655FFA" w:rsidRPr="00FB0A3A">
        <w:rPr>
          <w:rFonts w:ascii="Myriad Pro" w:eastAsia="Calibri" w:hAnsi="Myriad Pro" w:cs="Times New Roman"/>
          <w:sz w:val="26"/>
          <w:szCs w:val="26"/>
        </w:rPr>
        <w:t>«</w:t>
      </w:r>
      <w:r w:rsidR="006F17E2" w:rsidRPr="00FB0A3A">
        <w:rPr>
          <w:rFonts w:ascii="Myriad Pro" w:eastAsia="Calibri" w:hAnsi="Myriad Pro" w:cs="Times New Roman"/>
          <w:sz w:val="26"/>
          <w:szCs w:val="26"/>
        </w:rPr>
        <w:t xml:space="preserve">Об установлении необходимой валовой выручки от оказания услуг по передаче электрической энергии (без учета расходов на покупку потерь) и долгосрочных параметров регулирования филиала ПАО </w:t>
      </w:r>
      <w:r w:rsidR="00655FFA" w:rsidRPr="00FB0A3A">
        <w:rPr>
          <w:rFonts w:ascii="Myriad Pro" w:eastAsia="Calibri" w:hAnsi="Myriad Pro" w:cs="Times New Roman"/>
          <w:sz w:val="26"/>
          <w:szCs w:val="26"/>
        </w:rPr>
        <w:t>«</w:t>
      </w:r>
      <w:r w:rsidR="00156EBF" w:rsidRPr="00FB0A3A">
        <w:rPr>
          <w:rFonts w:ascii="Myriad Pro" w:eastAsia="Calibri" w:hAnsi="Myriad Pro" w:cs="Times New Roman"/>
          <w:sz w:val="26"/>
          <w:szCs w:val="26"/>
        </w:rPr>
        <w:t xml:space="preserve">МРСК </w:t>
      </w:r>
      <w:r w:rsidR="00597FD5" w:rsidRPr="00FB0A3A">
        <w:rPr>
          <w:rFonts w:ascii="Myriad Pro" w:eastAsia="Calibri" w:hAnsi="Myriad Pro" w:cs="Times New Roman"/>
          <w:sz w:val="26"/>
          <w:szCs w:val="26"/>
        </w:rPr>
        <w:t>Северо-Запада</w:t>
      </w:r>
      <w:r w:rsidR="00655FFA" w:rsidRPr="00FB0A3A">
        <w:rPr>
          <w:rFonts w:ascii="Myriad Pro" w:eastAsia="Calibri" w:hAnsi="Myriad Pro" w:cs="Times New Roman"/>
          <w:sz w:val="26"/>
          <w:szCs w:val="26"/>
        </w:rPr>
        <w:t>»</w:t>
      </w:r>
      <w:r w:rsidR="00156EBF" w:rsidRPr="00FB0A3A">
        <w:rPr>
          <w:rFonts w:ascii="Myriad Pro" w:eastAsia="Calibri" w:hAnsi="Myriad Pro" w:cs="Times New Roman"/>
          <w:sz w:val="26"/>
          <w:szCs w:val="26"/>
        </w:rPr>
        <w:t xml:space="preserve"> </w:t>
      </w:r>
      <w:r w:rsidR="00655FFA" w:rsidRPr="00FB0A3A">
        <w:rPr>
          <w:rFonts w:ascii="Myriad Pro" w:eastAsia="Calibri" w:hAnsi="Myriad Pro" w:cs="Times New Roman"/>
          <w:sz w:val="26"/>
          <w:szCs w:val="26"/>
        </w:rPr>
        <w:t>«</w:t>
      </w:r>
      <w:r w:rsidR="006F17E2" w:rsidRPr="00FB0A3A">
        <w:rPr>
          <w:rFonts w:ascii="Myriad Pro" w:eastAsia="Calibri" w:hAnsi="Myriad Pro" w:cs="Times New Roman"/>
          <w:sz w:val="26"/>
          <w:szCs w:val="26"/>
        </w:rPr>
        <w:t>Колэнерго</w:t>
      </w:r>
      <w:r w:rsidR="00655FFA" w:rsidRPr="00FB0A3A">
        <w:rPr>
          <w:rFonts w:ascii="Myriad Pro" w:eastAsia="Calibri" w:hAnsi="Myriad Pro" w:cs="Times New Roman"/>
          <w:sz w:val="26"/>
          <w:szCs w:val="26"/>
        </w:rPr>
        <w:t>»</w:t>
      </w:r>
      <w:r w:rsidR="006F17E2" w:rsidRPr="00FB0A3A">
        <w:rPr>
          <w:rFonts w:ascii="Myriad Pro" w:eastAsia="Calibri" w:hAnsi="Myriad Pro" w:cs="Times New Roman"/>
          <w:sz w:val="26"/>
          <w:szCs w:val="26"/>
        </w:rPr>
        <w:t xml:space="preserve"> на долгосрочный период регулирования 2019-2023 год</w:t>
      </w:r>
      <w:r w:rsidR="00655FFA" w:rsidRPr="00FB0A3A">
        <w:rPr>
          <w:rFonts w:ascii="Myriad Pro" w:eastAsia="Calibri" w:hAnsi="Myriad Pro" w:cs="Times New Roman"/>
          <w:sz w:val="26"/>
          <w:szCs w:val="26"/>
        </w:rPr>
        <w:t>»</w:t>
      </w:r>
      <w:r w:rsidR="006F17E2" w:rsidRPr="00FB0A3A">
        <w:rPr>
          <w:rFonts w:ascii="Myriad Pro" w:eastAsia="Calibri" w:hAnsi="Myriad Pro" w:cs="Times New Roman"/>
          <w:sz w:val="26"/>
          <w:szCs w:val="26"/>
        </w:rPr>
        <w:t xml:space="preserve"> на 2019 год был утвержден базовый уровень подконтрольных расходов в размере </w:t>
      </w:r>
      <w:r w:rsidR="006F17E2" w:rsidRPr="00FB0A3A">
        <w:rPr>
          <w:rFonts w:ascii="Myriad Pro" w:hAnsi="Myriad Pro"/>
          <w:sz w:val="26"/>
          <w:szCs w:val="26"/>
        </w:rPr>
        <w:t>– 1 698,50391 млн. руб.</w:t>
      </w:r>
    </w:p>
    <w:p w14:paraId="5A674425" w14:textId="4BE39AF1" w:rsidR="00446192" w:rsidRPr="00FB0A3A" w:rsidRDefault="006F17E2"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 xml:space="preserve">Позиция Комитета </w:t>
      </w:r>
      <w:r w:rsidR="00521D6E" w:rsidRPr="00FB0A3A">
        <w:rPr>
          <w:rFonts w:ascii="Myriad Pro" w:eastAsia="Calibri" w:hAnsi="Myriad Pro" w:cs="Times New Roman"/>
          <w:sz w:val="26"/>
          <w:szCs w:val="26"/>
        </w:rPr>
        <w:t xml:space="preserve">по определению экономически обоснованного базового уровня подконтрольных расходов отражена в </w:t>
      </w:r>
      <w:r w:rsidR="00446192" w:rsidRPr="00FB0A3A">
        <w:rPr>
          <w:rFonts w:ascii="Myriad Pro" w:eastAsia="Calibri" w:hAnsi="Myriad Pro" w:cs="Times New Roman"/>
          <w:sz w:val="26"/>
          <w:szCs w:val="26"/>
        </w:rPr>
        <w:t>Протоколе от 28-29.12.2018</w:t>
      </w:r>
      <w:r w:rsidR="0069400B" w:rsidRPr="00FB0A3A">
        <w:rPr>
          <w:rFonts w:ascii="Myriad Pro" w:eastAsia="Calibri" w:hAnsi="Myriad Pro" w:cs="Times New Roman"/>
          <w:sz w:val="26"/>
          <w:szCs w:val="26"/>
        </w:rPr>
        <w:t xml:space="preserve"> (экспертное заключение в исследуемых материалах отсутствует)</w:t>
      </w:r>
      <w:r w:rsidR="00446192" w:rsidRPr="00FB0A3A">
        <w:rPr>
          <w:rFonts w:ascii="Myriad Pro" w:eastAsia="Calibri" w:hAnsi="Myriad Pro" w:cs="Times New Roman"/>
          <w:sz w:val="26"/>
          <w:szCs w:val="26"/>
        </w:rPr>
        <w:t>.</w:t>
      </w:r>
    </w:p>
    <w:p w14:paraId="0ACA7F35" w14:textId="3B14F9D7" w:rsidR="00AB5C4F" w:rsidRPr="00FB0A3A" w:rsidRDefault="002854F7"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 xml:space="preserve">На основании материалов и документов, предоставленных </w:t>
      </w:r>
      <w:r w:rsidR="00B66D5D" w:rsidRPr="00FB0A3A">
        <w:rPr>
          <w:rFonts w:ascii="Myriad Pro" w:eastAsia="Calibri" w:hAnsi="Myriad Pro" w:cs="Times New Roman"/>
          <w:sz w:val="26"/>
          <w:szCs w:val="26"/>
        </w:rPr>
        <w:t xml:space="preserve">филиалом </w:t>
      </w:r>
      <w:r w:rsidR="00655FFA" w:rsidRPr="00FB0A3A">
        <w:rPr>
          <w:rFonts w:ascii="Myriad Pro" w:eastAsia="Calibri" w:hAnsi="Myriad Pro" w:cs="Times New Roman"/>
          <w:sz w:val="26"/>
          <w:szCs w:val="26"/>
        </w:rPr>
        <w:t>ПАО</w:t>
      </w:r>
      <w:r w:rsidR="00996030">
        <w:rPr>
          <w:rFonts w:ascii="Myriad Pro" w:eastAsia="Calibri" w:hAnsi="Myriad Pro" w:cs="Times New Roman"/>
          <w:sz w:val="26"/>
          <w:szCs w:val="26"/>
        </w:rPr>
        <w:t> </w:t>
      </w:r>
      <w:r w:rsidR="00655FFA" w:rsidRPr="00FB0A3A">
        <w:rPr>
          <w:rFonts w:ascii="Myriad Pro" w:eastAsia="Calibri" w:hAnsi="Myriad Pro" w:cs="Times New Roman"/>
          <w:sz w:val="26"/>
          <w:szCs w:val="26"/>
        </w:rPr>
        <w:t xml:space="preserve">«МРСК </w:t>
      </w:r>
      <w:r w:rsidR="00350B0A" w:rsidRPr="00FB0A3A">
        <w:rPr>
          <w:rFonts w:ascii="Myriad Pro" w:eastAsia="Calibri" w:hAnsi="Myriad Pro" w:cs="Times New Roman"/>
          <w:sz w:val="26"/>
          <w:szCs w:val="26"/>
        </w:rPr>
        <w:t>Северо-Запада</w:t>
      </w:r>
      <w:r w:rsidR="00655FFA" w:rsidRPr="00FB0A3A">
        <w:rPr>
          <w:rFonts w:ascii="Myriad Pro" w:eastAsia="Calibri" w:hAnsi="Myriad Pro" w:cs="Times New Roman"/>
          <w:sz w:val="26"/>
          <w:szCs w:val="26"/>
        </w:rPr>
        <w:t>»</w:t>
      </w:r>
      <w:r w:rsidR="00350B0A" w:rsidRPr="00FB0A3A">
        <w:rPr>
          <w:rFonts w:ascii="Myriad Pro" w:eastAsia="Calibri" w:hAnsi="Myriad Pro" w:cs="Times New Roman"/>
          <w:sz w:val="26"/>
          <w:szCs w:val="26"/>
        </w:rPr>
        <w:t xml:space="preserve"> </w:t>
      </w:r>
      <w:r w:rsidR="00655FFA" w:rsidRPr="00FB0A3A">
        <w:rPr>
          <w:rFonts w:ascii="Myriad Pro" w:eastAsia="Calibri" w:hAnsi="Myriad Pro" w:cs="Times New Roman"/>
          <w:sz w:val="26"/>
          <w:szCs w:val="26"/>
        </w:rPr>
        <w:t>«</w:t>
      </w:r>
      <w:r w:rsidR="00350B0A" w:rsidRPr="00FB0A3A">
        <w:rPr>
          <w:rFonts w:ascii="Myriad Pro" w:eastAsia="Calibri" w:hAnsi="Myriad Pro" w:cs="Times New Roman"/>
          <w:sz w:val="26"/>
          <w:szCs w:val="26"/>
        </w:rPr>
        <w:t>Колэнерго</w:t>
      </w:r>
      <w:r w:rsidR="00655FFA" w:rsidRPr="00FB0A3A">
        <w:rPr>
          <w:rFonts w:ascii="Myriad Pro" w:eastAsia="Calibri" w:hAnsi="Myriad Pro" w:cs="Times New Roman"/>
          <w:sz w:val="26"/>
          <w:szCs w:val="26"/>
        </w:rPr>
        <w:t>»</w:t>
      </w:r>
      <w:r w:rsidR="006F17E2" w:rsidRPr="00FB0A3A">
        <w:rPr>
          <w:rFonts w:ascii="Myriad Pro" w:eastAsia="Calibri" w:hAnsi="Myriad Pro" w:cs="Times New Roman"/>
          <w:sz w:val="26"/>
          <w:szCs w:val="26"/>
        </w:rPr>
        <w:t xml:space="preserve"> в Комитет</w:t>
      </w:r>
      <w:r w:rsidRPr="00FB0A3A">
        <w:rPr>
          <w:rFonts w:ascii="Myriad Pro" w:eastAsia="Calibri" w:hAnsi="Myriad Pro" w:cs="Times New Roman"/>
          <w:sz w:val="26"/>
          <w:szCs w:val="26"/>
        </w:rPr>
        <w:t xml:space="preserve"> в рамках кампании по установлению НВВ и тарифов на услуги по переда</w:t>
      </w:r>
      <w:r w:rsidR="006F17E2" w:rsidRPr="00FB0A3A">
        <w:rPr>
          <w:rFonts w:ascii="Myriad Pro" w:eastAsia="Calibri" w:hAnsi="Myriad Pro" w:cs="Times New Roman"/>
          <w:sz w:val="26"/>
          <w:szCs w:val="26"/>
        </w:rPr>
        <w:t>че электрической энергии на 2019</w:t>
      </w:r>
      <w:r w:rsidRPr="00FB0A3A">
        <w:rPr>
          <w:rFonts w:ascii="Myriad Pro" w:eastAsia="Calibri" w:hAnsi="Myriad Pro" w:cs="Times New Roman"/>
          <w:sz w:val="26"/>
          <w:szCs w:val="26"/>
        </w:rPr>
        <w:t xml:space="preserve"> год, Исполнителем произведен постатейный анализ обоснованности расчета базового уровня подконтрольных расходов </w:t>
      </w:r>
      <w:r w:rsidR="00B66D5D" w:rsidRPr="00FB0A3A">
        <w:rPr>
          <w:rFonts w:ascii="Myriad Pro" w:eastAsia="Calibri" w:hAnsi="Myriad Pro" w:cs="Times New Roman"/>
          <w:sz w:val="26"/>
          <w:szCs w:val="26"/>
        </w:rPr>
        <w:t xml:space="preserve">филиала </w:t>
      </w:r>
      <w:r w:rsidR="00350B0A" w:rsidRPr="00FB0A3A">
        <w:rPr>
          <w:rFonts w:ascii="Myriad Pro" w:eastAsia="Calibri" w:hAnsi="Myriad Pro" w:cs="Times New Roman"/>
          <w:sz w:val="26"/>
          <w:szCs w:val="26"/>
        </w:rPr>
        <w:t xml:space="preserve">ПАО </w:t>
      </w:r>
      <w:r w:rsidR="00655FFA" w:rsidRPr="00FB0A3A">
        <w:rPr>
          <w:rFonts w:ascii="Myriad Pro" w:eastAsia="Calibri" w:hAnsi="Myriad Pro" w:cs="Times New Roman"/>
          <w:sz w:val="26"/>
          <w:szCs w:val="26"/>
        </w:rPr>
        <w:t>«</w:t>
      </w:r>
      <w:r w:rsidR="00350B0A" w:rsidRPr="00FB0A3A">
        <w:rPr>
          <w:rFonts w:ascii="Myriad Pro" w:eastAsia="Calibri" w:hAnsi="Myriad Pro" w:cs="Times New Roman"/>
          <w:sz w:val="26"/>
          <w:szCs w:val="26"/>
        </w:rPr>
        <w:t>МРСК Северо-Запада</w:t>
      </w:r>
      <w:r w:rsidR="00655FFA" w:rsidRPr="00FB0A3A">
        <w:rPr>
          <w:rFonts w:ascii="Myriad Pro" w:eastAsia="Calibri" w:hAnsi="Myriad Pro" w:cs="Times New Roman"/>
          <w:sz w:val="26"/>
          <w:szCs w:val="26"/>
        </w:rPr>
        <w:t>»</w:t>
      </w:r>
      <w:r w:rsidR="00350B0A" w:rsidRPr="00FB0A3A">
        <w:rPr>
          <w:rFonts w:ascii="Myriad Pro" w:eastAsia="Calibri" w:hAnsi="Myriad Pro" w:cs="Times New Roman"/>
          <w:sz w:val="26"/>
          <w:szCs w:val="26"/>
        </w:rPr>
        <w:t xml:space="preserve"> </w:t>
      </w:r>
      <w:r w:rsidR="00655FFA" w:rsidRPr="00FB0A3A">
        <w:rPr>
          <w:rFonts w:ascii="Myriad Pro" w:eastAsia="Calibri" w:hAnsi="Myriad Pro" w:cs="Times New Roman"/>
          <w:sz w:val="26"/>
          <w:szCs w:val="26"/>
        </w:rPr>
        <w:t>«</w:t>
      </w:r>
      <w:r w:rsidR="00350B0A" w:rsidRPr="00FB0A3A">
        <w:rPr>
          <w:rFonts w:ascii="Myriad Pro" w:eastAsia="Calibri" w:hAnsi="Myriad Pro" w:cs="Times New Roman"/>
          <w:sz w:val="26"/>
          <w:szCs w:val="26"/>
        </w:rPr>
        <w:t>Колэнерго</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w:t>
      </w:r>
    </w:p>
    <w:p w14:paraId="2BE10328" w14:textId="228EAFF3" w:rsidR="00BE6AC9" w:rsidRPr="00FB0A3A" w:rsidRDefault="00886937"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 xml:space="preserve">Исполнитель при постатейном анализе </w:t>
      </w:r>
      <w:r w:rsidR="00BF15E5" w:rsidRPr="00FB0A3A">
        <w:rPr>
          <w:rFonts w:ascii="Myriad Pro" w:eastAsia="Calibri" w:hAnsi="Myriad Pro" w:cs="Times New Roman"/>
          <w:sz w:val="26"/>
          <w:szCs w:val="26"/>
        </w:rPr>
        <w:t xml:space="preserve">статей </w:t>
      </w:r>
      <w:r w:rsidRPr="00FB0A3A">
        <w:rPr>
          <w:rFonts w:ascii="Myriad Pro" w:eastAsia="Calibri" w:hAnsi="Myriad Pro" w:cs="Times New Roman"/>
          <w:sz w:val="26"/>
          <w:szCs w:val="26"/>
        </w:rPr>
        <w:t>подконтр</w:t>
      </w:r>
      <w:r w:rsidR="006F17E2" w:rsidRPr="00FB0A3A">
        <w:rPr>
          <w:rFonts w:ascii="Myriad Pro" w:eastAsia="Calibri" w:hAnsi="Myriad Pro" w:cs="Times New Roman"/>
          <w:sz w:val="26"/>
          <w:szCs w:val="26"/>
        </w:rPr>
        <w:t>ольных расходов, принятых Комитетом</w:t>
      </w:r>
      <w:r w:rsidRPr="00FB0A3A">
        <w:rPr>
          <w:rFonts w:ascii="Myriad Pro" w:eastAsia="Calibri" w:hAnsi="Myriad Pro" w:cs="Times New Roman"/>
          <w:sz w:val="26"/>
          <w:szCs w:val="26"/>
        </w:rPr>
        <w:t xml:space="preserve"> в состав базового уровня</w:t>
      </w:r>
      <w:r w:rsidR="006F17E2" w:rsidRPr="00FB0A3A">
        <w:rPr>
          <w:rFonts w:ascii="Myriad Pro" w:eastAsia="Calibri" w:hAnsi="Myriad Pro" w:cs="Times New Roman"/>
          <w:sz w:val="26"/>
          <w:szCs w:val="26"/>
        </w:rPr>
        <w:t xml:space="preserve"> подконтрольных расходов на 2019</w:t>
      </w:r>
      <w:r w:rsidRPr="00FB0A3A">
        <w:rPr>
          <w:rFonts w:ascii="Myriad Pro" w:eastAsia="Calibri" w:hAnsi="Myriad Pro" w:cs="Times New Roman"/>
          <w:sz w:val="26"/>
          <w:szCs w:val="26"/>
        </w:rPr>
        <w:t xml:space="preserve"> год, руководствовался принципом существенности отклонений </w:t>
      </w:r>
      <w:r w:rsidR="00270145" w:rsidRPr="00FB0A3A">
        <w:rPr>
          <w:rFonts w:ascii="Myriad Pro" w:eastAsia="Calibri" w:hAnsi="Myriad Pro" w:cs="Times New Roman"/>
          <w:sz w:val="26"/>
          <w:szCs w:val="26"/>
        </w:rPr>
        <w:t xml:space="preserve">величин расходов, </w:t>
      </w:r>
      <w:r w:rsidRPr="00FB0A3A">
        <w:rPr>
          <w:rFonts w:ascii="Myriad Pro" w:eastAsia="Calibri" w:hAnsi="Myriad Pro" w:cs="Times New Roman"/>
          <w:sz w:val="26"/>
          <w:szCs w:val="26"/>
        </w:rPr>
        <w:t xml:space="preserve">утвержденных </w:t>
      </w:r>
      <w:r w:rsidR="006F17E2" w:rsidRPr="00FB0A3A">
        <w:rPr>
          <w:rFonts w:ascii="Myriad Pro" w:eastAsia="Calibri" w:hAnsi="Myriad Pro" w:cs="Times New Roman"/>
          <w:sz w:val="26"/>
          <w:szCs w:val="26"/>
        </w:rPr>
        <w:t>Комитетом</w:t>
      </w:r>
      <w:r w:rsidR="00BF15E5" w:rsidRPr="00FB0A3A">
        <w:rPr>
          <w:rFonts w:ascii="Myriad Pro" w:eastAsia="Calibri" w:hAnsi="Myriad Pro" w:cs="Times New Roman"/>
          <w:sz w:val="26"/>
          <w:szCs w:val="26"/>
        </w:rPr>
        <w:t xml:space="preserve"> </w:t>
      </w:r>
      <w:r w:rsidR="006F17E2" w:rsidRPr="00FB0A3A">
        <w:rPr>
          <w:rFonts w:ascii="Myriad Pro" w:eastAsia="Calibri" w:hAnsi="Myriad Pro" w:cs="Times New Roman"/>
          <w:sz w:val="26"/>
          <w:szCs w:val="26"/>
        </w:rPr>
        <w:t>на 2019</w:t>
      </w:r>
      <w:r w:rsidRPr="00FB0A3A">
        <w:rPr>
          <w:rFonts w:ascii="Myriad Pro" w:eastAsia="Calibri" w:hAnsi="Myriad Pro" w:cs="Times New Roman"/>
          <w:sz w:val="26"/>
          <w:szCs w:val="26"/>
        </w:rPr>
        <w:t xml:space="preserve"> год</w:t>
      </w:r>
      <w:r w:rsidR="00270145" w:rsidRPr="00FB0A3A">
        <w:rPr>
          <w:rFonts w:ascii="Myriad Pro" w:eastAsia="Calibri" w:hAnsi="Myriad Pro" w:cs="Times New Roman"/>
          <w:sz w:val="26"/>
          <w:szCs w:val="26"/>
        </w:rPr>
        <w:t>, от</w:t>
      </w:r>
      <w:r w:rsidRPr="00FB0A3A">
        <w:rPr>
          <w:rFonts w:ascii="Myriad Pro" w:eastAsia="Calibri" w:hAnsi="Myriad Pro" w:cs="Times New Roman"/>
          <w:sz w:val="26"/>
          <w:szCs w:val="26"/>
        </w:rPr>
        <w:t xml:space="preserve"> сумм расходов</w:t>
      </w:r>
      <w:r w:rsidR="00270145" w:rsidRPr="00FB0A3A">
        <w:rPr>
          <w:rFonts w:ascii="Myriad Pro" w:eastAsia="Calibri" w:hAnsi="Myriad Pro" w:cs="Times New Roman"/>
          <w:sz w:val="26"/>
          <w:szCs w:val="26"/>
        </w:rPr>
        <w:t>,</w:t>
      </w:r>
      <w:r w:rsidRPr="00FB0A3A">
        <w:rPr>
          <w:rFonts w:ascii="Myriad Pro" w:eastAsia="Calibri" w:hAnsi="Myriad Pro" w:cs="Times New Roman"/>
          <w:sz w:val="26"/>
          <w:szCs w:val="26"/>
        </w:rPr>
        <w:t xml:space="preserve"> заявленных </w:t>
      </w:r>
      <w:r w:rsidR="00B66D5D" w:rsidRPr="00FB0A3A">
        <w:rPr>
          <w:rFonts w:ascii="Myriad Pro" w:eastAsia="Calibri" w:hAnsi="Myriad Pro" w:cs="Times New Roman"/>
          <w:sz w:val="26"/>
          <w:szCs w:val="26"/>
        </w:rPr>
        <w:t xml:space="preserve">филиалом </w:t>
      </w:r>
      <w:r w:rsidR="00350B0A" w:rsidRPr="00FB0A3A">
        <w:rPr>
          <w:rFonts w:ascii="Myriad Pro" w:eastAsia="Calibri" w:hAnsi="Myriad Pro" w:cs="Times New Roman"/>
          <w:sz w:val="26"/>
          <w:szCs w:val="26"/>
        </w:rPr>
        <w:t xml:space="preserve">ПАО </w:t>
      </w:r>
      <w:r w:rsidR="00655FFA" w:rsidRPr="00FB0A3A">
        <w:rPr>
          <w:rFonts w:ascii="Myriad Pro" w:eastAsia="Calibri" w:hAnsi="Myriad Pro" w:cs="Times New Roman"/>
          <w:sz w:val="26"/>
          <w:szCs w:val="26"/>
        </w:rPr>
        <w:t>«</w:t>
      </w:r>
      <w:r w:rsidR="00350B0A" w:rsidRPr="00FB0A3A">
        <w:rPr>
          <w:rFonts w:ascii="Myriad Pro" w:eastAsia="Calibri" w:hAnsi="Myriad Pro" w:cs="Times New Roman"/>
          <w:sz w:val="26"/>
          <w:szCs w:val="26"/>
        </w:rPr>
        <w:t>МРСК Северо-Запада</w:t>
      </w:r>
      <w:r w:rsidR="00655FFA" w:rsidRPr="00FB0A3A">
        <w:rPr>
          <w:rFonts w:ascii="Myriad Pro" w:eastAsia="Calibri" w:hAnsi="Myriad Pro" w:cs="Times New Roman"/>
          <w:sz w:val="26"/>
          <w:szCs w:val="26"/>
        </w:rPr>
        <w:t>»</w:t>
      </w:r>
      <w:r w:rsidR="00350B0A" w:rsidRPr="00FB0A3A">
        <w:rPr>
          <w:rFonts w:ascii="Myriad Pro" w:eastAsia="Calibri" w:hAnsi="Myriad Pro" w:cs="Times New Roman"/>
          <w:sz w:val="26"/>
          <w:szCs w:val="26"/>
        </w:rPr>
        <w:t xml:space="preserve"> </w:t>
      </w:r>
      <w:r w:rsidR="00655FFA" w:rsidRPr="00FB0A3A">
        <w:rPr>
          <w:rFonts w:ascii="Myriad Pro" w:eastAsia="Calibri" w:hAnsi="Myriad Pro" w:cs="Times New Roman"/>
          <w:sz w:val="26"/>
          <w:szCs w:val="26"/>
        </w:rPr>
        <w:t>«</w:t>
      </w:r>
      <w:r w:rsidR="00350B0A" w:rsidRPr="00FB0A3A">
        <w:rPr>
          <w:rFonts w:ascii="Myriad Pro" w:eastAsia="Calibri" w:hAnsi="Myriad Pro" w:cs="Times New Roman"/>
          <w:sz w:val="26"/>
          <w:szCs w:val="26"/>
        </w:rPr>
        <w:t>Колэнерго</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w:t>
      </w:r>
      <w:r w:rsidR="00BF15E5" w:rsidRPr="00FB0A3A">
        <w:rPr>
          <w:rFonts w:ascii="Myriad Pro" w:eastAsia="Calibri" w:hAnsi="Myriad Pro" w:cs="Times New Roman"/>
          <w:sz w:val="26"/>
          <w:szCs w:val="26"/>
        </w:rPr>
        <w:t xml:space="preserve"> Кроме того, Исполнителем было принято во внимание наличие превышения фактических затрат </w:t>
      </w:r>
      <w:r w:rsidR="00B376BC" w:rsidRPr="00FB0A3A">
        <w:rPr>
          <w:rFonts w:ascii="Myriad Pro" w:eastAsia="Calibri" w:hAnsi="Myriad Pro" w:cs="Times New Roman"/>
          <w:sz w:val="26"/>
          <w:szCs w:val="26"/>
        </w:rPr>
        <w:t xml:space="preserve">филиалом </w:t>
      </w:r>
      <w:r w:rsidR="00350B0A" w:rsidRPr="00FB0A3A">
        <w:rPr>
          <w:rFonts w:ascii="Myriad Pro" w:eastAsia="Calibri" w:hAnsi="Myriad Pro" w:cs="Times New Roman"/>
          <w:sz w:val="26"/>
          <w:szCs w:val="26"/>
        </w:rPr>
        <w:t>ПАО</w:t>
      </w:r>
      <w:r w:rsidR="00907125">
        <w:rPr>
          <w:rFonts w:ascii="Myriad Pro" w:eastAsia="Calibri" w:hAnsi="Myriad Pro" w:cs="Times New Roman"/>
          <w:sz w:val="26"/>
          <w:szCs w:val="26"/>
        </w:rPr>
        <w:t> </w:t>
      </w:r>
      <w:r w:rsidR="00655FFA" w:rsidRPr="00FB0A3A">
        <w:rPr>
          <w:rFonts w:ascii="Myriad Pro" w:eastAsia="Calibri" w:hAnsi="Myriad Pro" w:cs="Times New Roman"/>
          <w:sz w:val="26"/>
          <w:szCs w:val="26"/>
        </w:rPr>
        <w:t>«</w:t>
      </w:r>
      <w:r w:rsidR="00350B0A" w:rsidRPr="00FB0A3A">
        <w:rPr>
          <w:rFonts w:ascii="Myriad Pro" w:eastAsia="Calibri" w:hAnsi="Myriad Pro" w:cs="Times New Roman"/>
          <w:sz w:val="26"/>
          <w:szCs w:val="26"/>
        </w:rPr>
        <w:t>МРСК</w:t>
      </w:r>
      <w:r w:rsidR="00907125">
        <w:rPr>
          <w:rFonts w:ascii="Myriad Pro" w:eastAsia="Calibri" w:hAnsi="Myriad Pro" w:cs="Times New Roman"/>
          <w:sz w:val="26"/>
          <w:szCs w:val="26"/>
        </w:rPr>
        <w:t> </w:t>
      </w:r>
      <w:r w:rsidR="00350B0A" w:rsidRPr="00FB0A3A">
        <w:rPr>
          <w:rFonts w:ascii="Myriad Pro" w:eastAsia="Calibri" w:hAnsi="Myriad Pro" w:cs="Times New Roman"/>
          <w:sz w:val="26"/>
          <w:szCs w:val="26"/>
        </w:rPr>
        <w:t>Северо-Запада</w:t>
      </w:r>
      <w:r w:rsidR="00655FFA" w:rsidRPr="00FB0A3A">
        <w:rPr>
          <w:rFonts w:ascii="Myriad Pro" w:eastAsia="Calibri" w:hAnsi="Myriad Pro" w:cs="Times New Roman"/>
          <w:sz w:val="26"/>
          <w:szCs w:val="26"/>
        </w:rPr>
        <w:t>»</w:t>
      </w:r>
      <w:r w:rsidR="00350B0A" w:rsidRPr="00FB0A3A">
        <w:rPr>
          <w:rFonts w:ascii="Myriad Pro" w:eastAsia="Calibri" w:hAnsi="Myriad Pro" w:cs="Times New Roman"/>
          <w:sz w:val="26"/>
          <w:szCs w:val="26"/>
        </w:rPr>
        <w:t xml:space="preserve"> </w:t>
      </w:r>
      <w:r w:rsidR="00655FFA" w:rsidRPr="00FB0A3A">
        <w:rPr>
          <w:rFonts w:ascii="Myriad Pro" w:eastAsia="Calibri" w:hAnsi="Myriad Pro" w:cs="Times New Roman"/>
          <w:sz w:val="26"/>
          <w:szCs w:val="26"/>
        </w:rPr>
        <w:t>«</w:t>
      </w:r>
      <w:r w:rsidR="00350B0A" w:rsidRPr="00FB0A3A">
        <w:rPr>
          <w:rFonts w:ascii="Myriad Pro" w:eastAsia="Calibri" w:hAnsi="Myriad Pro" w:cs="Times New Roman"/>
          <w:sz w:val="26"/>
          <w:szCs w:val="26"/>
        </w:rPr>
        <w:t>Колэнерго</w:t>
      </w:r>
      <w:r w:rsidR="00655FFA" w:rsidRPr="00FB0A3A">
        <w:rPr>
          <w:rFonts w:ascii="Myriad Pro" w:eastAsia="Calibri" w:hAnsi="Myriad Pro" w:cs="Times New Roman"/>
          <w:sz w:val="26"/>
          <w:szCs w:val="26"/>
        </w:rPr>
        <w:t>»</w:t>
      </w:r>
      <w:r w:rsidR="00BE6AC9" w:rsidRPr="00FB0A3A">
        <w:rPr>
          <w:rFonts w:ascii="Myriad Pro" w:eastAsia="Calibri" w:hAnsi="Myriad Pro" w:cs="Times New Roman"/>
          <w:sz w:val="26"/>
          <w:szCs w:val="26"/>
        </w:rPr>
        <w:t xml:space="preserve"> </w:t>
      </w:r>
      <w:r w:rsidR="006F17E2" w:rsidRPr="00FB0A3A">
        <w:rPr>
          <w:rFonts w:ascii="Myriad Pro" w:eastAsia="Calibri" w:hAnsi="Myriad Pro" w:cs="Times New Roman"/>
          <w:sz w:val="26"/>
          <w:szCs w:val="26"/>
        </w:rPr>
        <w:t>за 2017</w:t>
      </w:r>
      <w:r w:rsidR="00C66F37" w:rsidRPr="00FB0A3A">
        <w:rPr>
          <w:rFonts w:ascii="Myriad Pro" w:eastAsia="Calibri" w:hAnsi="Myriad Pro" w:cs="Times New Roman"/>
          <w:sz w:val="26"/>
          <w:szCs w:val="26"/>
        </w:rPr>
        <w:t xml:space="preserve"> год над расходами, учтенными</w:t>
      </w:r>
      <w:r w:rsidR="00B27FB4" w:rsidRPr="00FB0A3A">
        <w:rPr>
          <w:rFonts w:ascii="Myriad Pro" w:eastAsia="Calibri" w:hAnsi="Myriad Pro" w:cs="Times New Roman"/>
          <w:sz w:val="26"/>
          <w:szCs w:val="26"/>
        </w:rPr>
        <w:t xml:space="preserve"> </w:t>
      </w:r>
      <w:r w:rsidR="00C66F37" w:rsidRPr="00FB0A3A">
        <w:rPr>
          <w:rFonts w:ascii="Myriad Pro" w:eastAsia="Calibri" w:hAnsi="Myriad Pro" w:cs="Times New Roman"/>
          <w:sz w:val="26"/>
          <w:szCs w:val="26"/>
        </w:rPr>
        <w:t xml:space="preserve">в НВВ </w:t>
      </w:r>
      <w:r w:rsidR="00B27FB4" w:rsidRPr="00FB0A3A">
        <w:rPr>
          <w:rFonts w:ascii="Myriad Pro" w:eastAsia="Calibri" w:hAnsi="Myriad Pro" w:cs="Times New Roman"/>
          <w:sz w:val="26"/>
          <w:szCs w:val="26"/>
        </w:rPr>
        <w:t xml:space="preserve">по соответствующим статьям </w:t>
      </w:r>
      <w:r w:rsidR="006F17E2" w:rsidRPr="00FB0A3A">
        <w:rPr>
          <w:rFonts w:ascii="Myriad Pro" w:eastAsia="Calibri" w:hAnsi="Myriad Pro" w:cs="Times New Roman"/>
          <w:sz w:val="26"/>
          <w:szCs w:val="26"/>
        </w:rPr>
        <w:t>Комитетом</w:t>
      </w:r>
      <w:r w:rsidR="00BF15E5" w:rsidRPr="00FB0A3A">
        <w:rPr>
          <w:rFonts w:ascii="Myriad Pro" w:eastAsia="Calibri" w:hAnsi="Myriad Pro" w:cs="Times New Roman"/>
          <w:sz w:val="26"/>
          <w:szCs w:val="26"/>
        </w:rPr>
        <w:t xml:space="preserve"> </w:t>
      </w:r>
      <w:r w:rsidR="00C66F37" w:rsidRPr="00FB0A3A">
        <w:rPr>
          <w:rFonts w:ascii="Myriad Pro" w:eastAsia="Calibri" w:hAnsi="Myriad Pro" w:cs="Times New Roman"/>
          <w:sz w:val="26"/>
          <w:szCs w:val="26"/>
        </w:rPr>
        <w:t>в подконтрольных расходах на 2017</w:t>
      </w:r>
      <w:r w:rsidR="00907125">
        <w:rPr>
          <w:rFonts w:ascii="Myriad Pro" w:eastAsia="Calibri" w:hAnsi="Myriad Pro" w:cs="Times New Roman"/>
          <w:sz w:val="26"/>
          <w:szCs w:val="26"/>
        </w:rPr>
        <w:t> </w:t>
      </w:r>
      <w:r w:rsidR="00BF15E5" w:rsidRPr="00FB0A3A">
        <w:rPr>
          <w:rFonts w:ascii="Myriad Pro" w:eastAsia="Calibri" w:hAnsi="Myriad Pro" w:cs="Times New Roman"/>
          <w:sz w:val="26"/>
          <w:szCs w:val="26"/>
        </w:rPr>
        <w:t>год.</w:t>
      </w:r>
    </w:p>
    <w:p w14:paraId="4B14F5BA" w14:textId="05A4A28B" w:rsidR="00270145" w:rsidRPr="00FB0A3A" w:rsidRDefault="00270145"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 xml:space="preserve">В целях определения отклонений фактических затрат </w:t>
      </w:r>
      <w:r w:rsidR="00B376BC" w:rsidRPr="00FB0A3A">
        <w:rPr>
          <w:rFonts w:ascii="Myriad Pro" w:eastAsia="Calibri" w:hAnsi="Myriad Pro" w:cs="Times New Roman"/>
          <w:sz w:val="26"/>
          <w:szCs w:val="26"/>
        </w:rPr>
        <w:t xml:space="preserve">филиала </w:t>
      </w:r>
      <w:r w:rsidR="00350B0A" w:rsidRPr="00FB0A3A">
        <w:rPr>
          <w:rFonts w:ascii="Myriad Pro" w:eastAsia="Calibri" w:hAnsi="Myriad Pro" w:cs="Times New Roman"/>
          <w:sz w:val="26"/>
          <w:szCs w:val="26"/>
        </w:rPr>
        <w:t>ПАО</w:t>
      </w:r>
      <w:r w:rsidR="00907125">
        <w:rPr>
          <w:rFonts w:ascii="Myriad Pro" w:eastAsia="Calibri" w:hAnsi="Myriad Pro" w:cs="Times New Roman"/>
          <w:sz w:val="26"/>
          <w:szCs w:val="26"/>
        </w:rPr>
        <w:t> </w:t>
      </w:r>
      <w:r w:rsidR="00655FFA" w:rsidRPr="00FB0A3A">
        <w:rPr>
          <w:rFonts w:ascii="Myriad Pro" w:eastAsia="Calibri" w:hAnsi="Myriad Pro" w:cs="Times New Roman"/>
          <w:sz w:val="26"/>
          <w:szCs w:val="26"/>
        </w:rPr>
        <w:t>«</w:t>
      </w:r>
      <w:r w:rsidR="00350B0A" w:rsidRPr="00FB0A3A">
        <w:rPr>
          <w:rFonts w:ascii="Myriad Pro" w:eastAsia="Calibri" w:hAnsi="Myriad Pro" w:cs="Times New Roman"/>
          <w:sz w:val="26"/>
          <w:szCs w:val="26"/>
        </w:rPr>
        <w:t>МРСК</w:t>
      </w:r>
      <w:r w:rsidR="00907125">
        <w:rPr>
          <w:rFonts w:ascii="Myriad Pro" w:eastAsia="Calibri" w:hAnsi="Myriad Pro" w:cs="Times New Roman"/>
          <w:sz w:val="26"/>
          <w:szCs w:val="26"/>
        </w:rPr>
        <w:t> </w:t>
      </w:r>
      <w:r w:rsidR="00350B0A" w:rsidRPr="00FB0A3A">
        <w:rPr>
          <w:rFonts w:ascii="Myriad Pro" w:eastAsia="Calibri" w:hAnsi="Myriad Pro" w:cs="Times New Roman"/>
          <w:sz w:val="26"/>
          <w:szCs w:val="26"/>
        </w:rPr>
        <w:t>Северо-Запада</w:t>
      </w:r>
      <w:r w:rsidR="00655FFA" w:rsidRPr="00FB0A3A">
        <w:rPr>
          <w:rFonts w:ascii="Myriad Pro" w:eastAsia="Calibri" w:hAnsi="Myriad Pro" w:cs="Times New Roman"/>
          <w:sz w:val="26"/>
          <w:szCs w:val="26"/>
        </w:rPr>
        <w:t>»</w:t>
      </w:r>
      <w:r w:rsidR="00350B0A" w:rsidRPr="00FB0A3A">
        <w:rPr>
          <w:rFonts w:ascii="Myriad Pro" w:eastAsia="Calibri" w:hAnsi="Myriad Pro" w:cs="Times New Roman"/>
          <w:sz w:val="26"/>
          <w:szCs w:val="26"/>
        </w:rPr>
        <w:t xml:space="preserve"> </w:t>
      </w:r>
      <w:r w:rsidR="00655FFA" w:rsidRPr="00FB0A3A">
        <w:rPr>
          <w:rFonts w:ascii="Myriad Pro" w:eastAsia="Calibri" w:hAnsi="Myriad Pro" w:cs="Times New Roman"/>
          <w:sz w:val="26"/>
          <w:szCs w:val="26"/>
        </w:rPr>
        <w:t>«</w:t>
      </w:r>
      <w:r w:rsidR="00350B0A" w:rsidRPr="00FB0A3A">
        <w:rPr>
          <w:rFonts w:ascii="Myriad Pro" w:eastAsia="Calibri" w:hAnsi="Myriad Pro" w:cs="Times New Roman"/>
          <w:sz w:val="26"/>
          <w:szCs w:val="26"/>
        </w:rPr>
        <w:t>Колэнерго</w:t>
      </w:r>
      <w:r w:rsidR="00655FFA" w:rsidRPr="00FB0A3A">
        <w:rPr>
          <w:rFonts w:ascii="Myriad Pro" w:eastAsia="Calibri" w:hAnsi="Myriad Pro" w:cs="Times New Roman"/>
          <w:sz w:val="26"/>
          <w:szCs w:val="26"/>
        </w:rPr>
        <w:t>»</w:t>
      </w:r>
      <w:r w:rsidR="006F17E2" w:rsidRPr="00FB0A3A">
        <w:rPr>
          <w:rFonts w:ascii="Myriad Pro" w:eastAsia="Calibri" w:hAnsi="Myriad Pro" w:cs="Times New Roman"/>
          <w:sz w:val="26"/>
          <w:szCs w:val="26"/>
        </w:rPr>
        <w:t xml:space="preserve"> за 2017</w:t>
      </w:r>
      <w:r w:rsidRPr="00FB0A3A">
        <w:rPr>
          <w:rFonts w:ascii="Myriad Pro" w:eastAsia="Calibri" w:hAnsi="Myriad Pro" w:cs="Times New Roman"/>
          <w:sz w:val="26"/>
          <w:szCs w:val="26"/>
        </w:rPr>
        <w:t xml:space="preserve"> по сравнению расходами, </w:t>
      </w:r>
      <w:r w:rsidRPr="00FB0A3A">
        <w:rPr>
          <w:rFonts w:ascii="Myriad Pro" w:eastAsia="Calibri" w:hAnsi="Myriad Pro" w:cs="Times New Roman"/>
          <w:sz w:val="26"/>
          <w:szCs w:val="26"/>
        </w:rPr>
        <w:lastRenderedPageBreak/>
        <w:t xml:space="preserve">принятыми </w:t>
      </w:r>
      <w:r w:rsidR="006F17E2" w:rsidRPr="00FB0A3A">
        <w:rPr>
          <w:rFonts w:ascii="Myriad Pro" w:eastAsia="Calibri" w:hAnsi="Myriad Pro" w:cs="Times New Roman"/>
          <w:sz w:val="26"/>
          <w:szCs w:val="26"/>
        </w:rPr>
        <w:t xml:space="preserve">по соответствующим статьям </w:t>
      </w:r>
      <w:r w:rsidRPr="00FB0A3A">
        <w:rPr>
          <w:rFonts w:ascii="Myriad Pro" w:eastAsia="Calibri" w:hAnsi="Myriad Pro" w:cs="Times New Roman"/>
          <w:sz w:val="26"/>
          <w:szCs w:val="26"/>
        </w:rPr>
        <w:t>К</w:t>
      </w:r>
      <w:r w:rsidR="006F17E2" w:rsidRPr="00FB0A3A">
        <w:rPr>
          <w:rFonts w:ascii="Myriad Pro" w:eastAsia="Calibri" w:hAnsi="Myriad Pro" w:cs="Times New Roman"/>
          <w:sz w:val="26"/>
          <w:szCs w:val="26"/>
        </w:rPr>
        <w:t>омитетом</w:t>
      </w:r>
      <w:r w:rsidRPr="00FB0A3A">
        <w:rPr>
          <w:rFonts w:ascii="Myriad Pro" w:eastAsia="Calibri" w:hAnsi="Myriad Pro" w:cs="Times New Roman"/>
          <w:sz w:val="26"/>
          <w:szCs w:val="26"/>
        </w:rPr>
        <w:t xml:space="preserve"> при установлении базового уровня</w:t>
      </w:r>
      <w:r w:rsidR="006F17E2" w:rsidRPr="00FB0A3A">
        <w:rPr>
          <w:rFonts w:ascii="Myriad Pro" w:eastAsia="Calibri" w:hAnsi="Myriad Pro" w:cs="Times New Roman"/>
          <w:sz w:val="26"/>
          <w:szCs w:val="26"/>
        </w:rPr>
        <w:t xml:space="preserve"> подконтрольных расходов на 2019</w:t>
      </w:r>
      <w:r w:rsidRPr="00FB0A3A">
        <w:rPr>
          <w:rFonts w:ascii="Myriad Pro" w:eastAsia="Calibri" w:hAnsi="Myriad Pro" w:cs="Times New Roman"/>
          <w:sz w:val="26"/>
          <w:szCs w:val="26"/>
        </w:rPr>
        <w:t xml:space="preserve"> год</w:t>
      </w:r>
      <w:r w:rsidRPr="00075631">
        <w:rPr>
          <w:rFonts w:ascii="Myriad Pro" w:eastAsia="Calibri" w:hAnsi="Myriad Pro" w:cs="Times New Roman"/>
          <w:sz w:val="26"/>
          <w:szCs w:val="26"/>
        </w:rPr>
        <w:t xml:space="preserve">, </w:t>
      </w:r>
      <w:r w:rsidRPr="00075631">
        <w:rPr>
          <w:rFonts w:ascii="Myriad Pro" w:eastAsia="Calibri" w:hAnsi="Myriad Pro" w:cs="Times New Roman"/>
          <w:b/>
          <w:sz w:val="26"/>
          <w:szCs w:val="26"/>
        </w:rPr>
        <w:t>Исполнителем выполнено прив</w:t>
      </w:r>
      <w:r w:rsidR="006F17E2" w:rsidRPr="00075631">
        <w:rPr>
          <w:rFonts w:ascii="Myriad Pro" w:eastAsia="Calibri" w:hAnsi="Myriad Pro" w:cs="Times New Roman"/>
          <w:b/>
          <w:sz w:val="26"/>
          <w:szCs w:val="26"/>
        </w:rPr>
        <w:t>едение фактических расходов 2017</w:t>
      </w:r>
      <w:r w:rsidRPr="00075631">
        <w:rPr>
          <w:rFonts w:ascii="Myriad Pro" w:eastAsia="Calibri" w:hAnsi="Myriad Pro" w:cs="Times New Roman"/>
          <w:b/>
          <w:sz w:val="26"/>
          <w:szCs w:val="26"/>
        </w:rPr>
        <w:t xml:space="preserve"> года к уров</w:t>
      </w:r>
      <w:r w:rsidR="006F17E2" w:rsidRPr="00075631">
        <w:rPr>
          <w:rFonts w:ascii="Myriad Pro" w:eastAsia="Calibri" w:hAnsi="Myriad Pro" w:cs="Times New Roman"/>
          <w:b/>
          <w:sz w:val="26"/>
          <w:szCs w:val="26"/>
        </w:rPr>
        <w:t>ню расходов, планируемых на 2019</w:t>
      </w:r>
      <w:r w:rsidRPr="00075631">
        <w:rPr>
          <w:rFonts w:ascii="Myriad Pro" w:eastAsia="Calibri" w:hAnsi="Myriad Pro" w:cs="Times New Roman"/>
          <w:b/>
          <w:sz w:val="26"/>
          <w:szCs w:val="26"/>
        </w:rPr>
        <w:t xml:space="preserve"> год.</w:t>
      </w:r>
      <w:r w:rsidRPr="00FB0A3A">
        <w:rPr>
          <w:rFonts w:ascii="Myriad Pro" w:eastAsia="Calibri" w:hAnsi="Myriad Pro" w:cs="Times New Roman"/>
          <w:sz w:val="26"/>
          <w:szCs w:val="26"/>
        </w:rPr>
        <w:t xml:space="preserve"> В частности, для р</w:t>
      </w:r>
      <w:r w:rsidR="006F17E2" w:rsidRPr="00FB0A3A">
        <w:rPr>
          <w:rFonts w:ascii="Myriad Pro" w:eastAsia="Calibri" w:hAnsi="Myriad Pro" w:cs="Times New Roman"/>
          <w:sz w:val="26"/>
          <w:szCs w:val="26"/>
        </w:rPr>
        <w:t>асчета приведенных расходов 2017</w:t>
      </w:r>
      <w:r w:rsidRPr="00FB0A3A">
        <w:rPr>
          <w:rFonts w:ascii="Myriad Pro" w:eastAsia="Calibri" w:hAnsi="Myriad Pro" w:cs="Times New Roman"/>
          <w:sz w:val="26"/>
          <w:szCs w:val="26"/>
        </w:rPr>
        <w:t xml:space="preserve"> года Испо</w:t>
      </w:r>
      <w:r w:rsidR="00C4473E" w:rsidRPr="00FB0A3A">
        <w:rPr>
          <w:rFonts w:ascii="Myriad Pro" w:eastAsia="Calibri" w:hAnsi="Myriad Pro" w:cs="Times New Roman"/>
          <w:sz w:val="26"/>
          <w:szCs w:val="26"/>
        </w:rPr>
        <w:t>лнителем учтены ИПЦ по Прогнозу</w:t>
      </w:r>
      <w:r w:rsidRPr="00FB0A3A">
        <w:rPr>
          <w:rFonts w:ascii="Myriad Pro" w:eastAsia="Calibri" w:hAnsi="Myriad Pro" w:cs="Times New Roman"/>
          <w:sz w:val="26"/>
          <w:szCs w:val="26"/>
        </w:rPr>
        <w:t xml:space="preserve"> </w:t>
      </w:r>
      <w:r w:rsidR="00C4473E" w:rsidRPr="00FB0A3A">
        <w:rPr>
          <w:rFonts w:ascii="Myriad Pro" w:eastAsia="Calibri" w:hAnsi="Myriad Pro" w:cs="Times New Roman"/>
          <w:sz w:val="26"/>
          <w:szCs w:val="26"/>
        </w:rPr>
        <w:t>социально-экономического разви</w:t>
      </w:r>
      <w:r w:rsidR="006F17E2" w:rsidRPr="00FB0A3A">
        <w:rPr>
          <w:rFonts w:ascii="Myriad Pro" w:eastAsia="Calibri" w:hAnsi="Myriad Pro" w:cs="Times New Roman"/>
          <w:sz w:val="26"/>
          <w:szCs w:val="26"/>
        </w:rPr>
        <w:t xml:space="preserve">тия Российской Федерации на </w:t>
      </w:r>
      <w:r w:rsidR="00C4473E" w:rsidRPr="00FB0A3A">
        <w:rPr>
          <w:rFonts w:ascii="Myriad Pro" w:eastAsia="Calibri" w:hAnsi="Myriad Pro" w:cs="Times New Roman"/>
          <w:sz w:val="26"/>
          <w:szCs w:val="26"/>
        </w:rPr>
        <w:t xml:space="preserve">период </w:t>
      </w:r>
      <w:r w:rsidR="00D3568B" w:rsidRPr="00FB0A3A">
        <w:rPr>
          <w:rFonts w:ascii="Myriad Pro" w:eastAsia="Calibri" w:hAnsi="Myriad Pro" w:cs="Times New Roman"/>
          <w:sz w:val="26"/>
          <w:szCs w:val="26"/>
        </w:rPr>
        <w:t>2024 года</w:t>
      </w:r>
      <w:r w:rsidR="00C4473E" w:rsidRPr="00FB0A3A">
        <w:rPr>
          <w:rFonts w:ascii="Myriad Pro" w:eastAsia="Calibri" w:hAnsi="Myriad Pro" w:cs="Times New Roman"/>
          <w:sz w:val="26"/>
          <w:szCs w:val="26"/>
        </w:rPr>
        <w:t xml:space="preserve"> </w:t>
      </w:r>
      <w:r w:rsidR="00D3568B" w:rsidRPr="00FB0A3A">
        <w:rPr>
          <w:rFonts w:ascii="Myriad Pro" w:eastAsia="Calibri" w:hAnsi="Myriad Pro" w:cs="Times New Roman"/>
          <w:sz w:val="26"/>
          <w:szCs w:val="26"/>
        </w:rPr>
        <w:t>(прогноз 2018 год – 102,73</w:t>
      </w:r>
      <w:r w:rsidRPr="00FB0A3A">
        <w:rPr>
          <w:rFonts w:ascii="Myriad Pro" w:eastAsia="Calibri" w:hAnsi="Myriad Pro" w:cs="Times New Roman"/>
          <w:sz w:val="26"/>
          <w:szCs w:val="26"/>
        </w:rPr>
        <w:t>%,</w:t>
      </w:r>
      <w:r w:rsidR="00D3568B" w:rsidRPr="00FB0A3A">
        <w:rPr>
          <w:rFonts w:ascii="Myriad Pro" w:eastAsia="Calibri" w:hAnsi="Myriad Pro" w:cs="Times New Roman"/>
          <w:sz w:val="26"/>
          <w:szCs w:val="26"/>
        </w:rPr>
        <w:t xml:space="preserve"> прогноз на 2019 год – 104,65</w:t>
      </w:r>
      <w:r w:rsidRPr="00FB0A3A">
        <w:rPr>
          <w:rFonts w:ascii="Myriad Pro" w:eastAsia="Calibri" w:hAnsi="Myriad Pro" w:cs="Times New Roman"/>
          <w:sz w:val="26"/>
          <w:szCs w:val="26"/>
        </w:rPr>
        <w:t>%) и изменение объема условных единиц электросетево</w:t>
      </w:r>
      <w:r w:rsidR="00DD0654" w:rsidRPr="00FB0A3A">
        <w:rPr>
          <w:rFonts w:ascii="Myriad Pro" w:eastAsia="Calibri" w:hAnsi="Myriad Pro" w:cs="Times New Roman"/>
          <w:sz w:val="26"/>
          <w:szCs w:val="26"/>
        </w:rPr>
        <w:t>го оборудования по факту за 2017</w:t>
      </w:r>
      <w:r w:rsidRPr="00FB0A3A">
        <w:rPr>
          <w:rFonts w:ascii="Myriad Pro" w:eastAsia="Calibri" w:hAnsi="Myriad Pro" w:cs="Times New Roman"/>
          <w:sz w:val="26"/>
          <w:szCs w:val="26"/>
        </w:rPr>
        <w:t xml:space="preserve"> год </w:t>
      </w:r>
      <w:r w:rsidR="00DD0654" w:rsidRPr="00FB0A3A">
        <w:rPr>
          <w:rFonts w:ascii="Myriad Pro" w:eastAsia="Calibri" w:hAnsi="Myriad Pro" w:cs="Times New Roman"/>
          <w:sz w:val="26"/>
          <w:szCs w:val="26"/>
        </w:rPr>
        <w:t>(41 216,70</w:t>
      </w:r>
      <w:r w:rsidR="00C4473E" w:rsidRPr="00FB0A3A">
        <w:rPr>
          <w:rFonts w:ascii="Myriad Pro" w:eastAsia="Calibri" w:hAnsi="Myriad Pro" w:cs="Times New Roman"/>
          <w:sz w:val="26"/>
          <w:szCs w:val="26"/>
        </w:rPr>
        <w:t xml:space="preserve"> у.е.),</w:t>
      </w:r>
      <w:r w:rsidR="00DD0654" w:rsidRPr="00FB0A3A">
        <w:rPr>
          <w:rFonts w:ascii="Myriad Pro" w:eastAsia="Calibri" w:hAnsi="Myriad Pro" w:cs="Times New Roman"/>
          <w:sz w:val="26"/>
          <w:szCs w:val="26"/>
        </w:rPr>
        <w:t xml:space="preserve"> по оценке за 2018 год (41 013,27</w:t>
      </w:r>
      <w:r w:rsidR="00C4473E" w:rsidRPr="00FB0A3A">
        <w:rPr>
          <w:rFonts w:ascii="Myriad Pro" w:eastAsia="Calibri" w:hAnsi="Myriad Pro" w:cs="Times New Roman"/>
          <w:sz w:val="26"/>
          <w:szCs w:val="26"/>
        </w:rPr>
        <w:t xml:space="preserve"> у.е.)</w:t>
      </w:r>
      <w:r w:rsidR="00DD0654" w:rsidRPr="00FB0A3A">
        <w:rPr>
          <w:rFonts w:ascii="Myriad Pro" w:eastAsia="Calibri" w:hAnsi="Myriad Pro" w:cs="Times New Roman"/>
          <w:sz w:val="26"/>
          <w:szCs w:val="26"/>
        </w:rPr>
        <w:t>, по плану на 2019 год (41 520,85</w:t>
      </w:r>
      <w:r w:rsidR="00C4473E" w:rsidRPr="00FB0A3A">
        <w:rPr>
          <w:rFonts w:ascii="Myriad Pro" w:eastAsia="Calibri" w:hAnsi="Myriad Pro" w:cs="Times New Roman"/>
          <w:sz w:val="26"/>
          <w:szCs w:val="26"/>
        </w:rPr>
        <w:t xml:space="preserve"> у.е.).</w:t>
      </w:r>
    </w:p>
    <w:p w14:paraId="0FF97E48" w14:textId="73A5D0B4" w:rsidR="00C4473E" w:rsidRPr="00DB6B11" w:rsidRDefault="00C4473E"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 xml:space="preserve">На основании расчетных величин отклонений Исполнителем был произведен </w:t>
      </w:r>
      <w:r w:rsidR="00532687" w:rsidRPr="00075631">
        <w:rPr>
          <w:rFonts w:ascii="Myriad Pro" w:eastAsia="Calibri" w:hAnsi="Myriad Pro" w:cs="Times New Roman"/>
          <w:b/>
          <w:sz w:val="26"/>
          <w:szCs w:val="26"/>
          <w:u w:val="single"/>
        </w:rPr>
        <w:t>выборочный</w:t>
      </w:r>
      <w:r w:rsidR="00532687" w:rsidRPr="00075631">
        <w:rPr>
          <w:rFonts w:ascii="Myriad Pro" w:eastAsia="Calibri" w:hAnsi="Myriad Pro" w:cs="Times New Roman"/>
          <w:sz w:val="26"/>
          <w:szCs w:val="26"/>
        </w:rPr>
        <w:t xml:space="preserve"> </w:t>
      </w:r>
      <w:r w:rsidRPr="00075631">
        <w:rPr>
          <w:rFonts w:ascii="Myriad Pro" w:eastAsia="Calibri" w:hAnsi="Myriad Pro" w:cs="Times New Roman"/>
          <w:sz w:val="26"/>
          <w:szCs w:val="26"/>
        </w:rPr>
        <w:t xml:space="preserve">анализ решения органа регулирования по определению базовой величины подконтрольных расходов </w:t>
      </w:r>
      <w:r w:rsidR="00DD0654" w:rsidRPr="00075631">
        <w:rPr>
          <w:rFonts w:ascii="Myriad Pro" w:eastAsia="Calibri" w:hAnsi="Myriad Pro" w:cs="Times New Roman"/>
          <w:sz w:val="26"/>
          <w:szCs w:val="26"/>
        </w:rPr>
        <w:t>на 2019</w:t>
      </w:r>
      <w:r w:rsidR="00532687" w:rsidRPr="00075631">
        <w:rPr>
          <w:rFonts w:ascii="Myriad Pro" w:eastAsia="Calibri" w:hAnsi="Myriad Pro" w:cs="Times New Roman"/>
          <w:sz w:val="26"/>
          <w:szCs w:val="26"/>
        </w:rPr>
        <w:t xml:space="preserve"> год </w:t>
      </w:r>
      <w:r w:rsidRPr="00075631">
        <w:rPr>
          <w:rFonts w:ascii="Myriad Pro" w:eastAsia="Calibri" w:hAnsi="Myriad Pro" w:cs="Times New Roman"/>
          <w:sz w:val="26"/>
          <w:szCs w:val="26"/>
        </w:rPr>
        <w:t xml:space="preserve">по статьям </w:t>
      </w:r>
      <w:r w:rsidR="00532687" w:rsidRPr="00075631">
        <w:rPr>
          <w:rFonts w:ascii="Myriad Pro" w:eastAsia="Calibri" w:hAnsi="Myriad Pro" w:cs="Times New Roman"/>
          <w:sz w:val="26"/>
          <w:szCs w:val="26"/>
        </w:rPr>
        <w:t>с учетом существенности уровня отклонений как в абсолютном, так и в относительном выражении.</w:t>
      </w:r>
    </w:p>
    <w:p w14:paraId="0224D38D" w14:textId="5109BE99" w:rsidR="00F07616" w:rsidRPr="00FB0A3A" w:rsidRDefault="00BE6AC9"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В следующей таблице приведен сравнительный анализ фактических сумм подконтрол</w:t>
      </w:r>
      <w:r w:rsidR="00C67A2A" w:rsidRPr="00FB0A3A">
        <w:rPr>
          <w:rFonts w:ascii="Myriad Pro" w:eastAsia="Calibri" w:hAnsi="Myriad Pro" w:cs="Times New Roman"/>
          <w:sz w:val="26"/>
          <w:szCs w:val="26"/>
        </w:rPr>
        <w:t>ьных расходов по статьям за 2017</w:t>
      </w:r>
      <w:r w:rsidRPr="00FB0A3A">
        <w:rPr>
          <w:rFonts w:ascii="Myriad Pro" w:eastAsia="Calibri" w:hAnsi="Myriad Pro" w:cs="Times New Roman"/>
          <w:sz w:val="26"/>
          <w:szCs w:val="26"/>
        </w:rPr>
        <w:t xml:space="preserve"> год, </w:t>
      </w:r>
      <w:r w:rsidR="00B66D5D" w:rsidRPr="00FB0A3A">
        <w:rPr>
          <w:rFonts w:ascii="Myriad Pro" w:eastAsia="Calibri" w:hAnsi="Myriad Pro" w:cs="Times New Roman"/>
          <w:sz w:val="26"/>
          <w:szCs w:val="26"/>
        </w:rPr>
        <w:t xml:space="preserve">величин расходов, </w:t>
      </w:r>
      <w:r w:rsidRPr="00FB0A3A">
        <w:rPr>
          <w:rFonts w:ascii="Myriad Pro" w:eastAsia="Calibri" w:hAnsi="Myriad Pro" w:cs="Times New Roman"/>
          <w:sz w:val="26"/>
          <w:szCs w:val="26"/>
        </w:rPr>
        <w:t xml:space="preserve">заявленных </w:t>
      </w:r>
      <w:r w:rsidR="00B66D5D" w:rsidRPr="00FB0A3A">
        <w:rPr>
          <w:rFonts w:ascii="Myriad Pro" w:eastAsia="Calibri" w:hAnsi="Myriad Pro" w:cs="Times New Roman"/>
          <w:sz w:val="26"/>
          <w:szCs w:val="26"/>
        </w:rPr>
        <w:t xml:space="preserve">филиалом </w:t>
      </w:r>
      <w:r w:rsidR="00350B0A" w:rsidRPr="00FB0A3A">
        <w:rPr>
          <w:rFonts w:ascii="Myriad Pro" w:eastAsia="Calibri" w:hAnsi="Myriad Pro" w:cs="Times New Roman"/>
          <w:sz w:val="26"/>
          <w:szCs w:val="26"/>
        </w:rPr>
        <w:t xml:space="preserve">ПАО </w:t>
      </w:r>
      <w:r w:rsidR="00655FFA" w:rsidRPr="00FB0A3A">
        <w:rPr>
          <w:rFonts w:ascii="Myriad Pro" w:eastAsia="Calibri" w:hAnsi="Myriad Pro" w:cs="Times New Roman"/>
          <w:sz w:val="26"/>
          <w:szCs w:val="26"/>
        </w:rPr>
        <w:t>«</w:t>
      </w:r>
      <w:r w:rsidR="00350B0A" w:rsidRPr="00FB0A3A">
        <w:rPr>
          <w:rFonts w:ascii="Myriad Pro" w:eastAsia="Calibri" w:hAnsi="Myriad Pro" w:cs="Times New Roman"/>
          <w:sz w:val="26"/>
          <w:szCs w:val="26"/>
        </w:rPr>
        <w:t>МРСК Северо-Запада</w:t>
      </w:r>
      <w:r w:rsidR="00655FFA" w:rsidRPr="00FB0A3A">
        <w:rPr>
          <w:rFonts w:ascii="Myriad Pro" w:eastAsia="Calibri" w:hAnsi="Myriad Pro" w:cs="Times New Roman"/>
          <w:sz w:val="26"/>
          <w:szCs w:val="26"/>
        </w:rPr>
        <w:t>»</w:t>
      </w:r>
      <w:r w:rsidR="00350B0A" w:rsidRPr="00FB0A3A">
        <w:rPr>
          <w:rFonts w:ascii="Myriad Pro" w:eastAsia="Calibri" w:hAnsi="Myriad Pro" w:cs="Times New Roman"/>
          <w:sz w:val="26"/>
          <w:szCs w:val="26"/>
        </w:rPr>
        <w:t xml:space="preserve"> </w:t>
      </w:r>
      <w:r w:rsidR="00655FFA" w:rsidRPr="00FB0A3A">
        <w:rPr>
          <w:rFonts w:ascii="Myriad Pro" w:eastAsia="Calibri" w:hAnsi="Myriad Pro" w:cs="Times New Roman"/>
          <w:sz w:val="26"/>
          <w:szCs w:val="26"/>
        </w:rPr>
        <w:t>«</w:t>
      </w:r>
      <w:r w:rsidR="00350B0A" w:rsidRPr="00FB0A3A">
        <w:rPr>
          <w:rFonts w:ascii="Myriad Pro" w:eastAsia="Calibri" w:hAnsi="Myriad Pro" w:cs="Times New Roman"/>
          <w:sz w:val="26"/>
          <w:szCs w:val="26"/>
        </w:rPr>
        <w:t>Колэнерго</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 xml:space="preserve"> на 201</w:t>
      </w:r>
      <w:r w:rsidR="00DD0654" w:rsidRPr="00FB0A3A">
        <w:rPr>
          <w:rFonts w:ascii="Myriad Pro" w:eastAsia="Calibri" w:hAnsi="Myriad Pro" w:cs="Times New Roman"/>
          <w:sz w:val="26"/>
          <w:szCs w:val="26"/>
        </w:rPr>
        <w:t>9</w:t>
      </w:r>
      <w:r w:rsidRPr="00FB0A3A">
        <w:rPr>
          <w:rFonts w:ascii="Myriad Pro" w:eastAsia="Calibri" w:hAnsi="Myriad Pro" w:cs="Times New Roman"/>
          <w:sz w:val="26"/>
          <w:szCs w:val="26"/>
        </w:rPr>
        <w:t xml:space="preserve"> год</w:t>
      </w:r>
      <w:r w:rsidR="00B66D5D" w:rsidRPr="00FB0A3A">
        <w:rPr>
          <w:rFonts w:ascii="Myriad Pro" w:eastAsia="Calibri" w:hAnsi="Myriad Pro" w:cs="Times New Roman"/>
          <w:sz w:val="26"/>
          <w:szCs w:val="26"/>
        </w:rPr>
        <w:t>,</w:t>
      </w:r>
      <w:r w:rsidRPr="00FB0A3A">
        <w:rPr>
          <w:rFonts w:ascii="Myriad Pro" w:eastAsia="Calibri" w:hAnsi="Myriad Pro" w:cs="Times New Roman"/>
          <w:sz w:val="26"/>
          <w:szCs w:val="26"/>
        </w:rPr>
        <w:t xml:space="preserve"> и </w:t>
      </w:r>
      <w:r w:rsidR="00B66D5D" w:rsidRPr="00FB0A3A">
        <w:rPr>
          <w:rFonts w:ascii="Myriad Pro" w:eastAsia="Calibri" w:hAnsi="Myriad Pro" w:cs="Times New Roman"/>
          <w:sz w:val="26"/>
          <w:szCs w:val="26"/>
        </w:rPr>
        <w:t xml:space="preserve">расходов, </w:t>
      </w:r>
      <w:r w:rsidR="00DD0654" w:rsidRPr="00FB0A3A">
        <w:rPr>
          <w:rFonts w:ascii="Myriad Pro" w:eastAsia="Calibri" w:hAnsi="Myriad Pro" w:cs="Times New Roman"/>
          <w:sz w:val="26"/>
          <w:szCs w:val="26"/>
        </w:rPr>
        <w:t>принятых Комитетом</w:t>
      </w:r>
      <w:r w:rsidRPr="00FB0A3A">
        <w:rPr>
          <w:rFonts w:ascii="Myriad Pro" w:eastAsia="Calibri" w:hAnsi="Myriad Pro" w:cs="Times New Roman"/>
          <w:sz w:val="26"/>
          <w:szCs w:val="26"/>
        </w:rPr>
        <w:t xml:space="preserve"> в состав базового уровня</w:t>
      </w:r>
      <w:r w:rsidR="00DD0654" w:rsidRPr="00FB0A3A">
        <w:rPr>
          <w:rFonts w:ascii="Myriad Pro" w:eastAsia="Calibri" w:hAnsi="Myriad Pro" w:cs="Times New Roman"/>
          <w:sz w:val="26"/>
          <w:szCs w:val="26"/>
        </w:rPr>
        <w:t xml:space="preserve"> подконтрольных расходов на 2019</w:t>
      </w:r>
      <w:r w:rsidR="00996030">
        <w:rPr>
          <w:rFonts w:ascii="Myriad Pro" w:eastAsia="Calibri" w:hAnsi="Myriad Pro" w:cs="Times New Roman"/>
          <w:sz w:val="26"/>
          <w:szCs w:val="26"/>
        </w:rPr>
        <w:t> </w:t>
      </w:r>
      <w:r w:rsidRPr="00FB0A3A">
        <w:rPr>
          <w:rFonts w:ascii="Myriad Pro" w:eastAsia="Calibri" w:hAnsi="Myriad Pro" w:cs="Times New Roman"/>
          <w:sz w:val="26"/>
          <w:szCs w:val="26"/>
        </w:rPr>
        <w:t>год.</w:t>
      </w:r>
    </w:p>
    <w:p w14:paraId="267D2A00" w14:textId="77777777" w:rsidR="00FB4E4C" w:rsidRPr="00FB0A3A" w:rsidRDefault="00FB4E4C" w:rsidP="00A31747">
      <w:pPr>
        <w:tabs>
          <w:tab w:val="left" w:pos="1134"/>
        </w:tabs>
        <w:spacing w:after="0" w:line="360" w:lineRule="auto"/>
        <w:ind w:firstLine="567"/>
        <w:contextualSpacing/>
        <w:jc w:val="both"/>
        <w:rPr>
          <w:rFonts w:ascii="Myriad Pro" w:eastAsia="Calibri" w:hAnsi="Myriad Pro" w:cs="Times New Roman"/>
          <w:sz w:val="26"/>
          <w:szCs w:val="26"/>
        </w:rPr>
      </w:pPr>
    </w:p>
    <w:p w14:paraId="75DBAE80" w14:textId="77777777" w:rsidR="00F07616" w:rsidRPr="00FB0A3A" w:rsidRDefault="00F07616" w:rsidP="00A31747">
      <w:pPr>
        <w:tabs>
          <w:tab w:val="left" w:pos="1134"/>
        </w:tabs>
        <w:spacing w:after="0" w:line="240" w:lineRule="auto"/>
        <w:ind w:firstLine="567"/>
        <w:jc w:val="center"/>
        <w:rPr>
          <w:rFonts w:ascii="Myriad Pro" w:eastAsia="Calibri" w:hAnsi="Myriad Pro" w:cs="Times New Roman"/>
          <w:sz w:val="15"/>
          <w:szCs w:val="15"/>
        </w:rPr>
        <w:sectPr w:rsidR="00F07616" w:rsidRPr="00FB0A3A" w:rsidSect="00FB0A3A">
          <w:pgSz w:w="11906" w:h="16838"/>
          <w:pgMar w:top="1134" w:right="851" w:bottom="1134" w:left="1701" w:header="708" w:footer="708" w:gutter="0"/>
          <w:cols w:space="708"/>
          <w:docGrid w:linePitch="360"/>
        </w:sectPr>
      </w:pPr>
    </w:p>
    <w:tbl>
      <w:tblPr>
        <w:tblStyle w:val="afff6"/>
        <w:tblW w:w="5000" w:type="pct"/>
        <w:tblLayout w:type="fixed"/>
        <w:tblLook w:val="04A0" w:firstRow="1" w:lastRow="0" w:firstColumn="1" w:lastColumn="0" w:noHBand="0" w:noVBand="1"/>
      </w:tblPr>
      <w:tblGrid>
        <w:gridCol w:w="704"/>
        <w:gridCol w:w="2096"/>
        <w:gridCol w:w="902"/>
        <w:gridCol w:w="1280"/>
        <w:gridCol w:w="1269"/>
        <w:gridCol w:w="1250"/>
        <w:gridCol w:w="1250"/>
        <w:gridCol w:w="1185"/>
        <w:gridCol w:w="1390"/>
        <w:gridCol w:w="760"/>
        <w:gridCol w:w="1095"/>
        <w:gridCol w:w="1095"/>
      </w:tblGrid>
      <w:tr w:rsidR="006A4293" w:rsidRPr="00FB0A3A" w14:paraId="627106C2" w14:textId="77777777" w:rsidTr="009071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395FD59F" w14:textId="5C7E56FA" w:rsidR="00B420F4" w:rsidRPr="00FB0A3A" w:rsidRDefault="00B420F4" w:rsidP="006A4293">
            <w:pPr>
              <w:tabs>
                <w:tab w:val="left" w:pos="1134"/>
              </w:tabs>
              <w:jc w:val="center"/>
              <w:rPr>
                <w:rFonts w:eastAsia="Calibri" w:cs="Times New Roman"/>
                <w:sz w:val="16"/>
                <w:szCs w:val="16"/>
              </w:rPr>
            </w:pPr>
            <w:r w:rsidRPr="00FB0A3A">
              <w:rPr>
                <w:rFonts w:eastAsia="Calibri" w:cs="Times New Roman"/>
                <w:sz w:val="16"/>
                <w:szCs w:val="16"/>
              </w:rPr>
              <w:lastRenderedPageBreak/>
              <w:t>№ п/п</w:t>
            </w:r>
          </w:p>
        </w:tc>
        <w:tc>
          <w:tcPr>
            <w:tcW w:w="223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C92F713" w14:textId="77777777" w:rsidR="00B420F4" w:rsidRPr="00FB0A3A" w:rsidRDefault="00B420F4" w:rsidP="006A4293">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Наименование статьи расходов</w:t>
            </w:r>
          </w:p>
        </w:tc>
        <w:tc>
          <w:tcPr>
            <w:tcW w:w="95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D1D643A" w14:textId="77777777" w:rsidR="00B420F4" w:rsidRPr="00FB0A3A" w:rsidRDefault="00B420F4" w:rsidP="006A4293">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 xml:space="preserve"> Факт за 2017, тыс. руб. </w:t>
            </w:r>
          </w:p>
        </w:tc>
        <w:tc>
          <w:tcPr>
            <w:tcW w:w="135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B9AD420" w14:textId="6F3DAD3C" w:rsidR="00B420F4" w:rsidRPr="00FB0A3A" w:rsidRDefault="006A4293" w:rsidP="006A4293">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   Приведенный факт 2017, с учетом</w:t>
            </w:r>
            <w:r w:rsidR="00B420F4" w:rsidRPr="00FB0A3A">
              <w:rPr>
                <w:rFonts w:eastAsia="Calibri" w:cs="Times New Roman"/>
                <w:sz w:val="16"/>
                <w:szCs w:val="16"/>
              </w:rPr>
              <w:t xml:space="preserve"> ИЦП и ИКА 2018/2017 и 2019/2018 </w:t>
            </w:r>
          </w:p>
        </w:tc>
        <w:tc>
          <w:tcPr>
            <w:tcW w:w="134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DC874F0" w14:textId="77777777" w:rsidR="00B420F4" w:rsidRPr="00FB0A3A" w:rsidRDefault="00B420F4" w:rsidP="006A4293">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 xml:space="preserve"> Тарифная заявка на 2019 </w:t>
            </w:r>
            <w:r w:rsidRPr="00FB0A3A">
              <w:rPr>
                <w:rFonts w:eastAsia="Calibri" w:cs="Times New Roman"/>
                <w:sz w:val="16"/>
                <w:szCs w:val="16"/>
              </w:rPr>
              <w:br/>
              <w:t xml:space="preserve">(от 28.05.2018), тыс. руб. </w:t>
            </w:r>
          </w:p>
        </w:tc>
        <w:tc>
          <w:tcPr>
            <w:tcW w:w="132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E3B0690" w14:textId="7FEFED2F" w:rsidR="00B420F4" w:rsidRPr="00FB0A3A" w:rsidRDefault="00B420F4" w:rsidP="006A4293">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 xml:space="preserve"> ТБР 2019, </w:t>
            </w:r>
            <w:r w:rsidR="006A4293" w:rsidRPr="00FB0A3A">
              <w:rPr>
                <w:rFonts w:eastAsia="Calibri" w:cs="Times New Roman"/>
                <w:sz w:val="16"/>
                <w:szCs w:val="16"/>
              </w:rPr>
              <w:br/>
            </w:r>
            <w:r w:rsidRPr="00FB0A3A">
              <w:rPr>
                <w:rFonts w:eastAsia="Calibri" w:cs="Times New Roman"/>
                <w:sz w:val="16"/>
                <w:szCs w:val="16"/>
              </w:rPr>
              <w:t xml:space="preserve">тыс. руб. </w:t>
            </w:r>
          </w:p>
        </w:tc>
        <w:tc>
          <w:tcPr>
            <w:tcW w:w="4856"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597780F4" w14:textId="77777777" w:rsidR="00B420F4" w:rsidRPr="00FB0A3A" w:rsidRDefault="00B420F4" w:rsidP="006A4293">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 xml:space="preserve"> Отклонение </w:t>
            </w:r>
          </w:p>
        </w:tc>
        <w:tc>
          <w:tcPr>
            <w:tcW w:w="115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89AE4C9" w14:textId="3234D806" w:rsidR="00B420F4" w:rsidRPr="00FB0A3A" w:rsidRDefault="00B420F4" w:rsidP="006A4293">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Доля отклонения по ст</w:t>
            </w:r>
            <w:r w:rsidR="006A4293" w:rsidRPr="00FB0A3A">
              <w:rPr>
                <w:rFonts w:eastAsia="Calibri" w:cs="Times New Roman"/>
                <w:sz w:val="16"/>
                <w:szCs w:val="16"/>
              </w:rPr>
              <w:t>атье (гр.7) в общем</w:t>
            </w:r>
            <w:r w:rsidRPr="00FB0A3A">
              <w:rPr>
                <w:rFonts w:eastAsia="Calibri" w:cs="Times New Roman"/>
                <w:sz w:val="16"/>
                <w:szCs w:val="16"/>
              </w:rPr>
              <w:t xml:space="preserve"> отклонении НВВ на содержание, %</w:t>
            </w:r>
          </w:p>
        </w:tc>
        <w:tc>
          <w:tcPr>
            <w:tcW w:w="115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947CC2F" w14:textId="67CB556A" w:rsidR="00B420F4" w:rsidRPr="00FB0A3A" w:rsidRDefault="00B420F4" w:rsidP="006A4293">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 xml:space="preserve">Доля отклонения по статье (гр.9) в </w:t>
            </w:r>
            <w:r w:rsidR="006A4293" w:rsidRPr="00FB0A3A">
              <w:rPr>
                <w:rFonts w:eastAsia="Calibri" w:cs="Times New Roman"/>
                <w:sz w:val="16"/>
                <w:szCs w:val="16"/>
              </w:rPr>
              <w:t xml:space="preserve"> общем</w:t>
            </w:r>
            <w:r w:rsidRPr="00FB0A3A">
              <w:rPr>
                <w:rFonts w:eastAsia="Calibri" w:cs="Times New Roman"/>
                <w:sz w:val="16"/>
                <w:szCs w:val="16"/>
              </w:rPr>
              <w:t xml:space="preserve"> отклонении НВВ на содержание, %</w:t>
            </w:r>
          </w:p>
        </w:tc>
      </w:tr>
      <w:tr w:rsidR="006A4293" w:rsidRPr="00FB0A3A" w14:paraId="3AE05811" w14:textId="77777777" w:rsidTr="00907125">
        <w:tc>
          <w:tcPr>
            <w:cnfStyle w:val="001000000000" w:firstRow="0" w:lastRow="0" w:firstColumn="1" w:lastColumn="0" w:oddVBand="0" w:evenVBand="0" w:oddHBand="0" w:evenHBand="0" w:firstRowFirstColumn="0" w:firstRowLastColumn="0" w:lastRowFirstColumn="0" w:lastRowLastColumn="0"/>
            <w:tcW w:w="73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251D1898" w14:textId="77777777" w:rsidR="00B420F4" w:rsidRPr="00FB0A3A" w:rsidRDefault="00B420F4" w:rsidP="006A4293">
            <w:pPr>
              <w:tabs>
                <w:tab w:val="left" w:pos="1134"/>
              </w:tabs>
              <w:rPr>
                <w:rFonts w:eastAsia="Calibri" w:cs="Times New Roman"/>
                <w:color w:val="FFFFFF" w:themeColor="background1"/>
                <w:sz w:val="16"/>
                <w:szCs w:val="16"/>
              </w:rPr>
            </w:pPr>
          </w:p>
        </w:tc>
        <w:tc>
          <w:tcPr>
            <w:tcW w:w="22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68454A12"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color w:val="FFFFFF" w:themeColor="background1"/>
                <w:sz w:val="16"/>
                <w:szCs w:val="16"/>
              </w:rPr>
            </w:pPr>
          </w:p>
        </w:tc>
        <w:tc>
          <w:tcPr>
            <w:tcW w:w="95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45377FFC"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color w:val="FFFFFF" w:themeColor="background1"/>
                <w:sz w:val="16"/>
                <w:szCs w:val="16"/>
              </w:rPr>
            </w:pPr>
          </w:p>
        </w:tc>
        <w:tc>
          <w:tcPr>
            <w:tcW w:w="135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7D35D284"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color w:val="FFFFFF" w:themeColor="background1"/>
                <w:sz w:val="16"/>
                <w:szCs w:val="16"/>
              </w:rPr>
            </w:pPr>
          </w:p>
        </w:tc>
        <w:tc>
          <w:tcPr>
            <w:tcW w:w="134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4DA0858"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color w:val="FFFFFF" w:themeColor="background1"/>
                <w:sz w:val="16"/>
                <w:szCs w:val="16"/>
              </w:rPr>
            </w:pPr>
          </w:p>
        </w:tc>
        <w:tc>
          <w:tcPr>
            <w:tcW w:w="132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0B7ECB26"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color w:val="FFFFFF" w:themeColor="background1"/>
                <w:sz w:val="16"/>
                <w:szCs w:val="16"/>
              </w:rPr>
            </w:pPr>
          </w:p>
        </w:tc>
        <w:tc>
          <w:tcPr>
            <w:tcW w:w="13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A44269B" w14:textId="7C4D061A"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color w:val="FFFFFF" w:themeColor="background1"/>
                <w:sz w:val="16"/>
                <w:szCs w:val="16"/>
              </w:rPr>
            </w:pPr>
            <w:r w:rsidRPr="00FB0A3A">
              <w:rPr>
                <w:rFonts w:eastAsia="Calibri" w:cs="Times New Roman"/>
                <w:color w:val="FFFFFF" w:themeColor="background1"/>
                <w:sz w:val="16"/>
                <w:szCs w:val="16"/>
              </w:rPr>
              <w:t xml:space="preserve"> ТБР на 2019 </w:t>
            </w:r>
            <w:r w:rsidR="006A4293" w:rsidRPr="00FB0A3A">
              <w:rPr>
                <w:rFonts w:eastAsia="Calibri" w:cs="Times New Roman"/>
                <w:color w:val="FFFFFF" w:themeColor="background1"/>
                <w:sz w:val="16"/>
                <w:szCs w:val="16"/>
              </w:rPr>
              <w:t>–</w:t>
            </w:r>
            <w:r w:rsidRPr="00FB0A3A">
              <w:rPr>
                <w:rFonts w:eastAsia="Calibri" w:cs="Times New Roman"/>
                <w:color w:val="FFFFFF" w:themeColor="background1"/>
                <w:sz w:val="16"/>
                <w:szCs w:val="16"/>
              </w:rPr>
              <w:t xml:space="preserve"> Заявка</w:t>
            </w:r>
            <w:r w:rsidR="006A4293" w:rsidRPr="00FB0A3A">
              <w:rPr>
                <w:rFonts w:eastAsia="Calibri" w:cs="Times New Roman"/>
                <w:color w:val="FFFFFF" w:themeColor="background1"/>
                <w:sz w:val="16"/>
                <w:szCs w:val="16"/>
              </w:rPr>
              <w:br/>
            </w:r>
            <w:r w:rsidRPr="00FB0A3A">
              <w:rPr>
                <w:rFonts w:eastAsia="Calibri" w:cs="Times New Roman"/>
                <w:color w:val="FFFFFF" w:themeColor="background1"/>
                <w:sz w:val="16"/>
                <w:szCs w:val="16"/>
              </w:rPr>
              <w:t xml:space="preserve">(гр.6-гр.5) </w:t>
            </w:r>
          </w:p>
        </w:tc>
        <w:tc>
          <w:tcPr>
            <w:tcW w:w="12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4389CBD2"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color w:val="FFFFFF" w:themeColor="background1"/>
                <w:sz w:val="16"/>
                <w:szCs w:val="16"/>
              </w:rPr>
            </w:pPr>
            <w:r w:rsidRPr="00FB0A3A">
              <w:rPr>
                <w:rFonts w:eastAsia="Calibri" w:cs="Times New Roman"/>
                <w:color w:val="FFFFFF" w:themeColor="background1"/>
                <w:sz w:val="16"/>
                <w:szCs w:val="16"/>
              </w:rPr>
              <w:t xml:space="preserve"> ТБР на 2019 / заявка на 2019, %  </w:t>
            </w:r>
          </w:p>
        </w:tc>
        <w:tc>
          <w:tcPr>
            <w:tcW w:w="14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85D0405" w14:textId="0391643E"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color w:val="FFFFFF" w:themeColor="background1"/>
                <w:sz w:val="16"/>
                <w:szCs w:val="16"/>
              </w:rPr>
            </w:pPr>
            <w:r w:rsidRPr="00FB0A3A">
              <w:rPr>
                <w:rFonts w:eastAsia="Calibri" w:cs="Times New Roman"/>
                <w:color w:val="FFFFFF" w:themeColor="background1"/>
                <w:sz w:val="16"/>
                <w:szCs w:val="16"/>
              </w:rPr>
              <w:t xml:space="preserve"> ТБР на 201</w:t>
            </w:r>
            <w:r w:rsidR="006A4293" w:rsidRPr="00FB0A3A">
              <w:rPr>
                <w:rFonts w:eastAsia="Calibri" w:cs="Times New Roman"/>
                <w:color w:val="FFFFFF" w:themeColor="background1"/>
                <w:sz w:val="16"/>
                <w:szCs w:val="16"/>
              </w:rPr>
              <w:t xml:space="preserve">9 - приведенный факт 2017 с учетом </w:t>
            </w:r>
            <w:r w:rsidRPr="00FB0A3A">
              <w:rPr>
                <w:rFonts w:eastAsia="Calibri" w:cs="Times New Roman"/>
                <w:color w:val="FFFFFF" w:themeColor="background1"/>
                <w:sz w:val="16"/>
                <w:szCs w:val="16"/>
              </w:rPr>
              <w:t xml:space="preserve">ИПЦ и ИКА (гр.6-гр.4) </w:t>
            </w:r>
          </w:p>
        </w:tc>
        <w:tc>
          <w:tcPr>
            <w:tcW w:w="7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436FE74B" w14:textId="5DD4250C"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color w:val="FFFFFF" w:themeColor="background1"/>
                <w:sz w:val="16"/>
                <w:szCs w:val="16"/>
              </w:rPr>
            </w:pPr>
            <w:r w:rsidRPr="00FB0A3A">
              <w:rPr>
                <w:rFonts w:eastAsia="Calibri" w:cs="Times New Roman"/>
                <w:color w:val="FFFFFF" w:themeColor="background1"/>
                <w:sz w:val="16"/>
                <w:szCs w:val="16"/>
              </w:rPr>
              <w:t xml:space="preserve"> ТБР на 2019 / приве</w:t>
            </w:r>
            <w:r w:rsidR="006A4293" w:rsidRPr="00FB0A3A">
              <w:rPr>
                <w:rFonts w:eastAsia="Calibri" w:cs="Times New Roman"/>
                <w:color w:val="FFFFFF" w:themeColor="background1"/>
                <w:sz w:val="16"/>
                <w:szCs w:val="16"/>
              </w:rPr>
              <w:t>-</w:t>
            </w:r>
            <w:r w:rsidRPr="00FB0A3A">
              <w:rPr>
                <w:rFonts w:eastAsia="Calibri" w:cs="Times New Roman"/>
                <w:color w:val="FFFFFF" w:themeColor="background1"/>
                <w:sz w:val="16"/>
                <w:szCs w:val="16"/>
              </w:rPr>
              <w:t>д</w:t>
            </w:r>
            <w:r w:rsidR="006A4293" w:rsidRPr="00FB0A3A">
              <w:rPr>
                <w:rFonts w:eastAsia="Calibri" w:cs="Times New Roman"/>
                <w:color w:val="FFFFFF" w:themeColor="background1"/>
                <w:sz w:val="16"/>
                <w:szCs w:val="16"/>
              </w:rPr>
              <w:t>енный</w:t>
            </w:r>
            <w:r w:rsidRPr="00FB0A3A">
              <w:rPr>
                <w:rFonts w:eastAsia="Calibri" w:cs="Times New Roman"/>
                <w:color w:val="FFFFFF" w:themeColor="background1"/>
                <w:sz w:val="16"/>
                <w:szCs w:val="16"/>
              </w:rPr>
              <w:t xml:space="preserve"> факт за 2017, % </w:t>
            </w:r>
          </w:p>
        </w:tc>
        <w:tc>
          <w:tcPr>
            <w:tcW w:w="115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3708F9EB"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color w:val="FFFFFF" w:themeColor="background1"/>
                <w:sz w:val="16"/>
                <w:szCs w:val="16"/>
              </w:rPr>
            </w:pPr>
          </w:p>
        </w:tc>
        <w:tc>
          <w:tcPr>
            <w:tcW w:w="115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6E6885C2"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color w:val="FFFFFF" w:themeColor="background1"/>
                <w:sz w:val="16"/>
                <w:szCs w:val="16"/>
              </w:rPr>
            </w:pPr>
          </w:p>
        </w:tc>
      </w:tr>
      <w:tr w:rsidR="006A4293" w:rsidRPr="00FB0A3A" w14:paraId="66F72C00" w14:textId="77777777" w:rsidTr="00907125">
        <w:tc>
          <w:tcPr>
            <w:cnfStyle w:val="001000000000" w:firstRow="0" w:lastRow="0" w:firstColumn="1" w:lastColumn="0" w:oddVBand="0" w:evenVBand="0" w:oddHBand="0" w:evenHBand="0" w:firstRowFirstColumn="0" w:firstRowLastColumn="0" w:lastRowFirstColumn="0" w:lastRowLastColumn="0"/>
            <w:tcW w:w="738" w:type="dxa"/>
            <w:tcBorders>
              <w:top w:val="single" w:sz="4" w:space="0" w:color="FFFFFF" w:themeColor="background1"/>
            </w:tcBorders>
            <w:hideMark/>
          </w:tcPr>
          <w:p w14:paraId="0B125AB0" w14:textId="77777777" w:rsidR="00B420F4" w:rsidRPr="00FB0A3A" w:rsidRDefault="00B420F4" w:rsidP="006A4293">
            <w:pPr>
              <w:tabs>
                <w:tab w:val="left" w:pos="1134"/>
              </w:tabs>
              <w:jc w:val="center"/>
              <w:rPr>
                <w:rFonts w:eastAsia="Calibri" w:cs="Times New Roman"/>
                <w:b/>
                <w:sz w:val="16"/>
                <w:szCs w:val="16"/>
              </w:rPr>
            </w:pPr>
            <w:r w:rsidRPr="00FB0A3A">
              <w:rPr>
                <w:rFonts w:eastAsia="Calibri" w:cs="Times New Roman"/>
                <w:b/>
                <w:sz w:val="16"/>
                <w:szCs w:val="16"/>
              </w:rPr>
              <w:t>1</w:t>
            </w:r>
          </w:p>
        </w:tc>
        <w:tc>
          <w:tcPr>
            <w:tcW w:w="2234" w:type="dxa"/>
            <w:tcBorders>
              <w:top w:val="single" w:sz="4" w:space="0" w:color="FFFFFF" w:themeColor="background1"/>
            </w:tcBorders>
            <w:hideMark/>
          </w:tcPr>
          <w:p w14:paraId="5A2DD958" w14:textId="77777777" w:rsidR="00B420F4" w:rsidRPr="00FB0A3A" w:rsidRDefault="00B420F4" w:rsidP="006A4293">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FB0A3A">
              <w:rPr>
                <w:rFonts w:eastAsia="Calibri" w:cs="Times New Roman"/>
                <w:b/>
                <w:sz w:val="16"/>
                <w:szCs w:val="16"/>
              </w:rPr>
              <w:t>Материальные затраты</w:t>
            </w:r>
          </w:p>
        </w:tc>
        <w:tc>
          <w:tcPr>
            <w:tcW w:w="952" w:type="dxa"/>
            <w:tcBorders>
              <w:top w:val="single" w:sz="4" w:space="0" w:color="FFFFFF" w:themeColor="background1"/>
            </w:tcBorders>
            <w:hideMark/>
          </w:tcPr>
          <w:p w14:paraId="2BF7E2C8"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FB0A3A">
              <w:rPr>
                <w:rFonts w:eastAsia="Calibri" w:cs="Times New Roman"/>
                <w:b/>
                <w:sz w:val="16"/>
                <w:szCs w:val="16"/>
              </w:rPr>
              <w:t>255 622,6</w:t>
            </w:r>
          </w:p>
        </w:tc>
        <w:tc>
          <w:tcPr>
            <w:tcW w:w="1358" w:type="dxa"/>
            <w:tcBorders>
              <w:top w:val="single" w:sz="4" w:space="0" w:color="FFFFFF" w:themeColor="background1"/>
            </w:tcBorders>
            <w:hideMark/>
          </w:tcPr>
          <w:p w14:paraId="5FC3D604"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FB0A3A">
              <w:rPr>
                <w:rFonts w:eastAsia="Calibri" w:cs="Times New Roman"/>
                <w:b/>
                <w:sz w:val="16"/>
                <w:szCs w:val="16"/>
              </w:rPr>
              <w:t>276 840,0</w:t>
            </w:r>
          </w:p>
        </w:tc>
        <w:tc>
          <w:tcPr>
            <w:tcW w:w="1346" w:type="dxa"/>
            <w:tcBorders>
              <w:top w:val="single" w:sz="4" w:space="0" w:color="FFFFFF" w:themeColor="background1"/>
            </w:tcBorders>
            <w:hideMark/>
          </w:tcPr>
          <w:p w14:paraId="76F63C9A" w14:textId="7CC36E9A"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FB0A3A">
              <w:rPr>
                <w:rFonts w:eastAsia="Calibri" w:cs="Times New Roman"/>
                <w:b/>
                <w:sz w:val="16"/>
                <w:szCs w:val="16"/>
              </w:rPr>
              <w:t>350 811,4</w:t>
            </w:r>
          </w:p>
        </w:tc>
        <w:tc>
          <w:tcPr>
            <w:tcW w:w="1325" w:type="dxa"/>
            <w:tcBorders>
              <w:top w:val="single" w:sz="4" w:space="0" w:color="FFFFFF" w:themeColor="background1"/>
            </w:tcBorders>
            <w:hideMark/>
          </w:tcPr>
          <w:p w14:paraId="5F7FE863"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FB0A3A">
              <w:rPr>
                <w:rFonts w:eastAsia="Calibri" w:cs="Times New Roman"/>
                <w:b/>
                <w:sz w:val="16"/>
                <w:szCs w:val="16"/>
              </w:rPr>
              <w:t>290 891,46</w:t>
            </w:r>
          </w:p>
        </w:tc>
        <w:tc>
          <w:tcPr>
            <w:tcW w:w="1325" w:type="dxa"/>
            <w:tcBorders>
              <w:top w:val="single" w:sz="4" w:space="0" w:color="FFFFFF" w:themeColor="background1"/>
            </w:tcBorders>
            <w:hideMark/>
          </w:tcPr>
          <w:p w14:paraId="49031553"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FB0A3A">
              <w:rPr>
                <w:rFonts w:eastAsia="Calibri" w:cs="Times New Roman"/>
                <w:b/>
                <w:sz w:val="16"/>
                <w:szCs w:val="16"/>
              </w:rPr>
              <w:t>-59 920,0</w:t>
            </w:r>
          </w:p>
        </w:tc>
        <w:tc>
          <w:tcPr>
            <w:tcW w:w="1256" w:type="dxa"/>
            <w:tcBorders>
              <w:top w:val="single" w:sz="4" w:space="0" w:color="FFFFFF" w:themeColor="background1"/>
            </w:tcBorders>
            <w:hideMark/>
          </w:tcPr>
          <w:p w14:paraId="1655F88E" w14:textId="04A2AC93" w:rsidR="00B420F4" w:rsidRPr="00FB0A3A" w:rsidRDefault="00CE1E5E"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FB0A3A">
              <w:rPr>
                <w:rFonts w:eastAsia="Calibri" w:cs="Times New Roman"/>
                <w:b/>
                <w:sz w:val="16"/>
                <w:szCs w:val="16"/>
              </w:rPr>
              <w:t>-17,08</w:t>
            </w:r>
          </w:p>
        </w:tc>
        <w:tc>
          <w:tcPr>
            <w:tcW w:w="1476" w:type="dxa"/>
            <w:tcBorders>
              <w:top w:val="single" w:sz="4" w:space="0" w:color="FFFFFF" w:themeColor="background1"/>
            </w:tcBorders>
            <w:hideMark/>
          </w:tcPr>
          <w:p w14:paraId="7B2D2C89"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FB0A3A">
              <w:rPr>
                <w:rFonts w:eastAsia="Calibri" w:cs="Times New Roman"/>
                <w:b/>
                <w:sz w:val="16"/>
                <w:szCs w:val="16"/>
              </w:rPr>
              <w:t>14 051,5</w:t>
            </w:r>
          </w:p>
        </w:tc>
        <w:tc>
          <w:tcPr>
            <w:tcW w:w="799" w:type="dxa"/>
            <w:tcBorders>
              <w:top w:val="single" w:sz="4" w:space="0" w:color="FFFFFF" w:themeColor="background1"/>
            </w:tcBorders>
            <w:hideMark/>
          </w:tcPr>
          <w:p w14:paraId="0F127284" w14:textId="3EBB9CC8" w:rsidR="00B420F4" w:rsidRPr="00FB0A3A" w:rsidRDefault="00CE1E5E"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FB0A3A">
              <w:rPr>
                <w:rFonts w:eastAsia="Calibri" w:cs="Times New Roman"/>
                <w:b/>
                <w:sz w:val="16"/>
                <w:szCs w:val="16"/>
              </w:rPr>
              <w:t>5,1</w:t>
            </w:r>
          </w:p>
        </w:tc>
        <w:tc>
          <w:tcPr>
            <w:tcW w:w="1159" w:type="dxa"/>
            <w:tcBorders>
              <w:top w:val="single" w:sz="4" w:space="0" w:color="FFFFFF" w:themeColor="background1"/>
            </w:tcBorders>
            <w:hideMark/>
          </w:tcPr>
          <w:p w14:paraId="51BFF769" w14:textId="6FC32F3C" w:rsidR="00B420F4" w:rsidRPr="00FB0A3A" w:rsidRDefault="00CE1E5E"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FB0A3A">
              <w:rPr>
                <w:rFonts w:eastAsia="Calibri" w:cs="Times New Roman"/>
                <w:b/>
                <w:sz w:val="16"/>
                <w:szCs w:val="16"/>
              </w:rPr>
              <w:t>3,0</w:t>
            </w:r>
          </w:p>
        </w:tc>
        <w:tc>
          <w:tcPr>
            <w:tcW w:w="1159" w:type="dxa"/>
            <w:tcBorders>
              <w:top w:val="single" w:sz="4" w:space="0" w:color="FFFFFF" w:themeColor="background1"/>
            </w:tcBorders>
            <w:hideMark/>
          </w:tcPr>
          <w:p w14:paraId="4C835F98" w14:textId="2DF7F49A" w:rsidR="00B420F4" w:rsidRPr="00FB0A3A" w:rsidRDefault="00CE1E5E"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-7,5</w:t>
            </w:r>
          </w:p>
        </w:tc>
      </w:tr>
      <w:tr w:rsidR="006A4293" w:rsidRPr="00FB0A3A" w14:paraId="2CDE5E61" w14:textId="77777777" w:rsidTr="006A4293">
        <w:tc>
          <w:tcPr>
            <w:cnfStyle w:val="001000000000" w:firstRow="0" w:lastRow="0" w:firstColumn="1" w:lastColumn="0" w:oddVBand="0" w:evenVBand="0" w:oddHBand="0" w:evenHBand="0" w:firstRowFirstColumn="0" w:firstRowLastColumn="0" w:lastRowFirstColumn="0" w:lastRowLastColumn="0"/>
            <w:tcW w:w="738" w:type="dxa"/>
            <w:hideMark/>
          </w:tcPr>
          <w:p w14:paraId="335FD76A" w14:textId="77777777" w:rsidR="00B420F4" w:rsidRPr="00FB0A3A" w:rsidRDefault="00B420F4" w:rsidP="006A4293">
            <w:pPr>
              <w:tabs>
                <w:tab w:val="left" w:pos="1134"/>
              </w:tabs>
              <w:jc w:val="center"/>
              <w:rPr>
                <w:rFonts w:eastAsia="Calibri" w:cs="Times New Roman"/>
                <w:sz w:val="16"/>
                <w:szCs w:val="16"/>
              </w:rPr>
            </w:pPr>
            <w:r w:rsidRPr="00FB0A3A">
              <w:rPr>
                <w:rFonts w:eastAsia="Calibri" w:cs="Times New Roman"/>
                <w:sz w:val="16"/>
                <w:szCs w:val="16"/>
              </w:rPr>
              <w:t xml:space="preserve"> 1.1</w:t>
            </w:r>
          </w:p>
        </w:tc>
        <w:tc>
          <w:tcPr>
            <w:tcW w:w="2234" w:type="dxa"/>
            <w:hideMark/>
          </w:tcPr>
          <w:p w14:paraId="7ED7C80F" w14:textId="3510FDA3" w:rsidR="00B420F4" w:rsidRPr="00FB0A3A" w:rsidRDefault="00B420F4" w:rsidP="006A4293">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Сырье, материалы</w:t>
            </w:r>
          </w:p>
        </w:tc>
        <w:tc>
          <w:tcPr>
            <w:tcW w:w="952" w:type="dxa"/>
            <w:hideMark/>
          </w:tcPr>
          <w:p w14:paraId="3722DD63"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174 034,8</w:t>
            </w:r>
          </w:p>
        </w:tc>
        <w:tc>
          <w:tcPr>
            <w:tcW w:w="1358" w:type="dxa"/>
            <w:hideMark/>
          </w:tcPr>
          <w:p w14:paraId="4F93F535"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188 480,2</w:t>
            </w:r>
          </w:p>
        </w:tc>
        <w:tc>
          <w:tcPr>
            <w:tcW w:w="1346" w:type="dxa"/>
            <w:hideMark/>
          </w:tcPr>
          <w:p w14:paraId="7A32CEB6"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195 105,03</w:t>
            </w:r>
          </w:p>
        </w:tc>
        <w:tc>
          <w:tcPr>
            <w:tcW w:w="1325" w:type="dxa"/>
            <w:hideMark/>
          </w:tcPr>
          <w:p w14:paraId="0A3121DE"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209 513,21</w:t>
            </w:r>
          </w:p>
        </w:tc>
        <w:tc>
          <w:tcPr>
            <w:tcW w:w="1325" w:type="dxa"/>
            <w:hideMark/>
          </w:tcPr>
          <w:p w14:paraId="19ECFDF8"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14 408,2</w:t>
            </w:r>
          </w:p>
        </w:tc>
        <w:tc>
          <w:tcPr>
            <w:tcW w:w="1256" w:type="dxa"/>
            <w:hideMark/>
          </w:tcPr>
          <w:p w14:paraId="33D7CF0A"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7,38</w:t>
            </w:r>
          </w:p>
        </w:tc>
        <w:tc>
          <w:tcPr>
            <w:tcW w:w="1476" w:type="dxa"/>
            <w:hideMark/>
          </w:tcPr>
          <w:p w14:paraId="792E7218"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21 033,04</w:t>
            </w:r>
          </w:p>
        </w:tc>
        <w:tc>
          <w:tcPr>
            <w:tcW w:w="799" w:type="dxa"/>
            <w:hideMark/>
          </w:tcPr>
          <w:p w14:paraId="05DBFD28"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11,2</w:t>
            </w:r>
          </w:p>
        </w:tc>
        <w:tc>
          <w:tcPr>
            <w:tcW w:w="1159" w:type="dxa"/>
            <w:hideMark/>
          </w:tcPr>
          <w:p w14:paraId="638B9383"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-0,7</w:t>
            </w:r>
          </w:p>
        </w:tc>
        <w:tc>
          <w:tcPr>
            <w:tcW w:w="1159" w:type="dxa"/>
            <w:hideMark/>
          </w:tcPr>
          <w:p w14:paraId="7CA6FA54"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-11,3</w:t>
            </w:r>
          </w:p>
        </w:tc>
      </w:tr>
      <w:tr w:rsidR="006A4293" w:rsidRPr="00FB0A3A" w14:paraId="3F4EFE29" w14:textId="77777777" w:rsidTr="006A4293">
        <w:tc>
          <w:tcPr>
            <w:cnfStyle w:val="001000000000" w:firstRow="0" w:lastRow="0" w:firstColumn="1" w:lastColumn="0" w:oddVBand="0" w:evenVBand="0" w:oddHBand="0" w:evenHBand="0" w:firstRowFirstColumn="0" w:firstRowLastColumn="0" w:lastRowFirstColumn="0" w:lastRowLastColumn="0"/>
            <w:tcW w:w="738" w:type="dxa"/>
            <w:hideMark/>
          </w:tcPr>
          <w:p w14:paraId="69D77E6F" w14:textId="77777777" w:rsidR="00B420F4" w:rsidRPr="00FB0A3A" w:rsidRDefault="00B420F4" w:rsidP="006A4293">
            <w:pPr>
              <w:tabs>
                <w:tab w:val="left" w:pos="1134"/>
              </w:tabs>
              <w:jc w:val="center"/>
              <w:rPr>
                <w:rFonts w:eastAsia="Calibri" w:cs="Times New Roman"/>
                <w:sz w:val="16"/>
                <w:szCs w:val="16"/>
              </w:rPr>
            </w:pPr>
            <w:r w:rsidRPr="00FB0A3A">
              <w:rPr>
                <w:rFonts w:eastAsia="Calibri" w:cs="Times New Roman"/>
                <w:sz w:val="16"/>
                <w:szCs w:val="16"/>
              </w:rPr>
              <w:t xml:space="preserve"> 1.2</w:t>
            </w:r>
          </w:p>
        </w:tc>
        <w:tc>
          <w:tcPr>
            <w:tcW w:w="2234" w:type="dxa"/>
            <w:hideMark/>
          </w:tcPr>
          <w:p w14:paraId="0B1A684E" w14:textId="77777777" w:rsidR="00B420F4" w:rsidRPr="00FB0A3A" w:rsidRDefault="00B420F4" w:rsidP="006A4293">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 xml:space="preserve">Работы и услуги производственного характера </w:t>
            </w:r>
          </w:p>
        </w:tc>
        <w:tc>
          <w:tcPr>
            <w:tcW w:w="952" w:type="dxa"/>
            <w:hideMark/>
          </w:tcPr>
          <w:p w14:paraId="0F20351B"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81 587,8</w:t>
            </w:r>
          </w:p>
        </w:tc>
        <w:tc>
          <w:tcPr>
            <w:tcW w:w="1358" w:type="dxa"/>
            <w:hideMark/>
          </w:tcPr>
          <w:p w14:paraId="61A20C32"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88 359,8</w:t>
            </w:r>
          </w:p>
        </w:tc>
        <w:tc>
          <w:tcPr>
            <w:tcW w:w="1346" w:type="dxa"/>
            <w:hideMark/>
          </w:tcPr>
          <w:p w14:paraId="20BACDA1"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155 706,45</w:t>
            </w:r>
          </w:p>
        </w:tc>
        <w:tc>
          <w:tcPr>
            <w:tcW w:w="1325" w:type="dxa"/>
            <w:hideMark/>
          </w:tcPr>
          <w:p w14:paraId="396F6FCE"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81 378,25</w:t>
            </w:r>
          </w:p>
        </w:tc>
        <w:tc>
          <w:tcPr>
            <w:tcW w:w="1325" w:type="dxa"/>
            <w:hideMark/>
          </w:tcPr>
          <w:p w14:paraId="03211545"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-74 328,2</w:t>
            </w:r>
          </w:p>
        </w:tc>
        <w:tc>
          <w:tcPr>
            <w:tcW w:w="1256" w:type="dxa"/>
            <w:hideMark/>
          </w:tcPr>
          <w:p w14:paraId="2739ACF8"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-47,74</w:t>
            </w:r>
          </w:p>
        </w:tc>
        <w:tc>
          <w:tcPr>
            <w:tcW w:w="1476" w:type="dxa"/>
            <w:hideMark/>
          </w:tcPr>
          <w:p w14:paraId="6AAD62B6"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-6 981,59</w:t>
            </w:r>
          </w:p>
        </w:tc>
        <w:tc>
          <w:tcPr>
            <w:tcW w:w="799" w:type="dxa"/>
            <w:hideMark/>
          </w:tcPr>
          <w:p w14:paraId="18B0CEF0"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-7,9</w:t>
            </w:r>
          </w:p>
        </w:tc>
        <w:tc>
          <w:tcPr>
            <w:tcW w:w="1159" w:type="dxa"/>
            <w:hideMark/>
          </w:tcPr>
          <w:p w14:paraId="51FF9977"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3,7</w:t>
            </w:r>
          </w:p>
        </w:tc>
        <w:tc>
          <w:tcPr>
            <w:tcW w:w="1159" w:type="dxa"/>
            <w:hideMark/>
          </w:tcPr>
          <w:p w14:paraId="55AF409F"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3,7</w:t>
            </w:r>
          </w:p>
        </w:tc>
      </w:tr>
      <w:tr w:rsidR="006A4293" w:rsidRPr="00FB0A3A" w14:paraId="1FCEC3B1" w14:textId="77777777" w:rsidTr="003C525D">
        <w:tc>
          <w:tcPr>
            <w:cnfStyle w:val="001000000000" w:firstRow="0" w:lastRow="0" w:firstColumn="1" w:lastColumn="0" w:oddVBand="0" w:evenVBand="0" w:oddHBand="0" w:evenHBand="0" w:firstRowFirstColumn="0" w:firstRowLastColumn="0" w:lastRowFirstColumn="0" w:lastRowLastColumn="0"/>
            <w:tcW w:w="738" w:type="dxa"/>
            <w:hideMark/>
          </w:tcPr>
          <w:p w14:paraId="54794209" w14:textId="77777777" w:rsidR="00B420F4" w:rsidRPr="00FB0A3A" w:rsidRDefault="00B420F4" w:rsidP="006A4293">
            <w:pPr>
              <w:tabs>
                <w:tab w:val="left" w:pos="1134"/>
              </w:tabs>
              <w:jc w:val="center"/>
              <w:rPr>
                <w:rFonts w:eastAsia="Calibri" w:cs="Times New Roman"/>
                <w:b/>
                <w:sz w:val="16"/>
                <w:szCs w:val="16"/>
              </w:rPr>
            </w:pPr>
            <w:r w:rsidRPr="00FB0A3A">
              <w:rPr>
                <w:rFonts w:eastAsia="Calibri" w:cs="Times New Roman"/>
                <w:b/>
                <w:sz w:val="16"/>
                <w:szCs w:val="16"/>
              </w:rPr>
              <w:t xml:space="preserve"> 1.3</w:t>
            </w:r>
          </w:p>
        </w:tc>
        <w:tc>
          <w:tcPr>
            <w:tcW w:w="2234" w:type="dxa"/>
            <w:hideMark/>
          </w:tcPr>
          <w:p w14:paraId="4AE736A0" w14:textId="77777777" w:rsidR="00B420F4" w:rsidRPr="00FB0A3A" w:rsidRDefault="00B420F4" w:rsidP="006A4293">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FB0A3A">
              <w:rPr>
                <w:rFonts w:eastAsia="Calibri" w:cs="Times New Roman"/>
                <w:b/>
                <w:sz w:val="16"/>
                <w:szCs w:val="16"/>
              </w:rPr>
              <w:t>Ремонт основных фондов</w:t>
            </w:r>
          </w:p>
        </w:tc>
        <w:tc>
          <w:tcPr>
            <w:tcW w:w="952" w:type="dxa"/>
            <w:hideMark/>
          </w:tcPr>
          <w:p w14:paraId="23276C6C"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FB0A3A">
              <w:rPr>
                <w:rFonts w:eastAsia="Calibri" w:cs="Times New Roman"/>
                <w:b/>
                <w:sz w:val="16"/>
                <w:szCs w:val="16"/>
              </w:rPr>
              <w:t>90 199,8</w:t>
            </w:r>
          </w:p>
        </w:tc>
        <w:tc>
          <w:tcPr>
            <w:tcW w:w="1358" w:type="dxa"/>
            <w:hideMark/>
          </w:tcPr>
          <w:p w14:paraId="3A772BF9"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FB0A3A">
              <w:rPr>
                <w:rFonts w:eastAsia="Calibri" w:cs="Times New Roman"/>
                <w:b/>
                <w:sz w:val="16"/>
                <w:szCs w:val="16"/>
              </w:rPr>
              <w:t>97 686,6</w:t>
            </w:r>
          </w:p>
        </w:tc>
        <w:tc>
          <w:tcPr>
            <w:tcW w:w="1346" w:type="dxa"/>
            <w:hideMark/>
          </w:tcPr>
          <w:p w14:paraId="08DEC6E7" w14:textId="02861B53" w:rsidR="00B420F4" w:rsidRPr="00FB0A3A" w:rsidRDefault="009830A7"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FB0A3A">
              <w:rPr>
                <w:rFonts w:eastAsia="Calibri" w:cs="Times New Roman"/>
                <w:b/>
                <w:sz w:val="16"/>
                <w:szCs w:val="16"/>
              </w:rPr>
              <w:t>155 000,0</w:t>
            </w:r>
          </w:p>
        </w:tc>
        <w:tc>
          <w:tcPr>
            <w:tcW w:w="1325" w:type="dxa"/>
            <w:shd w:val="clear" w:color="auto" w:fill="auto"/>
            <w:hideMark/>
          </w:tcPr>
          <w:p w14:paraId="65813E6B" w14:textId="77777777" w:rsidR="00B420F4" w:rsidRPr="003C525D"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3C525D">
              <w:rPr>
                <w:rFonts w:eastAsia="Calibri" w:cs="Times New Roman"/>
                <w:b/>
                <w:sz w:val="16"/>
                <w:szCs w:val="16"/>
              </w:rPr>
              <w:t>112 171,27</w:t>
            </w:r>
          </w:p>
        </w:tc>
        <w:tc>
          <w:tcPr>
            <w:tcW w:w="1325" w:type="dxa"/>
            <w:shd w:val="clear" w:color="auto" w:fill="auto"/>
            <w:hideMark/>
          </w:tcPr>
          <w:p w14:paraId="2A44790C" w14:textId="1A6DAB0F" w:rsidR="00B420F4" w:rsidRPr="003C525D" w:rsidRDefault="007B3FBB"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3C525D">
              <w:rPr>
                <w:rFonts w:eastAsia="Calibri" w:cs="Times New Roman"/>
                <w:b/>
                <w:sz w:val="16"/>
                <w:szCs w:val="16"/>
              </w:rPr>
              <w:t>-42 828,7</w:t>
            </w:r>
          </w:p>
        </w:tc>
        <w:tc>
          <w:tcPr>
            <w:tcW w:w="1256" w:type="dxa"/>
            <w:shd w:val="clear" w:color="auto" w:fill="auto"/>
            <w:hideMark/>
          </w:tcPr>
          <w:p w14:paraId="1FE48399" w14:textId="1C767FB1" w:rsidR="00B420F4" w:rsidRPr="003C525D" w:rsidRDefault="007B3FBB"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3C525D">
              <w:rPr>
                <w:rFonts w:eastAsia="Calibri" w:cs="Times New Roman"/>
                <w:b/>
                <w:sz w:val="16"/>
                <w:szCs w:val="16"/>
              </w:rPr>
              <w:t>-27,63</w:t>
            </w:r>
          </w:p>
        </w:tc>
        <w:tc>
          <w:tcPr>
            <w:tcW w:w="1476" w:type="dxa"/>
            <w:hideMark/>
          </w:tcPr>
          <w:p w14:paraId="1C994DF0"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FB0A3A">
              <w:rPr>
                <w:rFonts w:eastAsia="Calibri" w:cs="Times New Roman"/>
                <w:b/>
                <w:sz w:val="16"/>
                <w:szCs w:val="16"/>
              </w:rPr>
              <w:t>14 484,64</w:t>
            </w:r>
          </w:p>
        </w:tc>
        <w:tc>
          <w:tcPr>
            <w:tcW w:w="799" w:type="dxa"/>
            <w:hideMark/>
          </w:tcPr>
          <w:p w14:paraId="404FC35C"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FB0A3A">
              <w:rPr>
                <w:rFonts w:eastAsia="Calibri" w:cs="Times New Roman"/>
                <w:b/>
                <w:sz w:val="16"/>
                <w:szCs w:val="16"/>
              </w:rPr>
              <w:t>14,8</w:t>
            </w:r>
          </w:p>
        </w:tc>
        <w:tc>
          <w:tcPr>
            <w:tcW w:w="1159" w:type="dxa"/>
            <w:hideMark/>
          </w:tcPr>
          <w:p w14:paraId="4F066BB9" w14:textId="6DD2F087" w:rsidR="00B420F4" w:rsidRPr="00FB0A3A" w:rsidRDefault="002F4B8B"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FB0A3A">
              <w:rPr>
                <w:rFonts w:eastAsia="Calibri" w:cs="Times New Roman"/>
                <w:b/>
                <w:sz w:val="16"/>
                <w:szCs w:val="16"/>
              </w:rPr>
              <w:t>2,2</w:t>
            </w:r>
          </w:p>
        </w:tc>
        <w:tc>
          <w:tcPr>
            <w:tcW w:w="1159" w:type="dxa"/>
            <w:hideMark/>
          </w:tcPr>
          <w:p w14:paraId="445F871A"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FB0A3A">
              <w:rPr>
                <w:rFonts w:eastAsia="Calibri" w:cs="Times New Roman"/>
                <w:b/>
                <w:sz w:val="16"/>
                <w:szCs w:val="16"/>
              </w:rPr>
              <w:t>-7,8</w:t>
            </w:r>
          </w:p>
        </w:tc>
      </w:tr>
      <w:tr w:rsidR="006A4293" w:rsidRPr="00FB0A3A" w14:paraId="3F659894" w14:textId="77777777" w:rsidTr="003C525D">
        <w:tc>
          <w:tcPr>
            <w:cnfStyle w:val="001000000000" w:firstRow="0" w:lastRow="0" w:firstColumn="1" w:lastColumn="0" w:oddVBand="0" w:evenVBand="0" w:oddHBand="0" w:evenHBand="0" w:firstRowFirstColumn="0" w:firstRowLastColumn="0" w:lastRowFirstColumn="0" w:lastRowLastColumn="0"/>
            <w:tcW w:w="738" w:type="dxa"/>
            <w:hideMark/>
          </w:tcPr>
          <w:p w14:paraId="5A362F92" w14:textId="77777777" w:rsidR="00B420F4" w:rsidRPr="00FB0A3A" w:rsidRDefault="00B420F4" w:rsidP="006A4293">
            <w:pPr>
              <w:tabs>
                <w:tab w:val="left" w:pos="1134"/>
              </w:tabs>
              <w:jc w:val="center"/>
              <w:rPr>
                <w:rFonts w:eastAsia="Calibri" w:cs="Times New Roman"/>
                <w:b/>
                <w:sz w:val="16"/>
                <w:szCs w:val="16"/>
              </w:rPr>
            </w:pPr>
            <w:r w:rsidRPr="00FB0A3A">
              <w:rPr>
                <w:rFonts w:eastAsia="Calibri" w:cs="Times New Roman"/>
                <w:b/>
                <w:sz w:val="16"/>
                <w:szCs w:val="16"/>
              </w:rPr>
              <w:t>2</w:t>
            </w:r>
          </w:p>
        </w:tc>
        <w:tc>
          <w:tcPr>
            <w:tcW w:w="2234" w:type="dxa"/>
            <w:hideMark/>
          </w:tcPr>
          <w:p w14:paraId="6BCBDECF" w14:textId="77777777" w:rsidR="00B420F4" w:rsidRPr="00FB0A3A" w:rsidRDefault="00B420F4" w:rsidP="006A4293">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FB0A3A">
              <w:rPr>
                <w:rFonts w:eastAsia="Calibri" w:cs="Times New Roman"/>
                <w:b/>
                <w:sz w:val="16"/>
                <w:szCs w:val="16"/>
              </w:rPr>
              <w:t>Расходы на оплату труда</w:t>
            </w:r>
          </w:p>
        </w:tc>
        <w:tc>
          <w:tcPr>
            <w:tcW w:w="952" w:type="dxa"/>
            <w:hideMark/>
          </w:tcPr>
          <w:p w14:paraId="072FA530"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FB0A3A">
              <w:rPr>
                <w:rFonts w:eastAsia="Calibri" w:cs="Times New Roman"/>
                <w:b/>
                <w:sz w:val="16"/>
                <w:szCs w:val="16"/>
              </w:rPr>
              <w:t>886 240,3</w:t>
            </w:r>
          </w:p>
        </w:tc>
        <w:tc>
          <w:tcPr>
            <w:tcW w:w="1358" w:type="dxa"/>
            <w:hideMark/>
          </w:tcPr>
          <w:p w14:paraId="49E0CAD3"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FB0A3A">
              <w:rPr>
                <w:rFonts w:eastAsia="Calibri" w:cs="Times New Roman"/>
                <w:b/>
                <w:sz w:val="16"/>
                <w:szCs w:val="16"/>
              </w:rPr>
              <w:t>959 800,7</w:t>
            </w:r>
          </w:p>
        </w:tc>
        <w:tc>
          <w:tcPr>
            <w:tcW w:w="1346" w:type="dxa"/>
            <w:hideMark/>
          </w:tcPr>
          <w:p w14:paraId="4FD1D6D2" w14:textId="50625FC8" w:rsidR="00B420F4" w:rsidRPr="00FB0A3A" w:rsidRDefault="009830A7"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FB0A3A">
              <w:rPr>
                <w:rFonts w:eastAsia="Calibri" w:cs="Times New Roman"/>
                <w:b/>
                <w:sz w:val="16"/>
                <w:szCs w:val="16"/>
              </w:rPr>
              <w:t>1 265 486,0</w:t>
            </w:r>
          </w:p>
        </w:tc>
        <w:tc>
          <w:tcPr>
            <w:tcW w:w="1325" w:type="dxa"/>
            <w:shd w:val="clear" w:color="auto" w:fill="auto"/>
            <w:hideMark/>
          </w:tcPr>
          <w:p w14:paraId="402B0BC8" w14:textId="77777777" w:rsidR="00B420F4" w:rsidRPr="003C525D"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3C525D">
              <w:rPr>
                <w:rFonts w:eastAsia="Calibri" w:cs="Times New Roman"/>
                <w:b/>
                <w:sz w:val="16"/>
                <w:szCs w:val="16"/>
              </w:rPr>
              <w:t>992 705,17</w:t>
            </w:r>
          </w:p>
        </w:tc>
        <w:tc>
          <w:tcPr>
            <w:tcW w:w="1325" w:type="dxa"/>
            <w:shd w:val="clear" w:color="auto" w:fill="auto"/>
            <w:hideMark/>
          </w:tcPr>
          <w:p w14:paraId="4E6FDB29" w14:textId="5B430295" w:rsidR="00B420F4" w:rsidRPr="003C525D" w:rsidRDefault="007B3FBB"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3C525D">
              <w:rPr>
                <w:rFonts w:eastAsia="Calibri" w:cs="Times New Roman"/>
                <w:b/>
                <w:sz w:val="16"/>
                <w:szCs w:val="16"/>
              </w:rPr>
              <w:t>- 272 780,9</w:t>
            </w:r>
          </w:p>
        </w:tc>
        <w:tc>
          <w:tcPr>
            <w:tcW w:w="1256" w:type="dxa"/>
            <w:shd w:val="clear" w:color="auto" w:fill="auto"/>
            <w:hideMark/>
          </w:tcPr>
          <w:p w14:paraId="34379620" w14:textId="74CF9C4C" w:rsidR="00B420F4" w:rsidRPr="003C525D" w:rsidRDefault="007B3FBB"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3C525D">
              <w:rPr>
                <w:rFonts w:eastAsia="Calibri" w:cs="Times New Roman"/>
                <w:b/>
                <w:sz w:val="16"/>
                <w:szCs w:val="16"/>
              </w:rPr>
              <w:t>-21,56</w:t>
            </w:r>
          </w:p>
        </w:tc>
        <w:tc>
          <w:tcPr>
            <w:tcW w:w="1476" w:type="dxa"/>
            <w:hideMark/>
          </w:tcPr>
          <w:p w14:paraId="5387287C"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FB0A3A">
              <w:rPr>
                <w:rFonts w:eastAsia="Calibri" w:cs="Times New Roman"/>
                <w:b/>
                <w:sz w:val="16"/>
                <w:szCs w:val="16"/>
              </w:rPr>
              <w:t>32 904,49</w:t>
            </w:r>
          </w:p>
        </w:tc>
        <w:tc>
          <w:tcPr>
            <w:tcW w:w="799" w:type="dxa"/>
            <w:hideMark/>
          </w:tcPr>
          <w:p w14:paraId="0328F53E"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FB0A3A">
              <w:rPr>
                <w:rFonts w:eastAsia="Calibri" w:cs="Times New Roman"/>
                <w:b/>
                <w:sz w:val="16"/>
                <w:szCs w:val="16"/>
              </w:rPr>
              <w:t>3,4</w:t>
            </w:r>
          </w:p>
        </w:tc>
        <w:tc>
          <w:tcPr>
            <w:tcW w:w="1159" w:type="dxa"/>
            <w:hideMark/>
          </w:tcPr>
          <w:p w14:paraId="5554F6FB" w14:textId="69016C6C" w:rsidR="00B420F4" w:rsidRPr="00FB0A3A" w:rsidRDefault="002F4B8B"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FB0A3A">
              <w:rPr>
                <w:rFonts w:eastAsia="Calibri" w:cs="Times New Roman"/>
                <w:b/>
                <w:sz w:val="16"/>
                <w:szCs w:val="16"/>
              </w:rPr>
              <w:t>13,7</w:t>
            </w:r>
          </w:p>
        </w:tc>
        <w:tc>
          <w:tcPr>
            <w:tcW w:w="1159" w:type="dxa"/>
            <w:hideMark/>
          </w:tcPr>
          <w:p w14:paraId="3793E283"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FB0A3A">
              <w:rPr>
                <w:rFonts w:eastAsia="Calibri" w:cs="Times New Roman"/>
                <w:b/>
                <w:sz w:val="16"/>
                <w:szCs w:val="16"/>
              </w:rPr>
              <w:t>-17,7</w:t>
            </w:r>
          </w:p>
        </w:tc>
      </w:tr>
      <w:tr w:rsidR="006A4293" w:rsidRPr="00FB0A3A" w14:paraId="28E5CB5A" w14:textId="77777777" w:rsidTr="006A4293">
        <w:tc>
          <w:tcPr>
            <w:cnfStyle w:val="001000000000" w:firstRow="0" w:lastRow="0" w:firstColumn="1" w:lastColumn="0" w:oddVBand="0" w:evenVBand="0" w:oddHBand="0" w:evenHBand="0" w:firstRowFirstColumn="0" w:firstRowLastColumn="0" w:lastRowFirstColumn="0" w:lastRowLastColumn="0"/>
            <w:tcW w:w="738" w:type="dxa"/>
            <w:hideMark/>
          </w:tcPr>
          <w:p w14:paraId="379B2934" w14:textId="77777777" w:rsidR="00B420F4" w:rsidRPr="00FB0A3A" w:rsidRDefault="00B420F4" w:rsidP="006A4293">
            <w:pPr>
              <w:tabs>
                <w:tab w:val="left" w:pos="1134"/>
              </w:tabs>
              <w:jc w:val="center"/>
              <w:rPr>
                <w:rFonts w:eastAsia="Calibri" w:cs="Times New Roman"/>
                <w:b/>
                <w:sz w:val="16"/>
                <w:szCs w:val="16"/>
              </w:rPr>
            </w:pPr>
            <w:r w:rsidRPr="00FB0A3A">
              <w:rPr>
                <w:rFonts w:eastAsia="Calibri" w:cs="Times New Roman"/>
                <w:b/>
                <w:sz w:val="16"/>
                <w:szCs w:val="16"/>
              </w:rPr>
              <w:t>3</w:t>
            </w:r>
          </w:p>
        </w:tc>
        <w:tc>
          <w:tcPr>
            <w:tcW w:w="2234" w:type="dxa"/>
            <w:hideMark/>
          </w:tcPr>
          <w:p w14:paraId="568875A6" w14:textId="77777777" w:rsidR="00B420F4" w:rsidRPr="00FB0A3A" w:rsidRDefault="00B420F4" w:rsidP="006A4293">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FB0A3A">
              <w:rPr>
                <w:rFonts w:eastAsia="Calibri" w:cs="Times New Roman"/>
                <w:b/>
                <w:sz w:val="16"/>
                <w:szCs w:val="16"/>
              </w:rPr>
              <w:t>Прочие расходы, всего, в том числе:</w:t>
            </w:r>
          </w:p>
        </w:tc>
        <w:tc>
          <w:tcPr>
            <w:tcW w:w="952" w:type="dxa"/>
            <w:hideMark/>
          </w:tcPr>
          <w:p w14:paraId="4C163F44"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FB0A3A">
              <w:rPr>
                <w:rFonts w:eastAsia="Calibri" w:cs="Times New Roman"/>
                <w:b/>
                <w:sz w:val="16"/>
                <w:szCs w:val="16"/>
              </w:rPr>
              <w:t>576 774,4</w:t>
            </w:r>
          </w:p>
        </w:tc>
        <w:tc>
          <w:tcPr>
            <w:tcW w:w="1358" w:type="dxa"/>
            <w:hideMark/>
          </w:tcPr>
          <w:p w14:paraId="0C85E501"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FB0A3A">
              <w:rPr>
                <w:rFonts w:eastAsia="Calibri" w:cs="Times New Roman"/>
                <w:b/>
                <w:sz w:val="16"/>
                <w:szCs w:val="16"/>
              </w:rPr>
              <w:t>624 648,3</w:t>
            </w:r>
          </w:p>
        </w:tc>
        <w:tc>
          <w:tcPr>
            <w:tcW w:w="1346" w:type="dxa"/>
            <w:hideMark/>
          </w:tcPr>
          <w:p w14:paraId="07AF0DEA"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FB0A3A">
              <w:rPr>
                <w:rFonts w:eastAsia="Calibri" w:cs="Times New Roman"/>
                <w:b/>
                <w:sz w:val="16"/>
                <w:szCs w:val="16"/>
              </w:rPr>
              <w:t>686 646,16</w:t>
            </w:r>
          </w:p>
        </w:tc>
        <w:tc>
          <w:tcPr>
            <w:tcW w:w="1325" w:type="dxa"/>
            <w:hideMark/>
          </w:tcPr>
          <w:p w14:paraId="61B58679"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FB0A3A">
              <w:rPr>
                <w:rFonts w:eastAsia="Calibri" w:cs="Times New Roman"/>
                <w:b/>
                <w:sz w:val="16"/>
                <w:szCs w:val="16"/>
              </w:rPr>
              <w:t>302 736,01</w:t>
            </w:r>
          </w:p>
        </w:tc>
        <w:tc>
          <w:tcPr>
            <w:tcW w:w="1325" w:type="dxa"/>
            <w:hideMark/>
          </w:tcPr>
          <w:p w14:paraId="0BF4C034"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FB0A3A">
              <w:rPr>
                <w:rFonts w:eastAsia="Calibri" w:cs="Times New Roman"/>
                <w:b/>
                <w:sz w:val="16"/>
                <w:szCs w:val="16"/>
              </w:rPr>
              <w:t>-383 910,1</w:t>
            </w:r>
          </w:p>
        </w:tc>
        <w:tc>
          <w:tcPr>
            <w:tcW w:w="1256" w:type="dxa"/>
            <w:hideMark/>
          </w:tcPr>
          <w:p w14:paraId="477E421D"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FB0A3A">
              <w:rPr>
                <w:rFonts w:eastAsia="Calibri" w:cs="Times New Roman"/>
                <w:b/>
                <w:sz w:val="16"/>
                <w:szCs w:val="16"/>
              </w:rPr>
              <w:t>-55,91</w:t>
            </w:r>
          </w:p>
        </w:tc>
        <w:tc>
          <w:tcPr>
            <w:tcW w:w="1476" w:type="dxa"/>
            <w:hideMark/>
          </w:tcPr>
          <w:p w14:paraId="51BB275A"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FB0A3A">
              <w:rPr>
                <w:rFonts w:eastAsia="Calibri" w:cs="Times New Roman"/>
                <w:b/>
                <w:sz w:val="16"/>
                <w:szCs w:val="16"/>
              </w:rPr>
              <w:t>-321 912,3</w:t>
            </w:r>
          </w:p>
        </w:tc>
        <w:tc>
          <w:tcPr>
            <w:tcW w:w="799" w:type="dxa"/>
            <w:hideMark/>
          </w:tcPr>
          <w:p w14:paraId="13E19937" w14:textId="1C6F8FB0"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p>
        </w:tc>
        <w:tc>
          <w:tcPr>
            <w:tcW w:w="1159" w:type="dxa"/>
            <w:hideMark/>
          </w:tcPr>
          <w:p w14:paraId="50BF8D93"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FB0A3A">
              <w:rPr>
                <w:rFonts w:eastAsia="Calibri" w:cs="Times New Roman"/>
                <w:b/>
                <w:sz w:val="16"/>
                <w:szCs w:val="16"/>
              </w:rPr>
              <w:t>19,3</w:t>
            </w:r>
          </w:p>
        </w:tc>
        <w:tc>
          <w:tcPr>
            <w:tcW w:w="1159" w:type="dxa"/>
            <w:hideMark/>
          </w:tcPr>
          <w:p w14:paraId="5FA71BE3"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FB0A3A">
              <w:rPr>
                <w:rFonts w:eastAsia="Calibri" w:cs="Times New Roman"/>
                <w:b/>
                <w:sz w:val="16"/>
                <w:szCs w:val="16"/>
              </w:rPr>
              <w:t>172,8</w:t>
            </w:r>
          </w:p>
        </w:tc>
      </w:tr>
      <w:tr w:rsidR="006A4293" w:rsidRPr="00FB0A3A" w14:paraId="612193E2" w14:textId="77777777" w:rsidTr="006A4293">
        <w:tc>
          <w:tcPr>
            <w:cnfStyle w:val="001000000000" w:firstRow="0" w:lastRow="0" w:firstColumn="1" w:lastColumn="0" w:oddVBand="0" w:evenVBand="0" w:oddHBand="0" w:evenHBand="0" w:firstRowFirstColumn="0" w:firstRowLastColumn="0" w:lastRowFirstColumn="0" w:lastRowLastColumn="0"/>
            <w:tcW w:w="738" w:type="dxa"/>
            <w:hideMark/>
          </w:tcPr>
          <w:p w14:paraId="12B70727" w14:textId="77777777" w:rsidR="00B420F4" w:rsidRPr="00FB0A3A" w:rsidRDefault="00B420F4" w:rsidP="006A4293">
            <w:pPr>
              <w:tabs>
                <w:tab w:val="left" w:pos="1134"/>
              </w:tabs>
              <w:jc w:val="center"/>
              <w:rPr>
                <w:rFonts w:eastAsia="Calibri" w:cs="Times New Roman"/>
                <w:sz w:val="16"/>
                <w:szCs w:val="16"/>
              </w:rPr>
            </w:pPr>
            <w:r w:rsidRPr="00FB0A3A">
              <w:rPr>
                <w:rFonts w:eastAsia="Calibri" w:cs="Times New Roman"/>
                <w:sz w:val="16"/>
                <w:szCs w:val="16"/>
              </w:rPr>
              <w:t xml:space="preserve"> 3.1</w:t>
            </w:r>
          </w:p>
        </w:tc>
        <w:tc>
          <w:tcPr>
            <w:tcW w:w="2234" w:type="dxa"/>
            <w:hideMark/>
          </w:tcPr>
          <w:p w14:paraId="129A1346" w14:textId="77777777" w:rsidR="00B420F4" w:rsidRPr="00FB0A3A" w:rsidRDefault="00B420F4" w:rsidP="006A4293">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Оплата работ и услуг сторонних организаций</w:t>
            </w:r>
          </w:p>
        </w:tc>
        <w:tc>
          <w:tcPr>
            <w:tcW w:w="952" w:type="dxa"/>
            <w:hideMark/>
          </w:tcPr>
          <w:p w14:paraId="3BE22F6F"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134 027,5</w:t>
            </w:r>
          </w:p>
        </w:tc>
        <w:tc>
          <w:tcPr>
            <w:tcW w:w="1358" w:type="dxa"/>
            <w:hideMark/>
          </w:tcPr>
          <w:p w14:paraId="6F428858"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145 152,2</w:t>
            </w:r>
          </w:p>
        </w:tc>
        <w:tc>
          <w:tcPr>
            <w:tcW w:w="1346" w:type="dxa"/>
            <w:hideMark/>
          </w:tcPr>
          <w:p w14:paraId="66757BB2"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178 111,53</w:t>
            </w:r>
          </w:p>
        </w:tc>
        <w:tc>
          <w:tcPr>
            <w:tcW w:w="1325" w:type="dxa"/>
            <w:hideMark/>
          </w:tcPr>
          <w:p w14:paraId="441752E0"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133 625,28</w:t>
            </w:r>
          </w:p>
        </w:tc>
        <w:tc>
          <w:tcPr>
            <w:tcW w:w="1325" w:type="dxa"/>
            <w:hideMark/>
          </w:tcPr>
          <w:p w14:paraId="4DD334D7"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-44 486,3</w:t>
            </w:r>
          </w:p>
        </w:tc>
        <w:tc>
          <w:tcPr>
            <w:tcW w:w="1256" w:type="dxa"/>
            <w:hideMark/>
          </w:tcPr>
          <w:p w14:paraId="3A9EF14D"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-24,98</w:t>
            </w:r>
          </w:p>
        </w:tc>
        <w:tc>
          <w:tcPr>
            <w:tcW w:w="1476" w:type="dxa"/>
            <w:hideMark/>
          </w:tcPr>
          <w:p w14:paraId="7E9BDE9A"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-11 526,9</w:t>
            </w:r>
          </w:p>
        </w:tc>
        <w:tc>
          <w:tcPr>
            <w:tcW w:w="799" w:type="dxa"/>
            <w:hideMark/>
          </w:tcPr>
          <w:p w14:paraId="3CB7ACA9" w14:textId="7EE8214F"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p>
        </w:tc>
        <w:tc>
          <w:tcPr>
            <w:tcW w:w="1159" w:type="dxa"/>
            <w:hideMark/>
          </w:tcPr>
          <w:p w14:paraId="6D67ACD4"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2,2</w:t>
            </w:r>
          </w:p>
        </w:tc>
        <w:tc>
          <w:tcPr>
            <w:tcW w:w="1159" w:type="dxa"/>
            <w:hideMark/>
          </w:tcPr>
          <w:p w14:paraId="3D5E2E43"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6,2</w:t>
            </w:r>
          </w:p>
        </w:tc>
      </w:tr>
      <w:tr w:rsidR="006A4293" w:rsidRPr="00FB0A3A" w14:paraId="241812FC" w14:textId="77777777" w:rsidTr="006A4293">
        <w:tc>
          <w:tcPr>
            <w:cnfStyle w:val="001000000000" w:firstRow="0" w:lastRow="0" w:firstColumn="1" w:lastColumn="0" w:oddVBand="0" w:evenVBand="0" w:oddHBand="0" w:evenHBand="0" w:firstRowFirstColumn="0" w:firstRowLastColumn="0" w:lastRowFirstColumn="0" w:lastRowLastColumn="0"/>
            <w:tcW w:w="738" w:type="dxa"/>
            <w:hideMark/>
          </w:tcPr>
          <w:p w14:paraId="6033333F" w14:textId="77777777" w:rsidR="00B420F4" w:rsidRPr="00FB0A3A" w:rsidRDefault="00B420F4" w:rsidP="006A4293">
            <w:pPr>
              <w:tabs>
                <w:tab w:val="left" w:pos="1134"/>
              </w:tabs>
              <w:jc w:val="center"/>
              <w:rPr>
                <w:rFonts w:eastAsia="Calibri" w:cs="Times New Roman"/>
                <w:sz w:val="16"/>
                <w:szCs w:val="16"/>
              </w:rPr>
            </w:pPr>
            <w:r w:rsidRPr="00FB0A3A">
              <w:rPr>
                <w:rFonts w:eastAsia="Calibri" w:cs="Times New Roman"/>
                <w:sz w:val="16"/>
                <w:szCs w:val="16"/>
              </w:rPr>
              <w:t xml:space="preserve"> 3.1.1</w:t>
            </w:r>
          </w:p>
        </w:tc>
        <w:tc>
          <w:tcPr>
            <w:tcW w:w="2234" w:type="dxa"/>
            <w:hideMark/>
          </w:tcPr>
          <w:p w14:paraId="2741D22D" w14:textId="77777777" w:rsidR="00B420F4" w:rsidRPr="00FB0A3A" w:rsidRDefault="00B420F4" w:rsidP="006A4293">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услуги связи</w:t>
            </w:r>
          </w:p>
        </w:tc>
        <w:tc>
          <w:tcPr>
            <w:tcW w:w="952" w:type="dxa"/>
            <w:hideMark/>
          </w:tcPr>
          <w:p w14:paraId="2328DD78"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13 465,0</w:t>
            </w:r>
          </w:p>
        </w:tc>
        <w:tc>
          <w:tcPr>
            <w:tcW w:w="1358" w:type="dxa"/>
            <w:hideMark/>
          </w:tcPr>
          <w:p w14:paraId="71C50541"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14 582,6</w:t>
            </w:r>
          </w:p>
        </w:tc>
        <w:tc>
          <w:tcPr>
            <w:tcW w:w="1346" w:type="dxa"/>
            <w:hideMark/>
          </w:tcPr>
          <w:p w14:paraId="2E678573"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20 480,54</w:t>
            </w:r>
          </w:p>
        </w:tc>
        <w:tc>
          <w:tcPr>
            <w:tcW w:w="1325" w:type="dxa"/>
            <w:hideMark/>
          </w:tcPr>
          <w:p w14:paraId="547769EA"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17 136,83</w:t>
            </w:r>
          </w:p>
        </w:tc>
        <w:tc>
          <w:tcPr>
            <w:tcW w:w="1325" w:type="dxa"/>
            <w:hideMark/>
          </w:tcPr>
          <w:p w14:paraId="04270762"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-3 343,7</w:t>
            </w:r>
          </w:p>
        </w:tc>
        <w:tc>
          <w:tcPr>
            <w:tcW w:w="1256" w:type="dxa"/>
            <w:hideMark/>
          </w:tcPr>
          <w:p w14:paraId="6852F81E"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-16,33</w:t>
            </w:r>
          </w:p>
        </w:tc>
        <w:tc>
          <w:tcPr>
            <w:tcW w:w="1476" w:type="dxa"/>
            <w:hideMark/>
          </w:tcPr>
          <w:p w14:paraId="5205759B"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2 554,23</w:t>
            </w:r>
          </w:p>
        </w:tc>
        <w:tc>
          <w:tcPr>
            <w:tcW w:w="799" w:type="dxa"/>
            <w:hideMark/>
          </w:tcPr>
          <w:p w14:paraId="367DABED"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17,5</w:t>
            </w:r>
          </w:p>
        </w:tc>
        <w:tc>
          <w:tcPr>
            <w:tcW w:w="1159" w:type="dxa"/>
            <w:hideMark/>
          </w:tcPr>
          <w:p w14:paraId="0E397D2A"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0,2</w:t>
            </w:r>
          </w:p>
        </w:tc>
        <w:tc>
          <w:tcPr>
            <w:tcW w:w="1159" w:type="dxa"/>
            <w:hideMark/>
          </w:tcPr>
          <w:p w14:paraId="4E837479"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-1,4</w:t>
            </w:r>
          </w:p>
        </w:tc>
      </w:tr>
      <w:tr w:rsidR="006A4293" w:rsidRPr="00FB0A3A" w14:paraId="0F1DB0C6" w14:textId="77777777" w:rsidTr="006A4293">
        <w:tc>
          <w:tcPr>
            <w:cnfStyle w:val="001000000000" w:firstRow="0" w:lastRow="0" w:firstColumn="1" w:lastColumn="0" w:oddVBand="0" w:evenVBand="0" w:oddHBand="0" w:evenHBand="0" w:firstRowFirstColumn="0" w:firstRowLastColumn="0" w:lastRowFirstColumn="0" w:lastRowLastColumn="0"/>
            <w:tcW w:w="738" w:type="dxa"/>
            <w:hideMark/>
          </w:tcPr>
          <w:p w14:paraId="4A9D1CE5" w14:textId="77777777" w:rsidR="00B420F4" w:rsidRPr="00FB0A3A" w:rsidRDefault="00B420F4" w:rsidP="006A4293">
            <w:pPr>
              <w:tabs>
                <w:tab w:val="left" w:pos="1134"/>
              </w:tabs>
              <w:jc w:val="center"/>
              <w:rPr>
                <w:rFonts w:eastAsia="Calibri" w:cs="Times New Roman"/>
                <w:sz w:val="16"/>
                <w:szCs w:val="16"/>
              </w:rPr>
            </w:pPr>
            <w:r w:rsidRPr="00FB0A3A">
              <w:rPr>
                <w:rFonts w:eastAsia="Calibri" w:cs="Times New Roman"/>
                <w:sz w:val="16"/>
                <w:szCs w:val="16"/>
              </w:rPr>
              <w:t xml:space="preserve"> 3.1.2</w:t>
            </w:r>
          </w:p>
        </w:tc>
        <w:tc>
          <w:tcPr>
            <w:tcW w:w="2234" w:type="dxa"/>
            <w:hideMark/>
          </w:tcPr>
          <w:p w14:paraId="086A64BF" w14:textId="77777777" w:rsidR="00B420F4" w:rsidRPr="00FB0A3A" w:rsidRDefault="00B420F4" w:rsidP="006A4293">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расходы на услуги вневедомственной охраны и коммунального хозяйства</w:t>
            </w:r>
          </w:p>
        </w:tc>
        <w:tc>
          <w:tcPr>
            <w:tcW w:w="952" w:type="dxa"/>
            <w:hideMark/>
          </w:tcPr>
          <w:p w14:paraId="74A7A7E9"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37 980,0</w:t>
            </w:r>
          </w:p>
        </w:tc>
        <w:tc>
          <w:tcPr>
            <w:tcW w:w="1358" w:type="dxa"/>
            <w:hideMark/>
          </w:tcPr>
          <w:p w14:paraId="5EE17C25"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41 132,5</w:t>
            </w:r>
          </w:p>
        </w:tc>
        <w:tc>
          <w:tcPr>
            <w:tcW w:w="1346" w:type="dxa"/>
            <w:hideMark/>
          </w:tcPr>
          <w:p w14:paraId="0B6483DE"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48 492,64</w:t>
            </w:r>
          </w:p>
        </w:tc>
        <w:tc>
          <w:tcPr>
            <w:tcW w:w="1325" w:type="dxa"/>
            <w:hideMark/>
          </w:tcPr>
          <w:p w14:paraId="2A2388C2"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38 418,11</w:t>
            </w:r>
          </w:p>
        </w:tc>
        <w:tc>
          <w:tcPr>
            <w:tcW w:w="1325" w:type="dxa"/>
            <w:hideMark/>
          </w:tcPr>
          <w:p w14:paraId="30423B4A"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-10 074,5</w:t>
            </w:r>
          </w:p>
        </w:tc>
        <w:tc>
          <w:tcPr>
            <w:tcW w:w="1256" w:type="dxa"/>
            <w:hideMark/>
          </w:tcPr>
          <w:p w14:paraId="77E9644A"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-20,78</w:t>
            </w:r>
          </w:p>
        </w:tc>
        <w:tc>
          <w:tcPr>
            <w:tcW w:w="1476" w:type="dxa"/>
            <w:hideMark/>
          </w:tcPr>
          <w:p w14:paraId="4FB965FD"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-2 714,34</w:t>
            </w:r>
          </w:p>
        </w:tc>
        <w:tc>
          <w:tcPr>
            <w:tcW w:w="799" w:type="dxa"/>
            <w:hideMark/>
          </w:tcPr>
          <w:p w14:paraId="168A8589"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-6,6</w:t>
            </w:r>
          </w:p>
        </w:tc>
        <w:tc>
          <w:tcPr>
            <w:tcW w:w="1159" w:type="dxa"/>
            <w:hideMark/>
          </w:tcPr>
          <w:p w14:paraId="5B319E74"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0,5</w:t>
            </w:r>
          </w:p>
        </w:tc>
        <w:tc>
          <w:tcPr>
            <w:tcW w:w="1159" w:type="dxa"/>
            <w:hideMark/>
          </w:tcPr>
          <w:p w14:paraId="19989F23"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1,5</w:t>
            </w:r>
          </w:p>
        </w:tc>
      </w:tr>
      <w:tr w:rsidR="006A4293" w:rsidRPr="00FB0A3A" w14:paraId="3F1ACCE8" w14:textId="77777777" w:rsidTr="006A4293">
        <w:tc>
          <w:tcPr>
            <w:cnfStyle w:val="001000000000" w:firstRow="0" w:lastRow="0" w:firstColumn="1" w:lastColumn="0" w:oddVBand="0" w:evenVBand="0" w:oddHBand="0" w:evenHBand="0" w:firstRowFirstColumn="0" w:firstRowLastColumn="0" w:lastRowFirstColumn="0" w:lastRowLastColumn="0"/>
            <w:tcW w:w="738" w:type="dxa"/>
            <w:hideMark/>
          </w:tcPr>
          <w:p w14:paraId="0113521B" w14:textId="77777777" w:rsidR="00B420F4" w:rsidRPr="00FB0A3A" w:rsidRDefault="00B420F4" w:rsidP="006A4293">
            <w:pPr>
              <w:tabs>
                <w:tab w:val="left" w:pos="1134"/>
              </w:tabs>
              <w:jc w:val="center"/>
              <w:rPr>
                <w:rFonts w:eastAsia="Calibri" w:cs="Times New Roman"/>
                <w:sz w:val="16"/>
                <w:szCs w:val="16"/>
              </w:rPr>
            </w:pPr>
            <w:r w:rsidRPr="00FB0A3A">
              <w:rPr>
                <w:rFonts w:eastAsia="Calibri" w:cs="Times New Roman"/>
                <w:sz w:val="16"/>
                <w:szCs w:val="16"/>
              </w:rPr>
              <w:t xml:space="preserve"> 3.1.3</w:t>
            </w:r>
          </w:p>
        </w:tc>
        <w:tc>
          <w:tcPr>
            <w:tcW w:w="2234" w:type="dxa"/>
            <w:hideMark/>
          </w:tcPr>
          <w:p w14:paraId="5D4195CC" w14:textId="77777777" w:rsidR="00B420F4" w:rsidRPr="00FB0A3A" w:rsidRDefault="00B420F4" w:rsidP="006A4293">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расходы на юридические и информационные услуги</w:t>
            </w:r>
          </w:p>
        </w:tc>
        <w:tc>
          <w:tcPr>
            <w:tcW w:w="952" w:type="dxa"/>
            <w:hideMark/>
          </w:tcPr>
          <w:p w14:paraId="381C9199"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24 261,8</w:t>
            </w:r>
          </w:p>
        </w:tc>
        <w:tc>
          <w:tcPr>
            <w:tcW w:w="1358" w:type="dxa"/>
            <w:hideMark/>
          </w:tcPr>
          <w:p w14:paraId="3B0A5B65"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26 275,5</w:t>
            </w:r>
          </w:p>
        </w:tc>
        <w:tc>
          <w:tcPr>
            <w:tcW w:w="1346" w:type="dxa"/>
            <w:hideMark/>
          </w:tcPr>
          <w:p w14:paraId="1761101B"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37 670,85</w:t>
            </w:r>
          </w:p>
        </w:tc>
        <w:tc>
          <w:tcPr>
            <w:tcW w:w="1325" w:type="dxa"/>
            <w:hideMark/>
          </w:tcPr>
          <w:p w14:paraId="01B38A31"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22 971,71</w:t>
            </w:r>
          </w:p>
        </w:tc>
        <w:tc>
          <w:tcPr>
            <w:tcW w:w="1325" w:type="dxa"/>
            <w:hideMark/>
          </w:tcPr>
          <w:p w14:paraId="5FC93DFC"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-14 699,1</w:t>
            </w:r>
          </w:p>
        </w:tc>
        <w:tc>
          <w:tcPr>
            <w:tcW w:w="1256" w:type="dxa"/>
            <w:hideMark/>
          </w:tcPr>
          <w:p w14:paraId="465BD1A1"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-39,02</w:t>
            </w:r>
          </w:p>
        </w:tc>
        <w:tc>
          <w:tcPr>
            <w:tcW w:w="1476" w:type="dxa"/>
            <w:hideMark/>
          </w:tcPr>
          <w:p w14:paraId="4B85D93E"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-3 303,83</w:t>
            </w:r>
          </w:p>
        </w:tc>
        <w:tc>
          <w:tcPr>
            <w:tcW w:w="799" w:type="dxa"/>
            <w:hideMark/>
          </w:tcPr>
          <w:p w14:paraId="68EBEB80"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-12,6</w:t>
            </w:r>
          </w:p>
        </w:tc>
        <w:tc>
          <w:tcPr>
            <w:tcW w:w="1159" w:type="dxa"/>
            <w:hideMark/>
          </w:tcPr>
          <w:p w14:paraId="3DB66E62"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0,7</w:t>
            </w:r>
          </w:p>
        </w:tc>
        <w:tc>
          <w:tcPr>
            <w:tcW w:w="1159" w:type="dxa"/>
            <w:hideMark/>
          </w:tcPr>
          <w:p w14:paraId="1AB57A20"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1,8</w:t>
            </w:r>
          </w:p>
        </w:tc>
      </w:tr>
      <w:tr w:rsidR="006A4293" w:rsidRPr="00FB0A3A" w14:paraId="0C2CE87E" w14:textId="77777777" w:rsidTr="006A4293">
        <w:tc>
          <w:tcPr>
            <w:cnfStyle w:val="001000000000" w:firstRow="0" w:lastRow="0" w:firstColumn="1" w:lastColumn="0" w:oddVBand="0" w:evenVBand="0" w:oddHBand="0" w:evenHBand="0" w:firstRowFirstColumn="0" w:firstRowLastColumn="0" w:lastRowFirstColumn="0" w:lastRowLastColumn="0"/>
            <w:tcW w:w="738" w:type="dxa"/>
            <w:hideMark/>
          </w:tcPr>
          <w:p w14:paraId="0233AB5D" w14:textId="77777777" w:rsidR="00B420F4" w:rsidRPr="00FB0A3A" w:rsidRDefault="00B420F4" w:rsidP="006A4293">
            <w:pPr>
              <w:tabs>
                <w:tab w:val="left" w:pos="1134"/>
              </w:tabs>
              <w:jc w:val="center"/>
              <w:rPr>
                <w:rFonts w:eastAsia="Calibri" w:cs="Times New Roman"/>
                <w:sz w:val="16"/>
                <w:szCs w:val="16"/>
              </w:rPr>
            </w:pPr>
            <w:r w:rsidRPr="00FB0A3A">
              <w:rPr>
                <w:rFonts w:eastAsia="Calibri" w:cs="Times New Roman"/>
                <w:sz w:val="16"/>
                <w:szCs w:val="16"/>
              </w:rPr>
              <w:t xml:space="preserve"> 3.1.5</w:t>
            </w:r>
          </w:p>
        </w:tc>
        <w:tc>
          <w:tcPr>
            <w:tcW w:w="2234" w:type="dxa"/>
            <w:hideMark/>
          </w:tcPr>
          <w:p w14:paraId="1341C26A" w14:textId="77777777" w:rsidR="00B420F4" w:rsidRPr="00FB0A3A" w:rsidRDefault="00B420F4" w:rsidP="006A4293">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расходы на аудиторские и консультационные услуги</w:t>
            </w:r>
          </w:p>
        </w:tc>
        <w:tc>
          <w:tcPr>
            <w:tcW w:w="952" w:type="dxa"/>
            <w:hideMark/>
          </w:tcPr>
          <w:p w14:paraId="5CCC15C1"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248,0</w:t>
            </w:r>
          </w:p>
        </w:tc>
        <w:tc>
          <w:tcPr>
            <w:tcW w:w="1358" w:type="dxa"/>
            <w:hideMark/>
          </w:tcPr>
          <w:p w14:paraId="1C6B7544"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268,6</w:t>
            </w:r>
          </w:p>
        </w:tc>
        <w:tc>
          <w:tcPr>
            <w:tcW w:w="1346" w:type="dxa"/>
            <w:hideMark/>
          </w:tcPr>
          <w:p w14:paraId="617E779C"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475,49</w:t>
            </w:r>
          </w:p>
        </w:tc>
        <w:tc>
          <w:tcPr>
            <w:tcW w:w="1325" w:type="dxa"/>
            <w:hideMark/>
          </w:tcPr>
          <w:p w14:paraId="4BBF8791"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419,02</w:t>
            </w:r>
          </w:p>
        </w:tc>
        <w:tc>
          <w:tcPr>
            <w:tcW w:w="1325" w:type="dxa"/>
            <w:hideMark/>
          </w:tcPr>
          <w:p w14:paraId="0DC0B519"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-56,5</w:t>
            </w:r>
          </w:p>
        </w:tc>
        <w:tc>
          <w:tcPr>
            <w:tcW w:w="1256" w:type="dxa"/>
            <w:hideMark/>
          </w:tcPr>
          <w:p w14:paraId="34F03761"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-11,88</w:t>
            </w:r>
          </w:p>
        </w:tc>
        <w:tc>
          <w:tcPr>
            <w:tcW w:w="1476" w:type="dxa"/>
            <w:hideMark/>
          </w:tcPr>
          <w:p w14:paraId="7E896006"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150,40</w:t>
            </w:r>
          </w:p>
        </w:tc>
        <w:tc>
          <w:tcPr>
            <w:tcW w:w="799" w:type="dxa"/>
            <w:hideMark/>
          </w:tcPr>
          <w:p w14:paraId="7735B392"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56,0</w:t>
            </w:r>
          </w:p>
        </w:tc>
        <w:tc>
          <w:tcPr>
            <w:tcW w:w="1159" w:type="dxa"/>
            <w:hideMark/>
          </w:tcPr>
          <w:p w14:paraId="6236EFBC"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0,0</w:t>
            </w:r>
          </w:p>
        </w:tc>
        <w:tc>
          <w:tcPr>
            <w:tcW w:w="1159" w:type="dxa"/>
            <w:hideMark/>
          </w:tcPr>
          <w:p w14:paraId="7097D756"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-0,1</w:t>
            </w:r>
          </w:p>
        </w:tc>
      </w:tr>
      <w:tr w:rsidR="006A4293" w:rsidRPr="00FB0A3A" w14:paraId="1A93B946" w14:textId="77777777" w:rsidTr="006A4293">
        <w:tc>
          <w:tcPr>
            <w:cnfStyle w:val="001000000000" w:firstRow="0" w:lastRow="0" w:firstColumn="1" w:lastColumn="0" w:oddVBand="0" w:evenVBand="0" w:oddHBand="0" w:evenHBand="0" w:firstRowFirstColumn="0" w:firstRowLastColumn="0" w:lastRowFirstColumn="0" w:lastRowLastColumn="0"/>
            <w:tcW w:w="738" w:type="dxa"/>
            <w:hideMark/>
          </w:tcPr>
          <w:p w14:paraId="31DFF321" w14:textId="77777777" w:rsidR="00B420F4" w:rsidRPr="00FB0A3A" w:rsidRDefault="00B420F4" w:rsidP="006A4293">
            <w:pPr>
              <w:tabs>
                <w:tab w:val="left" w:pos="1134"/>
              </w:tabs>
              <w:jc w:val="center"/>
              <w:rPr>
                <w:rFonts w:eastAsia="Calibri" w:cs="Times New Roman"/>
                <w:sz w:val="16"/>
                <w:szCs w:val="16"/>
              </w:rPr>
            </w:pPr>
            <w:r w:rsidRPr="00FB0A3A">
              <w:rPr>
                <w:rFonts w:eastAsia="Calibri" w:cs="Times New Roman"/>
                <w:sz w:val="16"/>
                <w:szCs w:val="16"/>
              </w:rPr>
              <w:t xml:space="preserve"> 3.1.3</w:t>
            </w:r>
          </w:p>
        </w:tc>
        <w:tc>
          <w:tcPr>
            <w:tcW w:w="2234" w:type="dxa"/>
            <w:hideMark/>
          </w:tcPr>
          <w:p w14:paraId="777F0C28" w14:textId="77777777" w:rsidR="00B420F4" w:rsidRPr="00FB0A3A" w:rsidRDefault="00B420F4" w:rsidP="006A4293">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транспортные услуги</w:t>
            </w:r>
          </w:p>
        </w:tc>
        <w:tc>
          <w:tcPr>
            <w:tcW w:w="952" w:type="dxa"/>
            <w:hideMark/>
          </w:tcPr>
          <w:p w14:paraId="60024C32"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2 493,9</w:t>
            </w:r>
          </w:p>
        </w:tc>
        <w:tc>
          <w:tcPr>
            <w:tcW w:w="1358" w:type="dxa"/>
            <w:hideMark/>
          </w:tcPr>
          <w:p w14:paraId="53320922"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2 700,9</w:t>
            </w:r>
          </w:p>
        </w:tc>
        <w:tc>
          <w:tcPr>
            <w:tcW w:w="1346" w:type="dxa"/>
            <w:hideMark/>
          </w:tcPr>
          <w:p w14:paraId="41953791"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3 856,28</w:t>
            </w:r>
          </w:p>
        </w:tc>
        <w:tc>
          <w:tcPr>
            <w:tcW w:w="1325" w:type="dxa"/>
            <w:hideMark/>
          </w:tcPr>
          <w:p w14:paraId="148183D4"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3 178,10</w:t>
            </w:r>
          </w:p>
        </w:tc>
        <w:tc>
          <w:tcPr>
            <w:tcW w:w="1325" w:type="dxa"/>
            <w:hideMark/>
          </w:tcPr>
          <w:p w14:paraId="47AB20CD"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-678,2</w:t>
            </w:r>
          </w:p>
        </w:tc>
        <w:tc>
          <w:tcPr>
            <w:tcW w:w="1256" w:type="dxa"/>
            <w:hideMark/>
          </w:tcPr>
          <w:p w14:paraId="0B162893"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-17,59</w:t>
            </w:r>
          </w:p>
        </w:tc>
        <w:tc>
          <w:tcPr>
            <w:tcW w:w="1476" w:type="dxa"/>
            <w:hideMark/>
          </w:tcPr>
          <w:p w14:paraId="6C1F498B"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477,24</w:t>
            </w:r>
          </w:p>
        </w:tc>
        <w:tc>
          <w:tcPr>
            <w:tcW w:w="799" w:type="dxa"/>
            <w:hideMark/>
          </w:tcPr>
          <w:p w14:paraId="075557E7"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17,7</w:t>
            </w:r>
          </w:p>
        </w:tc>
        <w:tc>
          <w:tcPr>
            <w:tcW w:w="1159" w:type="dxa"/>
            <w:hideMark/>
          </w:tcPr>
          <w:p w14:paraId="7019FCE0"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0,0</w:t>
            </w:r>
          </w:p>
        </w:tc>
        <w:tc>
          <w:tcPr>
            <w:tcW w:w="1159" w:type="dxa"/>
            <w:hideMark/>
          </w:tcPr>
          <w:p w14:paraId="300713EA"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-0,3</w:t>
            </w:r>
          </w:p>
        </w:tc>
      </w:tr>
      <w:tr w:rsidR="006A4293" w:rsidRPr="00FB0A3A" w14:paraId="5F8027EB" w14:textId="77777777" w:rsidTr="006A4293">
        <w:tc>
          <w:tcPr>
            <w:cnfStyle w:val="001000000000" w:firstRow="0" w:lastRow="0" w:firstColumn="1" w:lastColumn="0" w:oddVBand="0" w:evenVBand="0" w:oddHBand="0" w:evenHBand="0" w:firstRowFirstColumn="0" w:firstRowLastColumn="0" w:lastRowFirstColumn="0" w:lastRowLastColumn="0"/>
            <w:tcW w:w="738" w:type="dxa"/>
            <w:hideMark/>
          </w:tcPr>
          <w:p w14:paraId="30376DED" w14:textId="77777777" w:rsidR="00B420F4" w:rsidRPr="00FB0A3A" w:rsidRDefault="00B420F4" w:rsidP="006A4293">
            <w:pPr>
              <w:tabs>
                <w:tab w:val="left" w:pos="1134"/>
              </w:tabs>
              <w:jc w:val="center"/>
              <w:rPr>
                <w:rFonts w:eastAsia="Calibri" w:cs="Times New Roman"/>
                <w:sz w:val="16"/>
                <w:szCs w:val="16"/>
              </w:rPr>
            </w:pPr>
            <w:r w:rsidRPr="00FB0A3A">
              <w:rPr>
                <w:rFonts w:eastAsia="Calibri" w:cs="Times New Roman"/>
                <w:sz w:val="16"/>
                <w:szCs w:val="16"/>
              </w:rPr>
              <w:t xml:space="preserve"> 3.1.6</w:t>
            </w:r>
          </w:p>
        </w:tc>
        <w:tc>
          <w:tcPr>
            <w:tcW w:w="2234" w:type="dxa"/>
            <w:hideMark/>
          </w:tcPr>
          <w:p w14:paraId="5980D91D" w14:textId="77777777" w:rsidR="00B420F4" w:rsidRPr="00FB0A3A" w:rsidRDefault="00B420F4" w:rsidP="006A4293">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прочие услуги сторонних организаций</w:t>
            </w:r>
          </w:p>
        </w:tc>
        <w:tc>
          <w:tcPr>
            <w:tcW w:w="952" w:type="dxa"/>
            <w:hideMark/>
          </w:tcPr>
          <w:p w14:paraId="3F161A55"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55 578,9</w:t>
            </w:r>
          </w:p>
        </w:tc>
        <w:tc>
          <w:tcPr>
            <w:tcW w:w="1358" w:type="dxa"/>
            <w:hideMark/>
          </w:tcPr>
          <w:p w14:paraId="4DFCFED4"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60 192,1</w:t>
            </w:r>
          </w:p>
        </w:tc>
        <w:tc>
          <w:tcPr>
            <w:tcW w:w="1346" w:type="dxa"/>
            <w:hideMark/>
          </w:tcPr>
          <w:p w14:paraId="7DC8DD95"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67 135,73</w:t>
            </w:r>
          </w:p>
        </w:tc>
        <w:tc>
          <w:tcPr>
            <w:tcW w:w="1325" w:type="dxa"/>
            <w:hideMark/>
          </w:tcPr>
          <w:p w14:paraId="1DE9A3C7"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51 501,51</w:t>
            </w:r>
          </w:p>
        </w:tc>
        <w:tc>
          <w:tcPr>
            <w:tcW w:w="1325" w:type="dxa"/>
            <w:hideMark/>
          </w:tcPr>
          <w:p w14:paraId="273CCC81"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-15 634,2</w:t>
            </w:r>
          </w:p>
        </w:tc>
        <w:tc>
          <w:tcPr>
            <w:tcW w:w="1256" w:type="dxa"/>
            <w:hideMark/>
          </w:tcPr>
          <w:p w14:paraId="627E4814"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-23,29</w:t>
            </w:r>
          </w:p>
        </w:tc>
        <w:tc>
          <w:tcPr>
            <w:tcW w:w="1476" w:type="dxa"/>
            <w:hideMark/>
          </w:tcPr>
          <w:p w14:paraId="21A01197"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-8 690,59</w:t>
            </w:r>
          </w:p>
        </w:tc>
        <w:tc>
          <w:tcPr>
            <w:tcW w:w="799" w:type="dxa"/>
            <w:hideMark/>
          </w:tcPr>
          <w:p w14:paraId="14CF9E08"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-14,4</w:t>
            </w:r>
          </w:p>
        </w:tc>
        <w:tc>
          <w:tcPr>
            <w:tcW w:w="1159" w:type="dxa"/>
            <w:hideMark/>
          </w:tcPr>
          <w:p w14:paraId="7BEE5A04"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0,8</w:t>
            </w:r>
          </w:p>
        </w:tc>
        <w:tc>
          <w:tcPr>
            <w:tcW w:w="1159" w:type="dxa"/>
            <w:hideMark/>
          </w:tcPr>
          <w:p w14:paraId="020045BD"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4,7</w:t>
            </w:r>
          </w:p>
        </w:tc>
      </w:tr>
      <w:tr w:rsidR="006A4293" w:rsidRPr="00FB0A3A" w14:paraId="0833DA01" w14:textId="77777777" w:rsidTr="006A4293">
        <w:tc>
          <w:tcPr>
            <w:cnfStyle w:val="001000000000" w:firstRow="0" w:lastRow="0" w:firstColumn="1" w:lastColumn="0" w:oddVBand="0" w:evenVBand="0" w:oddHBand="0" w:evenHBand="0" w:firstRowFirstColumn="0" w:firstRowLastColumn="0" w:lastRowFirstColumn="0" w:lastRowLastColumn="0"/>
            <w:tcW w:w="738" w:type="dxa"/>
            <w:hideMark/>
          </w:tcPr>
          <w:p w14:paraId="52884E6B" w14:textId="77777777" w:rsidR="00B420F4" w:rsidRPr="00FB0A3A" w:rsidRDefault="00B420F4" w:rsidP="006A4293">
            <w:pPr>
              <w:tabs>
                <w:tab w:val="left" w:pos="1134"/>
              </w:tabs>
              <w:jc w:val="center"/>
              <w:rPr>
                <w:rFonts w:eastAsia="Calibri" w:cs="Times New Roman"/>
                <w:sz w:val="16"/>
                <w:szCs w:val="16"/>
              </w:rPr>
            </w:pPr>
            <w:r w:rsidRPr="00FB0A3A">
              <w:rPr>
                <w:rFonts w:eastAsia="Calibri" w:cs="Times New Roman"/>
                <w:sz w:val="16"/>
                <w:szCs w:val="16"/>
              </w:rPr>
              <w:t xml:space="preserve"> 3.2</w:t>
            </w:r>
          </w:p>
        </w:tc>
        <w:tc>
          <w:tcPr>
            <w:tcW w:w="2234" w:type="dxa"/>
            <w:hideMark/>
          </w:tcPr>
          <w:p w14:paraId="52354CDD" w14:textId="77777777" w:rsidR="00B420F4" w:rsidRPr="00FB0A3A" w:rsidRDefault="00B420F4" w:rsidP="006A4293">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Расходы на командировки и представительские</w:t>
            </w:r>
          </w:p>
        </w:tc>
        <w:tc>
          <w:tcPr>
            <w:tcW w:w="952" w:type="dxa"/>
            <w:hideMark/>
          </w:tcPr>
          <w:p w14:paraId="61D2AD00"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34 135,1</w:t>
            </w:r>
          </w:p>
        </w:tc>
        <w:tc>
          <w:tcPr>
            <w:tcW w:w="1358" w:type="dxa"/>
            <w:hideMark/>
          </w:tcPr>
          <w:p w14:paraId="6A43B65C"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36 968,4</w:t>
            </w:r>
          </w:p>
        </w:tc>
        <w:tc>
          <w:tcPr>
            <w:tcW w:w="1346" w:type="dxa"/>
            <w:hideMark/>
          </w:tcPr>
          <w:p w14:paraId="42B7CDB3"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47 157,28</w:t>
            </w:r>
          </w:p>
        </w:tc>
        <w:tc>
          <w:tcPr>
            <w:tcW w:w="1325" w:type="dxa"/>
            <w:hideMark/>
          </w:tcPr>
          <w:p w14:paraId="205B238C"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30 523,57</w:t>
            </w:r>
          </w:p>
        </w:tc>
        <w:tc>
          <w:tcPr>
            <w:tcW w:w="1325" w:type="dxa"/>
            <w:hideMark/>
          </w:tcPr>
          <w:p w14:paraId="636F6B54"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-16 633,7</w:t>
            </w:r>
          </w:p>
        </w:tc>
        <w:tc>
          <w:tcPr>
            <w:tcW w:w="1256" w:type="dxa"/>
            <w:hideMark/>
          </w:tcPr>
          <w:p w14:paraId="44755B91"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-35,27</w:t>
            </w:r>
          </w:p>
        </w:tc>
        <w:tc>
          <w:tcPr>
            <w:tcW w:w="1476" w:type="dxa"/>
            <w:hideMark/>
          </w:tcPr>
          <w:p w14:paraId="6546B2A6"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-6 444,85</w:t>
            </w:r>
          </w:p>
        </w:tc>
        <w:tc>
          <w:tcPr>
            <w:tcW w:w="799" w:type="dxa"/>
            <w:hideMark/>
          </w:tcPr>
          <w:p w14:paraId="64407680"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-17,4</w:t>
            </w:r>
          </w:p>
        </w:tc>
        <w:tc>
          <w:tcPr>
            <w:tcW w:w="1159" w:type="dxa"/>
            <w:hideMark/>
          </w:tcPr>
          <w:p w14:paraId="180EF16E"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0,8</w:t>
            </w:r>
          </w:p>
        </w:tc>
        <w:tc>
          <w:tcPr>
            <w:tcW w:w="1159" w:type="dxa"/>
            <w:hideMark/>
          </w:tcPr>
          <w:p w14:paraId="1050D624"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3,5</w:t>
            </w:r>
          </w:p>
        </w:tc>
      </w:tr>
      <w:tr w:rsidR="006A4293" w:rsidRPr="00FB0A3A" w14:paraId="31D12645" w14:textId="77777777" w:rsidTr="006A4293">
        <w:tc>
          <w:tcPr>
            <w:cnfStyle w:val="001000000000" w:firstRow="0" w:lastRow="0" w:firstColumn="1" w:lastColumn="0" w:oddVBand="0" w:evenVBand="0" w:oddHBand="0" w:evenHBand="0" w:firstRowFirstColumn="0" w:firstRowLastColumn="0" w:lastRowFirstColumn="0" w:lastRowLastColumn="0"/>
            <w:tcW w:w="738" w:type="dxa"/>
            <w:hideMark/>
          </w:tcPr>
          <w:p w14:paraId="483F114F" w14:textId="77777777" w:rsidR="00B420F4" w:rsidRPr="00FB0A3A" w:rsidRDefault="00B420F4" w:rsidP="006A4293">
            <w:pPr>
              <w:tabs>
                <w:tab w:val="left" w:pos="1134"/>
              </w:tabs>
              <w:jc w:val="center"/>
              <w:rPr>
                <w:rFonts w:eastAsia="Calibri" w:cs="Times New Roman"/>
                <w:sz w:val="16"/>
                <w:szCs w:val="16"/>
              </w:rPr>
            </w:pPr>
            <w:r w:rsidRPr="00FB0A3A">
              <w:rPr>
                <w:rFonts w:eastAsia="Calibri" w:cs="Times New Roman"/>
                <w:sz w:val="16"/>
                <w:szCs w:val="16"/>
              </w:rPr>
              <w:t xml:space="preserve"> 3.3</w:t>
            </w:r>
          </w:p>
        </w:tc>
        <w:tc>
          <w:tcPr>
            <w:tcW w:w="2234" w:type="dxa"/>
            <w:hideMark/>
          </w:tcPr>
          <w:p w14:paraId="3687DF56" w14:textId="77777777" w:rsidR="00B420F4" w:rsidRPr="00FB0A3A" w:rsidRDefault="00B420F4" w:rsidP="006A4293">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Расходы на подготовку кадров</w:t>
            </w:r>
          </w:p>
        </w:tc>
        <w:tc>
          <w:tcPr>
            <w:tcW w:w="952" w:type="dxa"/>
            <w:hideMark/>
          </w:tcPr>
          <w:p w14:paraId="158FC5B4"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5 953,7</w:t>
            </w:r>
          </w:p>
        </w:tc>
        <w:tc>
          <w:tcPr>
            <w:tcW w:w="1358" w:type="dxa"/>
            <w:hideMark/>
          </w:tcPr>
          <w:p w14:paraId="47A04D9A"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6 447,9</w:t>
            </w:r>
          </w:p>
        </w:tc>
        <w:tc>
          <w:tcPr>
            <w:tcW w:w="1346" w:type="dxa"/>
            <w:hideMark/>
          </w:tcPr>
          <w:p w14:paraId="6BCDE429"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6 430,00</w:t>
            </w:r>
          </w:p>
        </w:tc>
        <w:tc>
          <w:tcPr>
            <w:tcW w:w="1325" w:type="dxa"/>
            <w:hideMark/>
          </w:tcPr>
          <w:p w14:paraId="54B6E338"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5 167,01</w:t>
            </w:r>
          </w:p>
        </w:tc>
        <w:tc>
          <w:tcPr>
            <w:tcW w:w="1325" w:type="dxa"/>
            <w:hideMark/>
          </w:tcPr>
          <w:p w14:paraId="0737AB99"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-1 263,0</w:t>
            </w:r>
          </w:p>
        </w:tc>
        <w:tc>
          <w:tcPr>
            <w:tcW w:w="1256" w:type="dxa"/>
            <w:hideMark/>
          </w:tcPr>
          <w:p w14:paraId="7DBEAE4C"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-19,64</w:t>
            </w:r>
          </w:p>
        </w:tc>
        <w:tc>
          <w:tcPr>
            <w:tcW w:w="1476" w:type="dxa"/>
            <w:hideMark/>
          </w:tcPr>
          <w:p w14:paraId="17318FC6"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-1 280,88</w:t>
            </w:r>
          </w:p>
        </w:tc>
        <w:tc>
          <w:tcPr>
            <w:tcW w:w="799" w:type="dxa"/>
            <w:hideMark/>
          </w:tcPr>
          <w:p w14:paraId="636563A3"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-19,9</w:t>
            </w:r>
          </w:p>
        </w:tc>
        <w:tc>
          <w:tcPr>
            <w:tcW w:w="1159" w:type="dxa"/>
            <w:hideMark/>
          </w:tcPr>
          <w:p w14:paraId="43AC53B5"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0,1</w:t>
            </w:r>
          </w:p>
        </w:tc>
        <w:tc>
          <w:tcPr>
            <w:tcW w:w="1159" w:type="dxa"/>
            <w:hideMark/>
          </w:tcPr>
          <w:p w14:paraId="45142B62"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0,7</w:t>
            </w:r>
          </w:p>
        </w:tc>
      </w:tr>
      <w:tr w:rsidR="006A4293" w:rsidRPr="00FB0A3A" w14:paraId="24FEA93F" w14:textId="77777777" w:rsidTr="006A4293">
        <w:tc>
          <w:tcPr>
            <w:cnfStyle w:val="001000000000" w:firstRow="0" w:lastRow="0" w:firstColumn="1" w:lastColumn="0" w:oddVBand="0" w:evenVBand="0" w:oddHBand="0" w:evenHBand="0" w:firstRowFirstColumn="0" w:firstRowLastColumn="0" w:lastRowFirstColumn="0" w:lastRowLastColumn="0"/>
            <w:tcW w:w="738" w:type="dxa"/>
            <w:hideMark/>
          </w:tcPr>
          <w:p w14:paraId="3FB5EC79" w14:textId="77777777" w:rsidR="00B420F4" w:rsidRPr="00FB0A3A" w:rsidRDefault="00B420F4" w:rsidP="006A4293">
            <w:pPr>
              <w:tabs>
                <w:tab w:val="left" w:pos="1134"/>
              </w:tabs>
              <w:jc w:val="center"/>
              <w:rPr>
                <w:rFonts w:eastAsia="Calibri" w:cs="Times New Roman"/>
                <w:sz w:val="16"/>
                <w:szCs w:val="16"/>
              </w:rPr>
            </w:pPr>
            <w:r w:rsidRPr="00FB0A3A">
              <w:rPr>
                <w:rFonts w:eastAsia="Calibri" w:cs="Times New Roman"/>
                <w:sz w:val="16"/>
                <w:szCs w:val="16"/>
              </w:rPr>
              <w:lastRenderedPageBreak/>
              <w:t xml:space="preserve"> 3.3</w:t>
            </w:r>
          </w:p>
        </w:tc>
        <w:tc>
          <w:tcPr>
            <w:tcW w:w="2234" w:type="dxa"/>
            <w:hideMark/>
          </w:tcPr>
          <w:p w14:paraId="413DBBC4" w14:textId="77777777" w:rsidR="00B420F4" w:rsidRPr="00FB0A3A" w:rsidRDefault="00B420F4" w:rsidP="006A4293">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Расходы на обеспечение нормальных условий труда и мер по технике безопасности</w:t>
            </w:r>
          </w:p>
        </w:tc>
        <w:tc>
          <w:tcPr>
            <w:tcW w:w="952" w:type="dxa"/>
            <w:hideMark/>
          </w:tcPr>
          <w:p w14:paraId="785937ED"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9 504,2</w:t>
            </w:r>
          </w:p>
        </w:tc>
        <w:tc>
          <w:tcPr>
            <w:tcW w:w="1358" w:type="dxa"/>
            <w:hideMark/>
          </w:tcPr>
          <w:p w14:paraId="11C36441"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10 293,1</w:t>
            </w:r>
          </w:p>
        </w:tc>
        <w:tc>
          <w:tcPr>
            <w:tcW w:w="1346" w:type="dxa"/>
            <w:hideMark/>
          </w:tcPr>
          <w:p w14:paraId="0FE9CD7C"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33 948,73</w:t>
            </w:r>
          </w:p>
        </w:tc>
        <w:tc>
          <w:tcPr>
            <w:tcW w:w="1325" w:type="dxa"/>
            <w:hideMark/>
          </w:tcPr>
          <w:p w14:paraId="177CC68C"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9 379,88</w:t>
            </w:r>
          </w:p>
        </w:tc>
        <w:tc>
          <w:tcPr>
            <w:tcW w:w="1325" w:type="dxa"/>
            <w:hideMark/>
          </w:tcPr>
          <w:p w14:paraId="28D99AB0"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-24 568,9</w:t>
            </w:r>
          </w:p>
        </w:tc>
        <w:tc>
          <w:tcPr>
            <w:tcW w:w="1256" w:type="dxa"/>
            <w:hideMark/>
          </w:tcPr>
          <w:p w14:paraId="3F1023C2"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-72,37</w:t>
            </w:r>
          </w:p>
        </w:tc>
        <w:tc>
          <w:tcPr>
            <w:tcW w:w="1476" w:type="dxa"/>
            <w:hideMark/>
          </w:tcPr>
          <w:p w14:paraId="6938B0CD"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-913,19</w:t>
            </w:r>
          </w:p>
        </w:tc>
        <w:tc>
          <w:tcPr>
            <w:tcW w:w="799" w:type="dxa"/>
            <w:hideMark/>
          </w:tcPr>
          <w:p w14:paraId="3EE394D2"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-8,9</w:t>
            </w:r>
          </w:p>
        </w:tc>
        <w:tc>
          <w:tcPr>
            <w:tcW w:w="1159" w:type="dxa"/>
            <w:hideMark/>
          </w:tcPr>
          <w:p w14:paraId="3BD108CB"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1,2</w:t>
            </w:r>
          </w:p>
        </w:tc>
        <w:tc>
          <w:tcPr>
            <w:tcW w:w="1159" w:type="dxa"/>
            <w:hideMark/>
          </w:tcPr>
          <w:p w14:paraId="5D4B18AE"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0,5</w:t>
            </w:r>
          </w:p>
        </w:tc>
      </w:tr>
      <w:tr w:rsidR="006A4293" w:rsidRPr="00FB0A3A" w14:paraId="63D40322" w14:textId="77777777" w:rsidTr="006A4293">
        <w:tc>
          <w:tcPr>
            <w:cnfStyle w:val="001000000000" w:firstRow="0" w:lastRow="0" w:firstColumn="1" w:lastColumn="0" w:oddVBand="0" w:evenVBand="0" w:oddHBand="0" w:evenHBand="0" w:firstRowFirstColumn="0" w:firstRowLastColumn="0" w:lastRowFirstColumn="0" w:lastRowLastColumn="0"/>
            <w:tcW w:w="738" w:type="dxa"/>
            <w:hideMark/>
          </w:tcPr>
          <w:p w14:paraId="58AFAE27" w14:textId="77777777" w:rsidR="00B420F4" w:rsidRPr="00FB0A3A" w:rsidRDefault="00B420F4" w:rsidP="006A4293">
            <w:pPr>
              <w:tabs>
                <w:tab w:val="left" w:pos="1134"/>
              </w:tabs>
              <w:jc w:val="center"/>
              <w:rPr>
                <w:rFonts w:eastAsia="Calibri" w:cs="Times New Roman"/>
                <w:sz w:val="16"/>
                <w:szCs w:val="16"/>
              </w:rPr>
            </w:pPr>
            <w:r w:rsidRPr="00FB0A3A">
              <w:rPr>
                <w:rFonts w:eastAsia="Calibri" w:cs="Times New Roman"/>
                <w:sz w:val="16"/>
                <w:szCs w:val="16"/>
              </w:rPr>
              <w:t xml:space="preserve"> 3.5</w:t>
            </w:r>
          </w:p>
        </w:tc>
        <w:tc>
          <w:tcPr>
            <w:tcW w:w="2234" w:type="dxa"/>
            <w:hideMark/>
          </w:tcPr>
          <w:p w14:paraId="66B8E6F5" w14:textId="77777777" w:rsidR="00B420F4" w:rsidRPr="00FB0A3A" w:rsidRDefault="00B420F4" w:rsidP="006A4293">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Расходы на страхование</w:t>
            </w:r>
          </w:p>
        </w:tc>
        <w:tc>
          <w:tcPr>
            <w:tcW w:w="952" w:type="dxa"/>
            <w:hideMark/>
          </w:tcPr>
          <w:p w14:paraId="5E812835"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24 849,8</w:t>
            </w:r>
          </w:p>
        </w:tc>
        <w:tc>
          <w:tcPr>
            <w:tcW w:w="1358" w:type="dxa"/>
            <w:hideMark/>
          </w:tcPr>
          <w:p w14:paraId="1BF065FA"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26 912,4</w:t>
            </w:r>
          </w:p>
        </w:tc>
        <w:tc>
          <w:tcPr>
            <w:tcW w:w="1346" w:type="dxa"/>
            <w:hideMark/>
          </w:tcPr>
          <w:p w14:paraId="7084F0CC"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30 215,93</w:t>
            </w:r>
          </w:p>
        </w:tc>
        <w:tc>
          <w:tcPr>
            <w:tcW w:w="1325" w:type="dxa"/>
            <w:hideMark/>
          </w:tcPr>
          <w:p w14:paraId="3716BF2A"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16 620,63</w:t>
            </w:r>
          </w:p>
        </w:tc>
        <w:tc>
          <w:tcPr>
            <w:tcW w:w="1325" w:type="dxa"/>
            <w:hideMark/>
          </w:tcPr>
          <w:p w14:paraId="7EB08E3D"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-13 595,3</w:t>
            </w:r>
          </w:p>
        </w:tc>
        <w:tc>
          <w:tcPr>
            <w:tcW w:w="1256" w:type="dxa"/>
            <w:hideMark/>
          </w:tcPr>
          <w:p w14:paraId="564DAE26"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-44,99</w:t>
            </w:r>
          </w:p>
        </w:tc>
        <w:tc>
          <w:tcPr>
            <w:tcW w:w="1476" w:type="dxa"/>
            <w:hideMark/>
          </w:tcPr>
          <w:p w14:paraId="7D1EC889"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-10 291,78</w:t>
            </w:r>
          </w:p>
        </w:tc>
        <w:tc>
          <w:tcPr>
            <w:tcW w:w="799" w:type="dxa"/>
            <w:hideMark/>
          </w:tcPr>
          <w:p w14:paraId="21001CB8"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-38,2</w:t>
            </w:r>
          </w:p>
        </w:tc>
        <w:tc>
          <w:tcPr>
            <w:tcW w:w="1159" w:type="dxa"/>
            <w:hideMark/>
          </w:tcPr>
          <w:p w14:paraId="1C5A7685"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0,7</w:t>
            </w:r>
          </w:p>
        </w:tc>
        <w:tc>
          <w:tcPr>
            <w:tcW w:w="1159" w:type="dxa"/>
            <w:hideMark/>
          </w:tcPr>
          <w:p w14:paraId="55817E38"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5,5</w:t>
            </w:r>
          </w:p>
        </w:tc>
      </w:tr>
      <w:tr w:rsidR="006A4293" w:rsidRPr="00FB0A3A" w14:paraId="333BA44C" w14:textId="77777777" w:rsidTr="006A4293">
        <w:tc>
          <w:tcPr>
            <w:cnfStyle w:val="001000000000" w:firstRow="0" w:lastRow="0" w:firstColumn="1" w:lastColumn="0" w:oddVBand="0" w:evenVBand="0" w:oddHBand="0" w:evenHBand="0" w:firstRowFirstColumn="0" w:firstRowLastColumn="0" w:lastRowFirstColumn="0" w:lastRowLastColumn="0"/>
            <w:tcW w:w="738" w:type="dxa"/>
            <w:hideMark/>
          </w:tcPr>
          <w:p w14:paraId="5789128E" w14:textId="77777777" w:rsidR="00B420F4" w:rsidRPr="00FB0A3A" w:rsidRDefault="00B420F4" w:rsidP="006A4293">
            <w:pPr>
              <w:tabs>
                <w:tab w:val="left" w:pos="1134"/>
              </w:tabs>
              <w:jc w:val="center"/>
              <w:rPr>
                <w:rFonts w:eastAsia="Calibri" w:cs="Times New Roman"/>
                <w:sz w:val="16"/>
                <w:szCs w:val="16"/>
              </w:rPr>
            </w:pPr>
            <w:r w:rsidRPr="00FB0A3A">
              <w:rPr>
                <w:rFonts w:eastAsia="Calibri" w:cs="Times New Roman"/>
                <w:sz w:val="16"/>
                <w:szCs w:val="16"/>
              </w:rPr>
              <w:t xml:space="preserve"> 3.6</w:t>
            </w:r>
          </w:p>
        </w:tc>
        <w:tc>
          <w:tcPr>
            <w:tcW w:w="2234" w:type="dxa"/>
            <w:hideMark/>
          </w:tcPr>
          <w:p w14:paraId="4099BE4F" w14:textId="261CAB06" w:rsidR="00B420F4" w:rsidRPr="00FB0A3A" w:rsidRDefault="00375FAD" w:rsidP="006A4293">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 xml:space="preserve">Электроэнергия на хозяйственные </w:t>
            </w:r>
            <w:r w:rsidR="00B420F4" w:rsidRPr="00FB0A3A">
              <w:rPr>
                <w:rFonts w:eastAsia="Calibri" w:cs="Times New Roman"/>
                <w:sz w:val="16"/>
                <w:szCs w:val="16"/>
              </w:rPr>
              <w:t>нужды</w:t>
            </w:r>
          </w:p>
        </w:tc>
        <w:tc>
          <w:tcPr>
            <w:tcW w:w="952" w:type="dxa"/>
            <w:hideMark/>
          </w:tcPr>
          <w:p w14:paraId="6526A5AD"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16 806,4</w:t>
            </w:r>
          </w:p>
        </w:tc>
        <w:tc>
          <w:tcPr>
            <w:tcW w:w="1358" w:type="dxa"/>
            <w:hideMark/>
          </w:tcPr>
          <w:p w14:paraId="16AEDAE8"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18 201,4</w:t>
            </w:r>
          </w:p>
        </w:tc>
        <w:tc>
          <w:tcPr>
            <w:tcW w:w="1346" w:type="dxa"/>
            <w:hideMark/>
          </w:tcPr>
          <w:p w14:paraId="4D10AFD3"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19 140,76</w:t>
            </w:r>
          </w:p>
        </w:tc>
        <w:tc>
          <w:tcPr>
            <w:tcW w:w="1325" w:type="dxa"/>
            <w:hideMark/>
          </w:tcPr>
          <w:p w14:paraId="14361EAD"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17 803,31</w:t>
            </w:r>
          </w:p>
        </w:tc>
        <w:tc>
          <w:tcPr>
            <w:tcW w:w="1325" w:type="dxa"/>
            <w:hideMark/>
          </w:tcPr>
          <w:p w14:paraId="7B439156"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-1 337,5</w:t>
            </w:r>
          </w:p>
        </w:tc>
        <w:tc>
          <w:tcPr>
            <w:tcW w:w="1256" w:type="dxa"/>
            <w:hideMark/>
          </w:tcPr>
          <w:p w14:paraId="6A2B7CD0"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-6,99</w:t>
            </w:r>
          </w:p>
        </w:tc>
        <w:tc>
          <w:tcPr>
            <w:tcW w:w="1476" w:type="dxa"/>
            <w:hideMark/>
          </w:tcPr>
          <w:p w14:paraId="2160190C"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-398,06</w:t>
            </w:r>
          </w:p>
        </w:tc>
        <w:tc>
          <w:tcPr>
            <w:tcW w:w="799" w:type="dxa"/>
            <w:hideMark/>
          </w:tcPr>
          <w:p w14:paraId="7EADA0E5"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-2,2</w:t>
            </w:r>
          </w:p>
        </w:tc>
        <w:tc>
          <w:tcPr>
            <w:tcW w:w="1159" w:type="dxa"/>
            <w:hideMark/>
          </w:tcPr>
          <w:p w14:paraId="66027297"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0,1</w:t>
            </w:r>
          </w:p>
        </w:tc>
        <w:tc>
          <w:tcPr>
            <w:tcW w:w="1159" w:type="dxa"/>
            <w:hideMark/>
          </w:tcPr>
          <w:p w14:paraId="06F2FF5F"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0,2</w:t>
            </w:r>
          </w:p>
        </w:tc>
      </w:tr>
      <w:tr w:rsidR="006A4293" w:rsidRPr="00FB0A3A" w14:paraId="71B5B77A" w14:textId="77777777" w:rsidTr="006A4293">
        <w:tc>
          <w:tcPr>
            <w:cnfStyle w:val="001000000000" w:firstRow="0" w:lastRow="0" w:firstColumn="1" w:lastColumn="0" w:oddVBand="0" w:evenVBand="0" w:oddHBand="0" w:evenHBand="0" w:firstRowFirstColumn="0" w:firstRowLastColumn="0" w:lastRowFirstColumn="0" w:lastRowLastColumn="0"/>
            <w:tcW w:w="738" w:type="dxa"/>
            <w:hideMark/>
          </w:tcPr>
          <w:p w14:paraId="121AC7B6" w14:textId="77777777" w:rsidR="00B420F4" w:rsidRPr="00FB0A3A" w:rsidRDefault="00B420F4" w:rsidP="006A4293">
            <w:pPr>
              <w:tabs>
                <w:tab w:val="left" w:pos="1134"/>
              </w:tabs>
              <w:jc w:val="center"/>
              <w:rPr>
                <w:rFonts w:eastAsia="Calibri" w:cs="Times New Roman"/>
                <w:sz w:val="16"/>
                <w:szCs w:val="16"/>
              </w:rPr>
            </w:pPr>
            <w:r w:rsidRPr="00FB0A3A">
              <w:rPr>
                <w:rFonts w:eastAsia="Calibri" w:cs="Times New Roman"/>
                <w:sz w:val="16"/>
                <w:szCs w:val="16"/>
              </w:rPr>
              <w:t xml:space="preserve"> 3.7</w:t>
            </w:r>
          </w:p>
        </w:tc>
        <w:tc>
          <w:tcPr>
            <w:tcW w:w="2234" w:type="dxa"/>
            <w:hideMark/>
          </w:tcPr>
          <w:p w14:paraId="286C4B43" w14:textId="77777777" w:rsidR="00B420F4" w:rsidRPr="00FB0A3A" w:rsidRDefault="00B420F4" w:rsidP="006A4293">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Подконтрольные расходы из прибыли</w:t>
            </w:r>
          </w:p>
        </w:tc>
        <w:tc>
          <w:tcPr>
            <w:tcW w:w="952" w:type="dxa"/>
            <w:hideMark/>
          </w:tcPr>
          <w:p w14:paraId="5D902161"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351 497,7</w:t>
            </w:r>
          </w:p>
        </w:tc>
        <w:tc>
          <w:tcPr>
            <w:tcW w:w="1358" w:type="dxa"/>
            <w:hideMark/>
          </w:tcPr>
          <w:p w14:paraId="7D5D707C"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380 672,9</w:t>
            </w:r>
          </w:p>
        </w:tc>
        <w:tc>
          <w:tcPr>
            <w:tcW w:w="1346" w:type="dxa"/>
            <w:hideMark/>
          </w:tcPr>
          <w:p w14:paraId="04B1349E"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371 641,93</w:t>
            </w:r>
          </w:p>
        </w:tc>
        <w:tc>
          <w:tcPr>
            <w:tcW w:w="1325" w:type="dxa"/>
            <w:hideMark/>
          </w:tcPr>
          <w:p w14:paraId="1D3C56B6"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89 616,33</w:t>
            </w:r>
          </w:p>
        </w:tc>
        <w:tc>
          <w:tcPr>
            <w:tcW w:w="1325" w:type="dxa"/>
            <w:hideMark/>
          </w:tcPr>
          <w:p w14:paraId="2ED73845"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-282 025,6</w:t>
            </w:r>
          </w:p>
        </w:tc>
        <w:tc>
          <w:tcPr>
            <w:tcW w:w="1256" w:type="dxa"/>
            <w:hideMark/>
          </w:tcPr>
          <w:p w14:paraId="119672BB"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-75,89</w:t>
            </w:r>
          </w:p>
        </w:tc>
        <w:tc>
          <w:tcPr>
            <w:tcW w:w="1476" w:type="dxa"/>
            <w:hideMark/>
          </w:tcPr>
          <w:p w14:paraId="53BC243C"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-291 056,6</w:t>
            </w:r>
          </w:p>
        </w:tc>
        <w:tc>
          <w:tcPr>
            <w:tcW w:w="799" w:type="dxa"/>
            <w:hideMark/>
          </w:tcPr>
          <w:p w14:paraId="73C6E364" w14:textId="2A52D3C1"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p>
        </w:tc>
        <w:tc>
          <w:tcPr>
            <w:tcW w:w="1159" w:type="dxa"/>
            <w:hideMark/>
          </w:tcPr>
          <w:p w14:paraId="300E6C1D"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14,2</w:t>
            </w:r>
          </w:p>
        </w:tc>
        <w:tc>
          <w:tcPr>
            <w:tcW w:w="1159" w:type="dxa"/>
            <w:hideMark/>
          </w:tcPr>
          <w:p w14:paraId="345666E2"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156,3</w:t>
            </w:r>
          </w:p>
        </w:tc>
      </w:tr>
      <w:tr w:rsidR="006A4293" w:rsidRPr="00FB0A3A" w14:paraId="06D1CDD3" w14:textId="77777777" w:rsidTr="006A4293">
        <w:tc>
          <w:tcPr>
            <w:cnfStyle w:val="001000000000" w:firstRow="0" w:lastRow="0" w:firstColumn="1" w:lastColumn="0" w:oddVBand="0" w:evenVBand="0" w:oddHBand="0" w:evenHBand="0" w:firstRowFirstColumn="0" w:firstRowLastColumn="0" w:lastRowFirstColumn="0" w:lastRowLastColumn="0"/>
            <w:tcW w:w="738" w:type="dxa"/>
            <w:hideMark/>
          </w:tcPr>
          <w:p w14:paraId="634CB92E" w14:textId="77777777" w:rsidR="00B420F4" w:rsidRPr="00FB0A3A" w:rsidRDefault="00B420F4" w:rsidP="006A4293">
            <w:pPr>
              <w:tabs>
                <w:tab w:val="left" w:pos="1134"/>
              </w:tabs>
              <w:jc w:val="center"/>
              <w:rPr>
                <w:rFonts w:eastAsia="Calibri" w:cs="Times New Roman"/>
                <w:sz w:val="16"/>
                <w:szCs w:val="16"/>
              </w:rPr>
            </w:pPr>
            <w:r w:rsidRPr="00FB0A3A">
              <w:rPr>
                <w:rFonts w:eastAsia="Calibri" w:cs="Times New Roman"/>
                <w:sz w:val="16"/>
                <w:szCs w:val="16"/>
              </w:rPr>
              <w:t xml:space="preserve"> 3.7.1</w:t>
            </w:r>
          </w:p>
        </w:tc>
        <w:tc>
          <w:tcPr>
            <w:tcW w:w="2234" w:type="dxa"/>
            <w:hideMark/>
          </w:tcPr>
          <w:p w14:paraId="11690F47" w14:textId="77777777" w:rsidR="00B420F4" w:rsidRPr="00FB0A3A" w:rsidRDefault="00B420F4" w:rsidP="006A4293">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Содержание управляющей компании</w:t>
            </w:r>
          </w:p>
        </w:tc>
        <w:tc>
          <w:tcPr>
            <w:tcW w:w="952" w:type="dxa"/>
            <w:hideMark/>
          </w:tcPr>
          <w:p w14:paraId="067BCA0C"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207 224,1</w:t>
            </w:r>
          </w:p>
        </w:tc>
        <w:tc>
          <w:tcPr>
            <w:tcW w:w="1358" w:type="dxa"/>
            <w:hideMark/>
          </w:tcPr>
          <w:p w14:paraId="5602EB20"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224 424,2</w:t>
            </w:r>
          </w:p>
        </w:tc>
        <w:tc>
          <w:tcPr>
            <w:tcW w:w="1346" w:type="dxa"/>
            <w:hideMark/>
          </w:tcPr>
          <w:p w14:paraId="49031061"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223 487,03</w:t>
            </w:r>
          </w:p>
        </w:tc>
        <w:tc>
          <w:tcPr>
            <w:tcW w:w="1325" w:type="dxa"/>
            <w:hideMark/>
          </w:tcPr>
          <w:p w14:paraId="15982658"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28 338,46</w:t>
            </w:r>
          </w:p>
        </w:tc>
        <w:tc>
          <w:tcPr>
            <w:tcW w:w="1325" w:type="dxa"/>
            <w:hideMark/>
          </w:tcPr>
          <w:p w14:paraId="0903ADED"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-195 148,6</w:t>
            </w:r>
          </w:p>
        </w:tc>
        <w:tc>
          <w:tcPr>
            <w:tcW w:w="1256" w:type="dxa"/>
            <w:hideMark/>
          </w:tcPr>
          <w:p w14:paraId="6D341A29"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-87,32</w:t>
            </w:r>
          </w:p>
        </w:tc>
        <w:tc>
          <w:tcPr>
            <w:tcW w:w="1476" w:type="dxa"/>
            <w:hideMark/>
          </w:tcPr>
          <w:p w14:paraId="02DC9886"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-196 085,78</w:t>
            </w:r>
          </w:p>
        </w:tc>
        <w:tc>
          <w:tcPr>
            <w:tcW w:w="799" w:type="dxa"/>
            <w:hideMark/>
          </w:tcPr>
          <w:p w14:paraId="63D40972"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-87,4</w:t>
            </w:r>
          </w:p>
        </w:tc>
        <w:tc>
          <w:tcPr>
            <w:tcW w:w="1159" w:type="dxa"/>
            <w:hideMark/>
          </w:tcPr>
          <w:p w14:paraId="587B402B"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9,8</w:t>
            </w:r>
          </w:p>
        </w:tc>
        <w:tc>
          <w:tcPr>
            <w:tcW w:w="1159" w:type="dxa"/>
            <w:hideMark/>
          </w:tcPr>
          <w:p w14:paraId="0B5995BB"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105,3</w:t>
            </w:r>
          </w:p>
        </w:tc>
      </w:tr>
      <w:tr w:rsidR="006A4293" w:rsidRPr="00FB0A3A" w14:paraId="761A6C0F" w14:textId="77777777" w:rsidTr="006A4293">
        <w:tc>
          <w:tcPr>
            <w:cnfStyle w:val="001000000000" w:firstRow="0" w:lastRow="0" w:firstColumn="1" w:lastColumn="0" w:oddVBand="0" w:evenVBand="0" w:oddHBand="0" w:evenHBand="0" w:firstRowFirstColumn="0" w:firstRowLastColumn="0" w:lastRowFirstColumn="0" w:lastRowLastColumn="0"/>
            <w:tcW w:w="738" w:type="dxa"/>
            <w:hideMark/>
          </w:tcPr>
          <w:p w14:paraId="39D1D58B" w14:textId="77777777" w:rsidR="00B420F4" w:rsidRPr="00FB0A3A" w:rsidRDefault="00B420F4" w:rsidP="006A4293">
            <w:pPr>
              <w:tabs>
                <w:tab w:val="left" w:pos="1134"/>
              </w:tabs>
              <w:jc w:val="center"/>
              <w:rPr>
                <w:rFonts w:eastAsia="Calibri" w:cs="Times New Roman"/>
                <w:sz w:val="16"/>
                <w:szCs w:val="16"/>
              </w:rPr>
            </w:pPr>
            <w:r w:rsidRPr="00FB0A3A">
              <w:rPr>
                <w:rFonts w:eastAsia="Calibri" w:cs="Times New Roman"/>
                <w:sz w:val="16"/>
                <w:szCs w:val="16"/>
              </w:rPr>
              <w:t xml:space="preserve"> 3.7.2</w:t>
            </w:r>
          </w:p>
        </w:tc>
        <w:tc>
          <w:tcPr>
            <w:tcW w:w="2234" w:type="dxa"/>
            <w:hideMark/>
          </w:tcPr>
          <w:p w14:paraId="41FA10AF" w14:textId="77777777" w:rsidR="00B420F4" w:rsidRPr="00FB0A3A" w:rsidRDefault="00B420F4" w:rsidP="006A4293">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Расходы из прибыли по коллективному договору</w:t>
            </w:r>
          </w:p>
        </w:tc>
        <w:tc>
          <w:tcPr>
            <w:tcW w:w="952" w:type="dxa"/>
            <w:hideMark/>
          </w:tcPr>
          <w:p w14:paraId="315EE596"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33 191,3</w:t>
            </w:r>
          </w:p>
        </w:tc>
        <w:tc>
          <w:tcPr>
            <w:tcW w:w="1358" w:type="dxa"/>
            <w:hideMark/>
          </w:tcPr>
          <w:p w14:paraId="209A876E"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35 946,3</w:t>
            </w:r>
          </w:p>
        </w:tc>
        <w:tc>
          <w:tcPr>
            <w:tcW w:w="1346" w:type="dxa"/>
            <w:hideMark/>
          </w:tcPr>
          <w:p w14:paraId="634A5BEE"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41 231,50</w:t>
            </w:r>
          </w:p>
        </w:tc>
        <w:tc>
          <w:tcPr>
            <w:tcW w:w="1325" w:type="dxa"/>
            <w:hideMark/>
          </w:tcPr>
          <w:p w14:paraId="36B5928D"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23 771,51</w:t>
            </w:r>
          </w:p>
        </w:tc>
        <w:tc>
          <w:tcPr>
            <w:tcW w:w="1325" w:type="dxa"/>
            <w:hideMark/>
          </w:tcPr>
          <w:p w14:paraId="6EC403EF"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-17 460,0</w:t>
            </w:r>
          </w:p>
        </w:tc>
        <w:tc>
          <w:tcPr>
            <w:tcW w:w="1256" w:type="dxa"/>
            <w:hideMark/>
          </w:tcPr>
          <w:p w14:paraId="70D7EA6C"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-42,35</w:t>
            </w:r>
          </w:p>
        </w:tc>
        <w:tc>
          <w:tcPr>
            <w:tcW w:w="1476" w:type="dxa"/>
            <w:hideMark/>
          </w:tcPr>
          <w:p w14:paraId="26492227"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-12 174,76</w:t>
            </w:r>
          </w:p>
        </w:tc>
        <w:tc>
          <w:tcPr>
            <w:tcW w:w="799" w:type="dxa"/>
            <w:hideMark/>
          </w:tcPr>
          <w:p w14:paraId="5EB001D1"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-33,9</w:t>
            </w:r>
          </w:p>
        </w:tc>
        <w:tc>
          <w:tcPr>
            <w:tcW w:w="1159" w:type="dxa"/>
            <w:hideMark/>
          </w:tcPr>
          <w:p w14:paraId="21428BFD"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0,9</w:t>
            </w:r>
          </w:p>
        </w:tc>
        <w:tc>
          <w:tcPr>
            <w:tcW w:w="1159" w:type="dxa"/>
            <w:hideMark/>
          </w:tcPr>
          <w:p w14:paraId="11013351"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6,5</w:t>
            </w:r>
          </w:p>
        </w:tc>
      </w:tr>
      <w:tr w:rsidR="006A4293" w:rsidRPr="00FB0A3A" w14:paraId="2126F772" w14:textId="77777777" w:rsidTr="006A4293">
        <w:tc>
          <w:tcPr>
            <w:cnfStyle w:val="001000000000" w:firstRow="0" w:lastRow="0" w:firstColumn="1" w:lastColumn="0" w:oddVBand="0" w:evenVBand="0" w:oddHBand="0" w:evenHBand="0" w:firstRowFirstColumn="0" w:firstRowLastColumn="0" w:lastRowFirstColumn="0" w:lastRowLastColumn="0"/>
            <w:tcW w:w="738" w:type="dxa"/>
            <w:hideMark/>
          </w:tcPr>
          <w:p w14:paraId="6EB08025" w14:textId="77777777" w:rsidR="00B420F4" w:rsidRPr="00FB0A3A" w:rsidRDefault="00B420F4" w:rsidP="006A4293">
            <w:pPr>
              <w:tabs>
                <w:tab w:val="left" w:pos="1134"/>
              </w:tabs>
              <w:jc w:val="center"/>
              <w:rPr>
                <w:rFonts w:eastAsia="Calibri" w:cs="Times New Roman"/>
                <w:sz w:val="16"/>
                <w:szCs w:val="16"/>
              </w:rPr>
            </w:pPr>
            <w:r w:rsidRPr="00FB0A3A">
              <w:rPr>
                <w:rFonts w:eastAsia="Calibri" w:cs="Times New Roman"/>
                <w:sz w:val="16"/>
                <w:szCs w:val="16"/>
              </w:rPr>
              <w:t xml:space="preserve"> 3.7.3</w:t>
            </w:r>
          </w:p>
        </w:tc>
        <w:tc>
          <w:tcPr>
            <w:tcW w:w="2234" w:type="dxa"/>
            <w:hideMark/>
          </w:tcPr>
          <w:p w14:paraId="0430FFA9" w14:textId="77777777" w:rsidR="00B420F4" w:rsidRPr="00FB0A3A" w:rsidRDefault="00B420F4" w:rsidP="006A4293">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Другие расходы из прибыли</w:t>
            </w:r>
          </w:p>
        </w:tc>
        <w:tc>
          <w:tcPr>
            <w:tcW w:w="952" w:type="dxa"/>
            <w:hideMark/>
          </w:tcPr>
          <w:p w14:paraId="66CC9F61"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111 082,3</w:t>
            </w:r>
          </w:p>
        </w:tc>
        <w:tc>
          <w:tcPr>
            <w:tcW w:w="1358" w:type="dxa"/>
            <w:hideMark/>
          </w:tcPr>
          <w:p w14:paraId="530B33CA"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120 302,4</w:t>
            </w:r>
          </w:p>
        </w:tc>
        <w:tc>
          <w:tcPr>
            <w:tcW w:w="1346" w:type="dxa"/>
            <w:hideMark/>
          </w:tcPr>
          <w:p w14:paraId="6FCEA745"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106 923,40</w:t>
            </w:r>
          </w:p>
        </w:tc>
        <w:tc>
          <w:tcPr>
            <w:tcW w:w="1325" w:type="dxa"/>
            <w:hideMark/>
          </w:tcPr>
          <w:p w14:paraId="65F3E891"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37 506,36</w:t>
            </w:r>
          </w:p>
        </w:tc>
        <w:tc>
          <w:tcPr>
            <w:tcW w:w="1325" w:type="dxa"/>
            <w:hideMark/>
          </w:tcPr>
          <w:p w14:paraId="592DEF19"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-69 417,0</w:t>
            </w:r>
          </w:p>
        </w:tc>
        <w:tc>
          <w:tcPr>
            <w:tcW w:w="1256" w:type="dxa"/>
            <w:hideMark/>
          </w:tcPr>
          <w:p w14:paraId="523A658D"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-64,92</w:t>
            </w:r>
          </w:p>
        </w:tc>
        <w:tc>
          <w:tcPr>
            <w:tcW w:w="1476" w:type="dxa"/>
            <w:hideMark/>
          </w:tcPr>
          <w:p w14:paraId="2556B967"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-82 796,07</w:t>
            </w:r>
          </w:p>
        </w:tc>
        <w:tc>
          <w:tcPr>
            <w:tcW w:w="799" w:type="dxa"/>
            <w:hideMark/>
          </w:tcPr>
          <w:p w14:paraId="0B135C78"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-68,8</w:t>
            </w:r>
          </w:p>
        </w:tc>
        <w:tc>
          <w:tcPr>
            <w:tcW w:w="1159" w:type="dxa"/>
            <w:hideMark/>
          </w:tcPr>
          <w:p w14:paraId="00CF15FB"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3,5</w:t>
            </w:r>
          </w:p>
        </w:tc>
        <w:tc>
          <w:tcPr>
            <w:tcW w:w="1159" w:type="dxa"/>
            <w:hideMark/>
          </w:tcPr>
          <w:p w14:paraId="238ADC02"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44,5</w:t>
            </w:r>
          </w:p>
        </w:tc>
      </w:tr>
      <w:tr w:rsidR="006A4293" w:rsidRPr="00FB0A3A" w14:paraId="73CDFAD2" w14:textId="77777777" w:rsidTr="006A4293">
        <w:tc>
          <w:tcPr>
            <w:cnfStyle w:val="001000000000" w:firstRow="0" w:lastRow="0" w:firstColumn="1" w:lastColumn="0" w:oddVBand="0" w:evenVBand="0" w:oddHBand="0" w:evenHBand="0" w:firstRowFirstColumn="0" w:firstRowLastColumn="0" w:lastRowFirstColumn="0" w:lastRowLastColumn="0"/>
            <w:tcW w:w="738" w:type="dxa"/>
            <w:hideMark/>
          </w:tcPr>
          <w:p w14:paraId="6EEF90AA" w14:textId="77777777" w:rsidR="00B420F4" w:rsidRPr="00FB0A3A" w:rsidRDefault="00B420F4" w:rsidP="006A4293">
            <w:pPr>
              <w:tabs>
                <w:tab w:val="left" w:pos="1134"/>
              </w:tabs>
              <w:jc w:val="center"/>
              <w:rPr>
                <w:rFonts w:eastAsia="Calibri" w:cs="Times New Roman"/>
                <w:sz w:val="16"/>
                <w:szCs w:val="16"/>
              </w:rPr>
            </w:pPr>
            <w:r w:rsidRPr="00FB0A3A">
              <w:rPr>
                <w:rFonts w:eastAsia="Calibri" w:cs="Times New Roman"/>
                <w:sz w:val="16"/>
                <w:szCs w:val="16"/>
              </w:rPr>
              <w:t> </w:t>
            </w:r>
          </w:p>
        </w:tc>
        <w:tc>
          <w:tcPr>
            <w:tcW w:w="2234" w:type="dxa"/>
            <w:hideMark/>
          </w:tcPr>
          <w:p w14:paraId="778DAD72" w14:textId="77777777" w:rsidR="00B420F4" w:rsidRPr="00FB0A3A" w:rsidRDefault="00B420F4" w:rsidP="006A4293">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FB0A3A">
              <w:rPr>
                <w:rFonts w:eastAsia="Calibri" w:cs="Times New Roman"/>
                <w:b/>
                <w:sz w:val="16"/>
                <w:szCs w:val="16"/>
              </w:rPr>
              <w:t>ИТОГО операционные (подконтрольные) расходы</w:t>
            </w:r>
          </w:p>
        </w:tc>
        <w:tc>
          <w:tcPr>
            <w:tcW w:w="952" w:type="dxa"/>
            <w:hideMark/>
          </w:tcPr>
          <w:p w14:paraId="1143F55D" w14:textId="7E30D690" w:rsidR="00B420F4" w:rsidRPr="00FB0A3A" w:rsidRDefault="00CE1E5E"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FB0A3A">
              <w:rPr>
                <w:rFonts w:eastAsia="Calibri" w:cs="Times New Roman"/>
                <w:b/>
                <w:sz w:val="16"/>
                <w:szCs w:val="16"/>
              </w:rPr>
              <w:t>1 808 837</w:t>
            </w:r>
          </w:p>
        </w:tc>
        <w:tc>
          <w:tcPr>
            <w:tcW w:w="1358" w:type="dxa"/>
            <w:hideMark/>
          </w:tcPr>
          <w:p w14:paraId="7728A981" w14:textId="5C10BE89" w:rsidR="00B420F4" w:rsidRPr="00FB0A3A" w:rsidRDefault="00CE1E5E"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FB0A3A">
              <w:rPr>
                <w:rFonts w:eastAsia="Calibri" w:cs="Times New Roman"/>
                <w:b/>
                <w:sz w:val="16"/>
                <w:szCs w:val="16"/>
              </w:rPr>
              <w:t>1</w:t>
            </w:r>
            <w:r w:rsidR="00B420F4" w:rsidRPr="00FB0A3A">
              <w:rPr>
                <w:rFonts w:eastAsia="Calibri" w:cs="Times New Roman"/>
                <w:b/>
                <w:sz w:val="16"/>
                <w:szCs w:val="16"/>
              </w:rPr>
              <w:t>958 975,6</w:t>
            </w:r>
          </w:p>
        </w:tc>
        <w:tc>
          <w:tcPr>
            <w:tcW w:w="1346" w:type="dxa"/>
            <w:hideMark/>
          </w:tcPr>
          <w:p w14:paraId="6DFBA6F5" w14:textId="22817B20" w:rsidR="00B420F4" w:rsidRPr="00FB0A3A" w:rsidRDefault="00CE1E5E"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FB0A3A">
              <w:rPr>
                <w:rFonts w:eastAsia="Calibri" w:cs="Times New Roman"/>
                <w:b/>
                <w:sz w:val="16"/>
                <w:szCs w:val="16"/>
              </w:rPr>
              <w:t>2 457 943,6</w:t>
            </w:r>
          </w:p>
        </w:tc>
        <w:tc>
          <w:tcPr>
            <w:tcW w:w="1325" w:type="dxa"/>
            <w:hideMark/>
          </w:tcPr>
          <w:p w14:paraId="6A40F0D3" w14:textId="74D5172C" w:rsidR="00B420F4" w:rsidRPr="00FB0A3A" w:rsidRDefault="00CE1E5E"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FB0A3A">
              <w:rPr>
                <w:rFonts w:eastAsia="Calibri" w:cs="Times New Roman"/>
                <w:b/>
                <w:sz w:val="16"/>
                <w:szCs w:val="16"/>
              </w:rPr>
              <w:t>1698 503,9</w:t>
            </w:r>
          </w:p>
        </w:tc>
        <w:tc>
          <w:tcPr>
            <w:tcW w:w="1325" w:type="dxa"/>
            <w:hideMark/>
          </w:tcPr>
          <w:p w14:paraId="5863B72D"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FB0A3A">
              <w:rPr>
                <w:rFonts w:eastAsia="Calibri" w:cs="Times New Roman"/>
                <w:b/>
                <w:sz w:val="16"/>
                <w:szCs w:val="16"/>
              </w:rPr>
              <w:t>-759 439,8</w:t>
            </w:r>
          </w:p>
        </w:tc>
        <w:tc>
          <w:tcPr>
            <w:tcW w:w="1256" w:type="dxa"/>
            <w:hideMark/>
          </w:tcPr>
          <w:p w14:paraId="0477221A"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FB0A3A">
              <w:rPr>
                <w:rFonts w:eastAsia="Calibri" w:cs="Times New Roman"/>
                <w:b/>
                <w:sz w:val="16"/>
                <w:szCs w:val="16"/>
              </w:rPr>
              <w:t>-30,90</w:t>
            </w:r>
          </w:p>
        </w:tc>
        <w:tc>
          <w:tcPr>
            <w:tcW w:w="1476" w:type="dxa"/>
            <w:hideMark/>
          </w:tcPr>
          <w:p w14:paraId="6963F05F"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FB0A3A">
              <w:rPr>
                <w:rFonts w:eastAsia="Calibri" w:cs="Times New Roman"/>
                <w:b/>
                <w:sz w:val="16"/>
                <w:szCs w:val="16"/>
              </w:rPr>
              <w:t>-260 471,7</w:t>
            </w:r>
          </w:p>
        </w:tc>
        <w:tc>
          <w:tcPr>
            <w:tcW w:w="799" w:type="dxa"/>
            <w:hideMark/>
          </w:tcPr>
          <w:p w14:paraId="3A095DCE"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FB0A3A">
              <w:rPr>
                <w:rFonts w:eastAsia="Calibri" w:cs="Times New Roman"/>
                <w:b/>
                <w:sz w:val="16"/>
                <w:szCs w:val="16"/>
              </w:rPr>
              <w:t>-13,3</w:t>
            </w:r>
          </w:p>
        </w:tc>
        <w:tc>
          <w:tcPr>
            <w:tcW w:w="1159" w:type="dxa"/>
            <w:hideMark/>
          </w:tcPr>
          <w:p w14:paraId="146073E4"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FB0A3A">
              <w:rPr>
                <w:rFonts w:eastAsia="Calibri" w:cs="Times New Roman"/>
                <w:b/>
                <w:sz w:val="16"/>
                <w:szCs w:val="16"/>
              </w:rPr>
              <w:t>38,2</w:t>
            </w:r>
          </w:p>
        </w:tc>
        <w:tc>
          <w:tcPr>
            <w:tcW w:w="1159" w:type="dxa"/>
            <w:hideMark/>
          </w:tcPr>
          <w:p w14:paraId="534AB351"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FB0A3A">
              <w:rPr>
                <w:rFonts w:eastAsia="Calibri" w:cs="Times New Roman"/>
                <w:b/>
                <w:sz w:val="16"/>
                <w:szCs w:val="16"/>
              </w:rPr>
              <w:t>139,8</w:t>
            </w:r>
          </w:p>
        </w:tc>
      </w:tr>
      <w:tr w:rsidR="006A4293" w:rsidRPr="00FB0A3A" w14:paraId="5DDB4BF5" w14:textId="77777777" w:rsidTr="006A4293">
        <w:tc>
          <w:tcPr>
            <w:cnfStyle w:val="001000000000" w:firstRow="0" w:lastRow="0" w:firstColumn="1" w:lastColumn="0" w:oddVBand="0" w:evenVBand="0" w:oddHBand="0" w:evenHBand="0" w:firstRowFirstColumn="0" w:firstRowLastColumn="0" w:lastRowFirstColumn="0" w:lastRowLastColumn="0"/>
            <w:tcW w:w="738" w:type="dxa"/>
            <w:hideMark/>
          </w:tcPr>
          <w:p w14:paraId="401C46AC" w14:textId="77777777" w:rsidR="00B420F4" w:rsidRPr="00FB0A3A" w:rsidRDefault="00B420F4" w:rsidP="006A4293">
            <w:pPr>
              <w:tabs>
                <w:tab w:val="left" w:pos="1134"/>
              </w:tabs>
              <w:jc w:val="center"/>
              <w:rPr>
                <w:rFonts w:eastAsia="Calibri" w:cs="Times New Roman"/>
                <w:sz w:val="16"/>
                <w:szCs w:val="16"/>
              </w:rPr>
            </w:pPr>
            <w:r w:rsidRPr="00FB0A3A">
              <w:rPr>
                <w:rFonts w:eastAsia="Calibri" w:cs="Times New Roman"/>
                <w:sz w:val="16"/>
                <w:szCs w:val="16"/>
              </w:rPr>
              <w:t> </w:t>
            </w:r>
          </w:p>
        </w:tc>
        <w:tc>
          <w:tcPr>
            <w:tcW w:w="2234" w:type="dxa"/>
            <w:hideMark/>
          </w:tcPr>
          <w:p w14:paraId="17CFFC0B" w14:textId="77777777" w:rsidR="00B420F4" w:rsidRPr="00FB0A3A" w:rsidRDefault="00B420F4" w:rsidP="006A4293">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FB0A3A">
              <w:rPr>
                <w:rFonts w:eastAsia="Calibri" w:cs="Times New Roman"/>
                <w:b/>
                <w:sz w:val="16"/>
                <w:szCs w:val="16"/>
              </w:rPr>
              <w:t>НВВ на содержание сетей</w:t>
            </w:r>
          </w:p>
        </w:tc>
        <w:tc>
          <w:tcPr>
            <w:tcW w:w="952" w:type="dxa"/>
            <w:hideMark/>
          </w:tcPr>
          <w:p w14:paraId="2104F762" w14:textId="5B31B317" w:rsidR="00B420F4" w:rsidRPr="00FB0A3A" w:rsidRDefault="00CE1E5E"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FB0A3A">
              <w:rPr>
                <w:rFonts w:eastAsia="Calibri" w:cs="Times New Roman"/>
                <w:b/>
                <w:sz w:val="16"/>
                <w:szCs w:val="16"/>
              </w:rPr>
              <w:t xml:space="preserve">3 </w:t>
            </w:r>
            <w:r w:rsidR="00B420F4" w:rsidRPr="00FB0A3A">
              <w:rPr>
                <w:rFonts w:eastAsia="Calibri" w:cs="Times New Roman"/>
                <w:b/>
                <w:sz w:val="16"/>
                <w:szCs w:val="16"/>
              </w:rPr>
              <w:t>0</w:t>
            </w:r>
            <w:r w:rsidRPr="00FB0A3A">
              <w:rPr>
                <w:rFonts w:eastAsia="Calibri" w:cs="Times New Roman"/>
                <w:b/>
                <w:sz w:val="16"/>
                <w:szCs w:val="16"/>
              </w:rPr>
              <w:t>61 066</w:t>
            </w:r>
          </w:p>
        </w:tc>
        <w:tc>
          <w:tcPr>
            <w:tcW w:w="1358" w:type="dxa"/>
            <w:hideMark/>
          </w:tcPr>
          <w:p w14:paraId="569325B8" w14:textId="43790E60" w:rsidR="00B420F4" w:rsidRPr="00FB0A3A" w:rsidRDefault="00CE1E5E"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FB0A3A">
              <w:rPr>
                <w:rFonts w:eastAsia="Calibri" w:cs="Times New Roman"/>
                <w:b/>
                <w:sz w:val="16"/>
                <w:szCs w:val="16"/>
              </w:rPr>
              <w:t>3 315 143</w:t>
            </w:r>
          </w:p>
        </w:tc>
        <w:tc>
          <w:tcPr>
            <w:tcW w:w="1346" w:type="dxa"/>
            <w:hideMark/>
          </w:tcPr>
          <w:p w14:paraId="661AE9BF" w14:textId="3510B662" w:rsidR="00B420F4" w:rsidRPr="00FB0A3A" w:rsidRDefault="00CE1E5E"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FB0A3A">
              <w:rPr>
                <w:rFonts w:eastAsia="Calibri" w:cs="Times New Roman"/>
                <w:b/>
                <w:sz w:val="16"/>
                <w:szCs w:val="16"/>
              </w:rPr>
              <w:t>5 117 823,3</w:t>
            </w:r>
          </w:p>
        </w:tc>
        <w:tc>
          <w:tcPr>
            <w:tcW w:w="1325" w:type="dxa"/>
            <w:hideMark/>
          </w:tcPr>
          <w:p w14:paraId="31861F6D" w14:textId="28F73D19" w:rsidR="00B420F4" w:rsidRPr="00FB0A3A" w:rsidRDefault="00CE1E5E"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FB0A3A">
              <w:rPr>
                <w:rFonts w:eastAsia="Calibri" w:cs="Times New Roman"/>
                <w:b/>
                <w:sz w:val="16"/>
                <w:szCs w:val="16"/>
              </w:rPr>
              <w:t>3 128 880</w:t>
            </w:r>
          </w:p>
        </w:tc>
        <w:tc>
          <w:tcPr>
            <w:tcW w:w="1325" w:type="dxa"/>
            <w:hideMark/>
          </w:tcPr>
          <w:p w14:paraId="017066AD" w14:textId="17BBB502" w:rsidR="00B420F4" w:rsidRPr="00FB0A3A" w:rsidRDefault="00CE1E5E"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FB0A3A">
              <w:rPr>
                <w:rFonts w:eastAsia="Calibri" w:cs="Times New Roman"/>
                <w:b/>
                <w:sz w:val="16"/>
                <w:szCs w:val="16"/>
              </w:rPr>
              <w:t>-1 988 942</w:t>
            </w:r>
          </w:p>
        </w:tc>
        <w:tc>
          <w:tcPr>
            <w:tcW w:w="1256" w:type="dxa"/>
            <w:hideMark/>
          </w:tcPr>
          <w:p w14:paraId="501FB8AA"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FB0A3A">
              <w:rPr>
                <w:rFonts w:eastAsia="Calibri" w:cs="Times New Roman"/>
                <w:b/>
                <w:sz w:val="16"/>
                <w:szCs w:val="16"/>
              </w:rPr>
              <w:t>-38,86</w:t>
            </w:r>
          </w:p>
        </w:tc>
        <w:tc>
          <w:tcPr>
            <w:tcW w:w="1476" w:type="dxa"/>
            <w:hideMark/>
          </w:tcPr>
          <w:p w14:paraId="6BFC25FA"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FB0A3A">
              <w:rPr>
                <w:rFonts w:eastAsia="Calibri" w:cs="Times New Roman"/>
                <w:b/>
                <w:sz w:val="16"/>
                <w:szCs w:val="16"/>
              </w:rPr>
              <w:t>-186 262,90</w:t>
            </w:r>
          </w:p>
        </w:tc>
        <w:tc>
          <w:tcPr>
            <w:tcW w:w="799" w:type="dxa"/>
            <w:hideMark/>
          </w:tcPr>
          <w:p w14:paraId="4349D36B" w14:textId="469256EC"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p>
        </w:tc>
        <w:tc>
          <w:tcPr>
            <w:tcW w:w="1159" w:type="dxa"/>
            <w:hideMark/>
          </w:tcPr>
          <w:p w14:paraId="0240836C"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FB0A3A">
              <w:rPr>
                <w:rFonts w:eastAsia="Calibri" w:cs="Times New Roman"/>
                <w:b/>
                <w:sz w:val="16"/>
                <w:szCs w:val="16"/>
              </w:rPr>
              <w:t>100,0</w:t>
            </w:r>
          </w:p>
        </w:tc>
        <w:tc>
          <w:tcPr>
            <w:tcW w:w="1159" w:type="dxa"/>
            <w:hideMark/>
          </w:tcPr>
          <w:p w14:paraId="7FFE67A6" w14:textId="77777777" w:rsidR="00B420F4" w:rsidRPr="00FB0A3A" w:rsidRDefault="00B420F4" w:rsidP="006A429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b/>
                <w:sz w:val="16"/>
                <w:szCs w:val="16"/>
              </w:rPr>
            </w:pPr>
            <w:r w:rsidRPr="00FB0A3A">
              <w:rPr>
                <w:rFonts w:eastAsia="Calibri" w:cs="Times New Roman"/>
                <w:b/>
                <w:sz w:val="16"/>
                <w:szCs w:val="16"/>
              </w:rPr>
              <w:t>100,0</w:t>
            </w:r>
          </w:p>
        </w:tc>
      </w:tr>
    </w:tbl>
    <w:p w14:paraId="4787202C" w14:textId="77777777" w:rsidR="00F07616" w:rsidRPr="00FB0A3A" w:rsidRDefault="00F07616" w:rsidP="00A31747">
      <w:pPr>
        <w:tabs>
          <w:tab w:val="left" w:pos="1134"/>
        </w:tabs>
        <w:spacing w:after="0" w:line="360" w:lineRule="auto"/>
        <w:ind w:firstLine="567"/>
        <w:contextualSpacing/>
        <w:jc w:val="both"/>
        <w:rPr>
          <w:rFonts w:ascii="Myriad Pro" w:eastAsia="Calibri" w:hAnsi="Myriad Pro" w:cs="Times New Roman"/>
          <w:sz w:val="26"/>
          <w:szCs w:val="26"/>
        </w:rPr>
        <w:sectPr w:rsidR="00F07616" w:rsidRPr="00FB0A3A" w:rsidSect="00486403">
          <w:pgSz w:w="16838" w:h="11906" w:orient="landscape"/>
          <w:pgMar w:top="1418" w:right="851" w:bottom="1134" w:left="1701" w:header="709" w:footer="709" w:gutter="0"/>
          <w:cols w:space="708"/>
          <w:docGrid w:linePitch="360"/>
        </w:sectPr>
      </w:pPr>
    </w:p>
    <w:p w14:paraId="52574C4B" w14:textId="66A512A8" w:rsidR="006C313D" w:rsidRPr="00FB0A3A" w:rsidRDefault="006C313D" w:rsidP="00224EB6">
      <w:pPr>
        <w:tabs>
          <w:tab w:val="left" w:pos="1134"/>
        </w:tabs>
        <w:spacing w:before="240" w:after="0" w:line="360" w:lineRule="auto"/>
        <w:jc w:val="both"/>
        <w:rPr>
          <w:rFonts w:ascii="Myriad Pro" w:eastAsia="Calibri" w:hAnsi="Myriad Pro" w:cs="Times New Roman"/>
          <w:b/>
          <w:i/>
          <w:sz w:val="26"/>
          <w:szCs w:val="26"/>
        </w:rPr>
      </w:pPr>
      <w:r w:rsidRPr="00FB0A3A">
        <w:rPr>
          <w:rFonts w:ascii="Myriad Pro" w:hAnsi="Myriad Pro"/>
          <w:b/>
          <w:i/>
          <w:sz w:val="26"/>
          <w:szCs w:val="26"/>
        </w:rPr>
        <w:lastRenderedPageBreak/>
        <w:t>Сырье, материалы, запа</w:t>
      </w:r>
      <w:r w:rsidR="00224EB6" w:rsidRPr="00FB0A3A">
        <w:rPr>
          <w:rFonts w:ascii="Myriad Pro" w:hAnsi="Myriad Pro"/>
          <w:b/>
          <w:i/>
          <w:sz w:val="26"/>
          <w:szCs w:val="26"/>
        </w:rPr>
        <w:t>сные части, инструмент, топливо</w:t>
      </w:r>
    </w:p>
    <w:p w14:paraId="37E51176" w14:textId="0F444BA9" w:rsidR="00AB5C4F" w:rsidRPr="00FB0A3A" w:rsidRDefault="00AB5C4F" w:rsidP="00A31747">
      <w:pPr>
        <w:tabs>
          <w:tab w:val="left" w:pos="1134"/>
        </w:tabs>
        <w:spacing w:after="0" w:line="360" w:lineRule="auto"/>
        <w:ind w:firstLine="567"/>
        <w:jc w:val="both"/>
        <w:rPr>
          <w:rFonts w:ascii="Myriad Pro" w:eastAsia="Calibri" w:hAnsi="Myriad Pro" w:cs="Times New Roman"/>
          <w:sz w:val="26"/>
          <w:szCs w:val="26"/>
        </w:rPr>
      </w:pPr>
      <w:r w:rsidRPr="00FB0A3A">
        <w:rPr>
          <w:rFonts w:ascii="Myriad Pro" w:eastAsia="Calibri" w:hAnsi="Myriad Pro" w:cs="Times New Roman"/>
          <w:sz w:val="26"/>
          <w:szCs w:val="26"/>
        </w:rPr>
        <w:t xml:space="preserve">Согласно п. 12 Методических указаний </w:t>
      </w:r>
      <w:r w:rsidR="00F47231" w:rsidRPr="00FB0A3A">
        <w:rPr>
          <w:rFonts w:ascii="Myriad Pro" w:eastAsia="Calibri" w:hAnsi="Myriad Pro" w:cs="Times New Roman"/>
          <w:sz w:val="26"/>
          <w:szCs w:val="26"/>
        </w:rPr>
        <w:t xml:space="preserve">№98-э </w:t>
      </w:r>
      <w:r w:rsidRPr="00FB0A3A">
        <w:rPr>
          <w:rFonts w:ascii="Myriad Pro" w:eastAsia="Calibri" w:hAnsi="Myriad Pro" w:cs="Times New Roman"/>
          <w:sz w:val="26"/>
          <w:szCs w:val="26"/>
        </w:rPr>
        <w:t>при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следующие статьи затрат: сырье и материалы, определяемые в соответствии с пунктом 24 Основ ценообразования</w:t>
      </w:r>
      <w:r w:rsidR="00F47231" w:rsidRPr="00FB0A3A">
        <w:rPr>
          <w:rFonts w:ascii="Myriad Pro" w:eastAsia="Calibri" w:hAnsi="Myriad Pro" w:cs="Times New Roman"/>
          <w:sz w:val="26"/>
          <w:szCs w:val="26"/>
        </w:rPr>
        <w:t xml:space="preserve"> № 1178</w:t>
      </w:r>
      <w:r w:rsidRPr="00FB0A3A">
        <w:rPr>
          <w:rFonts w:ascii="Myriad Pro" w:eastAsia="Calibri" w:hAnsi="Myriad Pro" w:cs="Times New Roman"/>
          <w:sz w:val="26"/>
          <w:szCs w:val="26"/>
        </w:rPr>
        <w:t>.</w:t>
      </w:r>
    </w:p>
    <w:p w14:paraId="69DBB268" w14:textId="5478A62C" w:rsidR="00AB5C4F" w:rsidRPr="00FB0A3A" w:rsidRDefault="00AB5C4F" w:rsidP="00A31747">
      <w:pPr>
        <w:tabs>
          <w:tab w:val="left" w:pos="1134"/>
        </w:tabs>
        <w:spacing w:after="0" w:line="360" w:lineRule="auto"/>
        <w:ind w:firstLine="567"/>
        <w:jc w:val="both"/>
        <w:rPr>
          <w:rFonts w:ascii="Myriad Pro" w:eastAsia="Calibri" w:hAnsi="Myriad Pro" w:cs="Times New Roman"/>
          <w:sz w:val="26"/>
          <w:szCs w:val="26"/>
        </w:rPr>
      </w:pPr>
      <w:r w:rsidRPr="00FB0A3A">
        <w:rPr>
          <w:rFonts w:ascii="Myriad Pro" w:eastAsia="Calibri" w:hAnsi="Myriad Pro" w:cs="Times New Roman"/>
          <w:sz w:val="26"/>
          <w:szCs w:val="26"/>
        </w:rPr>
        <w:t>В соответствии с п. 24 Основ ценообразования</w:t>
      </w:r>
      <w:r w:rsidR="00F47231" w:rsidRPr="00FB0A3A">
        <w:rPr>
          <w:rFonts w:ascii="Myriad Pro" w:eastAsia="Calibri" w:hAnsi="Myriad Pro" w:cs="Times New Roman"/>
          <w:sz w:val="26"/>
          <w:szCs w:val="26"/>
        </w:rPr>
        <w:t xml:space="preserve"> №1178</w:t>
      </w:r>
      <w:r w:rsidRPr="00FB0A3A">
        <w:rPr>
          <w:rFonts w:ascii="Myriad Pro" w:eastAsia="Calibri" w:hAnsi="Myriad Pro" w:cs="Times New Roman"/>
          <w:sz w:val="26"/>
          <w:szCs w:val="26"/>
        </w:rPr>
        <w:t xml:space="preserve"> расходы на сырье и материалы, используемые для производственных и хозяйственных нужд, рассчитываются на основании цен, определяемых в соответствии с пунктом 29 Основ ценообразования</w:t>
      </w:r>
      <w:r w:rsidR="00F47231" w:rsidRPr="00FB0A3A">
        <w:rPr>
          <w:rFonts w:ascii="Myriad Pro" w:eastAsia="Calibri" w:hAnsi="Myriad Pro" w:cs="Times New Roman"/>
          <w:sz w:val="26"/>
          <w:szCs w:val="26"/>
        </w:rPr>
        <w:t xml:space="preserve"> № 1178</w:t>
      </w:r>
      <w:r w:rsidRPr="00FB0A3A">
        <w:rPr>
          <w:rFonts w:ascii="Myriad Pro" w:eastAsia="Calibri" w:hAnsi="Myriad Pro" w:cs="Times New Roman"/>
          <w:sz w:val="26"/>
          <w:szCs w:val="26"/>
        </w:rPr>
        <w:t>.</w:t>
      </w:r>
    </w:p>
    <w:p w14:paraId="2C58381E" w14:textId="338BDACC" w:rsidR="00AB5C4F" w:rsidRPr="00FB0A3A" w:rsidRDefault="00AB5C4F" w:rsidP="00A31747">
      <w:pPr>
        <w:tabs>
          <w:tab w:val="left" w:pos="1134"/>
        </w:tabs>
        <w:spacing w:after="0" w:line="360" w:lineRule="auto"/>
        <w:ind w:firstLine="567"/>
        <w:jc w:val="both"/>
        <w:rPr>
          <w:rFonts w:ascii="Myriad Pro" w:eastAsia="Calibri" w:hAnsi="Myriad Pro" w:cs="Times New Roman"/>
          <w:sz w:val="26"/>
          <w:szCs w:val="26"/>
        </w:rPr>
      </w:pPr>
      <w:r w:rsidRPr="00FB0A3A">
        <w:rPr>
          <w:rFonts w:ascii="Myriad Pro" w:eastAsia="Calibri" w:hAnsi="Myriad Pro" w:cs="Times New Roman"/>
          <w:sz w:val="26"/>
          <w:szCs w:val="26"/>
        </w:rPr>
        <w:t xml:space="preserve">Согласно п. 29 Основ ценообразования </w:t>
      </w:r>
      <w:r w:rsidR="00F47231" w:rsidRPr="00FB0A3A">
        <w:rPr>
          <w:rFonts w:ascii="Myriad Pro" w:eastAsia="Calibri" w:hAnsi="Myriad Pro" w:cs="Times New Roman"/>
          <w:sz w:val="26"/>
          <w:szCs w:val="26"/>
        </w:rPr>
        <w:t xml:space="preserve">№ 1178 </w:t>
      </w:r>
      <w:r w:rsidRPr="00FB0A3A">
        <w:rPr>
          <w:rFonts w:ascii="Myriad Pro" w:eastAsia="Calibri" w:hAnsi="Myriad Pro" w:cs="Times New Roman"/>
          <w:sz w:val="26"/>
          <w:szCs w:val="26"/>
        </w:rPr>
        <w:t>при определении фактических значений расходов (цен) регулирующий орган использует (в порядке очередности, если какой-либо из видов цен не может быть применен по причине отсутствия информации о таких ценах):</w:t>
      </w:r>
    </w:p>
    <w:p w14:paraId="4F6DA5CC" w14:textId="77777777" w:rsidR="00AB5C4F" w:rsidRPr="00FB0A3A" w:rsidRDefault="00AB5C4F" w:rsidP="009B0BC1">
      <w:pPr>
        <w:pStyle w:val="a4"/>
        <w:numPr>
          <w:ilvl w:val="0"/>
          <w:numId w:val="15"/>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w:t>
      </w:r>
    </w:p>
    <w:p w14:paraId="3C7E6737" w14:textId="77777777" w:rsidR="00AB5C4F" w:rsidRPr="00FB0A3A" w:rsidRDefault="00AB5C4F" w:rsidP="009B0BC1">
      <w:pPr>
        <w:pStyle w:val="a4"/>
        <w:numPr>
          <w:ilvl w:val="0"/>
          <w:numId w:val="15"/>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расходы (цены), установленные в договорах, заключенных в результате проведения торгов;</w:t>
      </w:r>
    </w:p>
    <w:p w14:paraId="584A763B" w14:textId="77777777" w:rsidR="00AB5C4F" w:rsidRPr="00FB0A3A" w:rsidRDefault="00AB5C4F" w:rsidP="009B0BC1">
      <w:pPr>
        <w:pStyle w:val="a4"/>
        <w:numPr>
          <w:ilvl w:val="0"/>
          <w:numId w:val="15"/>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рыночные цены, сложившиеся на организованных торговых площадках, в том числе биржах, функционирующих на территории Российской Федерации;</w:t>
      </w:r>
    </w:p>
    <w:p w14:paraId="3BA699B0" w14:textId="77777777" w:rsidR="00AB5C4F" w:rsidRPr="00FB0A3A" w:rsidRDefault="00AB5C4F" w:rsidP="009B0BC1">
      <w:pPr>
        <w:pStyle w:val="a4"/>
        <w:numPr>
          <w:ilvl w:val="0"/>
          <w:numId w:val="15"/>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рыночные цены, предоставляемые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110497F0" w14:textId="0162D021" w:rsidR="00AB5C4F" w:rsidRPr="00FB0A3A" w:rsidRDefault="00AB5C4F" w:rsidP="00A31747">
      <w:pPr>
        <w:tabs>
          <w:tab w:val="left" w:pos="1134"/>
        </w:tabs>
        <w:spacing w:after="0" w:line="360" w:lineRule="auto"/>
        <w:ind w:firstLine="567"/>
        <w:jc w:val="both"/>
        <w:rPr>
          <w:rFonts w:ascii="Myriad Pro" w:eastAsia="Calibri" w:hAnsi="Myriad Pro" w:cs="Times New Roman"/>
          <w:sz w:val="26"/>
          <w:szCs w:val="26"/>
        </w:rPr>
      </w:pPr>
      <w:r w:rsidRPr="00FB0A3A">
        <w:rPr>
          <w:rFonts w:ascii="Myriad Pro" w:eastAsia="Calibri" w:hAnsi="Myriad Pro" w:cs="Times New Roman"/>
          <w:sz w:val="26"/>
          <w:szCs w:val="26"/>
        </w:rPr>
        <w:t>При отсутствии указанных данных расчетные значения расходов определяются с использованием официальной статистической информации.</w:t>
      </w:r>
    </w:p>
    <w:p w14:paraId="354052B5" w14:textId="168EF622" w:rsidR="00233F16" w:rsidRPr="00FB0A3A" w:rsidRDefault="00233F16" w:rsidP="00224EB6">
      <w:pPr>
        <w:pStyle w:val="afff4"/>
        <w:rPr>
          <w:lang w:val="ru-RU"/>
        </w:rPr>
      </w:pPr>
      <w:r w:rsidRPr="00FB0A3A">
        <w:rPr>
          <w:lang w:val="ru-RU"/>
        </w:rPr>
        <w:lastRenderedPageBreak/>
        <w:t xml:space="preserve">Расходы по статье, заявленные филиалом </w:t>
      </w:r>
      <w:r w:rsidR="00350B0A" w:rsidRPr="00FB0A3A">
        <w:rPr>
          <w:lang w:val="ru-RU"/>
        </w:rPr>
        <w:t xml:space="preserve">ПАО </w:t>
      </w:r>
      <w:r w:rsidR="00655FFA" w:rsidRPr="00FB0A3A">
        <w:rPr>
          <w:lang w:val="ru-RU"/>
        </w:rPr>
        <w:t>«</w:t>
      </w:r>
      <w:r w:rsidR="00350B0A" w:rsidRPr="00FB0A3A">
        <w:rPr>
          <w:lang w:val="ru-RU"/>
        </w:rPr>
        <w:t>МРСК Северо-Запада</w:t>
      </w:r>
      <w:r w:rsidR="00655FFA" w:rsidRPr="00FB0A3A">
        <w:rPr>
          <w:lang w:val="ru-RU"/>
        </w:rPr>
        <w:t>»</w:t>
      </w:r>
      <w:r w:rsidR="00350B0A" w:rsidRPr="00FB0A3A">
        <w:rPr>
          <w:lang w:val="ru-RU"/>
        </w:rPr>
        <w:t xml:space="preserve"> </w:t>
      </w:r>
      <w:r w:rsidR="00655FFA" w:rsidRPr="00FB0A3A">
        <w:rPr>
          <w:lang w:val="ru-RU"/>
        </w:rPr>
        <w:t>«</w:t>
      </w:r>
      <w:r w:rsidR="00350B0A" w:rsidRPr="00FB0A3A">
        <w:rPr>
          <w:lang w:val="ru-RU"/>
        </w:rPr>
        <w:t>Колэнерго</w:t>
      </w:r>
      <w:r w:rsidR="00655FFA" w:rsidRPr="00FB0A3A">
        <w:rPr>
          <w:lang w:val="ru-RU"/>
        </w:rPr>
        <w:t>»</w:t>
      </w:r>
      <w:r w:rsidRPr="00FB0A3A">
        <w:rPr>
          <w:lang w:val="ru-RU"/>
        </w:rPr>
        <w:t xml:space="preserve"> и принятые в расчет базового уровня подконтрольных расходов РСТ</w:t>
      </w:r>
      <w:r w:rsidR="00E663D3">
        <w:rPr>
          <w:lang w:val="ru-RU"/>
        </w:rPr>
        <w:t> </w:t>
      </w:r>
      <w:r w:rsidRPr="00FB0A3A">
        <w:rPr>
          <w:lang w:val="ru-RU"/>
        </w:rPr>
        <w:t>РК, указаны в следующей таблице.</w:t>
      </w:r>
    </w:p>
    <w:tbl>
      <w:tblPr>
        <w:tblStyle w:val="afff6"/>
        <w:tblW w:w="5000" w:type="pct"/>
        <w:tblLook w:val="04A0" w:firstRow="1" w:lastRow="0" w:firstColumn="1" w:lastColumn="0" w:noHBand="0" w:noVBand="1"/>
      </w:tblPr>
      <w:tblGrid>
        <w:gridCol w:w="2227"/>
        <w:gridCol w:w="1398"/>
        <w:gridCol w:w="1955"/>
        <w:gridCol w:w="1258"/>
        <w:gridCol w:w="1403"/>
        <w:gridCol w:w="1103"/>
      </w:tblGrid>
      <w:tr w:rsidR="00B04B8C" w:rsidRPr="00FB0A3A" w14:paraId="1E3B8324" w14:textId="77777777" w:rsidTr="009071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3A23B3C5" w14:textId="77777777" w:rsidR="006C313D" w:rsidRPr="00FB0A3A" w:rsidRDefault="006C313D" w:rsidP="00B04B8C">
            <w:pPr>
              <w:tabs>
                <w:tab w:val="left" w:pos="1134"/>
              </w:tabs>
              <w:jc w:val="center"/>
              <w:rPr>
                <w:rFonts w:eastAsia="Calibri" w:cs="Times New Roman"/>
                <w:sz w:val="20"/>
                <w:szCs w:val="20"/>
              </w:rPr>
            </w:pPr>
            <w:r w:rsidRPr="00FB0A3A">
              <w:rPr>
                <w:rFonts w:eastAsia="Calibri" w:cs="Times New Roman"/>
                <w:sz w:val="20"/>
                <w:szCs w:val="20"/>
              </w:rPr>
              <w:t> Наименование статьи</w:t>
            </w:r>
          </w:p>
        </w:tc>
        <w:tc>
          <w:tcPr>
            <w:tcW w:w="7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06B46A88" w14:textId="66EEFFC7" w:rsidR="006C313D" w:rsidRPr="00FB0A3A" w:rsidRDefault="00B04B8C" w:rsidP="00B04B8C">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Факт за 2017,</w:t>
            </w:r>
            <w:r w:rsidRPr="00FB0A3A">
              <w:rPr>
                <w:rFonts w:eastAsia="Calibri" w:cs="Times New Roman"/>
                <w:sz w:val="20"/>
                <w:szCs w:val="20"/>
              </w:rPr>
              <w:br/>
            </w:r>
            <w:r w:rsidR="006C313D" w:rsidRPr="00FB0A3A">
              <w:rPr>
                <w:rFonts w:eastAsia="Calibri" w:cs="Times New Roman"/>
                <w:sz w:val="20"/>
                <w:szCs w:val="20"/>
              </w:rPr>
              <w:t>тыс. руб.</w:t>
            </w:r>
          </w:p>
        </w:tc>
        <w:tc>
          <w:tcPr>
            <w:tcW w:w="10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2678E57" w14:textId="2E786F5F" w:rsidR="006C313D" w:rsidRPr="00FB0A3A" w:rsidRDefault="006C313D" w:rsidP="00B04B8C">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 xml:space="preserve">Заявлено филиалом ПАО </w:t>
            </w:r>
            <w:r w:rsidR="00655FFA" w:rsidRPr="00FB0A3A">
              <w:rPr>
                <w:rFonts w:eastAsia="Calibri" w:cs="Times New Roman"/>
                <w:sz w:val="20"/>
                <w:szCs w:val="20"/>
              </w:rPr>
              <w:t>«</w:t>
            </w:r>
            <w:r w:rsidRPr="00FB0A3A">
              <w:rPr>
                <w:rFonts w:eastAsia="Calibri" w:cs="Times New Roman"/>
                <w:sz w:val="20"/>
                <w:szCs w:val="20"/>
              </w:rPr>
              <w:t>МРСК Северо</w:t>
            </w:r>
            <w:r w:rsidR="00C66F37" w:rsidRPr="00FB0A3A">
              <w:rPr>
                <w:rFonts w:eastAsia="Calibri" w:cs="Times New Roman"/>
                <w:sz w:val="20"/>
                <w:szCs w:val="20"/>
              </w:rPr>
              <w:t>- Запада</w:t>
            </w:r>
            <w:r w:rsidR="00655FFA" w:rsidRPr="00FB0A3A">
              <w:rPr>
                <w:rFonts w:eastAsia="Calibri" w:cs="Times New Roman"/>
                <w:sz w:val="20"/>
                <w:szCs w:val="20"/>
              </w:rPr>
              <w:t>»</w:t>
            </w:r>
            <w:r w:rsidR="00B376BC" w:rsidRPr="00FB0A3A">
              <w:rPr>
                <w:rFonts w:eastAsia="Calibri" w:cs="Times New Roman"/>
                <w:sz w:val="20"/>
                <w:szCs w:val="20"/>
              </w:rPr>
              <w:t xml:space="preserve"> </w:t>
            </w:r>
            <w:r w:rsidR="00655FFA" w:rsidRPr="00FB0A3A">
              <w:rPr>
                <w:rFonts w:eastAsia="Calibri" w:cs="Times New Roman"/>
                <w:sz w:val="20"/>
                <w:szCs w:val="20"/>
              </w:rPr>
              <w:t>«</w:t>
            </w:r>
            <w:r w:rsidRPr="00FB0A3A">
              <w:rPr>
                <w:rFonts w:eastAsia="Calibri" w:cs="Times New Roman"/>
                <w:sz w:val="20"/>
                <w:szCs w:val="20"/>
              </w:rPr>
              <w:t>Колэнерго</w:t>
            </w:r>
            <w:r w:rsidR="00655FFA" w:rsidRPr="00FB0A3A">
              <w:rPr>
                <w:rFonts w:eastAsia="Calibri" w:cs="Times New Roman"/>
                <w:sz w:val="20"/>
                <w:szCs w:val="20"/>
              </w:rPr>
              <w:t>»</w:t>
            </w:r>
            <w:r w:rsidRPr="00FB0A3A">
              <w:rPr>
                <w:rFonts w:eastAsia="Calibri" w:cs="Times New Roman"/>
                <w:sz w:val="20"/>
                <w:szCs w:val="20"/>
              </w:rPr>
              <w:t xml:space="preserve"> на 2019, тыс. руб.</w:t>
            </w:r>
          </w:p>
        </w:tc>
        <w:tc>
          <w:tcPr>
            <w:tcW w:w="6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9CC7C84" w14:textId="77777777" w:rsidR="006C313D" w:rsidRPr="00FB0A3A" w:rsidRDefault="006C313D" w:rsidP="00B04B8C">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ТБР на 2019, тыс. руб.</w:t>
            </w:r>
          </w:p>
        </w:tc>
        <w:tc>
          <w:tcPr>
            <w:tcW w:w="7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4D1B6C8" w14:textId="77777777" w:rsidR="006C313D" w:rsidRPr="00FB0A3A" w:rsidRDefault="006C313D" w:rsidP="00B04B8C">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Отклонение ТБР на 2019/ заявка на 2019, %</w:t>
            </w:r>
          </w:p>
        </w:tc>
        <w:tc>
          <w:tcPr>
            <w:tcW w:w="5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C5E06E6" w14:textId="77777777" w:rsidR="006C313D" w:rsidRPr="00FB0A3A" w:rsidRDefault="006C313D" w:rsidP="00B04B8C">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ТБР на 2019 /факт за 2017, %</w:t>
            </w:r>
          </w:p>
        </w:tc>
      </w:tr>
      <w:tr w:rsidR="00B04B8C" w:rsidRPr="00FB0A3A" w14:paraId="21A9DEC8" w14:textId="77777777" w:rsidTr="00907125">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tcBorders>
            <w:hideMark/>
          </w:tcPr>
          <w:p w14:paraId="349B3FBE" w14:textId="77777777" w:rsidR="006C313D" w:rsidRPr="00FB0A3A" w:rsidRDefault="006C313D" w:rsidP="00B04B8C">
            <w:pPr>
              <w:tabs>
                <w:tab w:val="left" w:pos="1134"/>
              </w:tabs>
              <w:rPr>
                <w:rFonts w:eastAsia="Calibri" w:cs="Times New Roman"/>
                <w:sz w:val="20"/>
                <w:szCs w:val="20"/>
              </w:rPr>
            </w:pPr>
            <w:r w:rsidRPr="00FB0A3A">
              <w:rPr>
                <w:rFonts w:eastAsia="Calibri" w:cs="Times New Roman"/>
                <w:sz w:val="20"/>
                <w:szCs w:val="20"/>
              </w:rPr>
              <w:t>Сырье, основные материалы - всего</w:t>
            </w:r>
          </w:p>
        </w:tc>
        <w:tc>
          <w:tcPr>
            <w:tcW w:w="748" w:type="pct"/>
            <w:tcBorders>
              <w:top w:val="single" w:sz="4" w:space="0" w:color="FFFFFF" w:themeColor="background1"/>
            </w:tcBorders>
            <w:hideMark/>
          </w:tcPr>
          <w:p w14:paraId="42E930EB" w14:textId="77777777" w:rsidR="006C313D" w:rsidRPr="00FB0A3A" w:rsidRDefault="006C313D" w:rsidP="00B04B8C">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174 035,30</w:t>
            </w:r>
          </w:p>
        </w:tc>
        <w:tc>
          <w:tcPr>
            <w:tcW w:w="1046" w:type="pct"/>
            <w:tcBorders>
              <w:top w:val="single" w:sz="4" w:space="0" w:color="FFFFFF" w:themeColor="background1"/>
            </w:tcBorders>
            <w:hideMark/>
          </w:tcPr>
          <w:p w14:paraId="0706797F" w14:textId="77777777" w:rsidR="006C313D" w:rsidRPr="00FB0A3A" w:rsidRDefault="006C313D" w:rsidP="00B04B8C">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195 105,03</w:t>
            </w:r>
          </w:p>
        </w:tc>
        <w:tc>
          <w:tcPr>
            <w:tcW w:w="673" w:type="pct"/>
            <w:tcBorders>
              <w:top w:val="single" w:sz="4" w:space="0" w:color="FFFFFF" w:themeColor="background1"/>
            </w:tcBorders>
            <w:hideMark/>
          </w:tcPr>
          <w:p w14:paraId="1E6FB39D" w14:textId="77777777" w:rsidR="006C313D" w:rsidRPr="00FB0A3A" w:rsidRDefault="006C313D" w:rsidP="00B04B8C">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209 513,21</w:t>
            </w:r>
          </w:p>
        </w:tc>
        <w:tc>
          <w:tcPr>
            <w:tcW w:w="751" w:type="pct"/>
            <w:tcBorders>
              <w:top w:val="single" w:sz="4" w:space="0" w:color="FFFFFF" w:themeColor="background1"/>
            </w:tcBorders>
            <w:hideMark/>
          </w:tcPr>
          <w:p w14:paraId="3E4A4389" w14:textId="77777777" w:rsidR="006C313D" w:rsidRPr="00FB0A3A" w:rsidRDefault="006C313D" w:rsidP="00B04B8C">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7,4</w:t>
            </w:r>
          </w:p>
        </w:tc>
        <w:tc>
          <w:tcPr>
            <w:tcW w:w="590" w:type="pct"/>
            <w:tcBorders>
              <w:top w:val="single" w:sz="4" w:space="0" w:color="FFFFFF" w:themeColor="background1"/>
            </w:tcBorders>
            <w:hideMark/>
          </w:tcPr>
          <w:p w14:paraId="420DACC5" w14:textId="77777777" w:rsidR="006C313D" w:rsidRPr="00FB0A3A" w:rsidRDefault="006C313D" w:rsidP="00B04B8C">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20,39</w:t>
            </w:r>
          </w:p>
        </w:tc>
      </w:tr>
    </w:tbl>
    <w:p w14:paraId="166FFD9B" w14:textId="77777777" w:rsidR="006C313D" w:rsidRPr="00FB0A3A" w:rsidRDefault="006C313D" w:rsidP="00A31747">
      <w:pPr>
        <w:tabs>
          <w:tab w:val="left" w:pos="1134"/>
        </w:tabs>
        <w:spacing w:after="0" w:line="360" w:lineRule="auto"/>
        <w:ind w:firstLine="567"/>
        <w:contextualSpacing/>
        <w:jc w:val="both"/>
        <w:rPr>
          <w:rFonts w:ascii="Myriad Pro" w:eastAsia="Calibri" w:hAnsi="Myriad Pro" w:cs="Times New Roman"/>
          <w:b/>
          <w:sz w:val="26"/>
          <w:szCs w:val="26"/>
        </w:rPr>
      </w:pPr>
    </w:p>
    <w:p w14:paraId="47E74183" w14:textId="1F583CA1" w:rsidR="00AB5C4F" w:rsidRPr="00FB0A3A" w:rsidRDefault="00C876D1" w:rsidP="00224EB6">
      <w:pPr>
        <w:tabs>
          <w:tab w:val="left" w:pos="1134"/>
        </w:tabs>
        <w:spacing w:after="0" w:line="360" w:lineRule="auto"/>
        <w:contextualSpacing/>
        <w:jc w:val="both"/>
        <w:rPr>
          <w:rFonts w:ascii="Myriad Pro" w:eastAsia="Calibri" w:hAnsi="Myriad Pro" w:cs="Times New Roman"/>
          <w:b/>
          <w:sz w:val="26"/>
          <w:szCs w:val="26"/>
        </w:rPr>
      </w:pPr>
      <w:r w:rsidRPr="00FB0A3A">
        <w:rPr>
          <w:rFonts w:ascii="Myriad Pro" w:eastAsia="Calibri" w:hAnsi="Myriad Pro" w:cs="Times New Roman"/>
          <w:b/>
          <w:sz w:val="26"/>
          <w:szCs w:val="26"/>
        </w:rPr>
        <w:t>ПОЗИЦИЯ ТЕРРИТОРИАЛЬНОЙ СЕТЕВОЙ ОРГАНИЗАЦИИ</w:t>
      </w:r>
    </w:p>
    <w:p w14:paraId="52947149" w14:textId="4B379F35" w:rsidR="00C876D1" w:rsidRPr="00FB0A3A" w:rsidRDefault="00B66D5D" w:rsidP="00417376">
      <w:pPr>
        <w:pStyle w:val="afff4"/>
        <w:rPr>
          <w:lang w:val="ru-RU"/>
        </w:rPr>
      </w:pPr>
      <w:r w:rsidRPr="00FB0A3A">
        <w:rPr>
          <w:lang w:val="ru-RU"/>
        </w:rPr>
        <w:t xml:space="preserve">Филиалом </w:t>
      </w:r>
      <w:r w:rsidR="00350B0A" w:rsidRPr="00FB0A3A">
        <w:rPr>
          <w:lang w:val="ru-RU"/>
        </w:rPr>
        <w:t xml:space="preserve">ПАО </w:t>
      </w:r>
      <w:r w:rsidR="00655FFA" w:rsidRPr="00FB0A3A">
        <w:rPr>
          <w:lang w:val="ru-RU"/>
        </w:rPr>
        <w:t>«</w:t>
      </w:r>
      <w:r w:rsidR="00350B0A" w:rsidRPr="00FB0A3A">
        <w:rPr>
          <w:lang w:val="ru-RU"/>
        </w:rPr>
        <w:t>МРСК Северо-Запада</w:t>
      </w:r>
      <w:r w:rsidR="00655FFA" w:rsidRPr="00FB0A3A">
        <w:rPr>
          <w:lang w:val="ru-RU"/>
        </w:rPr>
        <w:t>»</w:t>
      </w:r>
      <w:r w:rsidR="00350B0A" w:rsidRPr="00FB0A3A">
        <w:rPr>
          <w:lang w:val="ru-RU"/>
        </w:rPr>
        <w:t xml:space="preserve"> </w:t>
      </w:r>
      <w:r w:rsidR="00655FFA" w:rsidRPr="00FB0A3A">
        <w:rPr>
          <w:lang w:val="ru-RU"/>
        </w:rPr>
        <w:t>«</w:t>
      </w:r>
      <w:r w:rsidR="00350B0A" w:rsidRPr="00FB0A3A">
        <w:rPr>
          <w:lang w:val="ru-RU"/>
        </w:rPr>
        <w:t>Колэнерго</w:t>
      </w:r>
      <w:r w:rsidR="00655FFA" w:rsidRPr="00FB0A3A">
        <w:rPr>
          <w:lang w:val="ru-RU"/>
        </w:rPr>
        <w:t>»</w:t>
      </w:r>
      <w:r w:rsidR="00C04A00" w:rsidRPr="00FB0A3A">
        <w:rPr>
          <w:lang w:val="ru-RU"/>
        </w:rPr>
        <w:t xml:space="preserve"> по</w:t>
      </w:r>
      <w:r w:rsidR="006C313D" w:rsidRPr="00FB0A3A">
        <w:rPr>
          <w:lang w:val="ru-RU"/>
        </w:rPr>
        <w:t xml:space="preserve"> статье на 2019</w:t>
      </w:r>
      <w:r w:rsidR="00C04A00" w:rsidRPr="00FB0A3A">
        <w:rPr>
          <w:lang w:val="ru-RU"/>
        </w:rPr>
        <w:t xml:space="preserve"> год </w:t>
      </w:r>
      <w:r w:rsidR="006C313D" w:rsidRPr="00FB0A3A">
        <w:rPr>
          <w:lang w:val="ru-RU"/>
        </w:rPr>
        <w:t xml:space="preserve">в заявлении от 28.04.2018 №МР2/4/02/3129 </w:t>
      </w:r>
      <w:r w:rsidR="00C04A00" w:rsidRPr="00FB0A3A">
        <w:rPr>
          <w:lang w:val="ru-RU"/>
        </w:rPr>
        <w:t>была заявлена су</w:t>
      </w:r>
      <w:r w:rsidR="006C313D" w:rsidRPr="00FB0A3A">
        <w:rPr>
          <w:lang w:val="ru-RU"/>
        </w:rPr>
        <w:t>мма расходов в размере 195 105,03</w:t>
      </w:r>
      <w:r w:rsidR="00C04A00" w:rsidRPr="00FB0A3A">
        <w:rPr>
          <w:lang w:val="ru-RU"/>
        </w:rPr>
        <w:t xml:space="preserve"> тыс. руб.</w:t>
      </w:r>
    </w:p>
    <w:tbl>
      <w:tblPr>
        <w:tblStyle w:val="afff6"/>
        <w:tblW w:w="5000" w:type="pct"/>
        <w:tblLook w:val="04A0" w:firstRow="1" w:lastRow="0" w:firstColumn="1" w:lastColumn="0" w:noHBand="0" w:noVBand="1"/>
      </w:tblPr>
      <w:tblGrid>
        <w:gridCol w:w="584"/>
        <w:gridCol w:w="1807"/>
        <w:gridCol w:w="1112"/>
        <w:gridCol w:w="1271"/>
        <w:gridCol w:w="953"/>
        <w:gridCol w:w="974"/>
        <w:gridCol w:w="1112"/>
        <w:gridCol w:w="1531"/>
      </w:tblGrid>
      <w:tr w:rsidR="009E79B1" w:rsidRPr="00FB0A3A" w14:paraId="2D612E66" w14:textId="77777777" w:rsidTr="009071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tcPr>
          <w:p w14:paraId="24AC7649" w14:textId="77777777" w:rsidR="009E79B1" w:rsidRPr="00FB0A3A" w:rsidRDefault="009E79B1" w:rsidP="001B614A">
            <w:pPr>
              <w:tabs>
                <w:tab w:val="left" w:pos="858"/>
                <w:tab w:val="left" w:pos="1134"/>
              </w:tabs>
              <w:jc w:val="center"/>
              <w:rPr>
                <w:rFonts w:eastAsia="Calibri" w:cs="Times New Roman"/>
                <w:sz w:val="20"/>
                <w:szCs w:val="20"/>
              </w:rPr>
            </w:pPr>
            <w:r w:rsidRPr="00FB0A3A">
              <w:rPr>
                <w:rFonts w:eastAsia="Calibri" w:cs="Times New Roman"/>
                <w:sz w:val="20"/>
                <w:szCs w:val="20"/>
              </w:rPr>
              <w:t>№</w:t>
            </w:r>
          </w:p>
        </w:tc>
        <w:tc>
          <w:tcPr>
            <w:tcW w:w="9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742933C" w14:textId="77777777" w:rsidR="009E79B1" w:rsidRPr="00FB0A3A" w:rsidRDefault="009E79B1" w:rsidP="00417376">
            <w:pPr>
              <w:tabs>
                <w:tab w:val="left" w:pos="858"/>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Статьи расходов</w:t>
            </w:r>
          </w:p>
        </w:tc>
        <w:tc>
          <w:tcPr>
            <w:tcW w:w="5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0170791" w14:textId="77777777" w:rsidR="009E79B1" w:rsidRPr="00FB0A3A" w:rsidRDefault="009E79B1" w:rsidP="00417376">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2015 г.</w:t>
            </w:r>
          </w:p>
        </w:tc>
        <w:tc>
          <w:tcPr>
            <w:tcW w:w="6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E8A03F1" w14:textId="77777777" w:rsidR="009E79B1" w:rsidRPr="00FB0A3A" w:rsidRDefault="009E79B1" w:rsidP="00417376">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2016 г.</w:t>
            </w:r>
          </w:p>
        </w:tc>
        <w:tc>
          <w:tcPr>
            <w:tcW w:w="5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FC60C37" w14:textId="77777777" w:rsidR="009E79B1" w:rsidRPr="00FB0A3A" w:rsidRDefault="009E79B1" w:rsidP="00417376">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 xml:space="preserve">2017 г. </w:t>
            </w:r>
          </w:p>
        </w:tc>
        <w:tc>
          <w:tcPr>
            <w:tcW w:w="5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BCF87C0" w14:textId="77777777" w:rsidR="009E79B1" w:rsidRPr="00FB0A3A" w:rsidRDefault="009E79B1" w:rsidP="00417376">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 xml:space="preserve">2018г. </w:t>
            </w:r>
          </w:p>
        </w:tc>
        <w:tc>
          <w:tcPr>
            <w:tcW w:w="5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397AEA3" w14:textId="77777777" w:rsidR="009E79B1" w:rsidRPr="00FB0A3A" w:rsidRDefault="009E79B1" w:rsidP="00417376">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2019г.</w:t>
            </w:r>
          </w:p>
        </w:tc>
        <w:tc>
          <w:tcPr>
            <w:tcW w:w="8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D136D9F" w14:textId="6DFC0C2F" w:rsidR="009E79B1" w:rsidRPr="00FB0A3A" w:rsidRDefault="009E79B1" w:rsidP="00417376">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 xml:space="preserve">Удельный вес </w:t>
            </w:r>
            <w:r w:rsidR="00E663D3">
              <w:rPr>
                <w:rFonts w:eastAsia="Calibri" w:cs="Times New Roman"/>
                <w:sz w:val="20"/>
                <w:szCs w:val="20"/>
              </w:rPr>
              <w:t>в размере</w:t>
            </w:r>
            <w:r w:rsidRPr="00FB0A3A">
              <w:rPr>
                <w:rFonts w:eastAsia="Calibri" w:cs="Times New Roman"/>
                <w:sz w:val="20"/>
                <w:szCs w:val="20"/>
              </w:rPr>
              <w:t xml:space="preserve"> материальных расходов на 2018 г., %</w:t>
            </w:r>
          </w:p>
        </w:tc>
      </w:tr>
      <w:tr w:rsidR="009E79B1" w:rsidRPr="00FB0A3A" w14:paraId="20544051" w14:textId="77777777" w:rsidTr="00907125">
        <w:tc>
          <w:tcPr>
            <w:cnfStyle w:val="001000000000" w:firstRow="0" w:lastRow="0" w:firstColumn="1" w:lastColumn="0" w:oddVBand="0" w:evenVBand="0" w:oddHBand="0" w:evenHBand="0" w:firstRowFirstColumn="0" w:firstRowLastColumn="0" w:lastRowFirstColumn="0" w:lastRowLastColumn="0"/>
            <w:tcW w:w="313" w:type="pct"/>
            <w:tcBorders>
              <w:top w:val="single" w:sz="4" w:space="0" w:color="FFFFFF" w:themeColor="background1"/>
            </w:tcBorders>
          </w:tcPr>
          <w:p w14:paraId="043DDD65" w14:textId="654C19CD" w:rsidR="009E79B1" w:rsidRPr="00FB0A3A" w:rsidRDefault="00C76A7A" w:rsidP="00417376">
            <w:pPr>
              <w:tabs>
                <w:tab w:val="left" w:pos="858"/>
                <w:tab w:val="left" w:pos="1134"/>
              </w:tabs>
              <w:jc w:val="center"/>
              <w:rPr>
                <w:rFonts w:eastAsia="Calibri" w:cs="Times New Roman"/>
                <w:sz w:val="20"/>
                <w:szCs w:val="20"/>
              </w:rPr>
            </w:pPr>
            <w:r w:rsidRPr="00FB0A3A">
              <w:rPr>
                <w:rFonts w:eastAsia="Calibri" w:cs="Times New Roman"/>
                <w:sz w:val="20"/>
                <w:szCs w:val="20"/>
              </w:rPr>
              <w:t>1</w:t>
            </w:r>
          </w:p>
        </w:tc>
        <w:tc>
          <w:tcPr>
            <w:tcW w:w="967" w:type="pct"/>
            <w:tcBorders>
              <w:top w:val="single" w:sz="4" w:space="0" w:color="FFFFFF" w:themeColor="background1"/>
            </w:tcBorders>
          </w:tcPr>
          <w:p w14:paraId="5463131A" w14:textId="77777777" w:rsidR="009E79B1" w:rsidRPr="00FB0A3A" w:rsidRDefault="009E79B1" w:rsidP="00417376">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Вспомогательные материалы</w:t>
            </w:r>
          </w:p>
        </w:tc>
        <w:tc>
          <w:tcPr>
            <w:tcW w:w="595" w:type="pct"/>
            <w:tcBorders>
              <w:top w:val="single" w:sz="4" w:space="0" w:color="FFFFFF" w:themeColor="background1"/>
            </w:tcBorders>
          </w:tcPr>
          <w:p w14:paraId="77E0BB1C" w14:textId="67DDE1C8" w:rsidR="009E79B1" w:rsidRPr="00FB0A3A" w:rsidRDefault="009E79B1" w:rsidP="00417376">
            <w:pPr>
              <w:tabs>
                <w:tab w:val="left" w:pos="-108"/>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138 938,1</w:t>
            </w:r>
          </w:p>
        </w:tc>
        <w:tc>
          <w:tcPr>
            <w:tcW w:w="680" w:type="pct"/>
            <w:tcBorders>
              <w:top w:val="single" w:sz="4" w:space="0" w:color="FFFFFF" w:themeColor="background1"/>
            </w:tcBorders>
          </w:tcPr>
          <w:p w14:paraId="03772C3E" w14:textId="77777777" w:rsidR="009E79B1" w:rsidRPr="00FB0A3A" w:rsidRDefault="009E79B1" w:rsidP="00417376">
            <w:pPr>
              <w:tabs>
                <w:tab w:val="left" w:pos="-108"/>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180 719,14</w:t>
            </w:r>
          </w:p>
        </w:tc>
        <w:tc>
          <w:tcPr>
            <w:tcW w:w="510" w:type="pct"/>
            <w:tcBorders>
              <w:top w:val="single" w:sz="4" w:space="0" w:color="FFFFFF" w:themeColor="background1"/>
            </w:tcBorders>
          </w:tcPr>
          <w:p w14:paraId="0DE8FECC" w14:textId="77777777" w:rsidR="009E79B1" w:rsidRPr="00FB0A3A" w:rsidRDefault="009E79B1" w:rsidP="00417376">
            <w:pPr>
              <w:tabs>
                <w:tab w:val="left" w:pos="-108"/>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174 035</w:t>
            </w:r>
          </w:p>
        </w:tc>
        <w:tc>
          <w:tcPr>
            <w:tcW w:w="521" w:type="pct"/>
            <w:tcBorders>
              <w:top w:val="single" w:sz="4" w:space="0" w:color="FFFFFF" w:themeColor="background1"/>
            </w:tcBorders>
          </w:tcPr>
          <w:p w14:paraId="3E839B65" w14:textId="77777777" w:rsidR="009E79B1" w:rsidRPr="00FB0A3A" w:rsidRDefault="009E79B1" w:rsidP="00417376">
            <w:pPr>
              <w:tabs>
                <w:tab w:val="left" w:pos="-108"/>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191 010</w:t>
            </w:r>
          </w:p>
        </w:tc>
        <w:tc>
          <w:tcPr>
            <w:tcW w:w="595" w:type="pct"/>
            <w:tcBorders>
              <w:top w:val="single" w:sz="4" w:space="0" w:color="FFFFFF" w:themeColor="background1"/>
            </w:tcBorders>
          </w:tcPr>
          <w:p w14:paraId="59ED4FE0" w14:textId="77777777" w:rsidR="009E79B1" w:rsidRPr="00FB0A3A" w:rsidRDefault="009E79B1" w:rsidP="00417376">
            <w:pPr>
              <w:tabs>
                <w:tab w:val="left" w:pos="-108"/>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195 105</w:t>
            </w:r>
          </w:p>
        </w:tc>
        <w:tc>
          <w:tcPr>
            <w:tcW w:w="819" w:type="pct"/>
            <w:tcBorders>
              <w:top w:val="single" w:sz="4" w:space="0" w:color="FFFFFF" w:themeColor="background1"/>
            </w:tcBorders>
          </w:tcPr>
          <w:p w14:paraId="001E2A95" w14:textId="77777777" w:rsidR="009E79B1" w:rsidRPr="00FB0A3A" w:rsidRDefault="009E79B1" w:rsidP="00417376">
            <w:pPr>
              <w:tabs>
                <w:tab w:val="left" w:pos="-108"/>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100</w:t>
            </w:r>
          </w:p>
        </w:tc>
      </w:tr>
      <w:tr w:rsidR="009E79B1" w:rsidRPr="00FB0A3A" w14:paraId="460FDDD0" w14:textId="77777777" w:rsidTr="00417376">
        <w:tc>
          <w:tcPr>
            <w:cnfStyle w:val="001000000000" w:firstRow="0" w:lastRow="0" w:firstColumn="1" w:lastColumn="0" w:oddVBand="0" w:evenVBand="0" w:oddHBand="0" w:evenHBand="0" w:firstRowFirstColumn="0" w:firstRowLastColumn="0" w:lastRowFirstColumn="0" w:lastRowLastColumn="0"/>
            <w:tcW w:w="313" w:type="pct"/>
          </w:tcPr>
          <w:p w14:paraId="5B342104" w14:textId="09AD09E7" w:rsidR="009E79B1" w:rsidRPr="00FB0A3A" w:rsidRDefault="00C76A7A" w:rsidP="00417376">
            <w:pPr>
              <w:tabs>
                <w:tab w:val="left" w:pos="1134"/>
              </w:tabs>
              <w:jc w:val="center"/>
              <w:rPr>
                <w:rFonts w:eastAsia="Calibri" w:cs="Times New Roman"/>
                <w:sz w:val="20"/>
                <w:szCs w:val="20"/>
              </w:rPr>
            </w:pPr>
            <w:r w:rsidRPr="00FB0A3A">
              <w:rPr>
                <w:rFonts w:eastAsia="Calibri" w:cs="Times New Roman"/>
                <w:sz w:val="20"/>
                <w:szCs w:val="20"/>
              </w:rPr>
              <w:t>1</w:t>
            </w:r>
            <w:r w:rsidR="009E79B1" w:rsidRPr="00FB0A3A">
              <w:rPr>
                <w:rFonts w:eastAsia="Calibri" w:cs="Times New Roman"/>
                <w:sz w:val="20"/>
                <w:szCs w:val="20"/>
              </w:rPr>
              <w:t>.1</w:t>
            </w:r>
          </w:p>
        </w:tc>
        <w:tc>
          <w:tcPr>
            <w:tcW w:w="967" w:type="pct"/>
          </w:tcPr>
          <w:p w14:paraId="79E38A84" w14:textId="77777777" w:rsidR="009E79B1" w:rsidRPr="00FB0A3A" w:rsidRDefault="009E79B1" w:rsidP="00417376">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ГСМ</w:t>
            </w:r>
          </w:p>
        </w:tc>
        <w:tc>
          <w:tcPr>
            <w:tcW w:w="595" w:type="pct"/>
          </w:tcPr>
          <w:p w14:paraId="2945D1A8" w14:textId="77777777" w:rsidR="009E79B1" w:rsidRPr="00FB0A3A" w:rsidRDefault="009E79B1" w:rsidP="00417376">
            <w:pPr>
              <w:tabs>
                <w:tab w:val="left" w:pos="-108"/>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29 554,25</w:t>
            </w:r>
          </w:p>
        </w:tc>
        <w:tc>
          <w:tcPr>
            <w:tcW w:w="680" w:type="pct"/>
          </w:tcPr>
          <w:p w14:paraId="7688DC7D" w14:textId="77777777" w:rsidR="009E79B1" w:rsidRPr="00FB0A3A" w:rsidRDefault="009E79B1" w:rsidP="00417376">
            <w:pPr>
              <w:tabs>
                <w:tab w:val="left" w:pos="-108"/>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31 311,77</w:t>
            </w:r>
          </w:p>
        </w:tc>
        <w:tc>
          <w:tcPr>
            <w:tcW w:w="510" w:type="pct"/>
          </w:tcPr>
          <w:p w14:paraId="7B7FAC08" w14:textId="77777777" w:rsidR="009E79B1" w:rsidRPr="00FB0A3A" w:rsidRDefault="009E79B1" w:rsidP="00417376">
            <w:pPr>
              <w:tabs>
                <w:tab w:val="left" w:pos="-108"/>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33 932</w:t>
            </w:r>
          </w:p>
        </w:tc>
        <w:tc>
          <w:tcPr>
            <w:tcW w:w="521" w:type="pct"/>
          </w:tcPr>
          <w:p w14:paraId="6BF79C39" w14:textId="77777777" w:rsidR="009E79B1" w:rsidRPr="00FB0A3A" w:rsidRDefault="009E79B1" w:rsidP="00417376">
            <w:pPr>
              <w:tabs>
                <w:tab w:val="left" w:pos="-108"/>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38 155</w:t>
            </w:r>
          </w:p>
        </w:tc>
        <w:tc>
          <w:tcPr>
            <w:tcW w:w="595" w:type="pct"/>
          </w:tcPr>
          <w:p w14:paraId="15313783" w14:textId="77777777" w:rsidR="009E79B1" w:rsidRPr="00FB0A3A" w:rsidRDefault="009E79B1" w:rsidP="00417376">
            <w:pPr>
              <w:tabs>
                <w:tab w:val="left" w:pos="-108"/>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39 681</w:t>
            </w:r>
          </w:p>
        </w:tc>
        <w:tc>
          <w:tcPr>
            <w:tcW w:w="819" w:type="pct"/>
          </w:tcPr>
          <w:p w14:paraId="1C2B595C" w14:textId="77777777" w:rsidR="009E79B1" w:rsidRPr="00FB0A3A" w:rsidRDefault="009E79B1" w:rsidP="00417376">
            <w:pPr>
              <w:tabs>
                <w:tab w:val="left" w:pos="-108"/>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19,5</w:t>
            </w:r>
          </w:p>
        </w:tc>
      </w:tr>
      <w:tr w:rsidR="009E79B1" w:rsidRPr="00FB0A3A" w14:paraId="355E6192" w14:textId="77777777" w:rsidTr="00417376">
        <w:tc>
          <w:tcPr>
            <w:cnfStyle w:val="001000000000" w:firstRow="0" w:lastRow="0" w:firstColumn="1" w:lastColumn="0" w:oddVBand="0" w:evenVBand="0" w:oddHBand="0" w:evenHBand="0" w:firstRowFirstColumn="0" w:firstRowLastColumn="0" w:lastRowFirstColumn="0" w:lastRowLastColumn="0"/>
            <w:tcW w:w="313" w:type="pct"/>
          </w:tcPr>
          <w:p w14:paraId="69BD41A9" w14:textId="06F68A10" w:rsidR="009E79B1" w:rsidRPr="00FB0A3A" w:rsidRDefault="00C76A7A" w:rsidP="00417376">
            <w:pPr>
              <w:tabs>
                <w:tab w:val="left" w:pos="1134"/>
              </w:tabs>
              <w:jc w:val="center"/>
              <w:rPr>
                <w:rFonts w:eastAsia="Calibri" w:cs="Times New Roman"/>
                <w:sz w:val="20"/>
                <w:szCs w:val="20"/>
              </w:rPr>
            </w:pPr>
            <w:r w:rsidRPr="00FB0A3A">
              <w:rPr>
                <w:rFonts w:eastAsia="Calibri" w:cs="Times New Roman"/>
                <w:sz w:val="20"/>
                <w:szCs w:val="20"/>
              </w:rPr>
              <w:t>1</w:t>
            </w:r>
            <w:r w:rsidR="009E79B1" w:rsidRPr="00FB0A3A">
              <w:rPr>
                <w:rFonts w:eastAsia="Calibri" w:cs="Times New Roman"/>
                <w:sz w:val="20"/>
                <w:szCs w:val="20"/>
              </w:rPr>
              <w:t>.2</w:t>
            </w:r>
          </w:p>
        </w:tc>
        <w:tc>
          <w:tcPr>
            <w:tcW w:w="967" w:type="pct"/>
          </w:tcPr>
          <w:p w14:paraId="1C8CED14" w14:textId="2AB9BBE2" w:rsidR="009E79B1" w:rsidRPr="00FB0A3A" w:rsidRDefault="009E79B1" w:rsidP="00417376">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Материалы для ремонта</w:t>
            </w:r>
          </w:p>
        </w:tc>
        <w:tc>
          <w:tcPr>
            <w:tcW w:w="595" w:type="pct"/>
          </w:tcPr>
          <w:p w14:paraId="656FD555" w14:textId="77777777" w:rsidR="009E79B1" w:rsidRPr="00FB0A3A" w:rsidRDefault="009E79B1" w:rsidP="00417376">
            <w:pPr>
              <w:tabs>
                <w:tab w:val="left" w:pos="-108"/>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61 639,91</w:t>
            </w:r>
          </w:p>
        </w:tc>
        <w:tc>
          <w:tcPr>
            <w:tcW w:w="680" w:type="pct"/>
          </w:tcPr>
          <w:p w14:paraId="0E57F925" w14:textId="77777777" w:rsidR="009E79B1" w:rsidRPr="00FB0A3A" w:rsidRDefault="009E79B1" w:rsidP="00417376">
            <w:pPr>
              <w:tabs>
                <w:tab w:val="left" w:pos="-108"/>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88 925,86</w:t>
            </w:r>
          </w:p>
        </w:tc>
        <w:tc>
          <w:tcPr>
            <w:tcW w:w="510" w:type="pct"/>
          </w:tcPr>
          <w:p w14:paraId="5FFDBD0F" w14:textId="77777777" w:rsidR="009E79B1" w:rsidRPr="00FB0A3A" w:rsidRDefault="009E79B1" w:rsidP="00417376">
            <w:pPr>
              <w:tabs>
                <w:tab w:val="left" w:pos="-108"/>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82 902</w:t>
            </w:r>
          </w:p>
        </w:tc>
        <w:tc>
          <w:tcPr>
            <w:tcW w:w="521" w:type="pct"/>
          </w:tcPr>
          <w:p w14:paraId="244AC044" w14:textId="77777777" w:rsidR="009E79B1" w:rsidRPr="00FB0A3A" w:rsidRDefault="009E79B1" w:rsidP="00417376">
            <w:pPr>
              <w:tabs>
                <w:tab w:val="left" w:pos="-108"/>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91 871</w:t>
            </w:r>
          </w:p>
        </w:tc>
        <w:tc>
          <w:tcPr>
            <w:tcW w:w="595" w:type="pct"/>
          </w:tcPr>
          <w:p w14:paraId="62BEC60B" w14:textId="77777777" w:rsidR="009E79B1" w:rsidRPr="00FB0A3A" w:rsidRDefault="009E79B1" w:rsidP="00417376">
            <w:pPr>
              <w:tabs>
                <w:tab w:val="left" w:pos="-108"/>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92 000</w:t>
            </w:r>
          </w:p>
        </w:tc>
        <w:tc>
          <w:tcPr>
            <w:tcW w:w="819" w:type="pct"/>
          </w:tcPr>
          <w:p w14:paraId="4BC08FED" w14:textId="77777777" w:rsidR="009E79B1" w:rsidRPr="00FB0A3A" w:rsidRDefault="009E79B1" w:rsidP="00417376">
            <w:pPr>
              <w:tabs>
                <w:tab w:val="left" w:pos="-108"/>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47,6</w:t>
            </w:r>
          </w:p>
        </w:tc>
      </w:tr>
      <w:tr w:rsidR="009E79B1" w:rsidRPr="00FB0A3A" w14:paraId="60C7353A" w14:textId="77777777" w:rsidTr="00417376">
        <w:tc>
          <w:tcPr>
            <w:cnfStyle w:val="001000000000" w:firstRow="0" w:lastRow="0" w:firstColumn="1" w:lastColumn="0" w:oddVBand="0" w:evenVBand="0" w:oddHBand="0" w:evenHBand="0" w:firstRowFirstColumn="0" w:firstRowLastColumn="0" w:lastRowFirstColumn="0" w:lastRowLastColumn="0"/>
            <w:tcW w:w="313" w:type="pct"/>
          </w:tcPr>
          <w:p w14:paraId="00D1FC27" w14:textId="669A477A" w:rsidR="009E79B1" w:rsidRPr="00FB0A3A" w:rsidRDefault="00C76A7A" w:rsidP="00417376">
            <w:pPr>
              <w:tabs>
                <w:tab w:val="left" w:pos="1134"/>
              </w:tabs>
              <w:jc w:val="center"/>
              <w:rPr>
                <w:rFonts w:eastAsia="Calibri" w:cs="Times New Roman"/>
                <w:sz w:val="20"/>
                <w:szCs w:val="20"/>
              </w:rPr>
            </w:pPr>
            <w:r w:rsidRPr="00FB0A3A">
              <w:rPr>
                <w:rFonts w:eastAsia="Calibri" w:cs="Times New Roman"/>
                <w:sz w:val="20"/>
                <w:szCs w:val="20"/>
              </w:rPr>
              <w:t>1</w:t>
            </w:r>
            <w:r w:rsidR="009E79B1" w:rsidRPr="00FB0A3A">
              <w:rPr>
                <w:rFonts w:eastAsia="Calibri" w:cs="Times New Roman"/>
                <w:sz w:val="20"/>
                <w:szCs w:val="20"/>
              </w:rPr>
              <w:t>.3</w:t>
            </w:r>
          </w:p>
        </w:tc>
        <w:tc>
          <w:tcPr>
            <w:tcW w:w="967" w:type="pct"/>
          </w:tcPr>
          <w:p w14:paraId="12C31D0B" w14:textId="77777777" w:rsidR="009E79B1" w:rsidRPr="00FB0A3A" w:rsidRDefault="009E79B1" w:rsidP="00417376">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Материалы на эксплуатацию</w:t>
            </w:r>
          </w:p>
        </w:tc>
        <w:tc>
          <w:tcPr>
            <w:tcW w:w="595" w:type="pct"/>
          </w:tcPr>
          <w:p w14:paraId="623DDD4D" w14:textId="77777777" w:rsidR="009E79B1" w:rsidRPr="00FB0A3A" w:rsidRDefault="009E79B1" w:rsidP="00417376">
            <w:pPr>
              <w:tabs>
                <w:tab w:val="left" w:pos="-108"/>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23 317,76</w:t>
            </w:r>
          </w:p>
        </w:tc>
        <w:tc>
          <w:tcPr>
            <w:tcW w:w="680" w:type="pct"/>
          </w:tcPr>
          <w:p w14:paraId="7A5FC20D" w14:textId="77777777" w:rsidR="009E79B1" w:rsidRPr="00FB0A3A" w:rsidRDefault="009E79B1" w:rsidP="00417376">
            <w:pPr>
              <w:tabs>
                <w:tab w:val="left" w:pos="-108"/>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29 455,46</w:t>
            </w:r>
          </w:p>
        </w:tc>
        <w:tc>
          <w:tcPr>
            <w:tcW w:w="510" w:type="pct"/>
          </w:tcPr>
          <w:p w14:paraId="46A4649C" w14:textId="77777777" w:rsidR="009E79B1" w:rsidRPr="00FB0A3A" w:rsidRDefault="009E79B1" w:rsidP="00417376">
            <w:pPr>
              <w:tabs>
                <w:tab w:val="left" w:pos="-108"/>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27 230</w:t>
            </w:r>
          </w:p>
        </w:tc>
        <w:tc>
          <w:tcPr>
            <w:tcW w:w="521" w:type="pct"/>
          </w:tcPr>
          <w:p w14:paraId="2BB48020" w14:textId="77777777" w:rsidR="009E79B1" w:rsidRPr="00FB0A3A" w:rsidRDefault="009E79B1" w:rsidP="00417376">
            <w:pPr>
              <w:tabs>
                <w:tab w:val="left" w:pos="-108"/>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26 225</w:t>
            </w:r>
          </w:p>
        </w:tc>
        <w:tc>
          <w:tcPr>
            <w:tcW w:w="595" w:type="pct"/>
          </w:tcPr>
          <w:p w14:paraId="46A42218" w14:textId="77777777" w:rsidR="009E79B1" w:rsidRPr="00FB0A3A" w:rsidRDefault="009E79B1" w:rsidP="00417376">
            <w:pPr>
              <w:tabs>
                <w:tab w:val="left" w:pos="-108"/>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27 273</w:t>
            </w:r>
          </w:p>
        </w:tc>
        <w:tc>
          <w:tcPr>
            <w:tcW w:w="819" w:type="pct"/>
          </w:tcPr>
          <w:p w14:paraId="21BCBDB9" w14:textId="77777777" w:rsidR="009E79B1" w:rsidRPr="00FB0A3A" w:rsidRDefault="009E79B1" w:rsidP="00417376">
            <w:pPr>
              <w:tabs>
                <w:tab w:val="left" w:pos="-108"/>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15,6</w:t>
            </w:r>
          </w:p>
        </w:tc>
      </w:tr>
      <w:tr w:rsidR="009E79B1" w:rsidRPr="00FB0A3A" w14:paraId="45702E44" w14:textId="77777777" w:rsidTr="00417376">
        <w:tc>
          <w:tcPr>
            <w:cnfStyle w:val="001000000000" w:firstRow="0" w:lastRow="0" w:firstColumn="1" w:lastColumn="0" w:oddVBand="0" w:evenVBand="0" w:oddHBand="0" w:evenHBand="0" w:firstRowFirstColumn="0" w:firstRowLastColumn="0" w:lastRowFirstColumn="0" w:lastRowLastColumn="0"/>
            <w:tcW w:w="313" w:type="pct"/>
          </w:tcPr>
          <w:p w14:paraId="5551D5CD" w14:textId="4CF063B8" w:rsidR="009E79B1" w:rsidRPr="00FB0A3A" w:rsidRDefault="00C76A7A" w:rsidP="00417376">
            <w:pPr>
              <w:tabs>
                <w:tab w:val="left" w:pos="1134"/>
              </w:tabs>
              <w:jc w:val="center"/>
              <w:rPr>
                <w:rFonts w:eastAsia="Calibri" w:cs="Times New Roman"/>
                <w:sz w:val="20"/>
                <w:szCs w:val="20"/>
              </w:rPr>
            </w:pPr>
            <w:r w:rsidRPr="00FB0A3A">
              <w:rPr>
                <w:rFonts w:eastAsia="Calibri" w:cs="Times New Roman"/>
                <w:sz w:val="20"/>
                <w:szCs w:val="20"/>
              </w:rPr>
              <w:t>1</w:t>
            </w:r>
            <w:r w:rsidR="009E79B1" w:rsidRPr="00FB0A3A">
              <w:rPr>
                <w:rFonts w:eastAsia="Calibri" w:cs="Times New Roman"/>
                <w:sz w:val="20"/>
                <w:szCs w:val="20"/>
              </w:rPr>
              <w:t>.4</w:t>
            </w:r>
          </w:p>
        </w:tc>
        <w:tc>
          <w:tcPr>
            <w:tcW w:w="967" w:type="pct"/>
          </w:tcPr>
          <w:p w14:paraId="3F83EA3F" w14:textId="77777777" w:rsidR="009E79B1" w:rsidRPr="00FB0A3A" w:rsidRDefault="009E79B1" w:rsidP="00417376">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Прочие вспомогательные материалы</w:t>
            </w:r>
          </w:p>
        </w:tc>
        <w:tc>
          <w:tcPr>
            <w:tcW w:w="595" w:type="pct"/>
          </w:tcPr>
          <w:p w14:paraId="42BE4562" w14:textId="77777777" w:rsidR="009E79B1" w:rsidRPr="00FB0A3A" w:rsidRDefault="009E79B1" w:rsidP="00417376">
            <w:pPr>
              <w:tabs>
                <w:tab w:val="left" w:pos="-108"/>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1 723,17</w:t>
            </w:r>
          </w:p>
        </w:tc>
        <w:tc>
          <w:tcPr>
            <w:tcW w:w="680" w:type="pct"/>
          </w:tcPr>
          <w:p w14:paraId="187899EB" w14:textId="77777777" w:rsidR="009E79B1" w:rsidRPr="00FB0A3A" w:rsidRDefault="009E79B1" w:rsidP="00417376">
            <w:pPr>
              <w:tabs>
                <w:tab w:val="left" w:pos="-108"/>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2 020,06</w:t>
            </w:r>
          </w:p>
        </w:tc>
        <w:tc>
          <w:tcPr>
            <w:tcW w:w="510" w:type="pct"/>
          </w:tcPr>
          <w:p w14:paraId="65B593A0" w14:textId="77777777" w:rsidR="009E79B1" w:rsidRPr="00FB0A3A" w:rsidRDefault="009E79B1" w:rsidP="00417376">
            <w:pPr>
              <w:tabs>
                <w:tab w:val="left" w:pos="-108"/>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1 764</w:t>
            </w:r>
          </w:p>
        </w:tc>
        <w:tc>
          <w:tcPr>
            <w:tcW w:w="521" w:type="pct"/>
          </w:tcPr>
          <w:p w14:paraId="01ED575E" w14:textId="77777777" w:rsidR="009E79B1" w:rsidRPr="00FB0A3A" w:rsidRDefault="009E79B1" w:rsidP="00417376">
            <w:pPr>
              <w:tabs>
                <w:tab w:val="left" w:pos="-108"/>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2 792</w:t>
            </w:r>
          </w:p>
        </w:tc>
        <w:tc>
          <w:tcPr>
            <w:tcW w:w="595" w:type="pct"/>
          </w:tcPr>
          <w:p w14:paraId="093D5664" w14:textId="77777777" w:rsidR="009E79B1" w:rsidRPr="00FB0A3A" w:rsidRDefault="009E79B1" w:rsidP="00417376">
            <w:pPr>
              <w:tabs>
                <w:tab w:val="left" w:pos="-108"/>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2 904</w:t>
            </w:r>
          </w:p>
        </w:tc>
        <w:tc>
          <w:tcPr>
            <w:tcW w:w="819" w:type="pct"/>
          </w:tcPr>
          <w:p w14:paraId="1127F860" w14:textId="77777777" w:rsidR="009E79B1" w:rsidRPr="00FB0A3A" w:rsidRDefault="009E79B1" w:rsidP="00417376">
            <w:pPr>
              <w:tabs>
                <w:tab w:val="left" w:pos="-108"/>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1,1</w:t>
            </w:r>
          </w:p>
        </w:tc>
      </w:tr>
      <w:tr w:rsidR="009E79B1" w:rsidRPr="00FB0A3A" w14:paraId="01ECE9AF" w14:textId="77777777" w:rsidTr="00417376">
        <w:tc>
          <w:tcPr>
            <w:cnfStyle w:val="001000000000" w:firstRow="0" w:lastRow="0" w:firstColumn="1" w:lastColumn="0" w:oddVBand="0" w:evenVBand="0" w:oddHBand="0" w:evenHBand="0" w:firstRowFirstColumn="0" w:firstRowLastColumn="0" w:lastRowFirstColumn="0" w:lastRowLastColumn="0"/>
            <w:tcW w:w="313" w:type="pct"/>
          </w:tcPr>
          <w:p w14:paraId="7BABC885" w14:textId="2A2C8F53" w:rsidR="009E79B1" w:rsidRPr="00FB0A3A" w:rsidRDefault="00C76A7A" w:rsidP="00417376">
            <w:pPr>
              <w:tabs>
                <w:tab w:val="left" w:pos="1134"/>
              </w:tabs>
              <w:jc w:val="center"/>
              <w:rPr>
                <w:rFonts w:eastAsia="Calibri" w:cs="Times New Roman"/>
                <w:sz w:val="20"/>
                <w:szCs w:val="20"/>
              </w:rPr>
            </w:pPr>
            <w:r w:rsidRPr="00FB0A3A">
              <w:rPr>
                <w:rFonts w:eastAsia="Calibri" w:cs="Times New Roman"/>
                <w:sz w:val="20"/>
                <w:szCs w:val="20"/>
              </w:rPr>
              <w:t>1</w:t>
            </w:r>
            <w:r w:rsidR="009E79B1" w:rsidRPr="00FB0A3A">
              <w:rPr>
                <w:rFonts w:eastAsia="Calibri" w:cs="Times New Roman"/>
                <w:sz w:val="20"/>
                <w:szCs w:val="20"/>
              </w:rPr>
              <w:t>.5</w:t>
            </w:r>
          </w:p>
        </w:tc>
        <w:tc>
          <w:tcPr>
            <w:tcW w:w="967" w:type="pct"/>
          </w:tcPr>
          <w:p w14:paraId="0838885C" w14:textId="1876D626" w:rsidR="009E79B1" w:rsidRPr="00FB0A3A" w:rsidRDefault="009E79B1" w:rsidP="00417376">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Спецодежда</w:t>
            </w:r>
          </w:p>
        </w:tc>
        <w:tc>
          <w:tcPr>
            <w:tcW w:w="595" w:type="pct"/>
          </w:tcPr>
          <w:p w14:paraId="7BD3F694" w14:textId="77777777" w:rsidR="009E79B1" w:rsidRPr="00FB0A3A" w:rsidRDefault="009E79B1" w:rsidP="00417376">
            <w:pPr>
              <w:tabs>
                <w:tab w:val="left" w:pos="-108"/>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19 404,97</w:t>
            </w:r>
          </w:p>
        </w:tc>
        <w:tc>
          <w:tcPr>
            <w:tcW w:w="680" w:type="pct"/>
          </w:tcPr>
          <w:p w14:paraId="0DA77EB6" w14:textId="77777777" w:rsidR="009E79B1" w:rsidRPr="00FB0A3A" w:rsidRDefault="009E79B1" w:rsidP="00417376">
            <w:pPr>
              <w:tabs>
                <w:tab w:val="left" w:pos="-108"/>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22 742,55</w:t>
            </w:r>
          </w:p>
        </w:tc>
        <w:tc>
          <w:tcPr>
            <w:tcW w:w="510" w:type="pct"/>
          </w:tcPr>
          <w:p w14:paraId="6DB4B1CE" w14:textId="77777777" w:rsidR="009E79B1" w:rsidRPr="00FB0A3A" w:rsidRDefault="009E79B1" w:rsidP="00417376">
            <w:pPr>
              <w:tabs>
                <w:tab w:val="left" w:pos="-108"/>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23 466</w:t>
            </w:r>
          </w:p>
        </w:tc>
        <w:tc>
          <w:tcPr>
            <w:tcW w:w="521" w:type="pct"/>
          </w:tcPr>
          <w:p w14:paraId="481613B0" w14:textId="77777777" w:rsidR="009E79B1" w:rsidRPr="00FB0A3A" w:rsidRDefault="009E79B1" w:rsidP="00417376">
            <w:pPr>
              <w:tabs>
                <w:tab w:val="left" w:pos="-108"/>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24 335</w:t>
            </w:r>
          </w:p>
        </w:tc>
        <w:tc>
          <w:tcPr>
            <w:tcW w:w="595" w:type="pct"/>
          </w:tcPr>
          <w:p w14:paraId="11FE177D" w14:textId="77777777" w:rsidR="009E79B1" w:rsidRPr="00FB0A3A" w:rsidRDefault="009E79B1" w:rsidP="00417376">
            <w:pPr>
              <w:tabs>
                <w:tab w:val="left" w:pos="-108"/>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25 308</w:t>
            </w:r>
          </w:p>
        </w:tc>
        <w:tc>
          <w:tcPr>
            <w:tcW w:w="819" w:type="pct"/>
          </w:tcPr>
          <w:p w14:paraId="5BD7D400" w14:textId="77777777" w:rsidR="009E79B1" w:rsidRPr="00FB0A3A" w:rsidRDefault="009E79B1" w:rsidP="00417376">
            <w:pPr>
              <w:tabs>
                <w:tab w:val="left" w:pos="-108"/>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13,5</w:t>
            </w:r>
          </w:p>
        </w:tc>
      </w:tr>
      <w:tr w:rsidR="009E79B1" w:rsidRPr="00FB0A3A" w14:paraId="0EEC3419" w14:textId="77777777" w:rsidTr="00417376">
        <w:tc>
          <w:tcPr>
            <w:cnfStyle w:val="001000000000" w:firstRow="0" w:lastRow="0" w:firstColumn="1" w:lastColumn="0" w:oddVBand="0" w:evenVBand="0" w:oddHBand="0" w:evenHBand="0" w:firstRowFirstColumn="0" w:firstRowLastColumn="0" w:lastRowFirstColumn="0" w:lastRowLastColumn="0"/>
            <w:tcW w:w="313" w:type="pct"/>
          </w:tcPr>
          <w:p w14:paraId="78CD7E57" w14:textId="5F1D3DB5" w:rsidR="009E79B1" w:rsidRPr="00FB0A3A" w:rsidRDefault="00C76A7A" w:rsidP="00417376">
            <w:pPr>
              <w:tabs>
                <w:tab w:val="left" w:pos="1134"/>
              </w:tabs>
              <w:jc w:val="center"/>
              <w:rPr>
                <w:rFonts w:eastAsia="Calibri" w:cs="Times New Roman"/>
                <w:sz w:val="20"/>
                <w:szCs w:val="20"/>
              </w:rPr>
            </w:pPr>
            <w:r w:rsidRPr="00FB0A3A">
              <w:rPr>
                <w:rFonts w:eastAsia="Calibri" w:cs="Times New Roman"/>
                <w:sz w:val="20"/>
                <w:szCs w:val="20"/>
              </w:rPr>
              <w:t>1</w:t>
            </w:r>
            <w:r w:rsidR="009E79B1" w:rsidRPr="00FB0A3A">
              <w:rPr>
                <w:rFonts w:eastAsia="Calibri" w:cs="Times New Roman"/>
                <w:sz w:val="20"/>
                <w:szCs w:val="20"/>
              </w:rPr>
              <w:t>.6</w:t>
            </w:r>
          </w:p>
        </w:tc>
        <w:tc>
          <w:tcPr>
            <w:tcW w:w="967" w:type="pct"/>
          </w:tcPr>
          <w:p w14:paraId="7E74D068" w14:textId="77777777" w:rsidR="009E79B1" w:rsidRPr="00FB0A3A" w:rsidRDefault="009E79B1" w:rsidP="00417376">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Материалы на охрану труда</w:t>
            </w:r>
          </w:p>
        </w:tc>
        <w:tc>
          <w:tcPr>
            <w:tcW w:w="595" w:type="pct"/>
          </w:tcPr>
          <w:p w14:paraId="626C1FD6" w14:textId="77777777" w:rsidR="009E79B1" w:rsidRPr="00FB0A3A" w:rsidRDefault="009E79B1" w:rsidP="00417376">
            <w:pPr>
              <w:tabs>
                <w:tab w:val="left" w:pos="-108"/>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3 298,04</w:t>
            </w:r>
          </w:p>
        </w:tc>
        <w:tc>
          <w:tcPr>
            <w:tcW w:w="680" w:type="pct"/>
          </w:tcPr>
          <w:p w14:paraId="690E50E5" w14:textId="77777777" w:rsidR="009E79B1" w:rsidRPr="00FB0A3A" w:rsidRDefault="009E79B1" w:rsidP="00417376">
            <w:pPr>
              <w:tabs>
                <w:tab w:val="left" w:pos="-108"/>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6 263,44</w:t>
            </w:r>
          </w:p>
        </w:tc>
        <w:tc>
          <w:tcPr>
            <w:tcW w:w="510" w:type="pct"/>
          </w:tcPr>
          <w:p w14:paraId="65426091" w14:textId="77777777" w:rsidR="009E79B1" w:rsidRPr="00FB0A3A" w:rsidRDefault="009E79B1" w:rsidP="00417376">
            <w:pPr>
              <w:tabs>
                <w:tab w:val="left" w:pos="-108"/>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4 741</w:t>
            </w:r>
          </w:p>
        </w:tc>
        <w:tc>
          <w:tcPr>
            <w:tcW w:w="521" w:type="pct"/>
          </w:tcPr>
          <w:p w14:paraId="3E7F92C9" w14:textId="77777777" w:rsidR="009E79B1" w:rsidRPr="00FB0A3A" w:rsidRDefault="009E79B1" w:rsidP="00417376">
            <w:pPr>
              <w:tabs>
                <w:tab w:val="left" w:pos="-108"/>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7 633</w:t>
            </w:r>
          </w:p>
        </w:tc>
        <w:tc>
          <w:tcPr>
            <w:tcW w:w="595" w:type="pct"/>
          </w:tcPr>
          <w:p w14:paraId="3F2F0961" w14:textId="77777777" w:rsidR="009E79B1" w:rsidRPr="00FB0A3A" w:rsidRDefault="009E79B1" w:rsidP="00417376">
            <w:pPr>
              <w:tabs>
                <w:tab w:val="left" w:pos="-108"/>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7 939</w:t>
            </w:r>
          </w:p>
        </w:tc>
        <w:tc>
          <w:tcPr>
            <w:tcW w:w="819" w:type="pct"/>
          </w:tcPr>
          <w:p w14:paraId="0A879859" w14:textId="77777777" w:rsidR="009E79B1" w:rsidRPr="00FB0A3A" w:rsidRDefault="009E79B1" w:rsidP="00417376">
            <w:pPr>
              <w:tabs>
                <w:tab w:val="left" w:pos="-108"/>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2,7</w:t>
            </w:r>
          </w:p>
        </w:tc>
      </w:tr>
    </w:tbl>
    <w:p w14:paraId="26472AFC" w14:textId="77777777" w:rsidR="009E79B1" w:rsidRPr="00C04ABD" w:rsidRDefault="009E79B1" w:rsidP="00C04ABD">
      <w:pPr>
        <w:pStyle w:val="afff7"/>
      </w:pPr>
      <w:r w:rsidRPr="00C04ABD">
        <w:t xml:space="preserve">Расходы на материалы на 2019 год спрогнозированы с ИПЦ 1,04 от ожидаемых расходов на 2018 год. </w:t>
      </w:r>
    </w:p>
    <w:p w14:paraId="1348BF65" w14:textId="472FB091" w:rsidR="009E79B1" w:rsidRPr="00C04ABD" w:rsidRDefault="009E79B1" w:rsidP="00C04ABD">
      <w:pPr>
        <w:tabs>
          <w:tab w:val="left" w:pos="1134"/>
        </w:tabs>
        <w:spacing w:after="0" w:line="360" w:lineRule="auto"/>
        <w:ind w:firstLine="567"/>
        <w:jc w:val="both"/>
        <w:rPr>
          <w:rFonts w:ascii="Myriad Pro" w:eastAsia="Calibri" w:hAnsi="Myriad Pro" w:cs="Times New Roman"/>
          <w:sz w:val="26"/>
          <w:szCs w:val="26"/>
        </w:rPr>
      </w:pPr>
      <w:r w:rsidRPr="00C04ABD">
        <w:rPr>
          <w:rFonts w:ascii="Myriad Pro" w:eastAsia="Calibri" w:hAnsi="Myriad Pro" w:cs="Times New Roman"/>
          <w:sz w:val="26"/>
          <w:szCs w:val="26"/>
        </w:rPr>
        <w:t>Ожидаемые расходы на 2018 г. на спецодежду спрогнозированы от фактических расходов</w:t>
      </w:r>
      <w:r w:rsidR="00B01759" w:rsidRPr="00C04ABD">
        <w:rPr>
          <w:rFonts w:ascii="Myriad Pro" w:eastAsia="Calibri" w:hAnsi="Myriad Pro" w:cs="Times New Roman"/>
          <w:sz w:val="26"/>
          <w:szCs w:val="26"/>
        </w:rPr>
        <w:t xml:space="preserve"> 2017 года</w:t>
      </w:r>
      <w:r w:rsidRPr="00C04ABD">
        <w:rPr>
          <w:rFonts w:ascii="Myriad Pro" w:eastAsia="Calibri" w:hAnsi="Myriad Pro" w:cs="Times New Roman"/>
          <w:sz w:val="26"/>
          <w:szCs w:val="26"/>
        </w:rPr>
        <w:t xml:space="preserve"> по данной статье с ИПЦ 1,037, на 2019 г. соответственно с ИПЦ 1,04.</w:t>
      </w:r>
    </w:p>
    <w:p w14:paraId="68E341DB" w14:textId="77777777" w:rsidR="009E79B1" w:rsidRPr="00C04ABD" w:rsidRDefault="009E79B1" w:rsidP="00C04ABD">
      <w:pPr>
        <w:tabs>
          <w:tab w:val="left" w:pos="1134"/>
        </w:tabs>
        <w:spacing w:after="0" w:line="360" w:lineRule="auto"/>
        <w:ind w:firstLine="567"/>
        <w:jc w:val="both"/>
        <w:rPr>
          <w:rFonts w:ascii="Myriad Pro" w:eastAsia="Calibri" w:hAnsi="Myriad Pro" w:cs="Times New Roman"/>
          <w:sz w:val="26"/>
          <w:szCs w:val="26"/>
        </w:rPr>
      </w:pPr>
      <w:r w:rsidRPr="00C04ABD">
        <w:rPr>
          <w:rFonts w:ascii="Myriad Pro" w:eastAsia="Calibri" w:hAnsi="Myriad Pro" w:cs="Times New Roman"/>
          <w:sz w:val="26"/>
          <w:szCs w:val="26"/>
        </w:rPr>
        <w:lastRenderedPageBreak/>
        <w:t>Ожидаемые расходы на 2018 год по материалам на эксплуатацию спрогнозированы, как средние фактические за три предыдущих года 2015-2017 гг., на 2019 г. - с ИПЦ 1,04.</w:t>
      </w:r>
    </w:p>
    <w:p w14:paraId="7162694A" w14:textId="71DCE3C7" w:rsidR="009E79B1" w:rsidRPr="00C04ABD" w:rsidRDefault="009E79B1" w:rsidP="00C04ABD">
      <w:pPr>
        <w:tabs>
          <w:tab w:val="left" w:pos="1134"/>
        </w:tabs>
        <w:spacing w:after="0" w:line="360" w:lineRule="auto"/>
        <w:ind w:firstLine="567"/>
        <w:jc w:val="both"/>
        <w:rPr>
          <w:rFonts w:ascii="Myriad Pro" w:eastAsia="Calibri" w:hAnsi="Myriad Pro" w:cs="Times New Roman"/>
          <w:sz w:val="26"/>
          <w:szCs w:val="26"/>
        </w:rPr>
      </w:pPr>
      <w:r w:rsidRPr="00C04ABD">
        <w:rPr>
          <w:rFonts w:ascii="Myriad Pro" w:eastAsia="Calibri" w:hAnsi="Myriad Pro" w:cs="Times New Roman"/>
          <w:sz w:val="26"/>
          <w:szCs w:val="26"/>
        </w:rPr>
        <w:t>Расходы по материалам для ремонта на 2018 год приняты на уровне фактических с ИПЦ 1,037 с учетом увеличения, которое объясняется увеличенным объемом планируемых ремонтных работ</w:t>
      </w:r>
      <w:r w:rsidR="00F07616" w:rsidRPr="00C04ABD">
        <w:rPr>
          <w:rFonts w:ascii="Myriad Pro" w:eastAsia="Calibri" w:hAnsi="Myriad Pro" w:cs="Times New Roman"/>
          <w:sz w:val="26"/>
          <w:szCs w:val="26"/>
        </w:rPr>
        <w:t>,</w:t>
      </w:r>
      <w:r w:rsidRPr="00C04ABD">
        <w:rPr>
          <w:rFonts w:ascii="Myriad Pro" w:eastAsia="Calibri" w:hAnsi="Myriad Pro" w:cs="Times New Roman"/>
          <w:sz w:val="26"/>
          <w:szCs w:val="26"/>
        </w:rPr>
        <w:t xml:space="preserve"> в частности, на ремонтные работы хозяйственным способом. </w:t>
      </w:r>
    </w:p>
    <w:p w14:paraId="676E29F3" w14:textId="77777777" w:rsidR="009E79B1" w:rsidRPr="00C04ABD" w:rsidRDefault="009E79B1" w:rsidP="00C04ABD">
      <w:pPr>
        <w:tabs>
          <w:tab w:val="left" w:pos="1134"/>
        </w:tabs>
        <w:spacing w:after="0" w:line="360" w:lineRule="auto"/>
        <w:ind w:firstLine="567"/>
        <w:jc w:val="both"/>
        <w:rPr>
          <w:rFonts w:ascii="Myriad Pro" w:eastAsia="Calibri" w:hAnsi="Myriad Pro" w:cs="Times New Roman"/>
          <w:sz w:val="26"/>
          <w:szCs w:val="26"/>
        </w:rPr>
      </w:pPr>
      <w:r w:rsidRPr="00C04ABD">
        <w:rPr>
          <w:rFonts w:ascii="Myriad Pro" w:eastAsia="Calibri" w:hAnsi="Myriad Pro" w:cs="Times New Roman"/>
          <w:sz w:val="26"/>
          <w:szCs w:val="26"/>
        </w:rPr>
        <w:t xml:space="preserve"> Включены дополнительно к объёму фактических затрат за 2017 год ожидаемые расходы по ремонту авто и спецтехники на сумму - 3 108,04 т. р.  (договор № 41/41-23-2017/169 от 23.01.2018 и договор № 41/41-23-2017/170 от 23.01.2018),  </w:t>
      </w:r>
    </w:p>
    <w:p w14:paraId="084C490A" w14:textId="34FDB0FA" w:rsidR="009E79B1" w:rsidRPr="00C04ABD" w:rsidRDefault="009E79B1" w:rsidP="00C04ABD">
      <w:pPr>
        <w:pStyle w:val="a4"/>
        <w:numPr>
          <w:ilvl w:val="0"/>
          <w:numId w:val="38"/>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 xml:space="preserve">расходы на замену выключателей 6-20 кВ на вакуумные на сумму 5 105,3 тыс. руб. (по договору № 41/41-23-2017/147 от 14.12.2017 с ООО </w:t>
      </w:r>
      <w:r w:rsidR="00655FFA" w:rsidRPr="00C04ABD">
        <w:rPr>
          <w:rFonts w:ascii="Myriad Pro" w:hAnsi="Myriad Pro"/>
          <w:sz w:val="26"/>
          <w:szCs w:val="26"/>
        </w:rPr>
        <w:t>«</w:t>
      </w:r>
      <w:r w:rsidRPr="00C04ABD">
        <w:rPr>
          <w:rFonts w:ascii="Myriad Pro" w:hAnsi="Myriad Pro"/>
          <w:sz w:val="26"/>
          <w:szCs w:val="26"/>
        </w:rPr>
        <w:t>КП ГЭМ</w:t>
      </w:r>
      <w:r w:rsidR="00655FFA" w:rsidRPr="00C04ABD">
        <w:rPr>
          <w:rFonts w:ascii="Myriad Pro" w:hAnsi="Myriad Pro"/>
          <w:sz w:val="26"/>
          <w:szCs w:val="26"/>
        </w:rPr>
        <w:t>»</w:t>
      </w:r>
      <w:r w:rsidRPr="00C04ABD">
        <w:rPr>
          <w:rFonts w:ascii="Myriad Pro" w:hAnsi="Myriad Pro"/>
          <w:sz w:val="26"/>
          <w:szCs w:val="26"/>
        </w:rPr>
        <w:t>)</w:t>
      </w:r>
    </w:p>
    <w:p w14:paraId="719ABE7A" w14:textId="3857AB1A" w:rsidR="009E79B1" w:rsidRPr="00C04ABD" w:rsidRDefault="009E79B1" w:rsidP="00C04ABD">
      <w:pPr>
        <w:pStyle w:val="a4"/>
        <w:numPr>
          <w:ilvl w:val="0"/>
          <w:numId w:val="38"/>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 xml:space="preserve">расходы по ремонту и замене оборудования РЗА: 532 тыс. руб. (договор № 41/41-23-2018/1 от 23.01.18 с АО </w:t>
      </w:r>
      <w:r w:rsidR="00655FFA" w:rsidRPr="00C04ABD">
        <w:rPr>
          <w:rFonts w:ascii="Myriad Pro" w:hAnsi="Myriad Pro"/>
          <w:sz w:val="26"/>
          <w:szCs w:val="26"/>
        </w:rPr>
        <w:t>«</w:t>
      </w:r>
      <w:r w:rsidRPr="00C04ABD">
        <w:rPr>
          <w:rFonts w:ascii="Myriad Pro" w:hAnsi="Myriad Pro"/>
          <w:sz w:val="26"/>
          <w:szCs w:val="26"/>
        </w:rPr>
        <w:t>Завод энергозащитных устройств</w:t>
      </w:r>
      <w:r w:rsidR="00655FFA" w:rsidRPr="00C04ABD">
        <w:rPr>
          <w:rFonts w:ascii="Myriad Pro" w:hAnsi="Myriad Pro"/>
          <w:sz w:val="26"/>
          <w:szCs w:val="26"/>
        </w:rPr>
        <w:t>»</w:t>
      </w:r>
      <w:r w:rsidRPr="00C04ABD">
        <w:rPr>
          <w:rFonts w:ascii="Myriad Pro" w:hAnsi="Myriad Pro"/>
          <w:sz w:val="26"/>
          <w:szCs w:val="26"/>
        </w:rPr>
        <w:t>)</w:t>
      </w:r>
    </w:p>
    <w:p w14:paraId="588A30DA" w14:textId="77777777" w:rsidR="009E79B1" w:rsidRPr="00C04ABD" w:rsidRDefault="009E79B1" w:rsidP="00C04ABD">
      <w:pPr>
        <w:tabs>
          <w:tab w:val="left" w:pos="1134"/>
        </w:tabs>
        <w:spacing w:after="0" w:line="360" w:lineRule="auto"/>
        <w:ind w:firstLine="567"/>
        <w:jc w:val="both"/>
        <w:rPr>
          <w:rFonts w:ascii="Myriad Pro" w:eastAsia="Calibri" w:hAnsi="Myriad Pro" w:cs="Times New Roman"/>
          <w:sz w:val="26"/>
          <w:szCs w:val="26"/>
        </w:rPr>
      </w:pPr>
      <w:r w:rsidRPr="00C04ABD">
        <w:rPr>
          <w:rFonts w:ascii="Myriad Pro" w:eastAsia="Calibri" w:hAnsi="Myriad Pro" w:cs="Times New Roman"/>
          <w:sz w:val="26"/>
          <w:szCs w:val="26"/>
        </w:rPr>
        <w:t>Данные работы относятся к категории материалоёмких работ.</w:t>
      </w:r>
    </w:p>
    <w:p w14:paraId="4880EFA4" w14:textId="430590B1" w:rsidR="009E79B1" w:rsidRPr="00C04ABD" w:rsidRDefault="009E79B1" w:rsidP="00C04ABD">
      <w:pPr>
        <w:tabs>
          <w:tab w:val="left" w:pos="1134"/>
        </w:tabs>
        <w:spacing w:after="0" w:line="360" w:lineRule="auto"/>
        <w:ind w:firstLine="567"/>
        <w:jc w:val="both"/>
        <w:rPr>
          <w:rFonts w:ascii="Myriad Pro" w:eastAsia="Calibri" w:hAnsi="Myriad Pro" w:cs="Times New Roman"/>
          <w:sz w:val="26"/>
          <w:szCs w:val="26"/>
        </w:rPr>
      </w:pPr>
      <w:r w:rsidRPr="00C04ABD">
        <w:rPr>
          <w:rFonts w:ascii="Myriad Pro" w:eastAsia="Calibri" w:hAnsi="Myriad Pro" w:cs="Times New Roman"/>
          <w:sz w:val="26"/>
          <w:szCs w:val="26"/>
        </w:rPr>
        <w:t xml:space="preserve">Материалы на ремонты на 2018 год составят 92 000 т. р. </w:t>
      </w:r>
    </w:p>
    <w:p w14:paraId="15763541" w14:textId="77777777" w:rsidR="009E79B1" w:rsidRPr="00C04ABD" w:rsidRDefault="009E79B1" w:rsidP="00C04ABD">
      <w:pPr>
        <w:tabs>
          <w:tab w:val="left" w:pos="1134"/>
        </w:tabs>
        <w:spacing w:after="0" w:line="360" w:lineRule="auto"/>
        <w:ind w:firstLine="567"/>
        <w:jc w:val="both"/>
        <w:rPr>
          <w:rFonts w:ascii="Myriad Pro" w:eastAsia="Calibri" w:hAnsi="Myriad Pro" w:cs="Times New Roman"/>
          <w:sz w:val="26"/>
          <w:szCs w:val="26"/>
        </w:rPr>
      </w:pPr>
      <w:r w:rsidRPr="00C04ABD">
        <w:rPr>
          <w:rFonts w:ascii="Myriad Pro" w:eastAsia="Calibri" w:hAnsi="Myriad Pro" w:cs="Times New Roman"/>
          <w:sz w:val="26"/>
          <w:szCs w:val="26"/>
        </w:rPr>
        <w:t xml:space="preserve">Стоимость ГСМ рассчитана, исходя из количества ГСМ, сложившегося в базовом периоде регулирования с учетом увеличения количества объема бензина и дизтоплива, сложившегося по факту 2017 к 2016 году. </w:t>
      </w:r>
    </w:p>
    <w:p w14:paraId="72E5CDCF" w14:textId="78DD9A34" w:rsidR="009E79B1" w:rsidRPr="00C04ABD" w:rsidRDefault="009E79B1" w:rsidP="00C04ABD">
      <w:pPr>
        <w:tabs>
          <w:tab w:val="left" w:pos="1134"/>
        </w:tabs>
        <w:spacing w:after="0" w:line="360" w:lineRule="auto"/>
        <w:ind w:firstLine="567"/>
        <w:jc w:val="both"/>
        <w:rPr>
          <w:rFonts w:ascii="Myriad Pro" w:eastAsia="Calibri" w:hAnsi="Myriad Pro" w:cs="Times New Roman"/>
          <w:sz w:val="26"/>
          <w:szCs w:val="26"/>
        </w:rPr>
      </w:pPr>
      <w:r w:rsidRPr="00C04ABD">
        <w:rPr>
          <w:rFonts w:ascii="Myriad Pro" w:eastAsia="Calibri" w:hAnsi="Myriad Pro" w:cs="Times New Roman"/>
          <w:sz w:val="26"/>
          <w:szCs w:val="26"/>
        </w:rPr>
        <w:t>Цены на плановый период регулирования, скорректированы на процент увеличения цены, сложившийся по</w:t>
      </w:r>
      <w:r w:rsidR="0069400B" w:rsidRPr="00C04ABD">
        <w:rPr>
          <w:rFonts w:ascii="Myriad Pro" w:eastAsia="Calibri" w:hAnsi="Myriad Pro" w:cs="Times New Roman"/>
          <w:sz w:val="26"/>
          <w:szCs w:val="26"/>
        </w:rPr>
        <w:t xml:space="preserve"> фактическим ценам 2017 к 2016 </w:t>
      </w:r>
      <w:r w:rsidRPr="00C04ABD">
        <w:rPr>
          <w:rFonts w:ascii="Myriad Pro" w:eastAsia="Calibri" w:hAnsi="Myriad Pro" w:cs="Times New Roman"/>
          <w:sz w:val="26"/>
          <w:szCs w:val="26"/>
        </w:rPr>
        <w:t>году, в среднем на 4 %. В подтверждение представлены за 2017 год выписка счета из 1С бухгалтерия.</w:t>
      </w:r>
    </w:p>
    <w:p w14:paraId="75157E2C" w14:textId="767FF1C9" w:rsidR="009E79B1" w:rsidRPr="00C04ABD" w:rsidRDefault="009E79B1" w:rsidP="00C04ABD">
      <w:pPr>
        <w:tabs>
          <w:tab w:val="left" w:pos="1134"/>
        </w:tabs>
        <w:spacing w:after="0" w:line="360" w:lineRule="auto"/>
        <w:ind w:firstLine="567"/>
        <w:jc w:val="both"/>
        <w:rPr>
          <w:rFonts w:ascii="Myriad Pro" w:eastAsia="Calibri" w:hAnsi="Myriad Pro" w:cs="Times New Roman"/>
          <w:sz w:val="26"/>
          <w:szCs w:val="26"/>
        </w:rPr>
      </w:pPr>
      <w:r w:rsidRPr="00C04ABD">
        <w:rPr>
          <w:rFonts w:ascii="Myriad Pro" w:eastAsia="Calibri" w:hAnsi="Myriad Pro" w:cs="Times New Roman"/>
          <w:sz w:val="26"/>
          <w:szCs w:val="26"/>
        </w:rPr>
        <w:t xml:space="preserve">Расходы на прочие смазочные материалы приняты на основании договоров № 41/41-23-2017/133 от 04.12.2017 и № 41/41-23-2017/135 от 30.11.2017, сумма по данным договорам составила - 3 905,5 тыс. руб. (соответственно 3 204,7+700,8 т. р.). </w:t>
      </w:r>
    </w:p>
    <w:p w14:paraId="5496677A" w14:textId="012149AA" w:rsidR="009E79B1" w:rsidRPr="00C04ABD" w:rsidRDefault="009E79B1" w:rsidP="00C04ABD">
      <w:pPr>
        <w:tabs>
          <w:tab w:val="left" w:pos="1134"/>
        </w:tabs>
        <w:spacing w:after="0" w:line="360" w:lineRule="auto"/>
        <w:ind w:firstLine="567"/>
        <w:jc w:val="both"/>
        <w:rPr>
          <w:rFonts w:ascii="Myriad Pro" w:eastAsia="Calibri" w:hAnsi="Myriad Pro" w:cs="Times New Roman"/>
          <w:sz w:val="26"/>
          <w:szCs w:val="26"/>
        </w:rPr>
      </w:pPr>
      <w:r w:rsidRPr="00C04ABD">
        <w:rPr>
          <w:rFonts w:ascii="Myriad Pro" w:eastAsia="Calibri" w:hAnsi="Myriad Pro" w:cs="Times New Roman"/>
          <w:sz w:val="26"/>
          <w:szCs w:val="26"/>
        </w:rPr>
        <w:t xml:space="preserve">Структура расходов на материалы представлена в Приложении 1.2.1 </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Вспомогательные материалы</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 xml:space="preserve">, расчет затрат на ГСМ – в Приложении 1.2.2 </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Горюче-смазочные материалы</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w:t>
      </w:r>
    </w:p>
    <w:p w14:paraId="290C9926" w14:textId="5F540129" w:rsidR="009E79B1" w:rsidRPr="00C04ABD" w:rsidRDefault="009E79B1" w:rsidP="00C04ABD">
      <w:pPr>
        <w:tabs>
          <w:tab w:val="left" w:pos="1134"/>
        </w:tabs>
        <w:spacing w:after="0" w:line="360" w:lineRule="auto"/>
        <w:ind w:firstLine="567"/>
        <w:jc w:val="both"/>
        <w:rPr>
          <w:rFonts w:ascii="Myriad Pro" w:eastAsia="Calibri" w:hAnsi="Myriad Pro" w:cs="Times New Roman"/>
          <w:sz w:val="26"/>
          <w:szCs w:val="26"/>
        </w:rPr>
      </w:pPr>
      <w:r w:rsidRPr="00C04ABD">
        <w:rPr>
          <w:rFonts w:ascii="Myriad Pro" w:eastAsia="Calibri" w:hAnsi="Myriad Pro" w:cs="Times New Roman"/>
          <w:sz w:val="26"/>
          <w:szCs w:val="26"/>
        </w:rPr>
        <w:lastRenderedPageBreak/>
        <w:t xml:space="preserve">С учетом планируемых на 2019 г. ремонтных </w:t>
      </w:r>
      <w:r w:rsidR="0069400B" w:rsidRPr="00C04ABD">
        <w:rPr>
          <w:rFonts w:ascii="Myriad Pro" w:eastAsia="Calibri" w:hAnsi="Myriad Pro" w:cs="Times New Roman"/>
          <w:sz w:val="26"/>
          <w:szCs w:val="26"/>
        </w:rPr>
        <w:t xml:space="preserve">работ филиал принимает затраты </w:t>
      </w:r>
      <w:r w:rsidRPr="00C04ABD">
        <w:rPr>
          <w:rFonts w:ascii="Myriad Pro" w:eastAsia="Calibri" w:hAnsi="Myriad Pro" w:cs="Times New Roman"/>
          <w:sz w:val="26"/>
          <w:szCs w:val="26"/>
        </w:rPr>
        <w:t>по данной статье в размере ожидаемых затрат на 2018 г. с учетом индекс-дефлятора Минэкономразвития России в раз</w:t>
      </w:r>
      <w:r w:rsidR="0069400B" w:rsidRPr="00C04ABD">
        <w:rPr>
          <w:rFonts w:ascii="Myriad Pro" w:eastAsia="Calibri" w:hAnsi="Myriad Pro" w:cs="Times New Roman"/>
          <w:sz w:val="26"/>
          <w:szCs w:val="26"/>
        </w:rPr>
        <w:t xml:space="preserve">мере 4 %, что составит 195 105 </w:t>
      </w:r>
      <w:r w:rsidRPr="00C04ABD">
        <w:rPr>
          <w:rFonts w:ascii="Myriad Pro" w:eastAsia="Calibri" w:hAnsi="Myriad Pro" w:cs="Times New Roman"/>
          <w:sz w:val="26"/>
          <w:szCs w:val="26"/>
        </w:rPr>
        <w:t xml:space="preserve">тыс. руб. </w:t>
      </w:r>
    </w:p>
    <w:p w14:paraId="4B388301" w14:textId="653ED234" w:rsidR="00C04A00" w:rsidRPr="00C04ABD" w:rsidRDefault="00C04A00" w:rsidP="00C04ABD">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 xml:space="preserve">В обоснование заявленной суммы на ГСМ </w:t>
      </w:r>
      <w:r w:rsidR="00B66D5D" w:rsidRPr="00C04ABD">
        <w:rPr>
          <w:rFonts w:ascii="Myriad Pro" w:eastAsia="Calibri" w:hAnsi="Myriad Pro" w:cs="Times New Roman"/>
          <w:sz w:val="26"/>
          <w:szCs w:val="26"/>
        </w:rPr>
        <w:t xml:space="preserve">филиалом </w:t>
      </w:r>
      <w:r w:rsidR="00350B0A" w:rsidRPr="00C04ABD">
        <w:rPr>
          <w:rFonts w:ascii="Myriad Pro" w:eastAsia="Calibri" w:hAnsi="Myriad Pro" w:cs="Times New Roman"/>
          <w:sz w:val="26"/>
          <w:szCs w:val="26"/>
        </w:rPr>
        <w:t xml:space="preserve">ПАО </w:t>
      </w:r>
      <w:r w:rsidR="00655FFA" w:rsidRPr="00C04ABD">
        <w:rPr>
          <w:rFonts w:ascii="Myriad Pro" w:eastAsia="Calibri" w:hAnsi="Myriad Pro" w:cs="Times New Roman"/>
          <w:sz w:val="26"/>
          <w:szCs w:val="26"/>
        </w:rPr>
        <w:t>«</w:t>
      </w:r>
      <w:r w:rsidR="00350B0A" w:rsidRPr="00C04ABD">
        <w:rPr>
          <w:rFonts w:ascii="Myriad Pro" w:eastAsia="Calibri" w:hAnsi="Myriad Pro" w:cs="Times New Roman"/>
          <w:sz w:val="26"/>
          <w:szCs w:val="26"/>
        </w:rPr>
        <w:t>МРСК Северо-Запада</w:t>
      </w:r>
      <w:r w:rsidR="00655FFA" w:rsidRPr="00C04ABD">
        <w:rPr>
          <w:rFonts w:ascii="Myriad Pro" w:eastAsia="Calibri" w:hAnsi="Myriad Pro" w:cs="Times New Roman"/>
          <w:sz w:val="26"/>
          <w:szCs w:val="26"/>
        </w:rPr>
        <w:t>»</w:t>
      </w:r>
      <w:r w:rsidR="00350B0A" w:rsidRPr="00C04ABD">
        <w:rPr>
          <w:rFonts w:ascii="Myriad Pro" w:eastAsia="Calibri" w:hAnsi="Myriad Pro" w:cs="Times New Roman"/>
          <w:sz w:val="26"/>
          <w:szCs w:val="26"/>
        </w:rPr>
        <w:t xml:space="preserve"> </w:t>
      </w:r>
      <w:r w:rsidR="00655FFA" w:rsidRPr="00C04ABD">
        <w:rPr>
          <w:rFonts w:ascii="Myriad Pro" w:eastAsia="Calibri" w:hAnsi="Myriad Pro" w:cs="Times New Roman"/>
          <w:sz w:val="26"/>
          <w:szCs w:val="26"/>
        </w:rPr>
        <w:t>«</w:t>
      </w:r>
      <w:r w:rsidR="00350B0A" w:rsidRPr="00C04ABD">
        <w:rPr>
          <w:rFonts w:ascii="Myriad Pro" w:eastAsia="Calibri" w:hAnsi="Myriad Pro" w:cs="Times New Roman"/>
          <w:sz w:val="26"/>
          <w:szCs w:val="26"/>
        </w:rPr>
        <w:t>Колэнерго</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 xml:space="preserve"> были предоставлены следующие документы:</w:t>
      </w:r>
    </w:p>
    <w:p w14:paraId="7124D1F8" w14:textId="10DBAAA3" w:rsidR="006C313D" w:rsidRPr="00C04ABD" w:rsidRDefault="006C313D" w:rsidP="00C04ABD">
      <w:pPr>
        <w:pStyle w:val="a4"/>
        <w:numPr>
          <w:ilvl w:val="0"/>
          <w:numId w:val="8"/>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Сводная таблица – расчет вспомогательных материалов с указанием утвержденных регулирующим органом стоимостных показат</w:t>
      </w:r>
      <w:r w:rsidR="001700B3" w:rsidRPr="00C04ABD">
        <w:rPr>
          <w:rFonts w:ascii="Myriad Pro" w:hAnsi="Myriad Pro"/>
          <w:sz w:val="26"/>
          <w:szCs w:val="26"/>
        </w:rPr>
        <w:t>елей на 2016</w:t>
      </w:r>
      <w:r w:rsidRPr="00C04ABD">
        <w:rPr>
          <w:rFonts w:ascii="Myriad Pro" w:hAnsi="Myriad Pro"/>
          <w:sz w:val="26"/>
          <w:szCs w:val="26"/>
        </w:rPr>
        <w:t>-2018 гг., фактических (ожидаемого факта)</w:t>
      </w:r>
      <w:r w:rsidR="001700B3" w:rsidRPr="00C04ABD">
        <w:rPr>
          <w:rFonts w:ascii="Myriad Pro" w:hAnsi="Myriad Pro"/>
          <w:sz w:val="26"/>
          <w:szCs w:val="26"/>
        </w:rPr>
        <w:t xml:space="preserve"> показателей за 2016</w:t>
      </w:r>
      <w:r w:rsidRPr="00C04ABD">
        <w:rPr>
          <w:rFonts w:ascii="Myriad Pro" w:hAnsi="Myriad Pro"/>
          <w:sz w:val="26"/>
          <w:szCs w:val="26"/>
        </w:rPr>
        <w:t xml:space="preserve">-2018 гг. в целом по филиалу и по виду регулируемой деятельности </w:t>
      </w:r>
      <w:r w:rsidR="00655FFA" w:rsidRPr="00C04ABD">
        <w:rPr>
          <w:rFonts w:ascii="Myriad Pro" w:hAnsi="Myriad Pro"/>
          <w:sz w:val="26"/>
          <w:szCs w:val="26"/>
        </w:rPr>
        <w:t>«</w:t>
      </w:r>
      <w:r w:rsidRPr="00C04ABD">
        <w:rPr>
          <w:rFonts w:ascii="Myriad Pro" w:hAnsi="Myriad Pro"/>
          <w:sz w:val="26"/>
          <w:szCs w:val="26"/>
        </w:rPr>
        <w:t>передача электрической энергии</w:t>
      </w:r>
      <w:r w:rsidR="00655FFA" w:rsidRPr="00C04ABD">
        <w:rPr>
          <w:rFonts w:ascii="Myriad Pro" w:hAnsi="Myriad Pro"/>
          <w:sz w:val="26"/>
          <w:szCs w:val="26"/>
        </w:rPr>
        <w:t>»</w:t>
      </w:r>
      <w:r w:rsidRPr="00C04ABD">
        <w:rPr>
          <w:rFonts w:ascii="Myriad Pro" w:hAnsi="Myriad Pro"/>
          <w:sz w:val="26"/>
          <w:szCs w:val="26"/>
        </w:rPr>
        <w:t>, планового значения соответствующих затрат по регулируемой деятельности на 2019 год.</w:t>
      </w:r>
    </w:p>
    <w:p w14:paraId="2C97FE92" w14:textId="77777777" w:rsidR="006C313D" w:rsidRPr="00C04ABD" w:rsidRDefault="006C313D" w:rsidP="00C04ABD">
      <w:pPr>
        <w:pStyle w:val="a4"/>
        <w:numPr>
          <w:ilvl w:val="0"/>
          <w:numId w:val="8"/>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Затраты на материалы представлены в разрезе следующих статей расходов: материалы на ремонт, материалы на эксплуатацию, ГСМ, спецодежда и обувь, средства индивидуальной защиты, материалы на охрану труда и канцелярские расходы.</w:t>
      </w:r>
    </w:p>
    <w:p w14:paraId="5E0DFB08" w14:textId="6BBA6DA1" w:rsidR="006C313D" w:rsidRPr="00C04ABD" w:rsidRDefault="006C313D" w:rsidP="00C04ABD">
      <w:pPr>
        <w:pStyle w:val="a4"/>
        <w:numPr>
          <w:ilvl w:val="0"/>
          <w:numId w:val="8"/>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Таблица – расчет вспомогательных материалов   с указанием подробной номенклатуры материалов, а также фактических (ожидаем</w:t>
      </w:r>
      <w:r w:rsidR="001700B3" w:rsidRPr="00C04ABD">
        <w:rPr>
          <w:rFonts w:ascii="Myriad Pro" w:hAnsi="Myriad Pro"/>
          <w:sz w:val="26"/>
          <w:szCs w:val="26"/>
        </w:rPr>
        <w:t>ых) стоимостных значений за 2016</w:t>
      </w:r>
      <w:r w:rsidRPr="00C04ABD">
        <w:rPr>
          <w:rFonts w:ascii="Myriad Pro" w:hAnsi="Myriad Pro"/>
          <w:sz w:val="26"/>
          <w:szCs w:val="26"/>
        </w:rPr>
        <w:t>-2018 гг. и планового значения на 2019 г.</w:t>
      </w:r>
    </w:p>
    <w:p w14:paraId="5964537F" w14:textId="6A4D2DEE" w:rsidR="006C313D" w:rsidRPr="00C04ABD" w:rsidRDefault="006C313D" w:rsidP="00C04ABD">
      <w:pPr>
        <w:pStyle w:val="a4"/>
        <w:numPr>
          <w:ilvl w:val="0"/>
          <w:numId w:val="8"/>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Таблица – расчет горюче-смазочных материалов с указанием данных за 201</w:t>
      </w:r>
      <w:r w:rsidR="001700B3" w:rsidRPr="00C04ABD">
        <w:rPr>
          <w:rFonts w:ascii="Myriad Pro" w:hAnsi="Myriad Pro"/>
          <w:sz w:val="26"/>
          <w:szCs w:val="26"/>
        </w:rPr>
        <w:t>6</w:t>
      </w:r>
      <w:r w:rsidRPr="00C04ABD">
        <w:rPr>
          <w:rFonts w:ascii="Myriad Pro" w:hAnsi="Myriad Pro"/>
          <w:sz w:val="26"/>
          <w:szCs w:val="26"/>
        </w:rPr>
        <w:t>-2018 гг. и плановых значений на 2019 г. в разрезе марок (видов) топлива, смазочных материалов, а также с отражением объемных и стоимостных показателей.</w:t>
      </w:r>
    </w:p>
    <w:p w14:paraId="78E4170F" w14:textId="421B2EF9" w:rsidR="006C313D" w:rsidRPr="00C04ABD" w:rsidRDefault="006C313D" w:rsidP="00C04ABD">
      <w:pPr>
        <w:pStyle w:val="a4"/>
        <w:numPr>
          <w:ilvl w:val="0"/>
          <w:numId w:val="8"/>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План ремонтов в разрезе видов работ и групп оборудования на 2019 год</w:t>
      </w:r>
      <w:r w:rsidR="00F07616" w:rsidRPr="00C04ABD">
        <w:rPr>
          <w:rFonts w:ascii="Myriad Pro" w:hAnsi="Myriad Pro"/>
          <w:sz w:val="26"/>
          <w:szCs w:val="26"/>
        </w:rPr>
        <w:t>,</w:t>
      </w:r>
      <w:r w:rsidRPr="00C04ABD">
        <w:rPr>
          <w:rFonts w:ascii="Myriad Pro" w:hAnsi="Myriad Pro"/>
          <w:sz w:val="26"/>
          <w:szCs w:val="26"/>
        </w:rPr>
        <w:t xml:space="preserve"> сформированный по следующим разделам:  </w:t>
      </w:r>
    </w:p>
    <w:p w14:paraId="6155982D" w14:textId="6D26E58F" w:rsidR="006C313D" w:rsidRPr="00C04ABD" w:rsidRDefault="006C313D" w:rsidP="00C04ABD">
      <w:pPr>
        <w:pStyle w:val="a4"/>
        <w:numPr>
          <w:ilvl w:val="0"/>
          <w:numId w:val="8"/>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 xml:space="preserve">перспективный (многолетний) план ремонтов ПС 35-150 кВ по </w:t>
      </w:r>
      <w:r w:rsidR="00655FFA" w:rsidRPr="00C04ABD">
        <w:rPr>
          <w:rFonts w:ascii="Myriad Pro" w:hAnsi="Myriad Pro"/>
          <w:sz w:val="26"/>
          <w:szCs w:val="26"/>
        </w:rPr>
        <w:t>«</w:t>
      </w:r>
      <w:r w:rsidR="00D076DA" w:rsidRPr="00C04ABD">
        <w:rPr>
          <w:rFonts w:ascii="Myriad Pro" w:hAnsi="Myriad Pro"/>
          <w:sz w:val="26"/>
          <w:szCs w:val="26"/>
        </w:rPr>
        <w:t>Центральным электрическим сетям</w:t>
      </w:r>
      <w:r w:rsidR="00655FFA" w:rsidRPr="00C04ABD">
        <w:rPr>
          <w:rFonts w:ascii="Myriad Pro" w:hAnsi="Myriad Pro"/>
          <w:sz w:val="26"/>
          <w:szCs w:val="26"/>
        </w:rPr>
        <w:t>»</w:t>
      </w:r>
      <w:r w:rsidRPr="00C04ABD">
        <w:rPr>
          <w:rFonts w:ascii="Myriad Pro" w:hAnsi="Myriad Pro"/>
          <w:sz w:val="26"/>
          <w:szCs w:val="26"/>
        </w:rPr>
        <w:t xml:space="preserve"> филиала ПАО </w:t>
      </w:r>
      <w:r w:rsidR="00655FFA" w:rsidRPr="00C04ABD">
        <w:rPr>
          <w:rFonts w:ascii="Myriad Pro" w:hAnsi="Myriad Pro"/>
          <w:sz w:val="26"/>
          <w:szCs w:val="26"/>
        </w:rPr>
        <w:t>«</w:t>
      </w:r>
      <w:r w:rsidR="00597FD5" w:rsidRPr="00C04ABD">
        <w:rPr>
          <w:rFonts w:ascii="Myriad Pro" w:hAnsi="Myriad Pro"/>
          <w:sz w:val="26"/>
          <w:szCs w:val="26"/>
        </w:rPr>
        <w:t>МРСК Северо-Запада</w:t>
      </w:r>
      <w:r w:rsidR="00655FFA" w:rsidRPr="00C04ABD">
        <w:rPr>
          <w:rFonts w:ascii="Myriad Pro" w:hAnsi="Myriad Pro"/>
          <w:sz w:val="26"/>
          <w:szCs w:val="26"/>
        </w:rPr>
        <w:t>»</w:t>
      </w:r>
      <w:r w:rsidR="00D076DA" w:rsidRPr="00C04ABD">
        <w:rPr>
          <w:rFonts w:ascii="Myriad Pro" w:hAnsi="Myriad Pro"/>
          <w:sz w:val="26"/>
          <w:szCs w:val="26"/>
        </w:rPr>
        <w:t xml:space="preserve"> </w:t>
      </w:r>
      <w:r w:rsidR="00655FFA" w:rsidRPr="00C04ABD">
        <w:rPr>
          <w:rFonts w:ascii="Myriad Pro" w:hAnsi="Myriad Pro"/>
          <w:sz w:val="26"/>
          <w:szCs w:val="26"/>
        </w:rPr>
        <w:t>«</w:t>
      </w:r>
      <w:r w:rsidR="00D076DA" w:rsidRPr="00C04ABD">
        <w:rPr>
          <w:rFonts w:ascii="Myriad Pro" w:hAnsi="Myriad Pro"/>
          <w:sz w:val="26"/>
          <w:szCs w:val="26"/>
        </w:rPr>
        <w:t>Колэнерго</w:t>
      </w:r>
      <w:r w:rsidR="00655FFA" w:rsidRPr="00C04ABD">
        <w:rPr>
          <w:rFonts w:ascii="Myriad Pro" w:hAnsi="Myriad Pro"/>
          <w:sz w:val="26"/>
          <w:szCs w:val="26"/>
        </w:rPr>
        <w:t>»</w:t>
      </w:r>
      <w:r w:rsidRPr="00C04ABD">
        <w:rPr>
          <w:rFonts w:ascii="Myriad Pro" w:hAnsi="Myriad Pro"/>
          <w:sz w:val="26"/>
          <w:szCs w:val="26"/>
        </w:rPr>
        <w:t>;</w:t>
      </w:r>
    </w:p>
    <w:p w14:paraId="2BBBEEC2" w14:textId="585E0EAB" w:rsidR="006C313D" w:rsidRPr="00C04ABD" w:rsidRDefault="006C313D" w:rsidP="00C04ABD">
      <w:pPr>
        <w:pStyle w:val="a4"/>
        <w:numPr>
          <w:ilvl w:val="0"/>
          <w:numId w:val="8"/>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перспективный (многолетний) план ремонтов ПС 35-150 кВ п</w:t>
      </w:r>
      <w:r w:rsidR="00D076DA" w:rsidRPr="00C04ABD">
        <w:rPr>
          <w:rFonts w:ascii="Myriad Pro" w:hAnsi="Myriad Pro"/>
          <w:sz w:val="26"/>
          <w:szCs w:val="26"/>
        </w:rPr>
        <w:t xml:space="preserve">о </w:t>
      </w:r>
      <w:r w:rsidR="00655FFA" w:rsidRPr="00C04ABD">
        <w:rPr>
          <w:rFonts w:ascii="Myriad Pro" w:hAnsi="Myriad Pro"/>
          <w:sz w:val="26"/>
          <w:szCs w:val="26"/>
        </w:rPr>
        <w:t>«</w:t>
      </w:r>
      <w:r w:rsidR="00D076DA" w:rsidRPr="00C04ABD">
        <w:rPr>
          <w:rFonts w:ascii="Myriad Pro" w:hAnsi="Myriad Pro"/>
          <w:sz w:val="26"/>
          <w:szCs w:val="26"/>
        </w:rPr>
        <w:t>Северным электрическим сетям</w:t>
      </w:r>
      <w:r w:rsidR="00655FFA" w:rsidRPr="00C04ABD">
        <w:rPr>
          <w:rFonts w:ascii="Myriad Pro" w:hAnsi="Myriad Pro"/>
          <w:sz w:val="26"/>
          <w:szCs w:val="26"/>
        </w:rPr>
        <w:t>»</w:t>
      </w:r>
      <w:r w:rsidRPr="00C04ABD">
        <w:rPr>
          <w:rFonts w:ascii="Myriad Pro" w:hAnsi="Myriad Pro"/>
          <w:sz w:val="26"/>
          <w:szCs w:val="26"/>
        </w:rPr>
        <w:t xml:space="preserve"> филиала ПАО </w:t>
      </w:r>
      <w:r w:rsidR="00655FFA" w:rsidRPr="00C04ABD">
        <w:rPr>
          <w:rFonts w:ascii="Myriad Pro" w:hAnsi="Myriad Pro"/>
          <w:sz w:val="26"/>
          <w:szCs w:val="26"/>
        </w:rPr>
        <w:t>«</w:t>
      </w:r>
      <w:r w:rsidR="00597FD5" w:rsidRPr="00C04ABD">
        <w:rPr>
          <w:rFonts w:ascii="Myriad Pro" w:hAnsi="Myriad Pro"/>
          <w:sz w:val="26"/>
          <w:szCs w:val="26"/>
        </w:rPr>
        <w:t>МРСК Северо-Запада</w:t>
      </w:r>
      <w:r w:rsidR="00655FFA" w:rsidRPr="00C04ABD">
        <w:rPr>
          <w:rFonts w:ascii="Myriad Pro" w:hAnsi="Myriad Pro"/>
          <w:sz w:val="26"/>
          <w:szCs w:val="26"/>
        </w:rPr>
        <w:t>»</w:t>
      </w:r>
      <w:r w:rsidR="00D076DA" w:rsidRPr="00C04ABD">
        <w:rPr>
          <w:rFonts w:ascii="Myriad Pro" w:hAnsi="Myriad Pro"/>
          <w:sz w:val="26"/>
          <w:szCs w:val="26"/>
        </w:rPr>
        <w:t xml:space="preserve"> </w:t>
      </w:r>
      <w:r w:rsidR="00655FFA" w:rsidRPr="00C04ABD">
        <w:rPr>
          <w:rFonts w:ascii="Myriad Pro" w:hAnsi="Myriad Pro"/>
          <w:sz w:val="26"/>
          <w:szCs w:val="26"/>
        </w:rPr>
        <w:t>«</w:t>
      </w:r>
      <w:r w:rsidR="00D076DA" w:rsidRPr="00C04ABD">
        <w:rPr>
          <w:rFonts w:ascii="Myriad Pro" w:hAnsi="Myriad Pro"/>
          <w:sz w:val="26"/>
          <w:szCs w:val="26"/>
        </w:rPr>
        <w:t>Колэнерго</w:t>
      </w:r>
      <w:r w:rsidR="00655FFA" w:rsidRPr="00C04ABD">
        <w:rPr>
          <w:rFonts w:ascii="Myriad Pro" w:hAnsi="Myriad Pro"/>
          <w:sz w:val="26"/>
          <w:szCs w:val="26"/>
        </w:rPr>
        <w:t>»</w:t>
      </w:r>
      <w:r w:rsidRPr="00C04ABD">
        <w:rPr>
          <w:rFonts w:ascii="Myriad Pro" w:hAnsi="Myriad Pro"/>
          <w:sz w:val="26"/>
          <w:szCs w:val="26"/>
        </w:rPr>
        <w:t>;</w:t>
      </w:r>
    </w:p>
    <w:p w14:paraId="63C35E58" w14:textId="77777777" w:rsidR="006C313D" w:rsidRPr="00C04ABD" w:rsidRDefault="006C313D" w:rsidP="00C04ABD">
      <w:pPr>
        <w:pStyle w:val="a4"/>
        <w:numPr>
          <w:ilvl w:val="0"/>
          <w:numId w:val="8"/>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lastRenderedPageBreak/>
        <w:t>Отчет по ремонту за 2017 год;</w:t>
      </w:r>
    </w:p>
    <w:p w14:paraId="590735F3" w14:textId="77777777" w:rsidR="006C313D" w:rsidRPr="00C04ABD" w:rsidRDefault="006C313D" w:rsidP="00C04ABD">
      <w:pPr>
        <w:pStyle w:val="a4"/>
        <w:numPr>
          <w:ilvl w:val="0"/>
          <w:numId w:val="8"/>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Пояснительная записка с обоснованием дополнительных объемов работ:</w:t>
      </w:r>
    </w:p>
    <w:p w14:paraId="04AD9F45" w14:textId="27B12629" w:rsidR="006C313D" w:rsidRPr="00C04ABD" w:rsidRDefault="006C313D" w:rsidP="00C04ABD">
      <w:pPr>
        <w:pStyle w:val="a4"/>
        <w:numPr>
          <w:ilvl w:val="0"/>
          <w:numId w:val="8"/>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 xml:space="preserve">расходов по ремонту авто и спецтехники на сумму 3 108 тыс. руб. (договор №41/41-23-2017/169 от </w:t>
      </w:r>
      <w:r w:rsidRPr="00C04ABD">
        <w:rPr>
          <w:rFonts w:ascii="Myriad Pro" w:hAnsi="Myriad Pro"/>
          <w:noProof/>
          <w:sz w:val="26"/>
          <w:szCs w:val="26"/>
          <w:lang w:eastAsia="ru-RU"/>
        </w:rPr>
        <w:drawing>
          <wp:inline distT="0" distB="0" distL="0" distR="0" wp14:anchorId="5EDC9F73" wp14:editId="50DDEF65">
            <wp:extent cx="3049" cy="3048"/>
            <wp:effectExtent l="0" t="0" r="0" b="0"/>
            <wp:docPr id="38636" name="Picture 38636"/>
            <wp:cNvGraphicFramePr/>
            <a:graphic xmlns:a="http://schemas.openxmlformats.org/drawingml/2006/main">
              <a:graphicData uri="http://schemas.openxmlformats.org/drawingml/2006/picture">
                <pic:pic xmlns:pic="http://schemas.openxmlformats.org/drawingml/2006/picture">
                  <pic:nvPicPr>
                    <pic:cNvPr id="38636" name="Picture 38636"/>
                    <pic:cNvPicPr/>
                  </pic:nvPicPr>
                  <pic:blipFill>
                    <a:blip r:embed="rId31"/>
                    <a:stretch>
                      <a:fillRect/>
                    </a:stretch>
                  </pic:blipFill>
                  <pic:spPr>
                    <a:xfrm>
                      <a:off x="0" y="0"/>
                      <a:ext cx="3049" cy="3048"/>
                    </a:xfrm>
                    <a:prstGeom prst="rect">
                      <a:avLst/>
                    </a:prstGeom>
                  </pic:spPr>
                </pic:pic>
              </a:graphicData>
            </a:graphic>
          </wp:inline>
        </w:drawing>
      </w:r>
      <w:r w:rsidRPr="00C04ABD">
        <w:rPr>
          <w:rFonts w:ascii="Myriad Pro" w:hAnsi="Myriad Pro"/>
          <w:sz w:val="26"/>
          <w:szCs w:val="26"/>
        </w:rPr>
        <w:t>23.01.2018 и договор №41/41-23-2017/170 от 23.01.2018)$</w:t>
      </w:r>
    </w:p>
    <w:p w14:paraId="13C3D470" w14:textId="0D4D37FA" w:rsidR="006C313D" w:rsidRPr="00C04ABD" w:rsidRDefault="006C313D" w:rsidP="00C04ABD">
      <w:pPr>
        <w:pStyle w:val="a4"/>
        <w:numPr>
          <w:ilvl w:val="0"/>
          <w:numId w:val="8"/>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 xml:space="preserve">расходы на замену выключателей 6-20 кВ на вакуумные на сумму 5 105,3 тыс. руб. (по договору № 41/41-23-2017/147 от 14.12.2017 с 000 </w:t>
      </w:r>
      <w:r w:rsidR="00655FFA" w:rsidRPr="00C04ABD">
        <w:rPr>
          <w:rFonts w:ascii="Myriad Pro" w:hAnsi="Myriad Pro"/>
          <w:sz w:val="26"/>
          <w:szCs w:val="26"/>
        </w:rPr>
        <w:t>«</w:t>
      </w:r>
      <w:r w:rsidRPr="00C04ABD">
        <w:rPr>
          <w:rFonts w:ascii="Myriad Pro" w:hAnsi="Myriad Pro"/>
          <w:sz w:val="26"/>
          <w:szCs w:val="26"/>
        </w:rPr>
        <w:t>КП ГЭМ</w:t>
      </w:r>
      <w:r w:rsidR="00655FFA" w:rsidRPr="00C04ABD">
        <w:rPr>
          <w:rFonts w:ascii="Myriad Pro" w:hAnsi="Myriad Pro"/>
          <w:sz w:val="26"/>
          <w:szCs w:val="26"/>
        </w:rPr>
        <w:t>»</w:t>
      </w:r>
      <w:r w:rsidRPr="00C04ABD">
        <w:rPr>
          <w:rFonts w:ascii="Myriad Pro" w:hAnsi="Myriad Pro"/>
          <w:sz w:val="26"/>
          <w:szCs w:val="26"/>
        </w:rPr>
        <w:t>);</w:t>
      </w:r>
    </w:p>
    <w:p w14:paraId="5AB99345" w14:textId="666921D9" w:rsidR="006C313D" w:rsidRPr="00C04ABD" w:rsidRDefault="006C313D" w:rsidP="00C04ABD">
      <w:pPr>
        <w:pStyle w:val="a4"/>
        <w:numPr>
          <w:ilvl w:val="0"/>
          <w:numId w:val="8"/>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 xml:space="preserve"> расходы по ремонту и замене оборудования РЗА: 532 тыс. руб. (договор № 41/41-23-2018/1 от 23.01.18 с АО </w:t>
      </w:r>
      <w:r w:rsidR="00375FAD" w:rsidRPr="00C04ABD">
        <w:rPr>
          <w:rFonts w:ascii="Myriad Pro" w:hAnsi="Myriad Pro"/>
          <w:sz w:val="26"/>
          <w:szCs w:val="26"/>
        </w:rPr>
        <w:t>«</w:t>
      </w:r>
      <w:r w:rsidRPr="00C04ABD">
        <w:rPr>
          <w:rFonts w:ascii="Myriad Pro" w:hAnsi="Myriad Pro"/>
          <w:sz w:val="26"/>
          <w:szCs w:val="26"/>
        </w:rPr>
        <w:t>Завод энергозащитных устройств</w:t>
      </w:r>
      <w:r w:rsidR="00375FAD" w:rsidRPr="00C04ABD">
        <w:rPr>
          <w:rFonts w:ascii="Myriad Pro" w:hAnsi="Myriad Pro"/>
          <w:sz w:val="26"/>
          <w:szCs w:val="26"/>
        </w:rPr>
        <w:t>»</w:t>
      </w:r>
      <w:r w:rsidRPr="00C04ABD">
        <w:rPr>
          <w:rFonts w:ascii="Myriad Pro" w:hAnsi="Myriad Pro"/>
          <w:sz w:val="26"/>
          <w:szCs w:val="26"/>
        </w:rPr>
        <w:t>).</w:t>
      </w:r>
    </w:p>
    <w:p w14:paraId="1C539BF4" w14:textId="77777777" w:rsidR="006C313D" w:rsidRPr="00C04ABD" w:rsidRDefault="006C313D" w:rsidP="00C04ABD">
      <w:pPr>
        <w:pStyle w:val="a4"/>
        <w:numPr>
          <w:ilvl w:val="0"/>
          <w:numId w:val="8"/>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Нормы расходов топлива транспортных средств</w:t>
      </w:r>
    </w:p>
    <w:p w14:paraId="4E92A9F8" w14:textId="77777777" w:rsidR="006C313D" w:rsidRPr="00C04ABD" w:rsidRDefault="006C313D" w:rsidP="00C04ABD">
      <w:pPr>
        <w:pStyle w:val="a4"/>
        <w:numPr>
          <w:ilvl w:val="0"/>
          <w:numId w:val="8"/>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Реестр договоров на поставку материалов.</w:t>
      </w:r>
    </w:p>
    <w:p w14:paraId="6B8F7020" w14:textId="77777777" w:rsidR="006C313D" w:rsidRPr="00C04ABD" w:rsidRDefault="006C313D" w:rsidP="00C04ABD">
      <w:pPr>
        <w:pStyle w:val="a4"/>
        <w:numPr>
          <w:ilvl w:val="0"/>
          <w:numId w:val="8"/>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Реестр договоров на поставку материалов по охране труда.</w:t>
      </w:r>
    </w:p>
    <w:p w14:paraId="78CD5E14" w14:textId="58EB0321" w:rsidR="006C313D" w:rsidRPr="00C04ABD" w:rsidRDefault="006C313D" w:rsidP="00C04ABD">
      <w:pPr>
        <w:pStyle w:val="a4"/>
        <w:numPr>
          <w:ilvl w:val="0"/>
          <w:numId w:val="8"/>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Реестр договоров на поставку топлива для автотранспортной техники.</w:t>
      </w:r>
    </w:p>
    <w:p w14:paraId="799F192D" w14:textId="491C0353" w:rsidR="006C313D" w:rsidRPr="00C04ABD" w:rsidRDefault="006C313D" w:rsidP="00C04ABD">
      <w:pPr>
        <w:pStyle w:val="a4"/>
        <w:numPr>
          <w:ilvl w:val="0"/>
          <w:numId w:val="8"/>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 xml:space="preserve">Копии договоров на поставку материалов за 2017 год с приложением первичных документов, копии договоров на поставку материалов за 2018 год, копии договоров на поставку топлива, копии договоров </w:t>
      </w:r>
      <w:r w:rsidR="008D4F9E" w:rsidRPr="00C04ABD">
        <w:rPr>
          <w:rFonts w:ascii="Myriad Pro" w:hAnsi="Myriad Pro"/>
          <w:sz w:val="26"/>
          <w:szCs w:val="26"/>
        </w:rPr>
        <w:t>на поставку СИЗ</w:t>
      </w:r>
      <w:r w:rsidRPr="00C04ABD">
        <w:rPr>
          <w:rFonts w:ascii="Myriad Pro" w:hAnsi="Myriad Pro"/>
          <w:sz w:val="26"/>
          <w:szCs w:val="26"/>
        </w:rPr>
        <w:t>, спецодежды и спецобуви, копии договоров на поставку материалов для обслуживания оргтехники, средств связи, конкурсная документация.</w:t>
      </w:r>
    </w:p>
    <w:p w14:paraId="6795D38C" w14:textId="77777777" w:rsidR="006C313D" w:rsidRPr="00C04ABD" w:rsidRDefault="006C313D" w:rsidP="00C04ABD">
      <w:pPr>
        <w:pStyle w:val="a4"/>
        <w:numPr>
          <w:ilvl w:val="0"/>
          <w:numId w:val="8"/>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Отчет об исполнении плана закупок за 2017 год;</w:t>
      </w:r>
    </w:p>
    <w:p w14:paraId="79E199F7" w14:textId="5B0B3479" w:rsidR="006C313D" w:rsidRPr="00C04ABD" w:rsidRDefault="006C313D" w:rsidP="00C04ABD">
      <w:pPr>
        <w:pStyle w:val="a4"/>
        <w:numPr>
          <w:ilvl w:val="0"/>
          <w:numId w:val="8"/>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 xml:space="preserve">Бухгалтерская отчетность: Обороты счетов 20, 23, 25, 26 за 2017 год по деятельности </w:t>
      </w:r>
      <w:r w:rsidR="00655FFA" w:rsidRPr="00C04ABD">
        <w:rPr>
          <w:rFonts w:ascii="Myriad Pro" w:hAnsi="Myriad Pro"/>
          <w:sz w:val="26"/>
          <w:szCs w:val="26"/>
        </w:rPr>
        <w:t>«</w:t>
      </w:r>
      <w:r w:rsidRPr="00C04ABD">
        <w:rPr>
          <w:rFonts w:ascii="Myriad Pro" w:hAnsi="Myriad Pro"/>
          <w:sz w:val="26"/>
          <w:szCs w:val="26"/>
        </w:rPr>
        <w:t>услуги по передачи электрической энергии</w:t>
      </w:r>
      <w:r w:rsidR="00655FFA" w:rsidRPr="00C04ABD">
        <w:rPr>
          <w:rFonts w:ascii="Myriad Pro" w:hAnsi="Myriad Pro"/>
          <w:sz w:val="26"/>
          <w:szCs w:val="26"/>
        </w:rPr>
        <w:t>»</w:t>
      </w:r>
      <w:r w:rsidRPr="00C04ABD">
        <w:rPr>
          <w:rFonts w:ascii="Myriad Pro" w:hAnsi="Myriad Pro"/>
          <w:sz w:val="26"/>
          <w:szCs w:val="26"/>
        </w:rPr>
        <w:t xml:space="preserve"> по филиалу ПАО</w:t>
      </w:r>
      <w:r w:rsidR="00996030" w:rsidRPr="00C04ABD">
        <w:rPr>
          <w:rFonts w:ascii="Myriad Pro" w:hAnsi="Myriad Pro"/>
          <w:sz w:val="26"/>
          <w:szCs w:val="26"/>
        </w:rPr>
        <w:t> </w:t>
      </w:r>
      <w:r w:rsidR="00655FFA" w:rsidRPr="00C04ABD">
        <w:rPr>
          <w:rFonts w:ascii="Myriad Pro" w:hAnsi="Myriad Pro"/>
          <w:sz w:val="26"/>
          <w:szCs w:val="26"/>
        </w:rPr>
        <w:t>«</w:t>
      </w:r>
      <w:r w:rsidRPr="00C04ABD">
        <w:rPr>
          <w:rFonts w:ascii="Myriad Pro" w:hAnsi="Myriad Pro"/>
          <w:sz w:val="26"/>
          <w:szCs w:val="26"/>
        </w:rPr>
        <w:t xml:space="preserve">МРСК </w:t>
      </w:r>
      <w:r w:rsidR="0025782C" w:rsidRPr="00C04ABD">
        <w:rPr>
          <w:rFonts w:ascii="Myriad Pro" w:hAnsi="Myriad Pro"/>
          <w:sz w:val="26"/>
          <w:szCs w:val="26"/>
        </w:rPr>
        <w:t>Северо-Запада</w:t>
      </w:r>
      <w:r w:rsidR="00655FFA" w:rsidRPr="00C04ABD">
        <w:rPr>
          <w:rFonts w:ascii="Myriad Pro" w:hAnsi="Myriad Pro"/>
          <w:sz w:val="26"/>
          <w:szCs w:val="26"/>
        </w:rPr>
        <w:t>»</w:t>
      </w:r>
      <w:r w:rsidRPr="00C04ABD">
        <w:rPr>
          <w:rFonts w:ascii="Myriad Pro" w:hAnsi="Myriad Pro"/>
          <w:sz w:val="26"/>
          <w:szCs w:val="26"/>
        </w:rPr>
        <w:t xml:space="preserve"> </w:t>
      </w:r>
      <w:r w:rsidR="00655FFA" w:rsidRPr="00C04ABD">
        <w:rPr>
          <w:rFonts w:ascii="Myriad Pro" w:hAnsi="Myriad Pro"/>
          <w:sz w:val="26"/>
          <w:szCs w:val="26"/>
        </w:rPr>
        <w:t>«</w:t>
      </w:r>
      <w:r w:rsidRPr="00C04ABD">
        <w:rPr>
          <w:rFonts w:ascii="Myriad Pro" w:hAnsi="Myriad Pro"/>
          <w:sz w:val="26"/>
          <w:szCs w:val="26"/>
        </w:rPr>
        <w:t>Кол</w:t>
      </w:r>
      <w:r w:rsidR="008D4F9E" w:rsidRPr="00C04ABD">
        <w:rPr>
          <w:rFonts w:ascii="Myriad Pro" w:hAnsi="Myriad Pro"/>
          <w:sz w:val="26"/>
          <w:szCs w:val="26"/>
        </w:rPr>
        <w:t>энерго</w:t>
      </w:r>
      <w:r w:rsidR="00655FFA" w:rsidRPr="00C04ABD">
        <w:rPr>
          <w:rFonts w:ascii="Myriad Pro" w:hAnsi="Myriad Pro"/>
          <w:sz w:val="26"/>
          <w:szCs w:val="26"/>
        </w:rPr>
        <w:t>»</w:t>
      </w:r>
      <w:r w:rsidR="008D4F9E" w:rsidRPr="00C04ABD">
        <w:rPr>
          <w:rFonts w:ascii="Myriad Pro" w:hAnsi="Myriad Pro"/>
          <w:sz w:val="26"/>
          <w:szCs w:val="26"/>
        </w:rPr>
        <w:t>;</w:t>
      </w:r>
    </w:p>
    <w:p w14:paraId="6DC1AE7C" w14:textId="59378DB1" w:rsidR="008D4F9E" w:rsidRPr="00C04ABD" w:rsidRDefault="008D4F9E" w:rsidP="00C04ABD">
      <w:pPr>
        <w:tabs>
          <w:tab w:val="left" w:pos="1134"/>
        </w:tabs>
        <w:spacing w:after="0" w:line="360" w:lineRule="auto"/>
        <w:ind w:firstLine="567"/>
        <w:jc w:val="both"/>
        <w:rPr>
          <w:rFonts w:ascii="Myriad Pro" w:eastAsia="Calibri" w:hAnsi="Myriad Pro" w:cs="Times New Roman"/>
          <w:sz w:val="26"/>
          <w:szCs w:val="26"/>
        </w:rPr>
      </w:pPr>
      <w:r w:rsidRPr="00C04ABD">
        <w:rPr>
          <w:rFonts w:ascii="Myriad Pro" w:eastAsia="Calibri" w:hAnsi="Myriad Pro" w:cs="Times New Roman"/>
          <w:sz w:val="26"/>
          <w:szCs w:val="26"/>
        </w:rPr>
        <w:t>Филиалом дополнительно была представлена бухгалтерская отчетность: оборот</w:t>
      </w:r>
      <w:r w:rsidR="00F07616" w:rsidRPr="00C04ABD">
        <w:rPr>
          <w:rFonts w:ascii="Myriad Pro" w:eastAsia="Calibri" w:hAnsi="Myriad Pro" w:cs="Times New Roman"/>
          <w:sz w:val="26"/>
          <w:szCs w:val="26"/>
        </w:rPr>
        <w:t>ы</w:t>
      </w:r>
      <w:r w:rsidRPr="00C04ABD">
        <w:rPr>
          <w:rFonts w:ascii="Myriad Pro" w:eastAsia="Calibri" w:hAnsi="Myriad Pro" w:cs="Times New Roman"/>
          <w:sz w:val="26"/>
          <w:szCs w:val="26"/>
        </w:rPr>
        <w:t xml:space="preserve"> счета 20 по элементу затрат </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Сырье и материалы</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 xml:space="preserve"> за 11 месяцев 2018 г., которая впоследствии была учтена Комитетом при установлении тарифа на услуги по</w:t>
      </w:r>
      <w:r w:rsidR="00E33789" w:rsidRPr="00C04ABD">
        <w:rPr>
          <w:rFonts w:ascii="Myriad Pro" w:eastAsia="Calibri" w:hAnsi="Myriad Pro" w:cs="Times New Roman"/>
          <w:sz w:val="26"/>
          <w:szCs w:val="26"/>
        </w:rPr>
        <w:t xml:space="preserve"> передаче электрической энергии.</w:t>
      </w:r>
    </w:p>
    <w:p w14:paraId="6CF5C731" w14:textId="6E3041B7" w:rsidR="007C7928" w:rsidRPr="00C04ABD" w:rsidRDefault="007C7928" w:rsidP="00C04ABD">
      <w:pPr>
        <w:tabs>
          <w:tab w:val="left" w:pos="1134"/>
        </w:tabs>
        <w:spacing w:after="0" w:line="360" w:lineRule="auto"/>
        <w:ind w:firstLine="567"/>
        <w:contextualSpacing/>
        <w:jc w:val="both"/>
        <w:rPr>
          <w:rFonts w:ascii="Myriad Pro" w:eastAsia="Calibri" w:hAnsi="Myriad Pro" w:cs="Times New Roman"/>
          <w:b/>
          <w:sz w:val="26"/>
          <w:szCs w:val="26"/>
        </w:rPr>
      </w:pPr>
    </w:p>
    <w:p w14:paraId="7207405D" w14:textId="70BF10D6" w:rsidR="00C876D1" w:rsidRPr="00C04ABD" w:rsidRDefault="00C876D1" w:rsidP="00C04ABD">
      <w:pPr>
        <w:tabs>
          <w:tab w:val="left" w:pos="1134"/>
        </w:tabs>
        <w:spacing w:after="0" w:line="360" w:lineRule="auto"/>
        <w:contextualSpacing/>
        <w:jc w:val="both"/>
        <w:rPr>
          <w:rFonts w:ascii="Myriad Pro" w:eastAsia="Calibri" w:hAnsi="Myriad Pro" w:cs="Times New Roman"/>
          <w:b/>
          <w:sz w:val="26"/>
          <w:szCs w:val="26"/>
        </w:rPr>
      </w:pPr>
      <w:r w:rsidRPr="00C04ABD">
        <w:rPr>
          <w:rFonts w:ascii="Myriad Pro" w:eastAsia="Calibri" w:hAnsi="Myriad Pro" w:cs="Times New Roman"/>
          <w:b/>
          <w:sz w:val="26"/>
          <w:szCs w:val="26"/>
        </w:rPr>
        <w:t>ПОЗИЦИЯ ОРГАНА РЕГУЛИРОВАНИЯ</w:t>
      </w:r>
    </w:p>
    <w:p w14:paraId="64D6F81B" w14:textId="4B5BE7A6" w:rsidR="009D7262" w:rsidRPr="00C04ABD" w:rsidRDefault="00885483" w:rsidP="00C04ABD">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 xml:space="preserve">Согласно </w:t>
      </w:r>
      <w:r w:rsidR="009D7262" w:rsidRPr="00C04ABD">
        <w:rPr>
          <w:rFonts w:ascii="Myriad Pro" w:eastAsia="Calibri" w:hAnsi="Myriad Pro" w:cs="Times New Roman"/>
          <w:sz w:val="26"/>
          <w:szCs w:val="26"/>
        </w:rPr>
        <w:t>Протоколу от 28.</w:t>
      </w:r>
      <w:r w:rsidR="00446192" w:rsidRPr="00C04ABD">
        <w:rPr>
          <w:rFonts w:ascii="Myriad Pro" w:eastAsia="Calibri" w:hAnsi="Myriad Pro" w:cs="Times New Roman"/>
          <w:sz w:val="26"/>
          <w:szCs w:val="26"/>
        </w:rPr>
        <w:t xml:space="preserve">12.2018 </w:t>
      </w:r>
      <w:r w:rsidR="006C313D" w:rsidRPr="00C04ABD">
        <w:rPr>
          <w:rFonts w:ascii="Myriad Pro" w:eastAsia="Calibri" w:hAnsi="Myriad Pro" w:cs="Times New Roman"/>
          <w:sz w:val="26"/>
          <w:szCs w:val="26"/>
        </w:rPr>
        <w:t xml:space="preserve">Комитетом на основании представленных Филиалом фактических расходов за 2017 год приняты экономически </w:t>
      </w:r>
      <w:r w:rsidR="006C313D" w:rsidRPr="00C04ABD">
        <w:rPr>
          <w:rFonts w:ascii="Myriad Pro" w:eastAsia="Calibri" w:hAnsi="Myriad Pro" w:cs="Times New Roman"/>
          <w:sz w:val="26"/>
          <w:szCs w:val="26"/>
        </w:rPr>
        <w:lastRenderedPageBreak/>
        <w:t>обоснованные расходы за 2017 год с учетом ИПЦ</w:t>
      </w:r>
      <w:r w:rsidR="00E33789" w:rsidRPr="00C04ABD">
        <w:rPr>
          <w:rFonts w:ascii="Myriad Pro" w:eastAsia="Calibri" w:hAnsi="Myriad Pro" w:cs="Times New Roman"/>
          <w:sz w:val="26"/>
          <w:szCs w:val="26"/>
        </w:rPr>
        <w:t xml:space="preserve"> </w:t>
      </w:r>
      <w:r w:rsidR="00E663D3">
        <w:rPr>
          <w:rFonts w:ascii="Myriad Pro" w:eastAsia="Calibri" w:hAnsi="Myriad Pro" w:cs="Times New Roman"/>
          <w:sz w:val="26"/>
          <w:szCs w:val="26"/>
        </w:rPr>
        <w:t>в размере</w:t>
      </w:r>
      <w:r w:rsidR="00F35796" w:rsidRPr="00C04ABD">
        <w:rPr>
          <w:rFonts w:ascii="Myriad Pro" w:eastAsia="Calibri" w:hAnsi="Myriad Pro" w:cs="Times New Roman"/>
          <w:sz w:val="26"/>
          <w:szCs w:val="26"/>
        </w:rPr>
        <w:t xml:space="preserve"> 178 142,05 тыс. руб. (в том числе топливо 29 492,23 тыс. руб., ГСМ 1 822,08 тыс. руб., материалы на ремонт 89 923,50 тыс. руб., материалы на эксплуатацию 29 536,60 тыс. руб., спецодежда и средства индивидуальной защиты 25 453,92 тыс. руб.</w:t>
      </w:r>
      <w:r w:rsidR="0048023B" w:rsidRPr="00C04ABD">
        <w:rPr>
          <w:rFonts w:ascii="Myriad Pro" w:eastAsia="Calibri" w:hAnsi="Myriad Pro" w:cs="Times New Roman"/>
          <w:sz w:val="26"/>
          <w:szCs w:val="26"/>
        </w:rPr>
        <w:t>, канцтовары 1 913,72 тыс. руб.</w:t>
      </w:r>
      <w:r w:rsidR="00F35796" w:rsidRPr="00C04ABD">
        <w:rPr>
          <w:rFonts w:ascii="Myriad Pro" w:eastAsia="Calibri" w:hAnsi="Myriad Pro" w:cs="Times New Roman"/>
          <w:sz w:val="26"/>
          <w:szCs w:val="26"/>
        </w:rPr>
        <w:t>)</w:t>
      </w:r>
      <w:r w:rsidR="0048023B" w:rsidRPr="00C04ABD">
        <w:rPr>
          <w:rFonts w:ascii="Myriad Pro" w:eastAsia="Calibri" w:hAnsi="Myriad Pro" w:cs="Times New Roman"/>
          <w:sz w:val="26"/>
          <w:szCs w:val="26"/>
        </w:rPr>
        <w:t>.</w:t>
      </w:r>
    </w:p>
    <w:p w14:paraId="67EE4FCD" w14:textId="2EB02CDA" w:rsidR="00E33789" w:rsidRPr="00C04ABD" w:rsidRDefault="00F35796" w:rsidP="00C04ABD">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Согласно Протоколу от 29.12.2018 Комитетом по итогам изучения особого мнения и дополнительных материалов, представленных Филиалом, экспертной группой Комитета в состав НВВ на 2019 год включены (скорректированы)</w:t>
      </w:r>
      <w:r w:rsidR="0069400B" w:rsidRPr="00C04ABD">
        <w:rPr>
          <w:rFonts w:ascii="Myriad Pro" w:eastAsia="Calibri" w:hAnsi="Myriad Pro" w:cs="Times New Roman"/>
          <w:sz w:val="26"/>
          <w:szCs w:val="26"/>
        </w:rPr>
        <w:t>,</w:t>
      </w:r>
      <w:r w:rsidRPr="00C04ABD">
        <w:rPr>
          <w:rFonts w:ascii="Myriad Pro" w:eastAsia="Calibri" w:hAnsi="Myriad Pro" w:cs="Times New Roman"/>
          <w:sz w:val="26"/>
          <w:szCs w:val="26"/>
        </w:rPr>
        <w:t xml:space="preserve"> в том числе статья подконтрольных расходов </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Сырье, материалы</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 xml:space="preserve"> в размере </w:t>
      </w:r>
      <w:r w:rsidR="00E33789" w:rsidRPr="00C04ABD">
        <w:rPr>
          <w:rFonts w:ascii="Myriad Pro" w:eastAsia="Calibri" w:hAnsi="Myriad Pro" w:cs="Times New Roman"/>
          <w:sz w:val="26"/>
          <w:szCs w:val="26"/>
        </w:rPr>
        <w:t>217 618,9 тыс. руб. методом экономически обоснованных расходов (</w:t>
      </w:r>
      <w:r w:rsidR="001700B3" w:rsidRPr="00C04ABD">
        <w:rPr>
          <w:rFonts w:ascii="Myriad Pro" w:eastAsia="Calibri" w:hAnsi="Myriad Pro" w:cs="Times New Roman"/>
          <w:sz w:val="26"/>
          <w:szCs w:val="26"/>
        </w:rPr>
        <w:t xml:space="preserve">экономически обоснованный уровень – далее ЭОУ), включено в НВВ </w:t>
      </w:r>
      <w:r w:rsidR="00E33789" w:rsidRPr="00C04ABD">
        <w:rPr>
          <w:rFonts w:ascii="Myriad Pro" w:eastAsia="Calibri" w:hAnsi="Myriad Pro" w:cs="Times New Roman"/>
          <w:sz w:val="26"/>
          <w:szCs w:val="26"/>
        </w:rPr>
        <w:t>209</w:t>
      </w:r>
      <w:r w:rsidR="00053456" w:rsidRPr="00C04ABD">
        <w:rPr>
          <w:rFonts w:ascii="Myriad Pro" w:eastAsia="Calibri" w:hAnsi="Myriad Pro" w:cs="Times New Roman"/>
          <w:sz w:val="26"/>
          <w:szCs w:val="26"/>
        </w:rPr>
        <w:t> </w:t>
      </w:r>
      <w:r w:rsidR="00E33789" w:rsidRPr="00C04ABD">
        <w:rPr>
          <w:rFonts w:ascii="Myriad Pro" w:eastAsia="Calibri" w:hAnsi="Myriad Pro" w:cs="Times New Roman"/>
          <w:sz w:val="26"/>
          <w:szCs w:val="26"/>
        </w:rPr>
        <w:t>513</w:t>
      </w:r>
      <w:r w:rsidR="00053456" w:rsidRPr="00C04ABD">
        <w:rPr>
          <w:rFonts w:ascii="Myriad Pro" w:eastAsia="Calibri" w:hAnsi="Myriad Pro" w:cs="Times New Roman"/>
          <w:sz w:val="26"/>
          <w:szCs w:val="26"/>
        </w:rPr>
        <w:t xml:space="preserve"> </w:t>
      </w:r>
      <w:r w:rsidR="00164398" w:rsidRPr="00C04ABD">
        <w:rPr>
          <w:rFonts w:ascii="Myriad Pro" w:eastAsia="Calibri" w:hAnsi="Myriad Pro" w:cs="Times New Roman"/>
          <w:sz w:val="26"/>
          <w:szCs w:val="26"/>
        </w:rPr>
        <w:t xml:space="preserve">тыс. руб. </w:t>
      </w:r>
      <w:r w:rsidR="00E33789" w:rsidRPr="00C04ABD">
        <w:rPr>
          <w:rFonts w:ascii="Myriad Pro" w:eastAsia="Calibri" w:hAnsi="Myriad Pro" w:cs="Times New Roman"/>
          <w:sz w:val="26"/>
          <w:szCs w:val="26"/>
        </w:rPr>
        <w:t>(0,7*ЭОУ+0,3*МА)</w:t>
      </w:r>
      <w:r w:rsidR="00417376" w:rsidRPr="00C04ABD">
        <w:rPr>
          <w:rFonts w:ascii="Myriad Pro" w:eastAsia="Calibri" w:hAnsi="Myriad Pro" w:cs="Times New Roman"/>
          <w:sz w:val="26"/>
          <w:szCs w:val="26"/>
        </w:rPr>
        <w:t>.</w:t>
      </w:r>
    </w:p>
    <w:p w14:paraId="0EEF9F3D" w14:textId="77777777" w:rsidR="00C876D1" w:rsidRPr="00C04ABD" w:rsidRDefault="00C876D1" w:rsidP="00C04ABD">
      <w:pPr>
        <w:tabs>
          <w:tab w:val="left" w:pos="1134"/>
        </w:tabs>
        <w:spacing w:after="0" w:line="360" w:lineRule="auto"/>
        <w:ind w:firstLine="567"/>
        <w:contextualSpacing/>
        <w:jc w:val="both"/>
        <w:rPr>
          <w:rFonts w:ascii="Myriad Pro" w:eastAsia="Calibri" w:hAnsi="Myriad Pro" w:cs="Times New Roman"/>
          <w:sz w:val="26"/>
          <w:szCs w:val="26"/>
        </w:rPr>
      </w:pPr>
    </w:p>
    <w:p w14:paraId="3D42ADC0" w14:textId="3F8B50CE" w:rsidR="00C876D1" w:rsidRPr="00C04ABD" w:rsidRDefault="00C876D1" w:rsidP="00C04ABD">
      <w:pPr>
        <w:tabs>
          <w:tab w:val="left" w:pos="1134"/>
        </w:tabs>
        <w:spacing w:after="0" w:line="360" w:lineRule="auto"/>
        <w:contextualSpacing/>
        <w:jc w:val="both"/>
        <w:rPr>
          <w:rFonts w:ascii="Myriad Pro" w:eastAsia="Calibri" w:hAnsi="Myriad Pro" w:cs="Times New Roman"/>
          <w:b/>
          <w:sz w:val="26"/>
          <w:szCs w:val="26"/>
        </w:rPr>
      </w:pPr>
      <w:r w:rsidRPr="00C04ABD">
        <w:rPr>
          <w:rFonts w:ascii="Myriad Pro" w:eastAsia="Calibri" w:hAnsi="Myriad Pro" w:cs="Times New Roman"/>
          <w:b/>
          <w:sz w:val="26"/>
          <w:szCs w:val="26"/>
        </w:rPr>
        <w:t>ПОЗИЦИЯ ИСПОЛНИТЕЛЯ</w:t>
      </w:r>
    </w:p>
    <w:p w14:paraId="02DB13BF" w14:textId="6596EA7A" w:rsidR="009545C4" w:rsidRPr="00C04ABD" w:rsidRDefault="009545C4" w:rsidP="00C04ABD">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Фактические расходы по статье вспомогательные материалы, отнесенные на вид регулируемой деятельности услуги по передаче электрической энергии, за 2017 год составили 174 035 тыс. руб.</w:t>
      </w:r>
      <w:r w:rsidR="0053677C" w:rsidRPr="00C04ABD">
        <w:rPr>
          <w:rFonts w:ascii="Myriad Pro" w:eastAsia="Calibri" w:hAnsi="Myriad Pro" w:cs="Times New Roman"/>
          <w:sz w:val="26"/>
          <w:szCs w:val="26"/>
        </w:rPr>
        <w:t xml:space="preserve"> (</w:t>
      </w:r>
      <w:r w:rsidR="0069400B" w:rsidRPr="00C04ABD">
        <w:rPr>
          <w:rFonts w:ascii="Myriad Pro" w:eastAsia="Calibri" w:hAnsi="Myriad Pro" w:cs="Times New Roman"/>
          <w:sz w:val="26"/>
          <w:szCs w:val="26"/>
        </w:rPr>
        <w:t>а</w:t>
      </w:r>
      <w:r w:rsidR="0053677C" w:rsidRPr="00C04ABD">
        <w:rPr>
          <w:rFonts w:ascii="Myriad Pro" w:eastAsia="Calibri" w:hAnsi="Myriad Pro" w:cs="Times New Roman"/>
          <w:sz w:val="26"/>
          <w:szCs w:val="26"/>
        </w:rPr>
        <w:t xml:space="preserve">нализ счета </w:t>
      </w:r>
      <w:r w:rsidR="00655FFA" w:rsidRPr="00C04ABD">
        <w:rPr>
          <w:rFonts w:ascii="Myriad Pro" w:eastAsia="Calibri" w:hAnsi="Myriad Pro" w:cs="Times New Roman"/>
          <w:sz w:val="26"/>
          <w:szCs w:val="26"/>
        </w:rPr>
        <w:t>«</w:t>
      </w:r>
      <w:r w:rsidR="0053677C" w:rsidRPr="00C04ABD">
        <w:rPr>
          <w:rFonts w:ascii="Myriad Pro" w:eastAsia="Calibri" w:hAnsi="Myriad Pro" w:cs="Times New Roman"/>
          <w:sz w:val="26"/>
          <w:szCs w:val="26"/>
        </w:rPr>
        <w:t>20</w:t>
      </w:r>
      <w:r w:rsidR="00655FFA" w:rsidRPr="00C04ABD">
        <w:rPr>
          <w:rFonts w:ascii="Myriad Pro" w:eastAsia="Calibri" w:hAnsi="Myriad Pro" w:cs="Times New Roman"/>
          <w:sz w:val="26"/>
          <w:szCs w:val="26"/>
        </w:rPr>
        <w:t>»</w:t>
      </w:r>
      <w:r w:rsidR="0053677C" w:rsidRPr="00C04ABD">
        <w:rPr>
          <w:rFonts w:ascii="Myriad Pro" w:eastAsia="Calibri" w:hAnsi="Myriad Pro" w:cs="Times New Roman"/>
          <w:sz w:val="26"/>
          <w:szCs w:val="26"/>
        </w:rPr>
        <w:t xml:space="preserve"> </w:t>
      </w:r>
      <w:r w:rsidR="00655FFA" w:rsidRPr="00C04ABD">
        <w:rPr>
          <w:rFonts w:ascii="Myriad Pro" w:eastAsia="Calibri" w:hAnsi="Myriad Pro" w:cs="Times New Roman"/>
          <w:sz w:val="26"/>
          <w:szCs w:val="26"/>
        </w:rPr>
        <w:t>«</w:t>
      </w:r>
      <w:r w:rsidR="0053677C" w:rsidRPr="00C04ABD">
        <w:rPr>
          <w:rFonts w:ascii="Myriad Pro" w:eastAsia="Calibri" w:hAnsi="Myriad Pro" w:cs="Times New Roman"/>
          <w:sz w:val="26"/>
          <w:szCs w:val="26"/>
        </w:rPr>
        <w:t>Основное производство</w:t>
      </w:r>
      <w:r w:rsidR="00655FFA" w:rsidRPr="00C04ABD">
        <w:rPr>
          <w:rFonts w:ascii="Myriad Pro" w:eastAsia="Calibri" w:hAnsi="Myriad Pro" w:cs="Times New Roman"/>
          <w:sz w:val="26"/>
          <w:szCs w:val="26"/>
        </w:rPr>
        <w:t>»</w:t>
      </w:r>
      <w:r w:rsidR="0053677C" w:rsidRPr="00C04ABD">
        <w:rPr>
          <w:rFonts w:ascii="Myriad Pro" w:eastAsia="Calibri" w:hAnsi="Myriad Pro" w:cs="Times New Roman"/>
          <w:sz w:val="26"/>
          <w:szCs w:val="26"/>
        </w:rPr>
        <w:t xml:space="preserve"> отбор: Элементы затрат </w:t>
      </w:r>
      <w:r w:rsidR="00655FFA" w:rsidRPr="00C04ABD">
        <w:rPr>
          <w:rFonts w:ascii="Myriad Pro" w:eastAsia="Calibri" w:hAnsi="Myriad Pro" w:cs="Times New Roman"/>
          <w:sz w:val="26"/>
          <w:szCs w:val="26"/>
        </w:rPr>
        <w:t>«</w:t>
      </w:r>
      <w:r w:rsidR="0053677C" w:rsidRPr="00C04ABD">
        <w:rPr>
          <w:rFonts w:ascii="Myriad Pro" w:eastAsia="Calibri" w:hAnsi="Myriad Pro" w:cs="Times New Roman"/>
          <w:sz w:val="26"/>
          <w:szCs w:val="26"/>
        </w:rPr>
        <w:t>Сырье и материалы</w:t>
      </w:r>
      <w:r w:rsidR="00655FFA" w:rsidRPr="00C04ABD">
        <w:rPr>
          <w:rFonts w:ascii="Myriad Pro" w:eastAsia="Calibri" w:hAnsi="Myriad Pro" w:cs="Times New Roman"/>
          <w:sz w:val="26"/>
          <w:szCs w:val="26"/>
        </w:rPr>
        <w:t>»</w:t>
      </w:r>
      <w:r w:rsidR="0053677C" w:rsidRPr="00C04ABD">
        <w:rPr>
          <w:rFonts w:ascii="Myriad Pro" w:eastAsia="Calibri" w:hAnsi="Myriad Pro" w:cs="Times New Roman"/>
          <w:sz w:val="26"/>
          <w:szCs w:val="26"/>
        </w:rPr>
        <w:t xml:space="preserve">, Учетные виды деятельности </w:t>
      </w:r>
      <w:r w:rsidR="00655FFA" w:rsidRPr="00C04ABD">
        <w:rPr>
          <w:rFonts w:ascii="Myriad Pro" w:eastAsia="Calibri" w:hAnsi="Myriad Pro" w:cs="Times New Roman"/>
          <w:sz w:val="26"/>
          <w:szCs w:val="26"/>
        </w:rPr>
        <w:t>«</w:t>
      </w:r>
      <w:r w:rsidR="0053677C" w:rsidRPr="00C04ABD">
        <w:rPr>
          <w:rFonts w:ascii="Myriad Pro" w:eastAsia="Calibri" w:hAnsi="Myriad Pro" w:cs="Times New Roman"/>
          <w:sz w:val="26"/>
          <w:szCs w:val="26"/>
        </w:rPr>
        <w:t>Услуги по передаче электроэнергии по сетям</w:t>
      </w:r>
      <w:r w:rsidR="00655FFA" w:rsidRPr="00C04ABD">
        <w:rPr>
          <w:rFonts w:ascii="Myriad Pro" w:eastAsia="Calibri" w:hAnsi="Myriad Pro" w:cs="Times New Roman"/>
          <w:sz w:val="26"/>
          <w:szCs w:val="26"/>
        </w:rPr>
        <w:t>»</w:t>
      </w:r>
      <w:r w:rsidR="0053677C" w:rsidRPr="00C04ABD">
        <w:rPr>
          <w:rFonts w:ascii="Myriad Pro" w:eastAsia="Calibri" w:hAnsi="Myriad Pro" w:cs="Times New Roman"/>
          <w:sz w:val="26"/>
          <w:szCs w:val="26"/>
        </w:rPr>
        <w:t>).</w:t>
      </w:r>
    </w:p>
    <w:p w14:paraId="3D69797B" w14:textId="4012684B" w:rsidR="00F14642" w:rsidRPr="00C04ABD" w:rsidRDefault="00F14642" w:rsidP="00C04ABD">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 xml:space="preserve">Филиалом по всем подстатьям статьи </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Сырье, материалы</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 xml:space="preserve"> представ</w:t>
      </w:r>
      <w:r w:rsidR="000C6D77" w:rsidRPr="00C04ABD">
        <w:rPr>
          <w:rFonts w:ascii="Myriad Pro" w:eastAsia="Calibri" w:hAnsi="Myriad Pro" w:cs="Times New Roman"/>
          <w:sz w:val="26"/>
          <w:szCs w:val="26"/>
        </w:rPr>
        <w:t>лен анализ расходов за 2015-2017</w:t>
      </w:r>
      <w:r w:rsidRPr="00C04ABD">
        <w:rPr>
          <w:rFonts w:ascii="Myriad Pro" w:eastAsia="Calibri" w:hAnsi="Myriad Pro" w:cs="Times New Roman"/>
          <w:sz w:val="26"/>
          <w:szCs w:val="26"/>
        </w:rPr>
        <w:t xml:space="preserve"> гг. </w:t>
      </w:r>
    </w:p>
    <w:p w14:paraId="29913093" w14:textId="16845461" w:rsidR="009545C4" w:rsidRPr="00C04ABD" w:rsidRDefault="009545C4" w:rsidP="00C04ABD">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Потребность в материалах на 2019 год запланирована на основании ожидаемой потребности в материалах на 2018 год, базовой стоимости материалов в 2017/2018 гг., соответствующих индексов дефляторов.</w:t>
      </w:r>
    </w:p>
    <w:p w14:paraId="420134FF" w14:textId="1E9BC73A" w:rsidR="009545C4" w:rsidRPr="00C04ABD" w:rsidRDefault="009545C4" w:rsidP="00C04ABD">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Потребность в топливе принята на уровне ожидаемой потребности на 2018</w:t>
      </w:r>
      <w:r w:rsidR="00996030" w:rsidRPr="00C04ABD">
        <w:rPr>
          <w:rFonts w:ascii="Myriad Pro" w:eastAsia="Calibri" w:hAnsi="Myriad Pro" w:cs="Times New Roman"/>
          <w:sz w:val="26"/>
          <w:szCs w:val="26"/>
        </w:rPr>
        <w:t> </w:t>
      </w:r>
      <w:r w:rsidRPr="00C04ABD">
        <w:rPr>
          <w:rFonts w:ascii="Myriad Pro" w:eastAsia="Calibri" w:hAnsi="Myriad Pro" w:cs="Times New Roman"/>
          <w:sz w:val="26"/>
          <w:szCs w:val="26"/>
        </w:rPr>
        <w:t>год (определенных</w:t>
      </w:r>
      <w:r w:rsidR="00DE0771" w:rsidRPr="00C04ABD">
        <w:rPr>
          <w:rFonts w:ascii="Myriad Pro" w:eastAsia="Calibri" w:hAnsi="Myriad Pro" w:cs="Times New Roman"/>
          <w:sz w:val="26"/>
          <w:szCs w:val="26"/>
        </w:rPr>
        <w:t xml:space="preserve"> исходя из норм ГСМ и количества</w:t>
      </w:r>
      <w:r w:rsidRPr="00C04ABD">
        <w:rPr>
          <w:rFonts w:ascii="Myriad Pro" w:eastAsia="Calibri" w:hAnsi="Myriad Pro" w:cs="Times New Roman"/>
          <w:sz w:val="26"/>
          <w:szCs w:val="26"/>
        </w:rPr>
        <w:t xml:space="preserve"> оборудования</w:t>
      </w:r>
      <w:r w:rsidR="00F14642" w:rsidRPr="00C04ABD">
        <w:rPr>
          <w:rFonts w:ascii="Myriad Pro" w:eastAsia="Calibri" w:hAnsi="Myriad Pro" w:cs="Times New Roman"/>
          <w:sz w:val="26"/>
          <w:szCs w:val="26"/>
        </w:rPr>
        <w:t>, приказы по нормам приложены</w:t>
      </w:r>
      <w:r w:rsidRPr="00C04ABD">
        <w:rPr>
          <w:rFonts w:ascii="Myriad Pro" w:eastAsia="Calibri" w:hAnsi="Myriad Pro" w:cs="Times New Roman"/>
          <w:sz w:val="26"/>
          <w:szCs w:val="26"/>
        </w:rPr>
        <w:t>), цена топлива определена из сложившегося уровня цен на 2018 год с учетом индекса-дефлятора.</w:t>
      </w:r>
    </w:p>
    <w:p w14:paraId="12DAA413" w14:textId="7F7484A9" w:rsidR="009545C4" w:rsidRPr="00C04ABD" w:rsidRDefault="009545C4" w:rsidP="00C04ABD">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Данные в расчетных таблицах по факту 2017 году соответствуют данным</w:t>
      </w:r>
      <w:r w:rsidR="00F07616" w:rsidRPr="00C04ABD">
        <w:rPr>
          <w:rFonts w:ascii="Myriad Pro" w:eastAsia="Calibri" w:hAnsi="Myriad Pro" w:cs="Times New Roman"/>
          <w:sz w:val="26"/>
          <w:szCs w:val="26"/>
        </w:rPr>
        <w:t>,</w:t>
      </w:r>
      <w:r w:rsidRPr="00C04ABD">
        <w:rPr>
          <w:rFonts w:ascii="Myriad Pro" w:eastAsia="Calibri" w:hAnsi="Myriad Pro" w:cs="Times New Roman"/>
          <w:sz w:val="26"/>
          <w:szCs w:val="26"/>
        </w:rPr>
        <w:t xml:space="preserve"> представленн</w:t>
      </w:r>
      <w:r w:rsidR="0069400B" w:rsidRPr="00C04ABD">
        <w:rPr>
          <w:rFonts w:ascii="Myriad Pro" w:eastAsia="Calibri" w:hAnsi="Myriad Pro" w:cs="Times New Roman"/>
          <w:sz w:val="26"/>
          <w:szCs w:val="26"/>
        </w:rPr>
        <w:t>ым в бухгалтерской отчетности (о</w:t>
      </w:r>
      <w:r w:rsidRPr="00C04ABD">
        <w:rPr>
          <w:rFonts w:ascii="Myriad Pro" w:eastAsia="Calibri" w:hAnsi="Myriad Pro" w:cs="Times New Roman"/>
          <w:sz w:val="26"/>
          <w:szCs w:val="26"/>
        </w:rPr>
        <w:t>бороту по счету 20).</w:t>
      </w:r>
    </w:p>
    <w:p w14:paraId="537E9874" w14:textId="24D41DC0" w:rsidR="009545C4" w:rsidRPr="00C04ABD" w:rsidRDefault="009545C4" w:rsidP="00C04ABD">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lastRenderedPageBreak/>
        <w:t xml:space="preserve">Представленные документы в части расчетов потребности в материалах подписаны руководителями соответствующих структурных подразделений. </w:t>
      </w:r>
    </w:p>
    <w:p w14:paraId="1A61548C" w14:textId="1F18C01B" w:rsidR="002323C8" w:rsidRPr="00C04ABD" w:rsidRDefault="002323C8" w:rsidP="00C04ABD">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 xml:space="preserve">Включены дополнительно к объёму фактических затрат за 2017 год ожидаемые расходы по ремонту авто и спецтехники на сумму - 3 108,04 т. р.  (договор № 41/41-23-2017/169 от 23.01.2018 и договор № 41/41-23-2017/170 от 23.01.2018), расходы на замену выключателей 6-20 кВ на вакуумные на сумму 5 105,3 тыс. руб. (по договору № 41/41-23-2017/147 от 14.12.2017 с ООО </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КП ГЭМ</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 xml:space="preserve">), расходы по ремонту и замене оборудования РЗА: 532 тыс. руб. (договор № 41/41-23-2018/1 от 23.01.18 с АО </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Завод энергозащитных устройств</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w:t>
      </w:r>
    </w:p>
    <w:p w14:paraId="1F647BC2" w14:textId="7077AF2F" w:rsidR="002323C8" w:rsidRPr="00CF54D5" w:rsidRDefault="002323C8" w:rsidP="00C04ABD">
      <w:pPr>
        <w:tabs>
          <w:tab w:val="left" w:pos="1134"/>
        </w:tabs>
        <w:spacing w:after="0" w:line="360" w:lineRule="auto"/>
        <w:ind w:firstLine="567"/>
        <w:contextualSpacing/>
        <w:jc w:val="both"/>
        <w:rPr>
          <w:rFonts w:ascii="Myriad Pro" w:eastAsia="Calibri" w:hAnsi="Myriad Pro" w:cs="Times New Roman"/>
          <w:sz w:val="26"/>
          <w:szCs w:val="26"/>
        </w:rPr>
      </w:pPr>
      <w:r w:rsidRPr="000A62F6">
        <w:rPr>
          <w:rFonts w:ascii="Myriad Pro" w:eastAsia="Calibri" w:hAnsi="Myriad Pro" w:cs="Times New Roman"/>
          <w:b/>
          <w:sz w:val="26"/>
          <w:szCs w:val="26"/>
        </w:rPr>
        <w:t>Обоснования необходимости заключения указанных договоров не указано,</w:t>
      </w:r>
      <w:r w:rsidRPr="000A62F6">
        <w:rPr>
          <w:rFonts w:ascii="Myriad Pro" w:eastAsia="Calibri" w:hAnsi="Myriad Pro" w:cs="Times New Roman"/>
          <w:sz w:val="26"/>
          <w:szCs w:val="26"/>
        </w:rPr>
        <w:t xml:space="preserve"> отсутствуют ссылки на нормативно-правовые акты, в силу которых существует необходимость заключения указанных договоров.</w:t>
      </w:r>
    </w:p>
    <w:p w14:paraId="343EABD3" w14:textId="1004FFDC" w:rsidR="009545C4" w:rsidRPr="00C04ABD" w:rsidRDefault="009A1D9C" w:rsidP="00C04ABD">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По результатам</w:t>
      </w:r>
      <w:r w:rsidR="00DA6520" w:rsidRPr="00C04ABD">
        <w:rPr>
          <w:rFonts w:ascii="Myriad Pro" w:eastAsia="Calibri" w:hAnsi="Myriad Pro" w:cs="Times New Roman"/>
          <w:sz w:val="26"/>
          <w:szCs w:val="26"/>
        </w:rPr>
        <w:t xml:space="preserve"> анализа документов, предоставленных </w:t>
      </w:r>
      <w:r w:rsidR="00B66D5D" w:rsidRPr="00C04ABD">
        <w:rPr>
          <w:rFonts w:ascii="Myriad Pro" w:eastAsia="Calibri" w:hAnsi="Myriad Pro" w:cs="Times New Roman"/>
          <w:sz w:val="26"/>
          <w:szCs w:val="26"/>
        </w:rPr>
        <w:t xml:space="preserve">филиалом </w:t>
      </w:r>
      <w:r w:rsidR="00350B0A" w:rsidRPr="00C04ABD">
        <w:rPr>
          <w:rFonts w:ascii="Myriad Pro" w:eastAsia="Calibri" w:hAnsi="Myriad Pro" w:cs="Times New Roman"/>
          <w:sz w:val="26"/>
          <w:szCs w:val="26"/>
        </w:rPr>
        <w:t xml:space="preserve">ПАО </w:t>
      </w:r>
      <w:r w:rsidR="00655FFA" w:rsidRPr="00C04ABD">
        <w:rPr>
          <w:rFonts w:ascii="Myriad Pro" w:eastAsia="Calibri" w:hAnsi="Myriad Pro" w:cs="Times New Roman"/>
          <w:sz w:val="26"/>
          <w:szCs w:val="26"/>
        </w:rPr>
        <w:t>«</w:t>
      </w:r>
      <w:r w:rsidR="00350B0A" w:rsidRPr="00C04ABD">
        <w:rPr>
          <w:rFonts w:ascii="Myriad Pro" w:eastAsia="Calibri" w:hAnsi="Myriad Pro" w:cs="Times New Roman"/>
          <w:sz w:val="26"/>
          <w:szCs w:val="26"/>
        </w:rPr>
        <w:t>МРСК Северо-Запада</w:t>
      </w:r>
      <w:r w:rsidR="00655FFA" w:rsidRPr="00C04ABD">
        <w:rPr>
          <w:rFonts w:ascii="Myriad Pro" w:eastAsia="Calibri" w:hAnsi="Myriad Pro" w:cs="Times New Roman"/>
          <w:sz w:val="26"/>
          <w:szCs w:val="26"/>
        </w:rPr>
        <w:t>»</w:t>
      </w:r>
      <w:r w:rsidR="00350B0A" w:rsidRPr="00C04ABD">
        <w:rPr>
          <w:rFonts w:ascii="Myriad Pro" w:eastAsia="Calibri" w:hAnsi="Myriad Pro" w:cs="Times New Roman"/>
          <w:sz w:val="26"/>
          <w:szCs w:val="26"/>
        </w:rPr>
        <w:t xml:space="preserve"> </w:t>
      </w:r>
      <w:r w:rsidR="00655FFA" w:rsidRPr="00C04ABD">
        <w:rPr>
          <w:rFonts w:ascii="Myriad Pro" w:eastAsia="Calibri" w:hAnsi="Myriad Pro" w:cs="Times New Roman"/>
          <w:sz w:val="26"/>
          <w:szCs w:val="26"/>
        </w:rPr>
        <w:t>«</w:t>
      </w:r>
      <w:r w:rsidR="00350B0A" w:rsidRPr="00C04ABD">
        <w:rPr>
          <w:rFonts w:ascii="Myriad Pro" w:eastAsia="Calibri" w:hAnsi="Myriad Pro" w:cs="Times New Roman"/>
          <w:sz w:val="26"/>
          <w:szCs w:val="26"/>
        </w:rPr>
        <w:t>Колэнерго</w:t>
      </w:r>
      <w:r w:rsidR="00655FFA" w:rsidRPr="00C04ABD">
        <w:rPr>
          <w:rFonts w:ascii="Myriad Pro" w:eastAsia="Calibri" w:hAnsi="Myriad Pro" w:cs="Times New Roman"/>
          <w:sz w:val="26"/>
          <w:szCs w:val="26"/>
        </w:rPr>
        <w:t>»</w:t>
      </w:r>
      <w:r w:rsidR="001700B3" w:rsidRPr="00C04ABD">
        <w:rPr>
          <w:rFonts w:ascii="Myriad Pro" w:eastAsia="Calibri" w:hAnsi="Myriad Pro" w:cs="Times New Roman"/>
          <w:sz w:val="26"/>
          <w:szCs w:val="26"/>
        </w:rPr>
        <w:t xml:space="preserve"> Комитет</w:t>
      </w:r>
      <w:r w:rsidR="009545C4" w:rsidRPr="00C04ABD">
        <w:rPr>
          <w:rFonts w:ascii="Myriad Pro" w:eastAsia="Calibri" w:hAnsi="Myriad Pro" w:cs="Times New Roman"/>
          <w:sz w:val="26"/>
          <w:szCs w:val="26"/>
        </w:rPr>
        <w:t>ом приняты заявленные Филиалом экономически обоснованные расходы в полном объеме.</w:t>
      </w:r>
    </w:p>
    <w:p w14:paraId="3D767779" w14:textId="722FAA6B" w:rsidR="002323C8" w:rsidRPr="00C04ABD" w:rsidRDefault="002323C8" w:rsidP="00C04ABD">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 xml:space="preserve">Согласно Протоколу от 28.12.2018 Комитетом приняты расходы </w:t>
      </w:r>
      <w:r w:rsidR="00E663D3">
        <w:rPr>
          <w:rFonts w:ascii="Myriad Pro" w:eastAsia="Calibri" w:hAnsi="Myriad Pro" w:cs="Times New Roman"/>
          <w:sz w:val="26"/>
          <w:szCs w:val="26"/>
        </w:rPr>
        <w:t>в размере</w:t>
      </w:r>
      <w:r w:rsidRPr="00C04ABD">
        <w:rPr>
          <w:rFonts w:ascii="Myriad Pro" w:eastAsia="Calibri" w:hAnsi="Myriad Pro" w:cs="Times New Roman"/>
          <w:sz w:val="26"/>
          <w:szCs w:val="26"/>
        </w:rPr>
        <w:t xml:space="preserve"> 178 142,05 тыс. руб. </w:t>
      </w:r>
    </w:p>
    <w:p w14:paraId="2858232E" w14:textId="5F046603" w:rsidR="002323C8" w:rsidRPr="00C04ABD" w:rsidRDefault="002323C8" w:rsidP="00C04ABD">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Согласно Протоколу от 29.12.2018 Комитетом по итогам изучения особого мнения и дополнительных материалов учтены расходы в размере 217 618,9 тыс. руб.</w:t>
      </w:r>
    </w:p>
    <w:p w14:paraId="48D42A1A" w14:textId="3412358B" w:rsidR="00F14642" w:rsidRPr="00C04ABD" w:rsidRDefault="002323C8" w:rsidP="00C04ABD">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В материалах дела</w:t>
      </w:r>
      <w:r w:rsidR="00F14642" w:rsidRPr="00C04ABD">
        <w:rPr>
          <w:rFonts w:ascii="Myriad Pro" w:eastAsia="Calibri" w:hAnsi="Myriad Pro" w:cs="Times New Roman"/>
          <w:sz w:val="26"/>
          <w:szCs w:val="26"/>
        </w:rPr>
        <w:t xml:space="preserve"> представлены данные бухгалтерской отчетности (оборот</w:t>
      </w:r>
      <w:r w:rsidR="00F07616" w:rsidRPr="00C04ABD">
        <w:rPr>
          <w:rFonts w:ascii="Myriad Pro" w:eastAsia="Calibri" w:hAnsi="Myriad Pro" w:cs="Times New Roman"/>
          <w:sz w:val="26"/>
          <w:szCs w:val="26"/>
        </w:rPr>
        <w:t>ы</w:t>
      </w:r>
      <w:r w:rsidR="00F14642" w:rsidRPr="00C04ABD">
        <w:rPr>
          <w:rFonts w:ascii="Myriad Pro" w:eastAsia="Calibri" w:hAnsi="Myriad Pro" w:cs="Times New Roman"/>
          <w:sz w:val="26"/>
          <w:szCs w:val="26"/>
        </w:rPr>
        <w:t xml:space="preserve"> по счету 20) за 11 мес. 2018</w:t>
      </w:r>
      <w:r w:rsidR="00783EB2" w:rsidRPr="00C04ABD">
        <w:rPr>
          <w:rFonts w:ascii="Myriad Pro" w:eastAsia="Calibri" w:hAnsi="Myriad Pro" w:cs="Times New Roman"/>
          <w:sz w:val="26"/>
          <w:szCs w:val="26"/>
        </w:rPr>
        <w:t xml:space="preserve"> года, которые составили 199 484</w:t>
      </w:r>
      <w:r w:rsidR="00F14642" w:rsidRPr="00C04ABD">
        <w:rPr>
          <w:rFonts w:ascii="Myriad Pro" w:eastAsia="Calibri" w:hAnsi="Myriad Pro" w:cs="Times New Roman"/>
          <w:sz w:val="26"/>
          <w:szCs w:val="26"/>
        </w:rPr>
        <w:t xml:space="preserve"> тыс. руб.</w:t>
      </w:r>
      <w:r w:rsidRPr="00C04ABD">
        <w:rPr>
          <w:rFonts w:ascii="Myriad Pro" w:eastAsia="Calibri" w:hAnsi="Myriad Pro" w:cs="Times New Roman"/>
          <w:sz w:val="26"/>
          <w:szCs w:val="26"/>
        </w:rPr>
        <w:t xml:space="preserve"> Исполнитель предполагает, что Комитетом учтены фактические расходы за 11 мес. 2018 года и плановые суммы на 2019 год р</w:t>
      </w:r>
      <w:r w:rsidR="00783EB2" w:rsidRPr="00C04ABD">
        <w:rPr>
          <w:rFonts w:ascii="Myriad Pro" w:eastAsia="Calibri" w:hAnsi="Myriad Pro" w:cs="Times New Roman"/>
          <w:sz w:val="26"/>
          <w:szCs w:val="26"/>
        </w:rPr>
        <w:t xml:space="preserve">ассчитаны следующим образом: 199 484 </w:t>
      </w:r>
      <w:r w:rsidRPr="00C04ABD">
        <w:rPr>
          <w:rFonts w:ascii="Myriad Pro" w:eastAsia="Calibri" w:hAnsi="Myriad Pro" w:cs="Times New Roman"/>
          <w:sz w:val="26"/>
          <w:szCs w:val="26"/>
        </w:rPr>
        <w:t xml:space="preserve">/ 11 мес. * 12 мес. = </w:t>
      </w:r>
      <w:r w:rsidR="00783EB2" w:rsidRPr="00C04ABD">
        <w:rPr>
          <w:rFonts w:ascii="Myriad Pro" w:eastAsia="Calibri" w:hAnsi="Myriad Pro" w:cs="Times New Roman"/>
          <w:sz w:val="26"/>
          <w:szCs w:val="26"/>
        </w:rPr>
        <w:t>217 618,9 тыс. руб.</w:t>
      </w:r>
    </w:p>
    <w:p w14:paraId="0A5F8DCD" w14:textId="2759256A" w:rsidR="00783EB2" w:rsidRPr="00905638" w:rsidRDefault="00981D89" w:rsidP="00C04ABD">
      <w:pPr>
        <w:tabs>
          <w:tab w:val="left" w:pos="1134"/>
        </w:tabs>
        <w:spacing w:after="0" w:line="360" w:lineRule="auto"/>
        <w:ind w:firstLine="567"/>
        <w:contextualSpacing/>
        <w:jc w:val="both"/>
        <w:rPr>
          <w:rFonts w:ascii="Myriad Pro" w:eastAsia="Calibri" w:hAnsi="Myriad Pro" w:cs="Times New Roman"/>
          <w:sz w:val="26"/>
          <w:szCs w:val="26"/>
        </w:rPr>
      </w:pPr>
      <w:r w:rsidRPr="00905638">
        <w:rPr>
          <w:rFonts w:ascii="Myriad Pro" w:eastAsia="Calibri" w:hAnsi="Myriad Pro" w:cs="Times New Roman"/>
          <w:sz w:val="26"/>
          <w:szCs w:val="26"/>
        </w:rPr>
        <w:t>Комитетом в П</w:t>
      </w:r>
      <w:r w:rsidR="00783EB2" w:rsidRPr="00905638">
        <w:rPr>
          <w:rFonts w:ascii="Myriad Pro" w:eastAsia="Calibri" w:hAnsi="Myriad Pro" w:cs="Times New Roman"/>
          <w:sz w:val="26"/>
          <w:szCs w:val="26"/>
        </w:rPr>
        <w:t xml:space="preserve">ротоколе </w:t>
      </w:r>
      <w:r w:rsidRPr="00905638">
        <w:rPr>
          <w:rFonts w:ascii="Myriad Pro" w:eastAsia="Calibri" w:hAnsi="Myriad Pro" w:cs="Times New Roman"/>
          <w:sz w:val="26"/>
          <w:szCs w:val="26"/>
        </w:rPr>
        <w:t xml:space="preserve">от 28-29.12.2018 </w:t>
      </w:r>
      <w:r w:rsidR="00783EB2" w:rsidRPr="00905638">
        <w:rPr>
          <w:rFonts w:ascii="Myriad Pro" w:eastAsia="Calibri" w:hAnsi="Myriad Pro" w:cs="Times New Roman"/>
          <w:sz w:val="26"/>
          <w:szCs w:val="26"/>
        </w:rPr>
        <w:t xml:space="preserve">не отражены пояснения и расчет расходов, принятый регулятором на 2019 год для филиала ПАО </w:t>
      </w:r>
      <w:r w:rsidR="00655FFA" w:rsidRPr="00905638">
        <w:rPr>
          <w:rFonts w:ascii="Myriad Pro" w:eastAsia="Calibri" w:hAnsi="Myriad Pro" w:cs="Times New Roman"/>
          <w:sz w:val="26"/>
          <w:szCs w:val="26"/>
        </w:rPr>
        <w:t>«</w:t>
      </w:r>
      <w:r w:rsidR="00783EB2" w:rsidRPr="00905638">
        <w:rPr>
          <w:rFonts w:ascii="Myriad Pro" w:eastAsia="Calibri" w:hAnsi="Myriad Pro" w:cs="Times New Roman"/>
          <w:sz w:val="26"/>
          <w:szCs w:val="26"/>
        </w:rPr>
        <w:t>МРСК Северо-Запада</w:t>
      </w:r>
      <w:r w:rsidR="00655FFA" w:rsidRPr="00905638">
        <w:rPr>
          <w:rFonts w:ascii="Myriad Pro" w:eastAsia="Calibri" w:hAnsi="Myriad Pro" w:cs="Times New Roman"/>
          <w:sz w:val="26"/>
          <w:szCs w:val="26"/>
        </w:rPr>
        <w:t>»</w:t>
      </w:r>
      <w:r w:rsidR="00783EB2" w:rsidRPr="00905638">
        <w:rPr>
          <w:rFonts w:ascii="Myriad Pro" w:eastAsia="Calibri" w:hAnsi="Myriad Pro" w:cs="Times New Roman"/>
          <w:sz w:val="26"/>
          <w:szCs w:val="26"/>
        </w:rPr>
        <w:t xml:space="preserve"> </w:t>
      </w:r>
      <w:r w:rsidR="00655FFA" w:rsidRPr="00905638">
        <w:rPr>
          <w:rFonts w:ascii="Myriad Pro" w:eastAsia="Calibri" w:hAnsi="Myriad Pro" w:cs="Times New Roman"/>
          <w:sz w:val="26"/>
          <w:szCs w:val="26"/>
        </w:rPr>
        <w:t>«</w:t>
      </w:r>
      <w:r w:rsidR="00783EB2" w:rsidRPr="00905638">
        <w:rPr>
          <w:rFonts w:ascii="Myriad Pro" w:eastAsia="Calibri" w:hAnsi="Myriad Pro" w:cs="Times New Roman"/>
          <w:sz w:val="26"/>
          <w:szCs w:val="26"/>
        </w:rPr>
        <w:t>Колэнерго</w:t>
      </w:r>
      <w:r w:rsidR="00655FFA" w:rsidRPr="00905638">
        <w:rPr>
          <w:rFonts w:ascii="Myriad Pro" w:eastAsia="Calibri" w:hAnsi="Myriad Pro" w:cs="Times New Roman"/>
          <w:sz w:val="26"/>
          <w:szCs w:val="26"/>
        </w:rPr>
        <w:t>»</w:t>
      </w:r>
      <w:r w:rsidR="00783EB2" w:rsidRPr="00905638">
        <w:rPr>
          <w:rFonts w:ascii="Myriad Pro" w:eastAsia="Calibri" w:hAnsi="Myriad Pro" w:cs="Times New Roman"/>
          <w:sz w:val="26"/>
          <w:szCs w:val="26"/>
        </w:rPr>
        <w:t>.</w:t>
      </w:r>
    </w:p>
    <w:p w14:paraId="2A46D11D" w14:textId="09A68F29" w:rsidR="00C20E72" w:rsidRPr="00905638" w:rsidRDefault="00C20E72" w:rsidP="00C04ABD">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 xml:space="preserve">Исполнитель обращает внимание, что по обороту счета 20 </w:t>
      </w:r>
      <w:r w:rsidRPr="00CF54D5">
        <w:rPr>
          <w:rFonts w:ascii="Myriad Pro" w:eastAsia="Calibri" w:hAnsi="Myriad Pro" w:cs="Times New Roman"/>
          <w:b/>
          <w:sz w:val="26"/>
          <w:szCs w:val="26"/>
          <w:u w:val="single"/>
        </w:rPr>
        <w:t>невозможно сделать однозначный вывод о</w:t>
      </w:r>
      <w:r w:rsidR="00F07616" w:rsidRPr="00CF54D5">
        <w:rPr>
          <w:rFonts w:ascii="Myriad Pro" w:eastAsia="Calibri" w:hAnsi="Myriad Pro" w:cs="Times New Roman"/>
          <w:b/>
          <w:sz w:val="26"/>
          <w:szCs w:val="26"/>
          <w:u w:val="single"/>
        </w:rPr>
        <w:t>б</w:t>
      </w:r>
      <w:r w:rsidRPr="00CF54D5">
        <w:rPr>
          <w:rFonts w:ascii="Myriad Pro" w:eastAsia="Calibri" w:hAnsi="Myriad Pro" w:cs="Times New Roman"/>
          <w:b/>
          <w:sz w:val="26"/>
          <w:szCs w:val="26"/>
          <w:u w:val="single"/>
        </w:rPr>
        <w:t xml:space="preserve"> экономической обоснованности расходов, уровне цены, покупаемых материалов. </w:t>
      </w:r>
      <w:r w:rsidR="00417376" w:rsidRPr="00CF54D5">
        <w:rPr>
          <w:rFonts w:ascii="Myriad Pro" w:eastAsia="Calibri" w:hAnsi="Myriad Pro" w:cs="Times New Roman"/>
          <w:b/>
          <w:sz w:val="26"/>
          <w:szCs w:val="26"/>
          <w:u w:val="single"/>
        </w:rPr>
        <w:t>Например,</w:t>
      </w:r>
      <w:r w:rsidR="00DD269B" w:rsidRPr="00CF54D5">
        <w:rPr>
          <w:rFonts w:ascii="Myriad Pro" w:eastAsia="Calibri" w:hAnsi="Myriad Pro" w:cs="Times New Roman"/>
          <w:b/>
          <w:sz w:val="26"/>
          <w:szCs w:val="26"/>
          <w:u w:val="single"/>
        </w:rPr>
        <w:t xml:space="preserve"> </w:t>
      </w:r>
      <w:r w:rsidR="00B01759" w:rsidRPr="00CF54D5">
        <w:rPr>
          <w:rFonts w:ascii="Myriad Pro" w:eastAsia="Calibri" w:hAnsi="Myriad Pro" w:cs="Times New Roman"/>
          <w:b/>
          <w:sz w:val="26"/>
          <w:szCs w:val="26"/>
          <w:u w:val="single"/>
        </w:rPr>
        <w:t xml:space="preserve">в анализе счета </w:t>
      </w:r>
      <w:r w:rsidR="00655FFA" w:rsidRPr="00CF54D5">
        <w:rPr>
          <w:rFonts w:ascii="Myriad Pro" w:eastAsia="Calibri" w:hAnsi="Myriad Pro" w:cs="Times New Roman"/>
          <w:b/>
          <w:sz w:val="26"/>
          <w:szCs w:val="26"/>
          <w:u w:val="single"/>
        </w:rPr>
        <w:t>«</w:t>
      </w:r>
      <w:r w:rsidR="00B01759" w:rsidRPr="00CF54D5">
        <w:rPr>
          <w:rFonts w:ascii="Myriad Pro" w:eastAsia="Calibri" w:hAnsi="Myriad Pro" w:cs="Times New Roman"/>
          <w:b/>
          <w:sz w:val="26"/>
          <w:szCs w:val="26"/>
          <w:u w:val="single"/>
        </w:rPr>
        <w:t>20</w:t>
      </w:r>
      <w:r w:rsidR="00655FFA" w:rsidRPr="00CF54D5">
        <w:rPr>
          <w:rFonts w:ascii="Myriad Pro" w:eastAsia="Calibri" w:hAnsi="Myriad Pro" w:cs="Times New Roman"/>
          <w:b/>
          <w:sz w:val="26"/>
          <w:szCs w:val="26"/>
          <w:u w:val="single"/>
        </w:rPr>
        <w:t>»</w:t>
      </w:r>
      <w:r w:rsidR="00B01759" w:rsidRPr="00CF54D5">
        <w:rPr>
          <w:rFonts w:ascii="Myriad Pro" w:eastAsia="Calibri" w:hAnsi="Myriad Pro" w:cs="Times New Roman"/>
          <w:b/>
          <w:sz w:val="26"/>
          <w:szCs w:val="26"/>
          <w:u w:val="single"/>
        </w:rPr>
        <w:t xml:space="preserve"> </w:t>
      </w:r>
      <w:r w:rsidR="00655FFA" w:rsidRPr="00CF54D5">
        <w:rPr>
          <w:rFonts w:ascii="Myriad Pro" w:eastAsia="Calibri" w:hAnsi="Myriad Pro" w:cs="Times New Roman"/>
          <w:b/>
          <w:sz w:val="26"/>
          <w:szCs w:val="26"/>
          <w:u w:val="single"/>
        </w:rPr>
        <w:lastRenderedPageBreak/>
        <w:t>«</w:t>
      </w:r>
      <w:r w:rsidR="00B01759" w:rsidRPr="00CF54D5">
        <w:rPr>
          <w:rFonts w:ascii="Myriad Pro" w:eastAsia="Calibri" w:hAnsi="Myriad Pro" w:cs="Times New Roman"/>
          <w:b/>
          <w:sz w:val="26"/>
          <w:szCs w:val="26"/>
          <w:u w:val="single"/>
        </w:rPr>
        <w:t>Основное производство</w:t>
      </w:r>
      <w:r w:rsidR="00655FFA" w:rsidRPr="00CF54D5">
        <w:rPr>
          <w:rFonts w:ascii="Myriad Pro" w:eastAsia="Calibri" w:hAnsi="Myriad Pro" w:cs="Times New Roman"/>
          <w:b/>
          <w:sz w:val="26"/>
          <w:szCs w:val="26"/>
          <w:u w:val="single"/>
        </w:rPr>
        <w:t>»</w:t>
      </w:r>
      <w:r w:rsidR="00B01759" w:rsidRPr="00CF54D5">
        <w:rPr>
          <w:rFonts w:ascii="Myriad Pro" w:eastAsia="Calibri" w:hAnsi="Myriad Pro" w:cs="Times New Roman"/>
          <w:b/>
          <w:sz w:val="26"/>
          <w:szCs w:val="26"/>
          <w:u w:val="single"/>
        </w:rPr>
        <w:t xml:space="preserve"> по статье </w:t>
      </w:r>
      <w:r w:rsidR="00655FFA" w:rsidRPr="00CF54D5">
        <w:rPr>
          <w:rFonts w:ascii="Myriad Pro" w:eastAsia="Calibri" w:hAnsi="Myriad Pro" w:cs="Times New Roman"/>
          <w:b/>
          <w:sz w:val="26"/>
          <w:szCs w:val="26"/>
          <w:u w:val="single"/>
        </w:rPr>
        <w:t>«</w:t>
      </w:r>
      <w:r w:rsidR="00B01759" w:rsidRPr="00CF54D5">
        <w:rPr>
          <w:rFonts w:ascii="Myriad Pro" w:eastAsia="Calibri" w:hAnsi="Myriad Pro" w:cs="Times New Roman"/>
          <w:b/>
          <w:sz w:val="26"/>
          <w:szCs w:val="26"/>
          <w:u w:val="single"/>
        </w:rPr>
        <w:t>Инструмент и инвентарь</w:t>
      </w:r>
      <w:r w:rsidR="00655FFA" w:rsidRPr="00CF54D5">
        <w:rPr>
          <w:rFonts w:ascii="Myriad Pro" w:eastAsia="Calibri" w:hAnsi="Myriad Pro" w:cs="Times New Roman"/>
          <w:b/>
          <w:sz w:val="26"/>
          <w:szCs w:val="26"/>
          <w:u w:val="single"/>
        </w:rPr>
        <w:t>»</w:t>
      </w:r>
      <w:r w:rsidR="00B01759" w:rsidRPr="00CF54D5">
        <w:rPr>
          <w:rFonts w:ascii="Myriad Pro" w:eastAsia="Calibri" w:hAnsi="Myriad Pro" w:cs="Times New Roman"/>
          <w:b/>
          <w:sz w:val="26"/>
          <w:szCs w:val="26"/>
          <w:u w:val="single"/>
        </w:rPr>
        <w:t xml:space="preserve"> обороты за 11 мес. 2018 года составили 7 739,052 тыс. руб</w:t>
      </w:r>
      <w:r w:rsidR="00B01759" w:rsidRPr="00C04ABD">
        <w:rPr>
          <w:rFonts w:ascii="Myriad Pro" w:eastAsia="Calibri" w:hAnsi="Myriad Pro" w:cs="Times New Roman"/>
          <w:sz w:val="26"/>
          <w:szCs w:val="26"/>
        </w:rPr>
        <w:t xml:space="preserve">. В предложении Филиала на 2019 год расходы по статье </w:t>
      </w:r>
      <w:r w:rsidR="00655FFA" w:rsidRPr="00C04ABD">
        <w:rPr>
          <w:rFonts w:ascii="Myriad Pro" w:eastAsia="Calibri" w:hAnsi="Myriad Pro" w:cs="Times New Roman"/>
          <w:sz w:val="26"/>
          <w:szCs w:val="26"/>
        </w:rPr>
        <w:t>«</w:t>
      </w:r>
      <w:r w:rsidR="00B01759" w:rsidRPr="00C04ABD">
        <w:rPr>
          <w:rFonts w:ascii="Myriad Pro" w:eastAsia="Calibri" w:hAnsi="Myriad Pro" w:cs="Times New Roman"/>
          <w:sz w:val="26"/>
          <w:szCs w:val="26"/>
        </w:rPr>
        <w:t>Инструмент и инвентарь</w:t>
      </w:r>
      <w:r w:rsidR="00655FFA" w:rsidRPr="00C04ABD">
        <w:rPr>
          <w:rFonts w:ascii="Myriad Pro" w:eastAsia="Calibri" w:hAnsi="Myriad Pro" w:cs="Times New Roman"/>
          <w:sz w:val="26"/>
          <w:szCs w:val="26"/>
        </w:rPr>
        <w:t>»</w:t>
      </w:r>
      <w:r w:rsidR="00B01759" w:rsidRPr="00C04ABD">
        <w:rPr>
          <w:rFonts w:ascii="Myriad Pro" w:eastAsia="Calibri" w:hAnsi="Myriad Pro" w:cs="Times New Roman"/>
          <w:sz w:val="26"/>
          <w:szCs w:val="26"/>
        </w:rPr>
        <w:t xml:space="preserve"> </w:t>
      </w:r>
      <w:r w:rsidR="00181780" w:rsidRPr="00C04ABD">
        <w:rPr>
          <w:rFonts w:ascii="Myriad Pro" w:eastAsia="Calibri" w:hAnsi="Myriad Pro" w:cs="Times New Roman"/>
          <w:sz w:val="26"/>
          <w:szCs w:val="26"/>
        </w:rPr>
        <w:t>заявлены в размере 4</w:t>
      </w:r>
      <w:r w:rsidR="00FE318A" w:rsidRPr="00C04ABD">
        <w:rPr>
          <w:rFonts w:ascii="Myriad Pro" w:eastAsia="Calibri" w:hAnsi="Myriad Pro" w:cs="Times New Roman"/>
          <w:sz w:val="26"/>
          <w:szCs w:val="26"/>
        </w:rPr>
        <w:t xml:space="preserve"> </w:t>
      </w:r>
      <w:r w:rsidR="00181780" w:rsidRPr="00C04ABD">
        <w:rPr>
          <w:rFonts w:ascii="Myriad Pro" w:eastAsia="Calibri" w:hAnsi="Myriad Pro" w:cs="Times New Roman"/>
          <w:sz w:val="26"/>
          <w:szCs w:val="26"/>
        </w:rPr>
        <w:t>989,05 тыс. руб.</w:t>
      </w:r>
      <w:r w:rsidR="00DD269B" w:rsidRPr="00C04ABD">
        <w:rPr>
          <w:rFonts w:ascii="Myriad Pro" w:eastAsia="Calibri" w:hAnsi="Myriad Pro" w:cs="Times New Roman"/>
          <w:sz w:val="26"/>
          <w:szCs w:val="26"/>
        </w:rPr>
        <w:t xml:space="preserve"> Для каких нужд куплен инструмент и инвентарь, по каким договорам</w:t>
      </w:r>
      <w:r w:rsidR="00FE318A" w:rsidRPr="00C04ABD">
        <w:rPr>
          <w:rFonts w:ascii="Myriad Pro" w:eastAsia="Calibri" w:hAnsi="Myriad Pro" w:cs="Times New Roman"/>
          <w:sz w:val="26"/>
          <w:szCs w:val="26"/>
        </w:rPr>
        <w:t xml:space="preserve"> и по какой цене по оборотной ведомости определить невозможно</w:t>
      </w:r>
      <w:r w:rsidR="00FE318A" w:rsidRPr="001D5399">
        <w:rPr>
          <w:rFonts w:ascii="Myriad Pro" w:eastAsia="Calibri" w:hAnsi="Myriad Pro" w:cs="Times New Roman"/>
          <w:sz w:val="26"/>
          <w:szCs w:val="26"/>
        </w:rPr>
        <w:t>.</w:t>
      </w:r>
      <w:r w:rsidR="00181780" w:rsidRPr="001D5399">
        <w:rPr>
          <w:rFonts w:ascii="Myriad Pro" w:eastAsia="Calibri" w:hAnsi="Myriad Pro" w:cs="Times New Roman"/>
          <w:sz w:val="26"/>
          <w:szCs w:val="26"/>
        </w:rPr>
        <w:t xml:space="preserve"> </w:t>
      </w:r>
      <w:r w:rsidR="00B01759" w:rsidRPr="001D5399">
        <w:rPr>
          <w:rFonts w:ascii="Myriad Pro" w:eastAsia="Calibri" w:hAnsi="Myriad Pro" w:cs="Times New Roman"/>
          <w:sz w:val="26"/>
          <w:szCs w:val="26"/>
        </w:rPr>
        <w:t xml:space="preserve"> </w:t>
      </w:r>
      <w:r w:rsidRPr="001D5399">
        <w:rPr>
          <w:rFonts w:ascii="Myriad Pro" w:eastAsia="Calibri" w:hAnsi="Myriad Pro" w:cs="Times New Roman"/>
          <w:sz w:val="26"/>
          <w:szCs w:val="26"/>
        </w:rPr>
        <w:t>По состоянию заседания Правления 28-29.12.2018 бухгалтерская отчетность за 2018 года не закрыта, аудиторское заключение отсутствует.</w:t>
      </w:r>
    </w:p>
    <w:p w14:paraId="55CED110" w14:textId="77777777" w:rsidR="00996030" w:rsidRPr="00C04ABD" w:rsidRDefault="00996030" w:rsidP="00C04ABD">
      <w:pPr>
        <w:tabs>
          <w:tab w:val="left" w:pos="1134"/>
        </w:tabs>
        <w:spacing w:after="0" w:line="360" w:lineRule="auto"/>
        <w:ind w:firstLine="567"/>
        <w:contextualSpacing/>
        <w:jc w:val="both"/>
        <w:rPr>
          <w:rFonts w:ascii="Myriad Pro" w:eastAsia="Calibri" w:hAnsi="Myriad Pro" w:cs="Times New Roman"/>
          <w:sz w:val="26"/>
          <w:szCs w:val="26"/>
        </w:rPr>
      </w:pPr>
    </w:p>
    <w:p w14:paraId="382A822A" w14:textId="77777777" w:rsidR="00C54EC4" w:rsidRPr="00C04ABD" w:rsidRDefault="00C54EC4" w:rsidP="00C04ABD">
      <w:pPr>
        <w:tabs>
          <w:tab w:val="left" w:pos="1134"/>
        </w:tabs>
        <w:spacing w:after="0" w:line="360" w:lineRule="auto"/>
        <w:jc w:val="both"/>
        <w:rPr>
          <w:rFonts w:ascii="Myriad Pro" w:eastAsia="Calibri" w:hAnsi="Myriad Pro" w:cs="Times New Roman"/>
          <w:b/>
          <w:i/>
          <w:color w:val="FFFFFF" w:themeColor="background1"/>
          <w:sz w:val="26"/>
          <w:szCs w:val="26"/>
        </w:rPr>
      </w:pPr>
      <w:r w:rsidRPr="00C04ABD">
        <w:rPr>
          <w:rFonts w:ascii="Myriad Pro" w:eastAsia="Calibri" w:hAnsi="Myriad Pro" w:cs="Times New Roman"/>
          <w:b/>
          <w:i/>
          <w:sz w:val="26"/>
          <w:szCs w:val="26"/>
        </w:rPr>
        <w:t>Анализ счета «20» «Основное производство»</w:t>
      </w:r>
    </w:p>
    <w:p w14:paraId="51D04698" w14:textId="77777777" w:rsidR="00C54EC4" w:rsidRPr="00C04ABD" w:rsidRDefault="00C54EC4" w:rsidP="00C04ABD">
      <w:pPr>
        <w:tabs>
          <w:tab w:val="left" w:pos="1134"/>
        </w:tabs>
        <w:spacing w:after="0" w:line="360" w:lineRule="auto"/>
        <w:ind w:firstLine="567"/>
        <w:rPr>
          <w:rFonts w:ascii="Myriad Pro" w:eastAsia="Calibri" w:hAnsi="Myriad Pro" w:cs="Times New Roman"/>
          <w:sz w:val="26"/>
          <w:szCs w:val="26"/>
        </w:rPr>
      </w:pPr>
      <w:r w:rsidRPr="00C04ABD">
        <w:rPr>
          <w:rFonts w:ascii="Myriad Pro" w:eastAsia="Calibri" w:hAnsi="Myriad Pro" w:cs="Times New Roman"/>
          <w:sz w:val="26"/>
          <w:szCs w:val="26"/>
        </w:rPr>
        <w:t>Период: Январь 2018 г. - Ноябрь 2018 г.</w:t>
      </w:r>
    </w:p>
    <w:p w14:paraId="3E311E0B" w14:textId="77777777" w:rsidR="00C54EC4" w:rsidRPr="00C04ABD" w:rsidRDefault="00C54EC4" w:rsidP="00C04ABD">
      <w:pPr>
        <w:tabs>
          <w:tab w:val="left" w:pos="1134"/>
        </w:tabs>
        <w:spacing w:after="0" w:line="360" w:lineRule="auto"/>
        <w:ind w:firstLine="567"/>
        <w:rPr>
          <w:rFonts w:ascii="Myriad Pro" w:eastAsia="Calibri" w:hAnsi="Myriad Pro" w:cs="Times New Roman"/>
          <w:sz w:val="26"/>
          <w:szCs w:val="26"/>
        </w:rPr>
      </w:pPr>
      <w:r w:rsidRPr="00C04ABD">
        <w:rPr>
          <w:rFonts w:ascii="Myriad Pro" w:eastAsia="Calibri" w:hAnsi="Myriad Pro" w:cs="Times New Roman"/>
          <w:sz w:val="26"/>
          <w:szCs w:val="26"/>
        </w:rPr>
        <w:t>Детализация по субконто: Элементы затрат</w:t>
      </w:r>
    </w:p>
    <w:p w14:paraId="7D5A6A41" w14:textId="77777777" w:rsidR="00C54EC4" w:rsidRPr="00C04ABD" w:rsidRDefault="00C54EC4" w:rsidP="00C04ABD">
      <w:pPr>
        <w:tabs>
          <w:tab w:val="left" w:pos="1134"/>
        </w:tabs>
        <w:spacing w:after="0" w:line="360" w:lineRule="auto"/>
        <w:ind w:firstLine="567"/>
        <w:rPr>
          <w:rFonts w:ascii="Myriad Pro" w:eastAsia="Calibri" w:hAnsi="Myriad Pro" w:cs="Times New Roman"/>
          <w:sz w:val="26"/>
          <w:szCs w:val="26"/>
        </w:rPr>
      </w:pPr>
      <w:r w:rsidRPr="00C04ABD">
        <w:rPr>
          <w:rFonts w:ascii="Myriad Pro" w:eastAsia="Calibri" w:hAnsi="Myriad Pro" w:cs="Times New Roman"/>
          <w:sz w:val="26"/>
          <w:szCs w:val="26"/>
        </w:rPr>
        <w:t>Выводимые данные: сумма</w:t>
      </w:r>
    </w:p>
    <w:p w14:paraId="1577670F" w14:textId="77777777" w:rsidR="00C54EC4" w:rsidRPr="00C04ABD" w:rsidRDefault="00C54EC4" w:rsidP="00C04ABD">
      <w:pPr>
        <w:tabs>
          <w:tab w:val="left" w:pos="1134"/>
        </w:tabs>
        <w:spacing w:after="0" w:line="360" w:lineRule="auto"/>
        <w:ind w:firstLine="567"/>
        <w:rPr>
          <w:rFonts w:ascii="Myriad Pro" w:eastAsia="Calibri" w:hAnsi="Myriad Pro" w:cs="Times New Roman"/>
          <w:sz w:val="26"/>
          <w:szCs w:val="26"/>
        </w:rPr>
      </w:pPr>
      <w:r w:rsidRPr="00C04ABD">
        <w:rPr>
          <w:rFonts w:ascii="Myriad Pro" w:eastAsia="Calibri" w:hAnsi="Myriad Pro" w:cs="Times New Roman"/>
          <w:sz w:val="26"/>
          <w:szCs w:val="26"/>
        </w:rPr>
        <w:t xml:space="preserve">Отбор: Элементы затрат в иерархии Сырье и материалы, Учетные виды деятельности в иерархии Услуги по передаче электроэнергии по сетям </w:t>
      </w:r>
    </w:p>
    <w:p w14:paraId="6E5440F9" w14:textId="18EE9FDC" w:rsidR="00C54EC4" w:rsidRPr="00FB0A3A" w:rsidRDefault="00C54EC4" w:rsidP="00DC1AD1">
      <w:pPr>
        <w:tabs>
          <w:tab w:val="left" w:pos="1134"/>
        </w:tabs>
        <w:spacing w:after="0" w:line="240" w:lineRule="auto"/>
        <w:ind w:firstLine="567"/>
        <w:contextualSpacing/>
        <w:jc w:val="right"/>
        <w:rPr>
          <w:rFonts w:ascii="Myriad Pro" w:eastAsia="Calibri" w:hAnsi="Myriad Pro" w:cs="Times New Roman"/>
          <w:sz w:val="20"/>
          <w:szCs w:val="20"/>
        </w:rPr>
      </w:pPr>
      <w:r w:rsidRPr="00FB0A3A">
        <w:rPr>
          <w:rFonts w:ascii="Myriad Pro" w:eastAsia="Calibri" w:hAnsi="Myriad Pro" w:cs="Times New Roman"/>
          <w:sz w:val="20"/>
          <w:szCs w:val="20"/>
        </w:rPr>
        <w:t>руб.</w:t>
      </w:r>
    </w:p>
    <w:tbl>
      <w:tblPr>
        <w:tblStyle w:val="afff6"/>
        <w:tblW w:w="5000" w:type="pct"/>
        <w:tblLook w:val="04A0" w:firstRow="1" w:lastRow="0" w:firstColumn="1" w:lastColumn="0" w:noHBand="0" w:noVBand="1"/>
      </w:tblPr>
      <w:tblGrid>
        <w:gridCol w:w="2230"/>
        <w:gridCol w:w="2776"/>
        <w:gridCol w:w="2251"/>
        <w:gridCol w:w="2087"/>
      </w:tblGrid>
      <w:tr w:rsidR="00C54EC4" w:rsidRPr="00FB0A3A" w14:paraId="569BAE76" w14:textId="77777777" w:rsidTr="009071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5377C115" w14:textId="77777777" w:rsidR="00FE318A" w:rsidRPr="00FB0A3A" w:rsidRDefault="00FE318A" w:rsidP="00DC1AD1">
            <w:r w:rsidRPr="00FB0A3A">
              <w:t>Счет</w:t>
            </w:r>
          </w:p>
        </w:tc>
        <w:tc>
          <w:tcPr>
            <w:tcW w:w="14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34372FE0" w14:textId="262D8030" w:rsidR="00FE318A" w:rsidRPr="00FB0A3A" w:rsidRDefault="00A0366B" w:rsidP="00DC1AD1">
            <w:pPr>
              <w:cnfStyle w:val="100000000000" w:firstRow="1" w:lastRow="0" w:firstColumn="0" w:lastColumn="0" w:oddVBand="0" w:evenVBand="0" w:oddHBand="0" w:evenHBand="0" w:firstRowFirstColumn="0" w:firstRowLastColumn="0" w:lastRowFirstColumn="0" w:lastRowLastColumn="0"/>
            </w:pPr>
            <w:r w:rsidRPr="00FB0A3A">
              <w:t>Корреспондентский счёт</w:t>
            </w:r>
          </w:p>
        </w:tc>
        <w:tc>
          <w:tcPr>
            <w:tcW w:w="12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443477C5" w14:textId="17945A45" w:rsidR="00FE318A" w:rsidRPr="00FB0A3A" w:rsidRDefault="00A0366B" w:rsidP="00DC1AD1">
            <w:pPr>
              <w:cnfStyle w:val="100000000000" w:firstRow="1" w:lastRow="0" w:firstColumn="0" w:lastColumn="0" w:oddVBand="0" w:evenVBand="0" w:oddHBand="0" w:evenHBand="0" w:firstRowFirstColumn="0" w:firstRowLastColumn="0" w:lastRowFirstColumn="0" w:lastRowLastColumn="0"/>
            </w:pPr>
            <w:r w:rsidRPr="00FB0A3A">
              <w:t>С кредитных</w:t>
            </w:r>
            <w:r w:rsidR="00C54EC4" w:rsidRPr="00FB0A3A">
              <w:t xml:space="preserve"> счетов</w:t>
            </w:r>
          </w:p>
        </w:tc>
        <w:tc>
          <w:tcPr>
            <w:tcW w:w="11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2BE3A0C7" w14:textId="77777777" w:rsidR="00FE318A" w:rsidRPr="00FB0A3A" w:rsidRDefault="00FE318A" w:rsidP="00DC1AD1">
            <w:pPr>
              <w:cnfStyle w:val="100000000000" w:firstRow="1" w:lastRow="0" w:firstColumn="0" w:lastColumn="0" w:oddVBand="0" w:evenVBand="0" w:oddHBand="0" w:evenHBand="0" w:firstRowFirstColumn="0" w:firstRowLastColumn="0" w:lastRowFirstColumn="0" w:lastRowLastColumn="0"/>
            </w:pPr>
            <w:r w:rsidRPr="00FB0A3A">
              <w:t>В дебет счетов</w:t>
            </w:r>
          </w:p>
        </w:tc>
      </w:tr>
      <w:tr w:rsidR="00C54EC4" w:rsidRPr="00FB0A3A" w14:paraId="422AF54F" w14:textId="77777777" w:rsidTr="00907125">
        <w:tc>
          <w:tcPr>
            <w:cnfStyle w:val="001000000000" w:firstRow="0" w:lastRow="0" w:firstColumn="1" w:lastColumn="0" w:oddVBand="0" w:evenVBand="0" w:oddHBand="0" w:evenHBand="0" w:firstRowFirstColumn="0" w:firstRowLastColumn="0" w:lastRowFirstColumn="0" w:lastRowLastColumn="0"/>
            <w:tcW w:w="1193" w:type="pct"/>
            <w:tcBorders>
              <w:top w:val="single" w:sz="4" w:space="0" w:color="FFFFFF" w:themeColor="background1"/>
            </w:tcBorders>
            <w:hideMark/>
          </w:tcPr>
          <w:p w14:paraId="7B454A5B" w14:textId="77777777" w:rsidR="00C54EC4" w:rsidRPr="00FB0A3A" w:rsidRDefault="00C54EC4" w:rsidP="00D241B1">
            <w:r w:rsidRPr="00FB0A3A">
              <w:t>Инструмент и инвентарь</w:t>
            </w:r>
          </w:p>
        </w:tc>
        <w:tc>
          <w:tcPr>
            <w:tcW w:w="1485" w:type="pct"/>
            <w:tcBorders>
              <w:top w:val="single" w:sz="4" w:space="0" w:color="FFFFFF" w:themeColor="background1"/>
            </w:tcBorders>
            <w:hideMark/>
          </w:tcPr>
          <w:p w14:paraId="2C426C63" w14:textId="065DEFD5" w:rsidR="00C54EC4" w:rsidRPr="00FB0A3A" w:rsidRDefault="00C54EC4" w:rsidP="00D241B1">
            <w:pPr>
              <w:cnfStyle w:val="000000000000" w:firstRow="0" w:lastRow="0" w:firstColumn="0" w:lastColumn="0" w:oddVBand="0" w:evenVBand="0" w:oddHBand="0" w:evenHBand="0" w:firstRowFirstColumn="0" w:firstRowLastColumn="0" w:lastRowFirstColumn="0" w:lastRowLastColumn="0"/>
            </w:pPr>
            <w:r w:rsidRPr="00FB0A3A">
              <w:t>Начальное сальдо</w:t>
            </w:r>
          </w:p>
        </w:tc>
        <w:tc>
          <w:tcPr>
            <w:tcW w:w="1204" w:type="pct"/>
            <w:tcBorders>
              <w:top w:val="single" w:sz="4" w:space="0" w:color="FFFFFF" w:themeColor="background1"/>
            </w:tcBorders>
            <w:noWrap/>
            <w:hideMark/>
          </w:tcPr>
          <w:p w14:paraId="4D1D947B" w14:textId="4C0FBF02" w:rsidR="00C54EC4" w:rsidRPr="00FB0A3A" w:rsidRDefault="00C54EC4" w:rsidP="00D241B1">
            <w:pPr>
              <w:cnfStyle w:val="000000000000" w:firstRow="0" w:lastRow="0" w:firstColumn="0" w:lastColumn="0" w:oddVBand="0" w:evenVBand="0" w:oddHBand="0" w:evenHBand="0" w:firstRowFirstColumn="0" w:firstRowLastColumn="0" w:lastRowFirstColumn="0" w:lastRowLastColumn="0"/>
            </w:pPr>
          </w:p>
        </w:tc>
        <w:tc>
          <w:tcPr>
            <w:tcW w:w="1117" w:type="pct"/>
            <w:tcBorders>
              <w:top w:val="single" w:sz="4" w:space="0" w:color="FFFFFF" w:themeColor="background1"/>
            </w:tcBorders>
            <w:noWrap/>
            <w:hideMark/>
          </w:tcPr>
          <w:p w14:paraId="695D7A55" w14:textId="3C314CD7" w:rsidR="00C54EC4" w:rsidRPr="00FB0A3A" w:rsidRDefault="00C54EC4" w:rsidP="00D241B1">
            <w:pPr>
              <w:cnfStyle w:val="000000000000" w:firstRow="0" w:lastRow="0" w:firstColumn="0" w:lastColumn="0" w:oddVBand="0" w:evenVBand="0" w:oddHBand="0" w:evenHBand="0" w:firstRowFirstColumn="0" w:firstRowLastColumn="0" w:lastRowFirstColumn="0" w:lastRowLastColumn="0"/>
            </w:pPr>
          </w:p>
        </w:tc>
      </w:tr>
      <w:tr w:rsidR="00C54EC4" w:rsidRPr="00FB0A3A" w14:paraId="11FECAEF" w14:textId="77777777" w:rsidTr="00C54EC4">
        <w:tc>
          <w:tcPr>
            <w:cnfStyle w:val="001000000000" w:firstRow="0" w:lastRow="0" w:firstColumn="1" w:lastColumn="0" w:oddVBand="0" w:evenVBand="0" w:oddHBand="0" w:evenHBand="0" w:firstRowFirstColumn="0" w:firstRowLastColumn="0" w:lastRowFirstColumn="0" w:lastRowLastColumn="0"/>
            <w:tcW w:w="1193" w:type="pct"/>
            <w:hideMark/>
          </w:tcPr>
          <w:p w14:paraId="12451346" w14:textId="5A6FFFEA" w:rsidR="00C54EC4" w:rsidRPr="00FB0A3A" w:rsidRDefault="00C54EC4" w:rsidP="00D241B1">
            <w:r w:rsidRPr="00FB0A3A">
              <w:t> </w:t>
            </w:r>
          </w:p>
        </w:tc>
        <w:tc>
          <w:tcPr>
            <w:tcW w:w="1485" w:type="pct"/>
            <w:hideMark/>
          </w:tcPr>
          <w:p w14:paraId="7F0125B0" w14:textId="77777777" w:rsidR="00C54EC4" w:rsidRPr="00FB0A3A" w:rsidRDefault="00C54EC4" w:rsidP="00D241B1">
            <w:pPr>
              <w:cnfStyle w:val="000000000000" w:firstRow="0" w:lastRow="0" w:firstColumn="0" w:lastColumn="0" w:oddVBand="0" w:evenVBand="0" w:oddHBand="0" w:evenHBand="0" w:firstRowFirstColumn="0" w:firstRowLastColumn="0" w:lastRowFirstColumn="0" w:lastRowLastColumn="0"/>
            </w:pPr>
            <w:r w:rsidRPr="00FB0A3A">
              <w:t>10</w:t>
            </w:r>
          </w:p>
        </w:tc>
        <w:tc>
          <w:tcPr>
            <w:tcW w:w="1204" w:type="pct"/>
            <w:noWrap/>
            <w:hideMark/>
          </w:tcPr>
          <w:p w14:paraId="6A0FD928" w14:textId="77777777" w:rsidR="00C54EC4" w:rsidRPr="00FB0A3A" w:rsidRDefault="00C54EC4" w:rsidP="00D241B1">
            <w:pPr>
              <w:cnfStyle w:val="000000000000" w:firstRow="0" w:lastRow="0" w:firstColumn="0" w:lastColumn="0" w:oddVBand="0" w:evenVBand="0" w:oddHBand="0" w:evenHBand="0" w:firstRowFirstColumn="0" w:firstRowLastColumn="0" w:lastRowFirstColumn="0" w:lastRowLastColumn="0"/>
            </w:pPr>
            <w:r w:rsidRPr="00FB0A3A">
              <w:t>6 064 810,51</w:t>
            </w:r>
          </w:p>
        </w:tc>
        <w:tc>
          <w:tcPr>
            <w:tcW w:w="1117" w:type="pct"/>
            <w:noWrap/>
            <w:hideMark/>
          </w:tcPr>
          <w:p w14:paraId="1EF7582F" w14:textId="77777777" w:rsidR="00C54EC4" w:rsidRPr="00FB0A3A" w:rsidRDefault="00C54EC4" w:rsidP="00D241B1">
            <w:pPr>
              <w:cnfStyle w:val="000000000000" w:firstRow="0" w:lastRow="0" w:firstColumn="0" w:lastColumn="0" w:oddVBand="0" w:evenVBand="0" w:oddHBand="0" w:evenHBand="0" w:firstRowFirstColumn="0" w:firstRowLastColumn="0" w:lastRowFirstColumn="0" w:lastRowLastColumn="0"/>
            </w:pPr>
            <w:r w:rsidRPr="00FB0A3A">
              <w:t> </w:t>
            </w:r>
          </w:p>
        </w:tc>
      </w:tr>
      <w:tr w:rsidR="00C54EC4" w:rsidRPr="00FB0A3A" w14:paraId="10F33C6E" w14:textId="77777777" w:rsidTr="00C54EC4">
        <w:tc>
          <w:tcPr>
            <w:cnfStyle w:val="001000000000" w:firstRow="0" w:lastRow="0" w:firstColumn="1" w:lastColumn="0" w:oddVBand="0" w:evenVBand="0" w:oddHBand="0" w:evenHBand="0" w:firstRowFirstColumn="0" w:firstRowLastColumn="0" w:lastRowFirstColumn="0" w:lastRowLastColumn="0"/>
            <w:tcW w:w="1193" w:type="pct"/>
            <w:hideMark/>
          </w:tcPr>
          <w:p w14:paraId="229B7CD8" w14:textId="2B7CCFEE" w:rsidR="00C54EC4" w:rsidRPr="00FB0A3A" w:rsidRDefault="00C54EC4" w:rsidP="00D241B1">
            <w:r w:rsidRPr="00FB0A3A">
              <w:t>  </w:t>
            </w:r>
          </w:p>
        </w:tc>
        <w:tc>
          <w:tcPr>
            <w:tcW w:w="1485" w:type="pct"/>
            <w:hideMark/>
          </w:tcPr>
          <w:p w14:paraId="42112B95" w14:textId="77777777" w:rsidR="00C54EC4" w:rsidRPr="00FB0A3A" w:rsidRDefault="00C54EC4" w:rsidP="00D241B1">
            <w:pPr>
              <w:cnfStyle w:val="000000000000" w:firstRow="0" w:lastRow="0" w:firstColumn="0" w:lastColumn="0" w:oddVBand="0" w:evenVBand="0" w:oddHBand="0" w:evenHBand="0" w:firstRowFirstColumn="0" w:firstRowLastColumn="0" w:lastRowFirstColumn="0" w:lastRowLastColumn="0"/>
            </w:pPr>
            <w:r w:rsidRPr="00FB0A3A">
              <w:t>23</w:t>
            </w:r>
          </w:p>
        </w:tc>
        <w:tc>
          <w:tcPr>
            <w:tcW w:w="1204" w:type="pct"/>
            <w:noWrap/>
            <w:hideMark/>
          </w:tcPr>
          <w:p w14:paraId="27C1C70D" w14:textId="77777777" w:rsidR="00C54EC4" w:rsidRPr="00FB0A3A" w:rsidRDefault="00C54EC4" w:rsidP="00D241B1">
            <w:pPr>
              <w:cnfStyle w:val="000000000000" w:firstRow="0" w:lastRow="0" w:firstColumn="0" w:lastColumn="0" w:oddVBand="0" w:evenVBand="0" w:oddHBand="0" w:evenHBand="0" w:firstRowFirstColumn="0" w:firstRowLastColumn="0" w:lastRowFirstColumn="0" w:lastRowLastColumn="0"/>
            </w:pPr>
            <w:r w:rsidRPr="00FB0A3A">
              <w:t>291 635,20</w:t>
            </w:r>
          </w:p>
        </w:tc>
        <w:tc>
          <w:tcPr>
            <w:tcW w:w="1117" w:type="pct"/>
            <w:noWrap/>
            <w:hideMark/>
          </w:tcPr>
          <w:p w14:paraId="5E9EE63B" w14:textId="77777777" w:rsidR="00C54EC4" w:rsidRPr="00FB0A3A" w:rsidRDefault="00C54EC4" w:rsidP="00D241B1">
            <w:pPr>
              <w:cnfStyle w:val="000000000000" w:firstRow="0" w:lastRow="0" w:firstColumn="0" w:lastColumn="0" w:oddVBand="0" w:evenVBand="0" w:oddHBand="0" w:evenHBand="0" w:firstRowFirstColumn="0" w:firstRowLastColumn="0" w:lastRowFirstColumn="0" w:lastRowLastColumn="0"/>
            </w:pPr>
            <w:r w:rsidRPr="00FB0A3A">
              <w:t> </w:t>
            </w:r>
          </w:p>
        </w:tc>
      </w:tr>
      <w:tr w:rsidR="00C54EC4" w:rsidRPr="00FB0A3A" w14:paraId="09B5AD38" w14:textId="77777777" w:rsidTr="00C54EC4">
        <w:tc>
          <w:tcPr>
            <w:cnfStyle w:val="001000000000" w:firstRow="0" w:lastRow="0" w:firstColumn="1" w:lastColumn="0" w:oddVBand="0" w:evenVBand="0" w:oddHBand="0" w:evenHBand="0" w:firstRowFirstColumn="0" w:firstRowLastColumn="0" w:lastRowFirstColumn="0" w:lastRowLastColumn="0"/>
            <w:tcW w:w="1193" w:type="pct"/>
          </w:tcPr>
          <w:p w14:paraId="6F4E30FD" w14:textId="3E9908B7" w:rsidR="00C54EC4" w:rsidRPr="00FB0A3A" w:rsidRDefault="00C54EC4" w:rsidP="00D241B1"/>
        </w:tc>
        <w:tc>
          <w:tcPr>
            <w:tcW w:w="1485" w:type="pct"/>
            <w:hideMark/>
          </w:tcPr>
          <w:p w14:paraId="25BA4044" w14:textId="77777777" w:rsidR="00C54EC4" w:rsidRPr="00FB0A3A" w:rsidRDefault="00C54EC4" w:rsidP="00D241B1">
            <w:pPr>
              <w:cnfStyle w:val="000000000000" w:firstRow="0" w:lastRow="0" w:firstColumn="0" w:lastColumn="0" w:oddVBand="0" w:evenVBand="0" w:oddHBand="0" w:evenHBand="0" w:firstRowFirstColumn="0" w:firstRowLastColumn="0" w:lastRowFirstColumn="0" w:lastRowLastColumn="0"/>
            </w:pPr>
            <w:r w:rsidRPr="00FB0A3A">
              <w:t>25</w:t>
            </w:r>
          </w:p>
        </w:tc>
        <w:tc>
          <w:tcPr>
            <w:tcW w:w="1204" w:type="pct"/>
            <w:noWrap/>
            <w:hideMark/>
          </w:tcPr>
          <w:p w14:paraId="754028F9" w14:textId="77777777" w:rsidR="00C54EC4" w:rsidRPr="00FB0A3A" w:rsidRDefault="00C54EC4" w:rsidP="00D241B1">
            <w:pPr>
              <w:cnfStyle w:val="000000000000" w:firstRow="0" w:lastRow="0" w:firstColumn="0" w:lastColumn="0" w:oddVBand="0" w:evenVBand="0" w:oddHBand="0" w:evenHBand="0" w:firstRowFirstColumn="0" w:firstRowLastColumn="0" w:lastRowFirstColumn="0" w:lastRowLastColumn="0"/>
            </w:pPr>
            <w:r w:rsidRPr="00FB0A3A">
              <w:t>1 382 607,05</w:t>
            </w:r>
          </w:p>
        </w:tc>
        <w:tc>
          <w:tcPr>
            <w:tcW w:w="1117" w:type="pct"/>
            <w:noWrap/>
            <w:hideMark/>
          </w:tcPr>
          <w:p w14:paraId="35D36425" w14:textId="77777777" w:rsidR="00C54EC4" w:rsidRPr="00FB0A3A" w:rsidRDefault="00C54EC4" w:rsidP="00D241B1">
            <w:pPr>
              <w:cnfStyle w:val="000000000000" w:firstRow="0" w:lastRow="0" w:firstColumn="0" w:lastColumn="0" w:oddVBand="0" w:evenVBand="0" w:oddHBand="0" w:evenHBand="0" w:firstRowFirstColumn="0" w:firstRowLastColumn="0" w:lastRowFirstColumn="0" w:lastRowLastColumn="0"/>
            </w:pPr>
            <w:r w:rsidRPr="00FB0A3A">
              <w:t> </w:t>
            </w:r>
          </w:p>
        </w:tc>
      </w:tr>
      <w:tr w:rsidR="00C54EC4" w:rsidRPr="00FB0A3A" w14:paraId="5DEE8072" w14:textId="77777777" w:rsidTr="00C54EC4">
        <w:tc>
          <w:tcPr>
            <w:cnfStyle w:val="001000000000" w:firstRow="0" w:lastRow="0" w:firstColumn="1" w:lastColumn="0" w:oddVBand="0" w:evenVBand="0" w:oddHBand="0" w:evenHBand="0" w:firstRowFirstColumn="0" w:firstRowLastColumn="0" w:lastRowFirstColumn="0" w:lastRowLastColumn="0"/>
            <w:tcW w:w="1193" w:type="pct"/>
            <w:hideMark/>
          </w:tcPr>
          <w:p w14:paraId="69BC9602" w14:textId="099C7D13" w:rsidR="00C54EC4" w:rsidRPr="00FB0A3A" w:rsidRDefault="00C54EC4" w:rsidP="00D241B1">
            <w:r w:rsidRPr="00FB0A3A">
              <w:t>  </w:t>
            </w:r>
          </w:p>
        </w:tc>
        <w:tc>
          <w:tcPr>
            <w:tcW w:w="1485" w:type="pct"/>
            <w:hideMark/>
          </w:tcPr>
          <w:p w14:paraId="02D3A95D" w14:textId="77777777" w:rsidR="00C54EC4" w:rsidRPr="00FB0A3A" w:rsidRDefault="00C54EC4" w:rsidP="00D241B1">
            <w:pPr>
              <w:cnfStyle w:val="000000000000" w:firstRow="0" w:lastRow="0" w:firstColumn="0" w:lastColumn="0" w:oddVBand="0" w:evenVBand="0" w:oddHBand="0" w:evenHBand="0" w:firstRowFirstColumn="0" w:firstRowLastColumn="0" w:lastRowFirstColumn="0" w:lastRowLastColumn="0"/>
            </w:pPr>
            <w:r w:rsidRPr="00FB0A3A">
              <w:t>79</w:t>
            </w:r>
          </w:p>
        </w:tc>
        <w:tc>
          <w:tcPr>
            <w:tcW w:w="1204" w:type="pct"/>
            <w:noWrap/>
            <w:hideMark/>
          </w:tcPr>
          <w:p w14:paraId="7F77DE66" w14:textId="77777777" w:rsidR="00C54EC4" w:rsidRPr="00FB0A3A" w:rsidRDefault="00C54EC4" w:rsidP="00D241B1">
            <w:pPr>
              <w:cnfStyle w:val="000000000000" w:firstRow="0" w:lastRow="0" w:firstColumn="0" w:lastColumn="0" w:oddVBand="0" w:evenVBand="0" w:oddHBand="0" w:evenHBand="0" w:firstRowFirstColumn="0" w:firstRowLastColumn="0" w:lastRowFirstColumn="0" w:lastRowLastColumn="0"/>
            </w:pPr>
            <w:r w:rsidRPr="00FB0A3A">
              <w:t> </w:t>
            </w:r>
          </w:p>
        </w:tc>
        <w:tc>
          <w:tcPr>
            <w:tcW w:w="1117" w:type="pct"/>
            <w:noWrap/>
            <w:hideMark/>
          </w:tcPr>
          <w:p w14:paraId="349BF40E" w14:textId="77777777" w:rsidR="00C54EC4" w:rsidRPr="00FB0A3A" w:rsidRDefault="00C54EC4" w:rsidP="00D241B1">
            <w:pPr>
              <w:cnfStyle w:val="000000000000" w:firstRow="0" w:lastRow="0" w:firstColumn="0" w:lastColumn="0" w:oddVBand="0" w:evenVBand="0" w:oddHBand="0" w:evenHBand="0" w:firstRowFirstColumn="0" w:firstRowLastColumn="0" w:lastRowFirstColumn="0" w:lastRowLastColumn="0"/>
            </w:pPr>
            <w:r w:rsidRPr="00FB0A3A">
              <w:t>7 739 052,76</w:t>
            </w:r>
          </w:p>
        </w:tc>
      </w:tr>
      <w:tr w:rsidR="00C54EC4" w:rsidRPr="00FB0A3A" w14:paraId="3B90270E" w14:textId="77777777" w:rsidTr="00C54EC4">
        <w:tc>
          <w:tcPr>
            <w:cnfStyle w:val="001000000000" w:firstRow="0" w:lastRow="0" w:firstColumn="1" w:lastColumn="0" w:oddVBand="0" w:evenVBand="0" w:oddHBand="0" w:evenHBand="0" w:firstRowFirstColumn="0" w:firstRowLastColumn="0" w:lastRowFirstColumn="0" w:lastRowLastColumn="0"/>
            <w:tcW w:w="1193" w:type="pct"/>
          </w:tcPr>
          <w:p w14:paraId="3CE4EEC2" w14:textId="3C322F3C" w:rsidR="00C54EC4" w:rsidRPr="00FB0A3A" w:rsidRDefault="00C54EC4" w:rsidP="00D241B1"/>
        </w:tc>
        <w:tc>
          <w:tcPr>
            <w:tcW w:w="1485" w:type="pct"/>
            <w:hideMark/>
          </w:tcPr>
          <w:p w14:paraId="35A85966" w14:textId="77777777" w:rsidR="00C54EC4" w:rsidRPr="00FB0A3A" w:rsidRDefault="00C54EC4" w:rsidP="00D241B1">
            <w:pPr>
              <w:cnfStyle w:val="000000000000" w:firstRow="0" w:lastRow="0" w:firstColumn="0" w:lastColumn="0" w:oddVBand="0" w:evenVBand="0" w:oddHBand="0" w:evenHBand="0" w:firstRowFirstColumn="0" w:firstRowLastColumn="0" w:lastRowFirstColumn="0" w:lastRowLastColumn="0"/>
            </w:pPr>
            <w:r w:rsidRPr="00FB0A3A">
              <w:t>Оборот</w:t>
            </w:r>
          </w:p>
        </w:tc>
        <w:tc>
          <w:tcPr>
            <w:tcW w:w="1204" w:type="pct"/>
            <w:noWrap/>
            <w:hideMark/>
          </w:tcPr>
          <w:p w14:paraId="167A7E7E" w14:textId="77777777" w:rsidR="00C54EC4" w:rsidRPr="00FB0A3A" w:rsidRDefault="00C54EC4" w:rsidP="00D241B1">
            <w:pPr>
              <w:cnfStyle w:val="000000000000" w:firstRow="0" w:lastRow="0" w:firstColumn="0" w:lastColumn="0" w:oddVBand="0" w:evenVBand="0" w:oddHBand="0" w:evenHBand="0" w:firstRowFirstColumn="0" w:firstRowLastColumn="0" w:lastRowFirstColumn="0" w:lastRowLastColumn="0"/>
            </w:pPr>
            <w:r w:rsidRPr="00FB0A3A">
              <w:t>7 739 052,76</w:t>
            </w:r>
          </w:p>
        </w:tc>
        <w:tc>
          <w:tcPr>
            <w:tcW w:w="1117" w:type="pct"/>
            <w:noWrap/>
            <w:hideMark/>
          </w:tcPr>
          <w:p w14:paraId="7453527B" w14:textId="77777777" w:rsidR="00C54EC4" w:rsidRPr="00FB0A3A" w:rsidRDefault="00C54EC4" w:rsidP="00D241B1">
            <w:pPr>
              <w:cnfStyle w:val="000000000000" w:firstRow="0" w:lastRow="0" w:firstColumn="0" w:lastColumn="0" w:oddVBand="0" w:evenVBand="0" w:oddHBand="0" w:evenHBand="0" w:firstRowFirstColumn="0" w:firstRowLastColumn="0" w:lastRowFirstColumn="0" w:lastRowLastColumn="0"/>
            </w:pPr>
            <w:r w:rsidRPr="00FB0A3A">
              <w:t>7 739 052,76</w:t>
            </w:r>
          </w:p>
        </w:tc>
      </w:tr>
    </w:tbl>
    <w:p w14:paraId="10220BC3" w14:textId="40296C75" w:rsidR="00F07616" w:rsidRPr="00D523AA" w:rsidRDefault="00F07616" w:rsidP="00C04ABD">
      <w:pPr>
        <w:pStyle w:val="afff4"/>
        <w:rPr>
          <w:highlight w:val="yellow"/>
          <w:lang w:val="ru-RU"/>
        </w:rPr>
      </w:pPr>
    </w:p>
    <w:tbl>
      <w:tblPr>
        <w:tblStyle w:val="afff6"/>
        <w:tblW w:w="5000" w:type="pct"/>
        <w:tblLayout w:type="fixed"/>
        <w:tblCellMar>
          <w:left w:w="85" w:type="dxa"/>
          <w:right w:w="85" w:type="dxa"/>
        </w:tblCellMar>
        <w:tblLook w:val="04A0" w:firstRow="1" w:lastRow="0" w:firstColumn="1" w:lastColumn="0" w:noHBand="0" w:noVBand="1"/>
      </w:tblPr>
      <w:tblGrid>
        <w:gridCol w:w="1314"/>
        <w:gridCol w:w="729"/>
        <w:gridCol w:w="856"/>
        <w:gridCol w:w="817"/>
        <w:gridCol w:w="808"/>
        <w:gridCol w:w="787"/>
        <w:gridCol w:w="839"/>
        <w:gridCol w:w="711"/>
        <w:gridCol w:w="848"/>
        <w:gridCol w:w="792"/>
        <w:gridCol w:w="843"/>
      </w:tblGrid>
      <w:tr w:rsidR="00A0366B" w:rsidRPr="00296C71" w14:paraId="6A055689" w14:textId="77777777" w:rsidTr="009071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AC15476" w14:textId="77777777" w:rsidR="00CD259F" w:rsidRPr="00296C71" w:rsidRDefault="00CD259F" w:rsidP="00375FAD">
            <w:pPr>
              <w:tabs>
                <w:tab w:val="left" w:pos="1134"/>
              </w:tabs>
              <w:jc w:val="center"/>
              <w:rPr>
                <w:rFonts w:cs="Myriad Pro"/>
                <w:sz w:val="16"/>
                <w:szCs w:val="16"/>
              </w:rPr>
            </w:pPr>
            <w:r w:rsidRPr="00296C71">
              <w:rPr>
                <w:rFonts w:cs="Myriad Pro"/>
                <w:sz w:val="16"/>
                <w:szCs w:val="16"/>
              </w:rPr>
              <w:t>Наименование</w:t>
            </w:r>
          </w:p>
        </w:tc>
        <w:tc>
          <w:tcPr>
            <w:tcW w:w="160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5D20D02" w14:textId="77777777" w:rsidR="00CD259F" w:rsidRPr="00296C71" w:rsidRDefault="00CD259F" w:rsidP="00375FAD">
            <w:pPr>
              <w:tabs>
                <w:tab w:val="left" w:pos="1134"/>
              </w:tabs>
              <w:cnfStyle w:val="100000000000" w:firstRow="1" w:lastRow="0" w:firstColumn="0" w:lastColumn="0" w:oddVBand="0" w:evenVBand="0" w:oddHBand="0" w:evenHBand="0" w:firstRowFirstColumn="0" w:firstRowLastColumn="0" w:lastRowFirstColumn="0" w:lastRowLastColumn="0"/>
              <w:rPr>
                <w:rFonts w:cs="Myriad Pro"/>
                <w:sz w:val="16"/>
                <w:szCs w:val="16"/>
              </w:rPr>
            </w:pPr>
            <w:r w:rsidRPr="00296C71">
              <w:rPr>
                <w:rFonts w:cs="Myriad Pro"/>
                <w:sz w:val="16"/>
                <w:szCs w:val="16"/>
              </w:rPr>
              <w:t>2014</w:t>
            </w:r>
          </w:p>
        </w:tc>
        <w:tc>
          <w:tcPr>
            <w:tcW w:w="164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649CCE9" w14:textId="77777777" w:rsidR="00CD259F" w:rsidRPr="00296C71" w:rsidRDefault="00CD259F" w:rsidP="00375FAD">
            <w:pPr>
              <w:tabs>
                <w:tab w:val="left" w:pos="1134"/>
              </w:tabs>
              <w:cnfStyle w:val="100000000000" w:firstRow="1" w:lastRow="0" w:firstColumn="0" w:lastColumn="0" w:oddVBand="0" w:evenVBand="0" w:oddHBand="0" w:evenHBand="0" w:firstRowFirstColumn="0" w:firstRowLastColumn="0" w:lastRowFirstColumn="0" w:lastRowLastColumn="0"/>
              <w:rPr>
                <w:rFonts w:cs="Myriad Pro"/>
                <w:sz w:val="16"/>
                <w:szCs w:val="16"/>
              </w:rPr>
            </w:pPr>
            <w:r w:rsidRPr="00296C71">
              <w:rPr>
                <w:rFonts w:cs="Myriad Pro"/>
                <w:sz w:val="16"/>
                <w:szCs w:val="16"/>
              </w:rPr>
              <w:t>2015</w:t>
            </w:r>
          </w:p>
        </w:tc>
        <w:tc>
          <w:tcPr>
            <w:tcW w:w="165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846CF8C" w14:textId="77777777" w:rsidR="00CD259F" w:rsidRPr="00296C71" w:rsidRDefault="00CD259F" w:rsidP="00375FAD">
            <w:pPr>
              <w:tabs>
                <w:tab w:val="left" w:pos="1134"/>
              </w:tabs>
              <w:cnfStyle w:val="100000000000" w:firstRow="1" w:lastRow="0" w:firstColumn="0" w:lastColumn="0" w:oddVBand="0" w:evenVBand="0" w:oddHBand="0" w:evenHBand="0" w:firstRowFirstColumn="0" w:firstRowLastColumn="0" w:lastRowFirstColumn="0" w:lastRowLastColumn="0"/>
              <w:rPr>
                <w:rFonts w:cs="Myriad Pro"/>
                <w:sz w:val="16"/>
                <w:szCs w:val="16"/>
              </w:rPr>
            </w:pPr>
            <w:r w:rsidRPr="00296C71">
              <w:rPr>
                <w:rFonts w:cs="Myriad Pro"/>
                <w:sz w:val="16"/>
                <w:szCs w:val="16"/>
              </w:rPr>
              <w:t>2016</w:t>
            </w:r>
          </w:p>
        </w:tc>
        <w:tc>
          <w:tcPr>
            <w:tcW w:w="7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F9523F2" w14:textId="77777777" w:rsidR="00CD259F" w:rsidRPr="00296C71" w:rsidRDefault="00CD259F" w:rsidP="00375FAD">
            <w:pPr>
              <w:tabs>
                <w:tab w:val="left" w:pos="1134"/>
              </w:tabs>
              <w:jc w:val="right"/>
              <w:cnfStyle w:val="100000000000" w:firstRow="1" w:lastRow="0" w:firstColumn="0" w:lastColumn="0" w:oddVBand="0" w:evenVBand="0" w:oddHBand="0" w:evenHBand="0" w:firstRowFirstColumn="0" w:firstRowLastColumn="0" w:lastRowFirstColumn="0" w:lastRowLastColumn="0"/>
              <w:rPr>
                <w:rFonts w:cs="Myriad Pro"/>
                <w:sz w:val="16"/>
                <w:szCs w:val="16"/>
              </w:rPr>
            </w:pPr>
            <w:r w:rsidRPr="00296C71">
              <w:rPr>
                <w:rFonts w:cs="Myriad Pro"/>
                <w:sz w:val="16"/>
                <w:szCs w:val="16"/>
              </w:rPr>
              <w:t>2017</w:t>
            </w:r>
          </w:p>
        </w:tc>
        <w:tc>
          <w:tcPr>
            <w:tcW w:w="86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790DEF2" w14:textId="07C80941" w:rsidR="00CD259F" w:rsidRPr="00296C71" w:rsidRDefault="00053456" w:rsidP="00375FAD">
            <w:pPr>
              <w:tabs>
                <w:tab w:val="left" w:pos="1134"/>
              </w:tabs>
              <w:cnfStyle w:val="100000000000" w:firstRow="1" w:lastRow="0" w:firstColumn="0" w:lastColumn="0" w:oddVBand="0" w:evenVBand="0" w:oddHBand="0" w:evenHBand="0" w:firstRowFirstColumn="0" w:firstRowLastColumn="0" w:lastRowFirstColumn="0" w:lastRowLastColumn="0"/>
              <w:rPr>
                <w:rFonts w:cs="Myriad Pro"/>
                <w:sz w:val="16"/>
                <w:szCs w:val="16"/>
              </w:rPr>
            </w:pPr>
            <w:r w:rsidRPr="00296C71">
              <w:rPr>
                <w:rFonts w:cs="Myriad Pro"/>
                <w:sz w:val="16"/>
                <w:szCs w:val="16"/>
              </w:rPr>
              <w:t>С</w:t>
            </w:r>
            <w:r w:rsidR="00CD259F" w:rsidRPr="00296C71">
              <w:rPr>
                <w:rFonts w:cs="Myriad Pro"/>
                <w:sz w:val="16"/>
                <w:szCs w:val="16"/>
              </w:rPr>
              <w:t>реднее за 2014-2017 гг.</w:t>
            </w:r>
          </w:p>
        </w:tc>
        <w:tc>
          <w:tcPr>
            <w:tcW w:w="166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BC5B032" w14:textId="77777777" w:rsidR="00CD259F" w:rsidRPr="00296C71" w:rsidRDefault="00CD259F" w:rsidP="00375FAD">
            <w:pPr>
              <w:tabs>
                <w:tab w:val="left" w:pos="1134"/>
              </w:tabs>
              <w:cnfStyle w:val="100000000000" w:firstRow="1" w:lastRow="0" w:firstColumn="0" w:lastColumn="0" w:oddVBand="0" w:evenVBand="0" w:oddHBand="0" w:evenHBand="0" w:firstRowFirstColumn="0" w:firstRowLastColumn="0" w:lastRowFirstColumn="0" w:lastRowLastColumn="0"/>
              <w:rPr>
                <w:rFonts w:cs="Myriad Pro"/>
                <w:sz w:val="16"/>
                <w:szCs w:val="16"/>
              </w:rPr>
            </w:pPr>
            <w:r w:rsidRPr="00296C71">
              <w:rPr>
                <w:rFonts w:cs="Myriad Pro"/>
                <w:sz w:val="16"/>
                <w:szCs w:val="16"/>
              </w:rPr>
              <w:t>2019</w:t>
            </w:r>
          </w:p>
        </w:tc>
      </w:tr>
      <w:tr w:rsidR="00907125" w:rsidRPr="00296C71" w14:paraId="016D50D9" w14:textId="77777777" w:rsidTr="00907125">
        <w:tc>
          <w:tcPr>
            <w:cnfStyle w:val="001000000000" w:firstRow="0" w:lastRow="0" w:firstColumn="1" w:lastColumn="0" w:oddVBand="0" w:evenVBand="0" w:oddHBand="0" w:evenHBand="0" w:firstRowFirstColumn="0" w:firstRowLastColumn="0" w:lastRowFirstColumn="0" w:lastRowLastColumn="0"/>
            <w:tcW w:w="133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69D5C705" w14:textId="77777777" w:rsidR="00CD259F" w:rsidRPr="00296C71" w:rsidRDefault="00CD259F" w:rsidP="00375FAD">
            <w:pPr>
              <w:tabs>
                <w:tab w:val="left" w:pos="1134"/>
              </w:tabs>
              <w:rPr>
                <w:rFonts w:cs="Myriad Pro"/>
                <w:color w:val="FFFFFF" w:themeColor="background1"/>
                <w:sz w:val="16"/>
                <w:szCs w:val="16"/>
              </w:rPr>
            </w:pPr>
          </w:p>
        </w:tc>
        <w:tc>
          <w:tcPr>
            <w:tcW w:w="7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4940F151" w14:textId="0FA442D5" w:rsidR="00CD259F" w:rsidRPr="00296C71" w:rsidRDefault="00053456" w:rsidP="00375FAD">
            <w:pPr>
              <w:tabs>
                <w:tab w:val="left" w:pos="1134"/>
              </w:tabs>
              <w:cnfStyle w:val="000000000000" w:firstRow="0" w:lastRow="0" w:firstColumn="0" w:lastColumn="0" w:oddVBand="0" w:evenVBand="0" w:oddHBand="0" w:evenHBand="0" w:firstRowFirstColumn="0" w:firstRowLastColumn="0" w:lastRowFirstColumn="0" w:lastRowLastColumn="0"/>
              <w:rPr>
                <w:rFonts w:cs="Myriad Pro"/>
                <w:color w:val="FFFFFF" w:themeColor="background1"/>
                <w:sz w:val="16"/>
                <w:szCs w:val="16"/>
              </w:rPr>
            </w:pPr>
            <w:r w:rsidRPr="00296C71">
              <w:rPr>
                <w:rFonts w:cs="Myriad Pro"/>
                <w:color w:val="FFFFFF" w:themeColor="background1"/>
                <w:sz w:val="16"/>
                <w:szCs w:val="16"/>
              </w:rPr>
              <w:t>Ф</w:t>
            </w:r>
            <w:r w:rsidR="00CD259F" w:rsidRPr="00296C71">
              <w:rPr>
                <w:rFonts w:cs="Myriad Pro"/>
                <w:color w:val="FFFFFF" w:themeColor="background1"/>
                <w:sz w:val="16"/>
                <w:szCs w:val="16"/>
              </w:rPr>
              <w:t>акт</w:t>
            </w:r>
          </w:p>
        </w:tc>
        <w:tc>
          <w:tcPr>
            <w:tcW w:w="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5B769CD8" w14:textId="3782A109" w:rsidR="00CD259F" w:rsidRPr="00296C71" w:rsidRDefault="00053456" w:rsidP="00375FAD">
            <w:pPr>
              <w:tabs>
                <w:tab w:val="left" w:pos="1134"/>
              </w:tabs>
              <w:cnfStyle w:val="000000000000" w:firstRow="0" w:lastRow="0" w:firstColumn="0" w:lastColumn="0" w:oddVBand="0" w:evenVBand="0" w:oddHBand="0" w:evenHBand="0" w:firstRowFirstColumn="0" w:firstRowLastColumn="0" w:lastRowFirstColumn="0" w:lastRowLastColumn="0"/>
              <w:rPr>
                <w:rFonts w:cs="Myriad Pro"/>
                <w:color w:val="FFFFFF" w:themeColor="background1"/>
                <w:sz w:val="16"/>
                <w:szCs w:val="16"/>
              </w:rPr>
            </w:pPr>
            <w:r w:rsidRPr="00296C71">
              <w:rPr>
                <w:rFonts w:cs="Myriad Pro"/>
                <w:color w:val="FFFFFF" w:themeColor="background1"/>
                <w:sz w:val="16"/>
                <w:szCs w:val="16"/>
              </w:rPr>
              <w:t xml:space="preserve">Факт </w:t>
            </w:r>
            <w:r w:rsidR="00CD259F" w:rsidRPr="00296C71">
              <w:rPr>
                <w:rFonts w:cs="Myriad Pro"/>
                <w:color w:val="FFFFFF" w:themeColor="background1"/>
                <w:sz w:val="16"/>
                <w:szCs w:val="16"/>
              </w:rPr>
              <w:t>привед. к 2017 г. с учетом ИПЦ</w:t>
            </w:r>
          </w:p>
        </w:tc>
        <w:tc>
          <w:tcPr>
            <w:tcW w:w="8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706C044D" w14:textId="6FEE8827" w:rsidR="00CD259F" w:rsidRPr="00296C71" w:rsidRDefault="00053456" w:rsidP="00375FAD">
            <w:pPr>
              <w:tabs>
                <w:tab w:val="left" w:pos="1134"/>
              </w:tabs>
              <w:cnfStyle w:val="000000000000" w:firstRow="0" w:lastRow="0" w:firstColumn="0" w:lastColumn="0" w:oddVBand="0" w:evenVBand="0" w:oddHBand="0" w:evenHBand="0" w:firstRowFirstColumn="0" w:firstRowLastColumn="0" w:lastRowFirstColumn="0" w:lastRowLastColumn="0"/>
              <w:rPr>
                <w:rFonts w:cs="Myriad Pro"/>
                <w:color w:val="FFFFFF" w:themeColor="background1"/>
                <w:sz w:val="16"/>
                <w:szCs w:val="16"/>
              </w:rPr>
            </w:pPr>
            <w:r w:rsidRPr="00296C71">
              <w:rPr>
                <w:rFonts w:cs="Myriad Pro"/>
                <w:color w:val="FFFFFF" w:themeColor="background1"/>
                <w:sz w:val="16"/>
                <w:szCs w:val="16"/>
              </w:rPr>
              <w:t>Факт</w:t>
            </w:r>
          </w:p>
        </w:tc>
        <w:tc>
          <w:tcPr>
            <w:tcW w:w="8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7AEDE525" w14:textId="16D45C9C" w:rsidR="00CD259F" w:rsidRPr="00296C71" w:rsidRDefault="00053456" w:rsidP="00375FAD">
            <w:pPr>
              <w:tabs>
                <w:tab w:val="left" w:pos="1134"/>
              </w:tabs>
              <w:cnfStyle w:val="000000000000" w:firstRow="0" w:lastRow="0" w:firstColumn="0" w:lastColumn="0" w:oddVBand="0" w:evenVBand="0" w:oddHBand="0" w:evenHBand="0" w:firstRowFirstColumn="0" w:firstRowLastColumn="0" w:lastRowFirstColumn="0" w:lastRowLastColumn="0"/>
              <w:rPr>
                <w:rFonts w:cs="Myriad Pro"/>
                <w:color w:val="FFFFFF" w:themeColor="background1"/>
                <w:sz w:val="16"/>
                <w:szCs w:val="16"/>
              </w:rPr>
            </w:pPr>
            <w:r w:rsidRPr="00296C71">
              <w:rPr>
                <w:rFonts w:cs="Myriad Pro"/>
                <w:color w:val="FFFFFF" w:themeColor="background1"/>
                <w:sz w:val="16"/>
                <w:szCs w:val="16"/>
              </w:rPr>
              <w:t xml:space="preserve">Факт </w:t>
            </w:r>
            <w:r w:rsidR="00CD259F" w:rsidRPr="00296C71">
              <w:rPr>
                <w:rFonts w:cs="Myriad Pro"/>
                <w:color w:val="FFFFFF" w:themeColor="background1"/>
                <w:sz w:val="16"/>
                <w:szCs w:val="16"/>
              </w:rPr>
              <w:t>привед. к 2017 г. с учетом ИПЦ</w:t>
            </w:r>
          </w:p>
        </w:tc>
        <w:tc>
          <w:tcPr>
            <w:tcW w:w="7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37CC14B" w14:textId="0D284A1A" w:rsidR="00CD259F" w:rsidRPr="00296C71" w:rsidRDefault="00053456" w:rsidP="00375FAD">
            <w:pPr>
              <w:tabs>
                <w:tab w:val="left" w:pos="1134"/>
              </w:tabs>
              <w:cnfStyle w:val="000000000000" w:firstRow="0" w:lastRow="0" w:firstColumn="0" w:lastColumn="0" w:oddVBand="0" w:evenVBand="0" w:oddHBand="0" w:evenHBand="0" w:firstRowFirstColumn="0" w:firstRowLastColumn="0" w:lastRowFirstColumn="0" w:lastRowLastColumn="0"/>
              <w:rPr>
                <w:rFonts w:cs="Myriad Pro"/>
                <w:color w:val="FFFFFF" w:themeColor="background1"/>
                <w:sz w:val="16"/>
                <w:szCs w:val="16"/>
              </w:rPr>
            </w:pPr>
            <w:r w:rsidRPr="00296C71">
              <w:rPr>
                <w:rFonts w:cs="Myriad Pro"/>
                <w:color w:val="FFFFFF" w:themeColor="background1"/>
                <w:sz w:val="16"/>
                <w:szCs w:val="16"/>
              </w:rPr>
              <w:t>Факт</w:t>
            </w:r>
          </w:p>
        </w:tc>
        <w:tc>
          <w:tcPr>
            <w:tcW w:w="8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34100FAC" w14:textId="7F4E7514" w:rsidR="00CD259F" w:rsidRPr="00296C71" w:rsidRDefault="00053456" w:rsidP="00375FAD">
            <w:pPr>
              <w:tabs>
                <w:tab w:val="left" w:pos="1134"/>
              </w:tabs>
              <w:cnfStyle w:val="000000000000" w:firstRow="0" w:lastRow="0" w:firstColumn="0" w:lastColumn="0" w:oddVBand="0" w:evenVBand="0" w:oddHBand="0" w:evenHBand="0" w:firstRowFirstColumn="0" w:firstRowLastColumn="0" w:lastRowFirstColumn="0" w:lastRowLastColumn="0"/>
              <w:rPr>
                <w:rFonts w:cs="Myriad Pro"/>
                <w:color w:val="FFFFFF" w:themeColor="background1"/>
                <w:sz w:val="16"/>
                <w:szCs w:val="16"/>
              </w:rPr>
            </w:pPr>
            <w:r w:rsidRPr="00296C71">
              <w:rPr>
                <w:rFonts w:cs="Myriad Pro"/>
                <w:color w:val="FFFFFF" w:themeColor="background1"/>
                <w:sz w:val="16"/>
                <w:szCs w:val="16"/>
              </w:rPr>
              <w:t xml:space="preserve">Факт </w:t>
            </w:r>
            <w:r w:rsidR="00CD259F" w:rsidRPr="00296C71">
              <w:rPr>
                <w:rFonts w:cs="Myriad Pro"/>
                <w:color w:val="FFFFFF" w:themeColor="background1"/>
                <w:sz w:val="16"/>
                <w:szCs w:val="16"/>
              </w:rPr>
              <w:t>привед. к 2017 г. с учетом ИПЦ</w:t>
            </w:r>
          </w:p>
        </w:tc>
        <w:tc>
          <w:tcPr>
            <w:tcW w:w="7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67360084" w14:textId="44B20559" w:rsidR="00CD259F" w:rsidRPr="00296C71" w:rsidRDefault="00053456" w:rsidP="00375FAD">
            <w:pPr>
              <w:tabs>
                <w:tab w:val="left" w:pos="1134"/>
              </w:tabs>
              <w:cnfStyle w:val="000000000000" w:firstRow="0" w:lastRow="0" w:firstColumn="0" w:lastColumn="0" w:oddVBand="0" w:evenVBand="0" w:oddHBand="0" w:evenHBand="0" w:firstRowFirstColumn="0" w:firstRowLastColumn="0" w:lastRowFirstColumn="0" w:lastRowLastColumn="0"/>
              <w:rPr>
                <w:rFonts w:cs="Myriad Pro"/>
                <w:color w:val="FFFFFF" w:themeColor="background1"/>
                <w:sz w:val="16"/>
                <w:szCs w:val="16"/>
              </w:rPr>
            </w:pPr>
            <w:r w:rsidRPr="00296C71">
              <w:rPr>
                <w:rFonts w:cs="Myriad Pro"/>
                <w:color w:val="FFFFFF" w:themeColor="background1"/>
                <w:sz w:val="16"/>
                <w:szCs w:val="16"/>
              </w:rPr>
              <w:t>Факт</w:t>
            </w:r>
          </w:p>
        </w:tc>
        <w:tc>
          <w:tcPr>
            <w:tcW w:w="86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DBEA94A" w14:textId="77777777" w:rsidR="00CD259F" w:rsidRPr="00296C71" w:rsidRDefault="00CD259F" w:rsidP="00375FAD">
            <w:pPr>
              <w:tabs>
                <w:tab w:val="left" w:pos="1134"/>
              </w:tabs>
              <w:cnfStyle w:val="000000000000" w:firstRow="0" w:lastRow="0" w:firstColumn="0" w:lastColumn="0" w:oddVBand="0" w:evenVBand="0" w:oddHBand="0" w:evenHBand="0" w:firstRowFirstColumn="0" w:firstRowLastColumn="0" w:lastRowFirstColumn="0" w:lastRowLastColumn="0"/>
              <w:rPr>
                <w:rFonts w:cs="Myriad Pro"/>
                <w:color w:val="FFFFFF" w:themeColor="background1"/>
                <w:sz w:val="16"/>
                <w:szCs w:val="16"/>
              </w:rPr>
            </w:pPr>
          </w:p>
        </w:tc>
        <w:tc>
          <w:tcPr>
            <w:tcW w:w="8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0E1B171A" w14:textId="3FC9B0A7" w:rsidR="00CD259F" w:rsidRPr="00296C71" w:rsidRDefault="00053456" w:rsidP="00375FAD">
            <w:pPr>
              <w:tabs>
                <w:tab w:val="left" w:pos="586"/>
              </w:tabs>
              <w:cnfStyle w:val="000000000000" w:firstRow="0" w:lastRow="0" w:firstColumn="0" w:lastColumn="0" w:oddVBand="0" w:evenVBand="0" w:oddHBand="0" w:evenHBand="0" w:firstRowFirstColumn="0" w:firstRowLastColumn="0" w:lastRowFirstColumn="0" w:lastRowLastColumn="0"/>
              <w:rPr>
                <w:rFonts w:cs="Myriad Pro"/>
                <w:color w:val="FFFFFF" w:themeColor="background1"/>
                <w:sz w:val="16"/>
                <w:szCs w:val="16"/>
              </w:rPr>
            </w:pPr>
            <w:r w:rsidRPr="00296C71">
              <w:rPr>
                <w:rFonts w:cs="Myriad Pro"/>
                <w:color w:val="FFFFFF" w:themeColor="background1"/>
                <w:sz w:val="16"/>
                <w:szCs w:val="16"/>
              </w:rPr>
              <w:t>П</w:t>
            </w:r>
            <w:r w:rsidR="00CD259F" w:rsidRPr="00296C71">
              <w:rPr>
                <w:rFonts w:cs="Myriad Pro"/>
                <w:color w:val="FFFFFF" w:themeColor="background1"/>
                <w:sz w:val="16"/>
                <w:szCs w:val="16"/>
              </w:rPr>
              <w:t>редло</w:t>
            </w:r>
          </w:p>
          <w:p w14:paraId="36712D7C" w14:textId="705BD584" w:rsidR="00CD259F" w:rsidRPr="00296C71" w:rsidRDefault="00CD259F" w:rsidP="00375FAD">
            <w:pPr>
              <w:tabs>
                <w:tab w:val="left" w:pos="586"/>
              </w:tabs>
              <w:cnfStyle w:val="000000000000" w:firstRow="0" w:lastRow="0" w:firstColumn="0" w:lastColumn="0" w:oddVBand="0" w:evenVBand="0" w:oddHBand="0" w:evenHBand="0" w:firstRowFirstColumn="0" w:firstRowLastColumn="0" w:lastRowFirstColumn="0" w:lastRowLastColumn="0"/>
              <w:rPr>
                <w:rFonts w:cs="Myriad Pro"/>
                <w:color w:val="FFFFFF" w:themeColor="background1"/>
                <w:sz w:val="16"/>
                <w:szCs w:val="16"/>
              </w:rPr>
            </w:pPr>
            <w:r w:rsidRPr="00296C71">
              <w:rPr>
                <w:rFonts w:cs="Myriad Pro"/>
                <w:color w:val="FFFFFF" w:themeColor="background1"/>
                <w:sz w:val="16"/>
                <w:szCs w:val="16"/>
              </w:rPr>
              <w:t>жение Филиала</w:t>
            </w:r>
          </w:p>
        </w:tc>
        <w:tc>
          <w:tcPr>
            <w:tcW w:w="8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DA669A8" w14:textId="1387EB92" w:rsidR="00CD259F" w:rsidRPr="00296C71" w:rsidRDefault="00053456" w:rsidP="00375FAD">
            <w:pPr>
              <w:tabs>
                <w:tab w:val="left" w:pos="1134"/>
              </w:tabs>
              <w:cnfStyle w:val="000000000000" w:firstRow="0" w:lastRow="0" w:firstColumn="0" w:lastColumn="0" w:oddVBand="0" w:evenVBand="0" w:oddHBand="0" w:evenHBand="0" w:firstRowFirstColumn="0" w:firstRowLastColumn="0" w:lastRowFirstColumn="0" w:lastRowLastColumn="0"/>
              <w:rPr>
                <w:rFonts w:cs="Myriad Pro"/>
                <w:color w:val="FFFFFF" w:themeColor="background1"/>
                <w:sz w:val="16"/>
                <w:szCs w:val="16"/>
              </w:rPr>
            </w:pPr>
            <w:r w:rsidRPr="00296C71">
              <w:rPr>
                <w:rFonts w:cs="Myriad Pro"/>
                <w:color w:val="FFFFFF" w:themeColor="background1"/>
                <w:sz w:val="16"/>
                <w:szCs w:val="16"/>
              </w:rPr>
              <w:t>П</w:t>
            </w:r>
            <w:r w:rsidR="00CD259F" w:rsidRPr="00296C71">
              <w:rPr>
                <w:rFonts w:cs="Myriad Pro"/>
                <w:color w:val="FFFFFF" w:themeColor="background1"/>
                <w:sz w:val="16"/>
                <w:szCs w:val="16"/>
              </w:rPr>
              <w:t>редло</w:t>
            </w:r>
          </w:p>
          <w:p w14:paraId="20578754" w14:textId="77777777" w:rsidR="00CD259F" w:rsidRPr="00296C71" w:rsidRDefault="00CD259F" w:rsidP="00375FAD">
            <w:pPr>
              <w:tabs>
                <w:tab w:val="left" w:pos="1134"/>
              </w:tabs>
              <w:cnfStyle w:val="000000000000" w:firstRow="0" w:lastRow="0" w:firstColumn="0" w:lastColumn="0" w:oddVBand="0" w:evenVBand="0" w:oddHBand="0" w:evenHBand="0" w:firstRowFirstColumn="0" w:firstRowLastColumn="0" w:lastRowFirstColumn="0" w:lastRowLastColumn="0"/>
              <w:rPr>
                <w:rFonts w:cs="Myriad Pro"/>
                <w:color w:val="FFFFFF" w:themeColor="background1"/>
                <w:sz w:val="16"/>
                <w:szCs w:val="16"/>
              </w:rPr>
            </w:pPr>
            <w:r w:rsidRPr="00296C71">
              <w:rPr>
                <w:rFonts w:cs="Myriad Pro"/>
                <w:color w:val="FFFFFF" w:themeColor="background1"/>
                <w:sz w:val="16"/>
                <w:szCs w:val="16"/>
              </w:rPr>
              <w:t>жение Испол</w:t>
            </w:r>
          </w:p>
          <w:p w14:paraId="2EEAD154" w14:textId="21B814AF" w:rsidR="00CD259F" w:rsidRPr="00296C71" w:rsidRDefault="00CD259F" w:rsidP="00375FAD">
            <w:pPr>
              <w:tabs>
                <w:tab w:val="left" w:pos="1134"/>
              </w:tabs>
              <w:cnfStyle w:val="000000000000" w:firstRow="0" w:lastRow="0" w:firstColumn="0" w:lastColumn="0" w:oddVBand="0" w:evenVBand="0" w:oddHBand="0" w:evenHBand="0" w:firstRowFirstColumn="0" w:firstRowLastColumn="0" w:lastRowFirstColumn="0" w:lastRowLastColumn="0"/>
              <w:rPr>
                <w:rFonts w:cs="Myriad Pro"/>
                <w:color w:val="FFFFFF" w:themeColor="background1"/>
                <w:sz w:val="16"/>
                <w:szCs w:val="16"/>
              </w:rPr>
            </w:pPr>
            <w:r w:rsidRPr="00296C71">
              <w:rPr>
                <w:rFonts w:cs="Myriad Pro"/>
                <w:color w:val="FFFFFF" w:themeColor="background1"/>
                <w:sz w:val="16"/>
                <w:szCs w:val="16"/>
              </w:rPr>
              <w:t xml:space="preserve">нителя, с учетом ИПЦ </w:t>
            </w:r>
          </w:p>
        </w:tc>
      </w:tr>
      <w:tr w:rsidR="00A0366B" w:rsidRPr="00296C71" w14:paraId="511431C4" w14:textId="77777777" w:rsidTr="00907125">
        <w:tc>
          <w:tcPr>
            <w:cnfStyle w:val="001000000000" w:firstRow="0" w:lastRow="0" w:firstColumn="1" w:lastColumn="0" w:oddVBand="0" w:evenVBand="0" w:oddHBand="0" w:evenHBand="0" w:firstRowFirstColumn="0" w:firstRowLastColumn="0" w:lastRowFirstColumn="0" w:lastRowLastColumn="0"/>
            <w:tcW w:w="1335" w:type="dxa"/>
            <w:tcBorders>
              <w:top w:val="single" w:sz="4" w:space="0" w:color="FFFFFF" w:themeColor="background1"/>
            </w:tcBorders>
            <w:hideMark/>
          </w:tcPr>
          <w:p w14:paraId="59C33354" w14:textId="77777777" w:rsidR="00902559" w:rsidRPr="00296C71" w:rsidRDefault="00902559" w:rsidP="00375FAD">
            <w:pPr>
              <w:tabs>
                <w:tab w:val="left" w:pos="1134"/>
              </w:tabs>
              <w:rPr>
                <w:rFonts w:cs="Myriad Pro"/>
                <w:b/>
                <w:sz w:val="16"/>
                <w:szCs w:val="16"/>
              </w:rPr>
            </w:pPr>
            <w:r w:rsidRPr="00296C71">
              <w:rPr>
                <w:rFonts w:cs="Myriad Pro"/>
                <w:b/>
                <w:sz w:val="16"/>
                <w:szCs w:val="16"/>
              </w:rPr>
              <w:t>Итого материалы</w:t>
            </w:r>
          </w:p>
        </w:tc>
        <w:tc>
          <w:tcPr>
            <w:tcW w:w="740" w:type="dxa"/>
            <w:tcBorders>
              <w:top w:val="single" w:sz="4" w:space="0" w:color="FFFFFF" w:themeColor="background1"/>
            </w:tcBorders>
            <w:hideMark/>
          </w:tcPr>
          <w:p w14:paraId="3094F496" w14:textId="19E38471" w:rsidR="00902559" w:rsidRPr="00296C71" w:rsidRDefault="00902559" w:rsidP="00375FAD">
            <w:pPr>
              <w:tabs>
                <w:tab w:val="left" w:pos="1134"/>
              </w:tabs>
              <w:cnfStyle w:val="000000000000" w:firstRow="0" w:lastRow="0" w:firstColumn="0" w:lastColumn="0" w:oddVBand="0" w:evenVBand="0" w:oddHBand="0" w:evenHBand="0" w:firstRowFirstColumn="0" w:firstRowLastColumn="0" w:lastRowFirstColumn="0" w:lastRowLastColumn="0"/>
              <w:rPr>
                <w:rFonts w:cs="Myriad Pro"/>
                <w:b/>
                <w:sz w:val="16"/>
                <w:szCs w:val="16"/>
              </w:rPr>
            </w:pPr>
            <w:r w:rsidRPr="00296C71">
              <w:rPr>
                <w:rFonts w:cs="Myriad Pro"/>
                <w:b/>
                <w:sz w:val="16"/>
                <w:szCs w:val="16"/>
              </w:rPr>
              <w:t>152 036</w:t>
            </w:r>
          </w:p>
        </w:tc>
        <w:tc>
          <w:tcPr>
            <w:tcW w:w="869" w:type="dxa"/>
            <w:tcBorders>
              <w:top w:val="single" w:sz="4" w:space="0" w:color="FFFFFF" w:themeColor="background1"/>
            </w:tcBorders>
            <w:hideMark/>
          </w:tcPr>
          <w:p w14:paraId="5D77DFFA" w14:textId="77777777" w:rsidR="00902559" w:rsidRPr="00296C71" w:rsidRDefault="00902559" w:rsidP="00375FAD">
            <w:pPr>
              <w:tabs>
                <w:tab w:val="left" w:pos="1134"/>
              </w:tabs>
              <w:cnfStyle w:val="000000000000" w:firstRow="0" w:lastRow="0" w:firstColumn="0" w:lastColumn="0" w:oddVBand="0" w:evenVBand="0" w:oddHBand="0" w:evenHBand="0" w:firstRowFirstColumn="0" w:firstRowLastColumn="0" w:lastRowFirstColumn="0" w:lastRowLastColumn="0"/>
              <w:rPr>
                <w:rFonts w:cs="Myriad Pro"/>
                <w:b/>
                <w:sz w:val="16"/>
                <w:szCs w:val="16"/>
              </w:rPr>
            </w:pPr>
            <w:r w:rsidRPr="00296C71">
              <w:rPr>
                <w:rFonts w:cs="Myriad Pro"/>
                <w:b/>
                <w:sz w:val="16"/>
                <w:szCs w:val="16"/>
              </w:rPr>
              <w:t>194 968</w:t>
            </w:r>
          </w:p>
        </w:tc>
        <w:tc>
          <w:tcPr>
            <w:tcW w:w="829" w:type="dxa"/>
            <w:tcBorders>
              <w:top w:val="single" w:sz="4" w:space="0" w:color="FFFFFF" w:themeColor="background1"/>
            </w:tcBorders>
            <w:hideMark/>
          </w:tcPr>
          <w:p w14:paraId="5AD87095" w14:textId="29529461" w:rsidR="00902559" w:rsidRPr="00296C71" w:rsidRDefault="00902559" w:rsidP="00375FAD">
            <w:pPr>
              <w:tabs>
                <w:tab w:val="left" w:pos="1134"/>
              </w:tabs>
              <w:cnfStyle w:val="000000000000" w:firstRow="0" w:lastRow="0" w:firstColumn="0" w:lastColumn="0" w:oddVBand="0" w:evenVBand="0" w:oddHBand="0" w:evenHBand="0" w:firstRowFirstColumn="0" w:firstRowLastColumn="0" w:lastRowFirstColumn="0" w:lastRowLastColumn="0"/>
              <w:rPr>
                <w:rFonts w:cs="Myriad Pro"/>
                <w:b/>
                <w:sz w:val="16"/>
                <w:szCs w:val="16"/>
              </w:rPr>
            </w:pPr>
            <w:r w:rsidRPr="00296C71">
              <w:rPr>
                <w:rFonts w:cs="Myriad Pro"/>
                <w:b/>
                <w:sz w:val="16"/>
                <w:szCs w:val="16"/>
              </w:rPr>
              <w:t>138 938</w:t>
            </w:r>
          </w:p>
        </w:tc>
        <w:tc>
          <w:tcPr>
            <w:tcW w:w="820" w:type="dxa"/>
            <w:tcBorders>
              <w:top w:val="single" w:sz="4" w:space="0" w:color="FFFFFF" w:themeColor="background1"/>
            </w:tcBorders>
            <w:hideMark/>
          </w:tcPr>
          <w:p w14:paraId="3C63DA26" w14:textId="77777777" w:rsidR="00902559" w:rsidRPr="00296C71" w:rsidRDefault="00902559" w:rsidP="00375FAD">
            <w:pPr>
              <w:tabs>
                <w:tab w:val="left" w:pos="1134"/>
              </w:tabs>
              <w:cnfStyle w:val="000000000000" w:firstRow="0" w:lastRow="0" w:firstColumn="0" w:lastColumn="0" w:oddVBand="0" w:evenVBand="0" w:oddHBand="0" w:evenHBand="0" w:firstRowFirstColumn="0" w:firstRowLastColumn="0" w:lastRowFirstColumn="0" w:lastRowLastColumn="0"/>
              <w:rPr>
                <w:rFonts w:cs="Myriad Pro"/>
                <w:b/>
                <w:sz w:val="16"/>
                <w:szCs w:val="16"/>
              </w:rPr>
            </w:pPr>
            <w:r w:rsidRPr="00296C71">
              <w:rPr>
                <w:rFonts w:cs="Myriad Pro"/>
                <w:b/>
                <w:sz w:val="16"/>
                <w:szCs w:val="16"/>
              </w:rPr>
              <w:t>154 221</w:t>
            </w:r>
          </w:p>
        </w:tc>
        <w:tc>
          <w:tcPr>
            <w:tcW w:w="799" w:type="dxa"/>
            <w:tcBorders>
              <w:top w:val="single" w:sz="4" w:space="0" w:color="FFFFFF" w:themeColor="background1"/>
            </w:tcBorders>
            <w:hideMark/>
          </w:tcPr>
          <w:p w14:paraId="5DB4AB5C" w14:textId="77777777" w:rsidR="00902559" w:rsidRPr="00296C71" w:rsidRDefault="00902559" w:rsidP="00375FAD">
            <w:pPr>
              <w:tabs>
                <w:tab w:val="left" w:pos="1134"/>
              </w:tabs>
              <w:cnfStyle w:val="000000000000" w:firstRow="0" w:lastRow="0" w:firstColumn="0" w:lastColumn="0" w:oddVBand="0" w:evenVBand="0" w:oddHBand="0" w:evenHBand="0" w:firstRowFirstColumn="0" w:firstRowLastColumn="0" w:lastRowFirstColumn="0" w:lastRowLastColumn="0"/>
              <w:rPr>
                <w:rFonts w:cs="Myriad Pro"/>
                <w:b/>
                <w:sz w:val="16"/>
                <w:szCs w:val="16"/>
              </w:rPr>
            </w:pPr>
            <w:r w:rsidRPr="00296C71">
              <w:rPr>
                <w:rFonts w:cs="Myriad Pro"/>
                <w:b/>
                <w:sz w:val="16"/>
                <w:szCs w:val="16"/>
              </w:rPr>
              <w:t>180 719</w:t>
            </w:r>
          </w:p>
        </w:tc>
        <w:tc>
          <w:tcPr>
            <w:tcW w:w="852" w:type="dxa"/>
            <w:tcBorders>
              <w:top w:val="single" w:sz="4" w:space="0" w:color="FFFFFF" w:themeColor="background1"/>
            </w:tcBorders>
            <w:hideMark/>
          </w:tcPr>
          <w:p w14:paraId="771ED42A" w14:textId="77777777" w:rsidR="00902559" w:rsidRPr="00296C71" w:rsidRDefault="00902559" w:rsidP="00375FAD">
            <w:pPr>
              <w:tabs>
                <w:tab w:val="left" w:pos="1134"/>
              </w:tabs>
              <w:cnfStyle w:val="000000000000" w:firstRow="0" w:lastRow="0" w:firstColumn="0" w:lastColumn="0" w:oddVBand="0" w:evenVBand="0" w:oddHBand="0" w:evenHBand="0" w:firstRowFirstColumn="0" w:firstRowLastColumn="0" w:lastRowFirstColumn="0" w:lastRowLastColumn="0"/>
              <w:rPr>
                <w:rFonts w:cs="Myriad Pro"/>
                <w:b/>
                <w:sz w:val="16"/>
                <w:szCs w:val="16"/>
              </w:rPr>
            </w:pPr>
            <w:r w:rsidRPr="00296C71">
              <w:rPr>
                <w:rFonts w:cs="Myriad Pro"/>
                <w:b/>
                <w:sz w:val="16"/>
                <w:szCs w:val="16"/>
              </w:rPr>
              <w:t>187 370</w:t>
            </w:r>
          </w:p>
        </w:tc>
        <w:tc>
          <w:tcPr>
            <w:tcW w:w="721" w:type="dxa"/>
            <w:tcBorders>
              <w:top w:val="single" w:sz="4" w:space="0" w:color="FFFFFF" w:themeColor="background1"/>
            </w:tcBorders>
            <w:hideMark/>
          </w:tcPr>
          <w:p w14:paraId="74BE571A" w14:textId="77777777" w:rsidR="00902559" w:rsidRPr="00296C71" w:rsidRDefault="00902559" w:rsidP="00375FAD">
            <w:pPr>
              <w:tabs>
                <w:tab w:val="left" w:pos="1134"/>
              </w:tabs>
              <w:cnfStyle w:val="000000000000" w:firstRow="0" w:lastRow="0" w:firstColumn="0" w:lastColumn="0" w:oddVBand="0" w:evenVBand="0" w:oddHBand="0" w:evenHBand="0" w:firstRowFirstColumn="0" w:firstRowLastColumn="0" w:lastRowFirstColumn="0" w:lastRowLastColumn="0"/>
              <w:rPr>
                <w:rFonts w:cs="Myriad Pro"/>
                <w:b/>
                <w:sz w:val="16"/>
                <w:szCs w:val="16"/>
              </w:rPr>
            </w:pPr>
            <w:r w:rsidRPr="00296C71">
              <w:rPr>
                <w:rFonts w:cs="Myriad Pro"/>
                <w:b/>
                <w:sz w:val="16"/>
                <w:szCs w:val="16"/>
              </w:rPr>
              <w:t>174 035</w:t>
            </w:r>
          </w:p>
        </w:tc>
        <w:tc>
          <w:tcPr>
            <w:tcW w:w="861" w:type="dxa"/>
            <w:tcBorders>
              <w:top w:val="single" w:sz="4" w:space="0" w:color="FFFFFF" w:themeColor="background1"/>
            </w:tcBorders>
            <w:hideMark/>
          </w:tcPr>
          <w:p w14:paraId="4520666C" w14:textId="77777777" w:rsidR="00902559" w:rsidRPr="00296C71" w:rsidRDefault="00902559" w:rsidP="00375FAD">
            <w:pPr>
              <w:tabs>
                <w:tab w:val="left" w:pos="1134"/>
              </w:tabs>
              <w:cnfStyle w:val="000000000000" w:firstRow="0" w:lastRow="0" w:firstColumn="0" w:lastColumn="0" w:oddVBand="0" w:evenVBand="0" w:oddHBand="0" w:evenHBand="0" w:firstRowFirstColumn="0" w:firstRowLastColumn="0" w:lastRowFirstColumn="0" w:lastRowLastColumn="0"/>
              <w:rPr>
                <w:rFonts w:cs="Myriad Pro"/>
                <w:b/>
                <w:sz w:val="16"/>
                <w:szCs w:val="16"/>
              </w:rPr>
            </w:pPr>
            <w:r w:rsidRPr="00296C71">
              <w:rPr>
                <w:rFonts w:cs="Myriad Pro"/>
                <w:b/>
                <w:sz w:val="16"/>
                <w:szCs w:val="16"/>
              </w:rPr>
              <w:t>177 648</w:t>
            </w:r>
          </w:p>
        </w:tc>
        <w:tc>
          <w:tcPr>
            <w:tcW w:w="804" w:type="dxa"/>
            <w:tcBorders>
              <w:top w:val="single" w:sz="4" w:space="0" w:color="FFFFFF" w:themeColor="background1"/>
            </w:tcBorders>
            <w:hideMark/>
          </w:tcPr>
          <w:p w14:paraId="07061F52" w14:textId="77777777" w:rsidR="00902559" w:rsidRPr="00296C71" w:rsidRDefault="00902559" w:rsidP="00375FAD">
            <w:pPr>
              <w:tabs>
                <w:tab w:val="left" w:pos="1134"/>
              </w:tabs>
              <w:cnfStyle w:val="000000000000" w:firstRow="0" w:lastRow="0" w:firstColumn="0" w:lastColumn="0" w:oddVBand="0" w:evenVBand="0" w:oddHBand="0" w:evenHBand="0" w:firstRowFirstColumn="0" w:firstRowLastColumn="0" w:lastRowFirstColumn="0" w:lastRowLastColumn="0"/>
              <w:rPr>
                <w:rFonts w:cs="Myriad Pro"/>
                <w:b/>
                <w:sz w:val="16"/>
                <w:szCs w:val="16"/>
              </w:rPr>
            </w:pPr>
            <w:r w:rsidRPr="00296C71">
              <w:rPr>
                <w:rFonts w:cs="Myriad Pro"/>
                <w:b/>
                <w:sz w:val="16"/>
                <w:szCs w:val="16"/>
              </w:rPr>
              <w:t>195 105</w:t>
            </w:r>
          </w:p>
        </w:tc>
        <w:tc>
          <w:tcPr>
            <w:tcW w:w="856" w:type="dxa"/>
            <w:tcBorders>
              <w:top w:val="single" w:sz="4" w:space="0" w:color="FFFFFF" w:themeColor="background1"/>
            </w:tcBorders>
            <w:hideMark/>
          </w:tcPr>
          <w:p w14:paraId="10EC375A" w14:textId="77777777" w:rsidR="00902559" w:rsidRPr="00296C71" w:rsidRDefault="00902559" w:rsidP="00375FAD">
            <w:pPr>
              <w:tabs>
                <w:tab w:val="left" w:pos="1134"/>
              </w:tabs>
              <w:cnfStyle w:val="000000000000" w:firstRow="0" w:lastRow="0" w:firstColumn="0" w:lastColumn="0" w:oddVBand="0" w:evenVBand="0" w:oddHBand="0" w:evenHBand="0" w:firstRowFirstColumn="0" w:firstRowLastColumn="0" w:lastRowFirstColumn="0" w:lastRowLastColumn="0"/>
              <w:rPr>
                <w:rFonts w:cs="Myriad Pro"/>
                <w:b/>
                <w:sz w:val="16"/>
                <w:szCs w:val="16"/>
              </w:rPr>
            </w:pPr>
            <w:r w:rsidRPr="00296C71">
              <w:rPr>
                <w:rFonts w:cs="Myriad Pro"/>
                <w:b/>
                <w:sz w:val="16"/>
                <w:szCs w:val="16"/>
              </w:rPr>
              <w:t>194 416</w:t>
            </w:r>
          </w:p>
        </w:tc>
      </w:tr>
      <w:tr w:rsidR="00A0366B" w:rsidRPr="00296C71" w14:paraId="639E16BE" w14:textId="77777777" w:rsidTr="00907125">
        <w:tc>
          <w:tcPr>
            <w:cnfStyle w:val="001000000000" w:firstRow="0" w:lastRow="0" w:firstColumn="1" w:lastColumn="0" w:oddVBand="0" w:evenVBand="0" w:oddHBand="0" w:evenHBand="0" w:firstRowFirstColumn="0" w:firstRowLastColumn="0" w:lastRowFirstColumn="0" w:lastRowLastColumn="0"/>
            <w:tcW w:w="1335" w:type="dxa"/>
            <w:hideMark/>
          </w:tcPr>
          <w:p w14:paraId="0EC5FD47" w14:textId="77777777" w:rsidR="00902559" w:rsidRPr="00296C71" w:rsidRDefault="00902559" w:rsidP="00375FAD">
            <w:pPr>
              <w:tabs>
                <w:tab w:val="left" w:pos="1134"/>
              </w:tabs>
              <w:rPr>
                <w:rFonts w:cs="Myriad Pro"/>
                <w:sz w:val="16"/>
                <w:szCs w:val="16"/>
              </w:rPr>
            </w:pPr>
            <w:r w:rsidRPr="00296C71">
              <w:rPr>
                <w:rFonts w:cs="Myriad Pro"/>
                <w:sz w:val="16"/>
                <w:szCs w:val="16"/>
              </w:rPr>
              <w:t>Материалы на ремонт</w:t>
            </w:r>
          </w:p>
        </w:tc>
        <w:tc>
          <w:tcPr>
            <w:tcW w:w="740" w:type="dxa"/>
            <w:hideMark/>
          </w:tcPr>
          <w:p w14:paraId="5C9254CC" w14:textId="77777777" w:rsidR="00902559" w:rsidRPr="00296C71" w:rsidRDefault="00902559" w:rsidP="00375FAD">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296C71">
              <w:rPr>
                <w:rFonts w:cs="Myriad Pro"/>
                <w:sz w:val="16"/>
                <w:szCs w:val="16"/>
              </w:rPr>
              <w:t>59 409</w:t>
            </w:r>
          </w:p>
        </w:tc>
        <w:tc>
          <w:tcPr>
            <w:tcW w:w="869" w:type="dxa"/>
            <w:hideMark/>
          </w:tcPr>
          <w:p w14:paraId="74CC054D" w14:textId="77777777" w:rsidR="00902559" w:rsidRPr="00296C71" w:rsidRDefault="00902559" w:rsidP="00375FAD">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296C71">
              <w:rPr>
                <w:rFonts w:cs="Myriad Pro"/>
                <w:sz w:val="16"/>
                <w:szCs w:val="16"/>
              </w:rPr>
              <w:t>76 185</w:t>
            </w:r>
          </w:p>
        </w:tc>
        <w:tc>
          <w:tcPr>
            <w:tcW w:w="829" w:type="dxa"/>
            <w:hideMark/>
          </w:tcPr>
          <w:p w14:paraId="51F44A17" w14:textId="77777777" w:rsidR="00902559" w:rsidRPr="00296C71" w:rsidRDefault="00902559" w:rsidP="00375FAD">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296C71">
              <w:rPr>
                <w:rFonts w:cs="Myriad Pro"/>
                <w:sz w:val="16"/>
                <w:szCs w:val="16"/>
              </w:rPr>
              <w:t>61 640</w:t>
            </w:r>
          </w:p>
        </w:tc>
        <w:tc>
          <w:tcPr>
            <w:tcW w:w="820" w:type="dxa"/>
            <w:hideMark/>
          </w:tcPr>
          <w:p w14:paraId="23CB3C95" w14:textId="77777777" w:rsidR="00902559" w:rsidRPr="00296C71" w:rsidRDefault="00902559" w:rsidP="00375FAD">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296C71">
              <w:rPr>
                <w:rFonts w:cs="Myriad Pro"/>
                <w:sz w:val="16"/>
                <w:szCs w:val="16"/>
              </w:rPr>
              <w:t>68 420</w:t>
            </w:r>
          </w:p>
        </w:tc>
        <w:tc>
          <w:tcPr>
            <w:tcW w:w="799" w:type="dxa"/>
            <w:hideMark/>
          </w:tcPr>
          <w:p w14:paraId="46DFED01" w14:textId="77777777" w:rsidR="00902559" w:rsidRPr="00296C71" w:rsidRDefault="00902559" w:rsidP="00375FAD">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296C71">
              <w:rPr>
                <w:rFonts w:cs="Myriad Pro"/>
                <w:sz w:val="16"/>
                <w:szCs w:val="16"/>
              </w:rPr>
              <w:t>88 926</w:t>
            </w:r>
          </w:p>
        </w:tc>
        <w:tc>
          <w:tcPr>
            <w:tcW w:w="852" w:type="dxa"/>
            <w:hideMark/>
          </w:tcPr>
          <w:p w14:paraId="17942724" w14:textId="77777777" w:rsidR="00902559" w:rsidRPr="00296C71" w:rsidRDefault="00902559" w:rsidP="00375FAD">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296C71">
              <w:rPr>
                <w:rFonts w:cs="Myriad Pro"/>
                <w:sz w:val="16"/>
                <w:szCs w:val="16"/>
              </w:rPr>
              <w:t>92 198</w:t>
            </w:r>
          </w:p>
        </w:tc>
        <w:tc>
          <w:tcPr>
            <w:tcW w:w="721" w:type="dxa"/>
            <w:hideMark/>
          </w:tcPr>
          <w:p w14:paraId="29AE5982" w14:textId="77777777" w:rsidR="00902559" w:rsidRPr="00296C71" w:rsidRDefault="00902559" w:rsidP="00375FAD">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296C71">
              <w:rPr>
                <w:rFonts w:cs="Myriad Pro"/>
                <w:sz w:val="16"/>
                <w:szCs w:val="16"/>
              </w:rPr>
              <w:t>82 902</w:t>
            </w:r>
          </w:p>
        </w:tc>
        <w:tc>
          <w:tcPr>
            <w:tcW w:w="861" w:type="dxa"/>
            <w:hideMark/>
          </w:tcPr>
          <w:p w14:paraId="20ACAA5E" w14:textId="77777777" w:rsidR="00902559" w:rsidRPr="00296C71" w:rsidRDefault="00902559" w:rsidP="00375FAD">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296C71">
              <w:rPr>
                <w:rFonts w:cs="Myriad Pro"/>
                <w:sz w:val="16"/>
                <w:szCs w:val="16"/>
              </w:rPr>
              <w:t>79 926</w:t>
            </w:r>
          </w:p>
        </w:tc>
        <w:tc>
          <w:tcPr>
            <w:tcW w:w="804" w:type="dxa"/>
            <w:hideMark/>
          </w:tcPr>
          <w:p w14:paraId="1B109F55" w14:textId="77777777" w:rsidR="00902559" w:rsidRPr="00296C71" w:rsidRDefault="00902559" w:rsidP="00375FAD">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296C71">
              <w:rPr>
                <w:rFonts w:cs="Myriad Pro"/>
                <w:sz w:val="16"/>
                <w:szCs w:val="16"/>
              </w:rPr>
              <w:t>92 000</w:t>
            </w:r>
          </w:p>
        </w:tc>
        <w:tc>
          <w:tcPr>
            <w:tcW w:w="856" w:type="dxa"/>
            <w:noWrap/>
            <w:hideMark/>
          </w:tcPr>
          <w:p w14:paraId="67BD48C8" w14:textId="77777777" w:rsidR="00902559" w:rsidRPr="00296C71" w:rsidRDefault="00902559" w:rsidP="00375FAD">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296C71">
              <w:rPr>
                <w:rFonts w:cs="Myriad Pro"/>
                <w:sz w:val="16"/>
                <w:szCs w:val="16"/>
              </w:rPr>
              <w:t>85 926</w:t>
            </w:r>
          </w:p>
        </w:tc>
      </w:tr>
      <w:tr w:rsidR="00A0366B" w:rsidRPr="00296C71" w14:paraId="3BEBE029" w14:textId="77777777" w:rsidTr="00907125">
        <w:tc>
          <w:tcPr>
            <w:cnfStyle w:val="001000000000" w:firstRow="0" w:lastRow="0" w:firstColumn="1" w:lastColumn="0" w:oddVBand="0" w:evenVBand="0" w:oddHBand="0" w:evenHBand="0" w:firstRowFirstColumn="0" w:firstRowLastColumn="0" w:lastRowFirstColumn="0" w:lastRowLastColumn="0"/>
            <w:tcW w:w="1335" w:type="dxa"/>
            <w:hideMark/>
          </w:tcPr>
          <w:p w14:paraId="42DB5B0E" w14:textId="2A856204" w:rsidR="00902559" w:rsidRPr="00296C71" w:rsidRDefault="00F60C87" w:rsidP="00375FAD">
            <w:pPr>
              <w:tabs>
                <w:tab w:val="left" w:pos="1134"/>
              </w:tabs>
              <w:rPr>
                <w:rFonts w:cs="Myriad Pro"/>
                <w:sz w:val="16"/>
                <w:szCs w:val="16"/>
              </w:rPr>
            </w:pPr>
            <w:r w:rsidRPr="00296C71">
              <w:rPr>
                <w:rFonts w:cs="Myriad Pro"/>
                <w:sz w:val="16"/>
                <w:szCs w:val="16"/>
              </w:rPr>
              <w:t>М</w:t>
            </w:r>
            <w:r w:rsidR="00902559" w:rsidRPr="00296C71">
              <w:rPr>
                <w:rFonts w:cs="Myriad Pro"/>
                <w:sz w:val="16"/>
                <w:szCs w:val="16"/>
              </w:rPr>
              <w:t>атериалы на эксплуатацию</w:t>
            </w:r>
          </w:p>
        </w:tc>
        <w:tc>
          <w:tcPr>
            <w:tcW w:w="740" w:type="dxa"/>
            <w:hideMark/>
          </w:tcPr>
          <w:p w14:paraId="7440EE5E" w14:textId="77777777" w:rsidR="00902559" w:rsidRPr="00296C71" w:rsidRDefault="00902559" w:rsidP="00375FAD">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296C71">
              <w:rPr>
                <w:rFonts w:cs="Myriad Pro"/>
                <w:sz w:val="16"/>
                <w:szCs w:val="16"/>
              </w:rPr>
              <w:t>39 476</w:t>
            </w:r>
          </w:p>
        </w:tc>
        <w:tc>
          <w:tcPr>
            <w:tcW w:w="869" w:type="dxa"/>
            <w:hideMark/>
          </w:tcPr>
          <w:p w14:paraId="7A057485" w14:textId="77777777" w:rsidR="00902559" w:rsidRPr="00296C71" w:rsidRDefault="00902559" w:rsidP="00375FAD">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296C71">
              <w:rPr>
                <w:rFonts w:cs="Myriad Pro"/>
                <w:sz w:val="16"/>
                <w:szCs w:val="16"/>
              </w:rPr>
              <w:t>50 623</w:t>
            </w:r>
          </w:p>
        </w:tc>
        <w:tc>
          <w:tcPr>
            <w:tcW w:w="829" w:type="dxa"/>
            <w:hideMark/>
          </w:tcPr>
          <w:p w14:paraId="3E541391" w14:textId="77777777" w:rsidR="00902559" w:rsidRPr="00296C71" w:rsidRDefault="00902559" w:rsidP="00375FAD">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296C71">
              <w:rPr>
                <w:rFonts w:cs="Myriad Pro"/>
                <w:sz w:val="16"/>
                <w:szCs w:val="16"/>
              </w:rPr>
              <w:t>23 318</w:t>
            </w:r>
          </w:p>
        </w:tc>
        <w:tc>
          <w:tcPr>
            <w:tcW w:w="820" w:type="dxa"/>
            <w:hideMark/>
          </w:tcPr>
          <w:p w14:paraId="3A7F8841" w14:textId="77777777" w:rsidR="00902559" w:rsidRPr="00296C71" w:rsidRDefault="00902559" w:rsidP="00375FAD">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296C71">
              <w:rPr>
                <w:rFonts w:cs="Myriad Pro"/>
                <w:sz w:val="16"/>
                <w:szCs w:val="16"/>
              </w:rPr>
              <w:t>25 883</w:t>
            </w:r>
          </w:p>
        </w:tc>
        <w:tc>
          <w:tcPr>
            <w:tcW w:w="799" w:type="dxa"/>
            <w:hideMark/>
          </w:tcPr>
          <w:p w14:paraId="499AF2A4" w14:textId="77777777" w:rsidR="00902559" w:rsidRPr="00296C71" w:rsidRDefault="00902559" w:rsidP="00375FAD">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296C71">
              <w:rPr>
                <w:rFonts w:cs="Myriad Pro"/>
                <w:sz w:val="16"/>
                <w:szCs w:val="16"/>
              </w:rPr>
              <w:t>29 455</w:t>
            </w:r>
          </w:p>
        </w:tc>
        <w:tc>
          <w:tcPr>
            <w:tcW w:w="852" w:type="dxa"/>
            <w:hideMark/>
          </w:tcPr>
          <w:p w14:paraId="585B4CED" w14:textId="77777777" w:rsidR="00902559" w:rsidRPr="00296C71" w:rsidRDefault="00902559" w:rsidP="00375FAD">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296C71">
              <w:rPr>
                <w:rFonts w:cs="Myriad Pro"/>
                <w:sz w:val="16"/>
                <w:szCs w:val="16"/>
              </w:rPr>
              <w:t>30 539</w:t>
            </w:r>
          </w:p>
        </w:tc>
        <w:tc>
          <w:tcPr>
            <w:tcW w:w="721" w:type="dxa"/>
            <w:hideMark/>
          </w:tcPr>
          <w:p w14:paraId="41A307A6" w14:textId="77777777" w:rsidR="00902559" w:rsidRPr="00296C71" w:rsidRDefault="00902559" w:rsidP="00375FAD">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296C71">
              <w:rPr>
                <w:rFonts w:cs="Myriad Pro"/>
                <w:sz w:val="16"/>
                <w:szCs w:val="16"/>
              </w:rPr>
              <w:t>27 230</w:t>
            </w:r>
          </w:p>
        </w:tc>
        <w:tc>
          <w:tcPr>
            <w:tcW w:w="861" w:type="dxa"/>
            <w:hideMark/>
          </w:tcPr>
          <w:p w14:paraId="26694632" w14:textId="77777777" w:rsidR="00902559" w:rsidRPr="00296C71" w:rsidRDefault="00902559" w:rsidP="00375FAD">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296C71">
              <w:rPr>
                <w:rFonts w:cs="Myriad Pro"/>
                <w:sz w:val="16"/>
                <w:szCs w:val="16"/>
              </w:rPr>
              <w:t>33 569</w:t>
            </w:r>
          </w:p>
        </w:tc>
        <w:tc>
          <w:tcPr>
            <w:tcW w:w="804" w:type="dxa"/>
            <w:hideMark/>
          </w:tcPr>
          <w:p w14:paraId="2FB6AC4E" w14:textId="77777777" w:rsidR="00902559" w:rsidRPr="00296C71" w:rsidRDefault="00902559" w:rsidP="00375FAD">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296C71">
              <w:rPr>
                <w:rFonts w:cs="Myriad Pro"/>
                <w:sz w:val="16"/>
                <w:szCs w:val="16"/>
              </w:rPr>
              <w:t>27 273</w:t>
            </w:r>
          </w:p>
        </w:tc>
        <w:tc>
          <w:tcPr>
            <w:tcW w:w="856" w:type="dxa"/>
            <w:noWrap/>
            <w:hideMark/>
          </w:tcPr>
          <w:p w14:paraId="0DFCF266" w14:textId="77777777" w:rsidR="00902559" w:rsidRPr="00296C71" w:rsidRDefault="00902559" w:rsidP="00375FAD">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296C71">
              <w:rPr>
                <w:rFonts w:cs="Myriad Pro"/>
                <w:sz w:val="16"/>
                <w:szCs w:val="16"/>
              </w:rPr>
              <w:t>36 089</w:t>
            </w:r>
          </w:p>
        </w:tc>
      </w:tr>
      <w:tr w:rsidR="00A0366B" w:rsidRPr="00296C71" w14:paraId="387B9A5E" w14:textId="77777777" w:rsidTr="00907125">
        <w:tc>
          <w:tcPr>
            <w:cnfStyle w:val="001000000000" w:firstRow="0" w:lastRow="0" w:firstColumn="1" w:lastColumn="0" w:oddVBand="0" w:evenVBand="0" w:oddHBand="0" w:evenHBand="0" w:firstRowFirstColumn="0" w:firstRowLastColumn="0" w:lastRowFirstColumn="0" w:lastRowLastColumn="0"/>
            <w:tcW w:w="1335" w:type="dxa"/>
            <w:hideMark/>
          </w:tcPr>
          <w:p w14:paraId="63036C12" w14:textId="77777777" w:rsidR="00902559" w:rsidRPr="00296C71" w:rsidRDefault="00902559" w:rsidP="00375FAD">
            <w:pPr>
              <w:tabs>
                <w:tab w:val="left" w:pos="1134"/>
              </w:tabs>
              <w:rPr>
                <w:rFonts w:cs="Myriad Pro"/>
                <w:sz w:val="16"/>
                <w:szCs w:val="16"/>
              </w:rPr>
            </w:pPr>
            <w:r w:rsidRPr="00296C71">
              <w:rPr>
                <w:rFonts w:cs="Myriad Pro"/>
                <w:sz w:val="16"/>
                <w:szCs w:val="16"/>
              </w:rPr>
              <w:t>Топливо (ГСМ)</w:t>
            </w:r>
          </w:p>
        </w:tc>
        <w:tc>
          <w:tcPr>
            <w:tcW w:w="740" w:type="dxa"/>
            <w:hideMark/>
          </w:tcPr>
          <w:p w14:paraId="1555CCF4" w14:textId="77777777" w:rsidR="00902559" w:rsidRPr="00296C71" w:rsidRDefault="00902559" w:rsidP="00375FAD">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296C71">
              <w:rPr>
                <w:rFonts w:cs="Myriad Pro"/>
                <w:sz w:val="16"/>
                <w:szCs w:val="16"/>
              </w:rPr>
              <w:t>27 816</w:t>
            </w:r>
          </w:p>
        </w:tc>
        <w:tc>
          <w:tcPr>
            <w:tcW w:w="869" w:type="dxa"/>
            <w:hideMark/>
          </w:tcPr>
          <w:p w14:paraId="17A45B06" w14:textId="77777777" w:rsidR="00902559" w:rsidRPr="00296C71" w:rsidRDefault="00902559" w:rsidP="00375FAD">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296C71">
              <w:rPr>
                <w:rFonts w:cs="Myriad Pro"/>
                <w:sz w:val="16"/>
                <w:szCs w:val="16"/>
              </w:rPr>
              <w:t>35 671</w:t>
            </w:r>
          </w:p>
        </w:tc>
        <w:tc>
          <w:tcPr>
            <w:tcW w:w="829" w:type="dxa"/>
            <w:hideMark/>
          </w:tcPr>
          <w:p w14:paraId="1744B95E" w14:textId="77777777" w:rsidR="00902559" w:rsidRPr="00296C71" w:rsidRDefault="00902559" w:rsidP="00375FAD">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296C71">
              <w:rPr>
                <w:rFonts w:cs="Myriad Pro"/>
                <w:sz w:val="16"/>
                <w:szCs w:val="16"/>
              </w:rPr>
              <w:t>29 554</w:t>
            </w:r>
          </w:p>
        </w:tc>
        <w:tc>
          <w:tcPr>
            <w:tcW w:w="820" w:type="dxa"/>
            <w:hideMark/>
          </w:tcPr>
          <w:p w14:paraId="428809DD" w14:textId="77777777" w:rsidR="00902559" w:rsidRPr="00296C71" w:rsidRDefault="00902559" w:rsidP="00375FAD">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296C71">
              <w:rPr>
                <w:rFonts w:cs="Myriad Pro"/>
                <w:sz w:val="16"/>
                <w:szCs w:val="16"/>
              </w:rPr>
              <w:t>32 805</w:t>
            </w:r>
          </w:p>
        </w:tc>
        <w:tc>
          <w:tcPr>
            <w:tcW w:w="799" w:type="dxa"/>
            <w:hideMark/>
          </w:tcPr>
          <w:p w14:paraId="77EF3E65" w14:textId="77777777" w:rsidR="00902559" w:rsidRPr="00296C71" w:rsidRDefault="00902559" w:rsidP="00375FAD">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296C71">
              <w:rPr>
                <w:rFonts w:cs="Myriad Pro"/>
                <w:sz w:val="16"/>
                <w:szCs w:val="16"/>
              </w:rPr>
              <w:t>31 312</w:t>
            </w:r>
          </w:p>
        </w:tc>
        <w:tc>
          <w:tcPr>
            <w:tcW w:w="852" w:type="dxa"/>
            <w:hideMark/>
          </w:tcPr>
          <w:p w14:paraId="3039A419" w14:textId="77777777" w:rsidR="00902559" w:rsidRPr="00296C71" w:rsidRDefault="00902559" w:rsidP="00375FAD">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296C71">
              <w:rPr>
                <w:rFonts w:cs="Myriad Pro"/>
                <w:sz w:val="16"/>
                <w:szCs w:val="16"/>
              </w:rPr>
              <w:t>32 464</w:t>
            </w:r>
          </w:p>
        </w:tc>
        <w:tc>
          <w:tcPr>
            <w:tcW w:w="721" w:type="dxa"/>
            <w:hideMark/>
          </w:tcPr>
          <w:p w14:paraId="2E593337" w14:textId="77777777" w:rsidR="00902559" w:rsidRPr="00296C71" w:rsidRDefault="00902559" w:rsidP="00375FAD">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296C71">
              <w:rPr>
                <w:rFonts w:cs="Myriad Pro"/>
                <w:sz w:val="16"/>
                <w:szCs w:val="16"/>
              </w:rPr>
              <w:t>33 932</w:t>
            </w:r>
          </w:p>
        </w:tc>
        <w:tc>
          <w:tcPr>
            <w:tcW w:w="861" w:type="dxa"/>
            <w:hideMark/>
          </w:tcPr>
          <w:p w14:paraId="2F0EA08B" w14:textId="77777777" w:rsidR="00902559" w:rsidRPr="00296C71" w:rsidRDefault="00902559" w:rsidP="00375FAD">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296C71">
              <w:rPr>
                <w:rFonts w:cs="Myriad Pro"/>
                <w:sz w:val="16"/>
                <w:szCs w:val="16"/>
              </w:rPr>
              <w:t>33 718</w:t>
            </w:r>
          </w:p>
        </w:tc>
        <w:tc>
          <w:tcPr>
            <w:tcW w:w="804" w:type="dxa"/>
            <w:hideMark/>
          </w:tcPr>
          <w:p w14:paraId="5F31CCFC" w14:textId="77777777" w:rsidR="00902559" w:rsidRPr="00296C71" w:rsidRDefault="00902559" w:rsidP="00375FAD">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296C71">
              <w:rPr>
                <w:rFonts w:cs="Myriad Pro"/>
                <w:sz w:val="16"/>
                <w:szCs w:val="16"/>
              </w:rPr>
              <w:t>39 681</w:t>
            </w:r>
          </w:p>
        </w:tc>
        <w:tc>
          <w:tcPr>
            <w:tcW w:w="856" w:type="dxa"/>
            <w:noWrap/>
            <w:hideMark/>
          </w:tcPr>
          <w:p w14:paraId="1491CD3F" w14:textId="77777777" w:rsidR="00902559" w:rsidRPr="00296C71" w:rsidRDefault="00902559" w:rsidP="00375FAD">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296C71">
              <w:rPr>
                <w:rFonts w:cs="Myriad Pro"/>
                <w:sz w:val="16"/>
                <w:szCs w:val="16"/>
              </w:rPr>
              <w:t>39 681</w:t>
            </w:r>
          </w:p>
        </w:tc>
      </w:tr>
      <w:tr w:rsidR="00A0366B" w:rsidRPr="00296C71" w14:paraId="2FEB4FBD" w14:textId="77777777" w:rsidTr="00907125">
        <w:tc>
          <w:tcPr>
            <w:cnfStyle w:val="001000000000" w:firstRow="0" w:lastRow="0" w:firstColumn="1" w:lastColumn="0" w:oddVBand="0" w:evenVBand="0" w:oddHBand="0" w:evenHBand="0" w:firstRowFirstColumn="0" w:firstRowLastColumn="0" w:lastRowFirstColumn="0" w:lastRowLastColumn="0"/>
            <w:tcW w:w="1335" w:type="dxa"/>
            <w:hideMark/>
          </w:tcPr>
          <w:p w14:paraId="78DDCFA0" w14:textId="187916D6" w:rsidR="00902559" w:rsidRPr="00296C71" w:rsidRDefault="00902559" w:rsidP="00375FAD">
            <w:pPr>
              <w:tabs>
                <w:tab w:val="left" w:pos="1134"/>
              </w:tabs>
              <w:rPr>
                <w:rFonts w:cs="Myriad Pro"/>
                <w:sz w:val="16"/>
                <w:szCs w:val="16"/>
              </w:rPr>
            </w:pPr>
            <w:r w:rsidRPr="00296C71">
              <w:rPr>
                <w:rFonts w:cs="Myriad Pro"/>
                <w:sz w:val="16"/>
                <w:szCs w:val="16"/>
              </w:rPr>
              <w:t>Спец</w:t>
            </w:r>
            <w:r w:rsidR="004D17AE" w:rsidRPr="00296C71">
              <w:rPr>
                <w:rFonts w:cs="Myriad Pro"/>
                <w:sz w:val="16"/>
                <w:szCs w:val="16"/>
              </w:rPr>
              <w:t>одежда и средства инд.</w:t>
            </w:r>
            <w:r w:rsidRPr="00296C71">
              <w:rPr>
                <w:rFonts w:cs="Myriad Pro"/>
                <w:sz w:val="16"/>
                <w:szCs w:val="16"/>
              </w:rPr>
              <w:t xml:space="preserve"> защиты на эксплуатацию</w:t>
            </w:r>
          </w:p>
        </w:tc>
        <w:tc>
          <w:tcPr>
            <w:tcW w:w="740" w:type="dxa"/>
            <w:hideMark/>
          </w:tcPr>
          <w:p w14:paraId="70733844" w14:textId="77777777" w:rsidR="00902559" w:rsidRPr="00296C71" w:rsidRDefault="00902559" w:rsidP="00375FAD">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296C71">
              <w:rPr>
                <w:rFonts w:cs="Myriad Pro"/>
                <w:sz w:val="16"/>
                <w:szCs w:val="16"/>
              </w:rPr>
              <w:t>17 913</w:t>
            </w:r>
          </w:p>
        </w:tc>
        <w:tc>
          <w:tcPr>
            <w:tcW w:w="869" w:type="dxa"/>
            <w:hideMark/>
          </w:tcPr>
          <w:p w14:paraId="0F426E62" w14:textId="77777777" w:rsidR="00902559" w:rsidRPr="00296C71" w:rsidRDefault="00902559" w:rsidP="00375FAD">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296C71">
              <w:rPr>
                <w:rFonts w:cs="Myriad Pro"/>
                <w:sz w:val="16"/>
                <w:szCs w:val="16"/>
              </w:rPr>
              <w:t>22 971</w:t>
            </w:r>
          </w:p>
        </w:tc>
        <w:tc>
          <w:tcPr>
            <w:tcW w:w="829" w:type="dxa"/>
            <w:hideMark/>
          </w:tcPr>
          <w:p w14:paraId="02916BD0" w14:textId="77777777" w:rsidR="00902559" w:rsidRPr="00296C71" w:rsidRDefault="00902559" w:rsidP="00375FAD">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296C71">
              <w:rPr>
                <w:rFonts w:cs="Myriad Pro"/>
                <w:sz w:val="16"/>
                <w:szCs w:val="16"/>
              </w:rPr>
              <w:t>19 405</w:t>
            </w:r>
          </w:p>
        </w:tc>
        <w:tc>
          <w:tcPr>
            <w:tcW w:w="820" w:type="dxa"/>
            <w:hideMark/>
          </w:tcPr>
          <w:p w14:paraId="1FE1C59C" w14:textId="77777777" w:rsidR="00902559" w:rsidRPr="00296C71" w:rsidRDefault="00902559" w:rsidP="00375FAD">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296C71">
              <w:rPr>
                <w:rFonts w:cs="Myriad Pro"/>
                <w:sz w:val="16"/>
                <w:szCs w:val="16"/>
              </w:rPr>
              <w:t>21 539</w:t>
            </w:r>
          </w:p>
        </w:tc>
        <w:tc>
          <w:tcPr>
            <w:tcW w:w="799" w:type="dxa"/>
            <w:hideMark/>
          </w:tcPr>
          <w:p w14:paraId="3366AA3F" w14:textId="77777777" w:rsidR="00902559" w:rsidRPr="00296C71" w:rsidRDefault="00902559" w:rsidP="00375FAD">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296C71">
              <w:rPr>
                <w:rFonts w:cs="Myriad Pro"/>
                <w:sz w:val="16"/>
                <w:szCs w:val="16"/>
              </w:rPr>
              <w:t>22 743</w:t>
            </w:r>
          </w:p>
        </w:tc>
        <w:tc>
          <w:tcPr>
            <w:tcW w:w="852" w:type="dxa"/>
            <w:hideMark/>
          </w:tcPr>
          <w:p w14:paraId="049E02B0" w14:textId="77777777" w:rsidR="00902559" w:rsidRPr="00296C71" w:rsidRDefault="00902559" w:rsidP="00375FAD">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296C71">
              <w:rPr>
                <w:rFonts w:cs="Myriad Pro"/>
                <w:sz w:val="16"/>
                <w:szCs w:val="16"/>
              </w:rPr>
              <w:t>23 579</w:t>
            </w:r>
          </w:p>
        </w:tc>
        <w:tc>
          <w:tcPr>
            <w:tcW w:w="721" w:type="dxa"/>
            <w:hideMark/>
          </w:tcPr>
          <w:p w14:paraId="3CD9DE93" w14:textId="77777777" w:rsidR="00902559" w:rsidRPr="00296C71" w:rsidRDefault="00902559" w:rsidP="00375FAD">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296C71">
              <w:rPr>
                <w:rFonts w:cs="Myriad Pro"/>
                <w:sz w:val="16"/>
                <w:szCs w:val="16"/>
              </w:rPr>
              <w:t>23 466</w:t>
            </w:r>
          </w:p>
        </w:tc>
        <w:tc>
          <w:tcPr>
            <w:tcW w:w="861" w:type="dxa"/>
            <w:hideMark/>
          </w:tcPr>
          <w:p w14:paraId="0D3C6F91" w14:textId="77777777" w:rsidR="00902559" w:rsidRPr="00296C71" w:rsidRDefault="00902559" w:rsidP="00375FAD">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296C71">
              <w:rPr>
                <w:rFonts w:cs="Myriad Pro"/>
                <w:sz w:val="16"/>
                <w:szCs w:val="16"/>
              </w:rPr>
              <w:t>22 889</w:t>
            </w:r>
          </w:p>
        </w:tc>
        <w:tc>
          <w:tcPr>
            <w:tcW w:w="804" w:type="dxa"/>
            <w:hideMark/>
          </w:tcPr>
          <w:p w14:paraId="6290D00F" w14:textId="77777777" w:rsidR="00902559" w:rsidRPr="00296C71" w:rsidRDefault="00902559" w:rsidP="00375FAD">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296C71">
              <w:rPr>
                <w:rFonts w:cs="Myriad Pro"/>
                <w:sz w:val="16"/>
                <w:szCs w:val="16"/>
              </w:rPr>
              <w:t>25 308</w:t>
            </w:r>
          </w:p>
        </w:tc>
        <w:tc>
          <w:tcPr>
            <w:tcW w:w="856" w:type="dxa"/>
            <w:noWrap/>
            <w:hideMark/>
          </w:tcPr>
          <w:p w14:paraId="688ACD1A" w14:textId="77777777" w:rsidR="00902559" w:rsidRPr="00296C71" w:rsidRDefault="00902559" w:rsidP="00375FAD">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296C71">
              <w:rPr>
                <w:rFonts w:cs="Myriad Pro"/>
                <w:sz w:val="16"/>
                <w:szCs w:val="16"/>
              </w:rPr>
              <w:t>24 607</w:t>
            </w:r>
          </w:p>
        </w:tc>
      </w:tr>
      <w:tr w:rsidR="00A0366B" w:rsidRPr="00296C71" w14:paraId="40E903B4" w14:textId="77777777" w:rsidTr="00907125">
        <w:tc>
          <w:tcPr>
            <w:cnfStyle w:val="001000000000" w:firstRow="0" w:lastRow="0" w:firstColumn="1" w:lastColumn="0" w:oddVBand="0" w:evenVBand="0" w:oddHBand="0" w:evenHBand="0" w:firstRowFirstColumn="0" w:firstRowLastColumn="0" w:lastRowFirstColumn="0" w:lastRowLastColumn="0"/>
            <w:tcW w:w="1335" w:type="dxa"/>
            <w:hideMark/>
          </w:tcPr>
          <w:p w14:paraId="715ED1B6" w14:textId="77777777" w:rsidR="00902559" w:rsidRPr="00296C71" w:rsidRDefault="00902559" w:rsidP="00375FAD">
            <w:pPr>
              <w:tabs>
                <w:tab w:val="left" w:pos="1134"/>
              </w:tabs>
              <w:rPr>
                <w:rFonts w:cs="Myriad Pro"/>
                <w:sz w:val="16"/>
                <w:szCs w:val="16"/>
              </w:rPr>
            </w:pPr>
            <w:r w:rsidRPr="00296C71">
              <w:rPr>
                <w:rFonts w:cs="Myriad Pro"/>
                <w:sz w:val="16"/>
                <w:szCs w:val="16"/>
              </w:rPr>
              <w:lastRenderedPageBreak/>
              <w:t>Материалы на охрану труда</w:t>
            </w:r>
          </w:p>
        </w:tc>
        <w:tc>
          <w:tcPr>
            <w:tcW w:w="740" w:type="dxa"/>
            <w:hideMark/>
          </w:tcPr>
          <w:p w14:paraId="5DA01AF7" w14:textId="77777777" w:rsidR="00902559" w:rsidRPr="00296C71" w:rsidRDefault="00902559" w:rsidP="00375FAD">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296C71">
              <w:rPr>
                <w:rFonts w:cs="Myriad Pro"/>
                <w:sz w:val="16"/>
                <w:szCs w:val="16"/>
              </w:rPr>
              <w:t>5 404</w:t>
            </w:r>
          </w:p>
        </w:tc>
        <w:tc>
          <w:tcPr>
            <w:tcW w:w="869" w:type="dxa"/>
            <w:hideMark/>
          </w:tcPr>
          <w:p w14:paraId="62376CA4" w14:textId="77777777" w:rsidR="00902559" w:rsidRPr="00296C71" w:rsidRDefault="00902559" w:rsidP="00375FAD">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296C71">
              <w:rPr>
                <w:rFonts w:cs="Myriad Pro"/>
                <w:sz w:val="16"/>
                <w:szCs w:val="16"/>
              </w:rPr>
              <w:t>6 930</w:t>
            </w:r>
          </w:p>
        </w:tc>
        <w:tc>
          <w:tcPr>
            <w:tcW w:w="829" w:type="dxa"/>
            <w:hideMark/>
          </w:tcPr>
          <w:p w14:paraId="034FB389" w14:textId="77777777" w:rsidR="00902559" w:rsidRPr="00296C71" w:rsidRDefault="00902559" w:rsidP="00375FAD">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296C71">
              <w:rPr>
                <w:rFonts w:cs="Myriad Pro"/>
                <w:sz w:val="16"/>
                <w:szCs w:val="16"/>
              </w:rPr>
              <w:t>3 298</w:t>
            </w:r>
          </w:p>
        </w:tc>
        <w:tc>
          <w:tcPr>
            <w:tcW w:w="820" w:type="dxa"/>
            <w:hideMark/>
          </w:tcPr>
          <w:p w14:paraId="23A74E16" w14:textId="77777777" w:rsidR="00902559" w:rsidRPr="00296C71" w:rsidRDefault="00902559" w:rsidP="00375FAD">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296C71">
              <w:rPr>
                <w:rFonts w:cs="Myriad Pro"/>
                <w:sz w:val="16"/>
                <w:szCs w:val="16"/>
              </w:rPr>
              <w:t>3 661</w:t>
            </w:r>
          </w:p>
        </w:tc>
        <w:tc>
          <w:tcPr>
            <w:tcW w:w="799" w:type="dxa"/>
            <w:hideMark/>
          </w:tcPr>
          <w:p w14:paraId="646B6820" w14:textId="77777777" w:rsidR="00902559" w:rsidRPr="00296C71" w:rsidRDefault="00902559" w:rsidP="00375FAD">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296C71">
              <w:rPr>
                <w:rFonts w:cs="Myriad Pro"/>
                <w:sz w:val="16"/>
                <w:szCs w:val="16"/>
              </w:rPr>
              <w:t>6 263</w:t>
            </w:r>
          </w:p>
        </w:tc>
        <w:tc>
          <w:tcPr>
            <w:tcW w:w="852" w:type="dxa"/>
            <w:hideMark/>
          </w:tcPr>
          <w:p w14:paraId="07868512" w14:textId="77777777" w:rsidR="00902559" w:rsidRPr="00296C71" w:rsidRDefault="00902559" w:rsidP="00375FAD">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296C71">
              <w:rPr>
                <w:rFonts w:cs="Myriad Pro"/>
                <w:sz w:val="16"/>
                <w:szCs w:val="16"/>
              </w:rPr>
              <w:t>6 494</w:t>
            </w:r>
          </w:p>
        </w:tc>
        <w:tc>
          <w:tcPr>
            <w:tcW w:w="721" w:type="dxa"/>
            <w:hideMark/>
          </w:tcPr>
          <w:p w14:paraId="4EABB72A" w14:textId="77777777" w:rsidR="00902559" w:rsidRPr="00296C71" w:rsidRDefault="00902559" w:rsidP="00375FAD">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296C71">
              <w:rPr>
                <w:rFonts w:cs="Myriad Pro"/>
                <w:sz w:val="16"/>
                <w:szCs w:val="16"/>
              </w:rPr>
              <w:t>4 741</w:t>
            </w:r>
          </w:p>
        </w:tc>
        <w:tc>
          <w:tcPr>
            <w:tcW w:w="861" w:type="dxa"/>
            <w:hideMark/>
          </w:tcPr>
          <w:p w14:paraId="2C9EA5DE" w14:textId="77777777" w:rsidR="00902559" w:rsidRPr="00296C71" w:rsidRDefault="00902559" w:rsidP="00375FAD">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296C71">
              <w:rPr>
                <w:rFonts w:cs="Myriad Pro"/>
                <w:sz w:val="16"/>
                <w:szCs w:val="16"/>
              </w:rPr>
              <w:t>5 456</w:t>
            </w:r>
          </w:p>
        </w:tc>
        <w:tc>
          <w:tcPr>
            <w:tcW w:w="804" w:type="dxa"/>
            <w:hideMark/>
          </w:tcPr>
          <w:p w14:paraId="5D4E06CB" w14:textId="77777777" w:rsidR="00902559" w:rsidRPr="00296C71" w:rsidRDefault="00902559" w:rsidP="00375FAD">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296C71">
              <w:rPr>
                <w:rFonts w:cs="Myriad Pro"/>
                <w:sz w:val="16"/>
                <w:szCs w:val="16"/>
              </w:rPr>
              <w:t>7 939</w:t>
            </w:r>
          </w:p>
        </w:tc>
        <w:tc>
          <w:tcPr>
            <w:tcW w:w="856" w:type="dxa"/>
            <w:noWrap/>
            <w:hideMark/>
          </w:tcPr>
          <w:p w14:paraId="15678F16" w14:textId="77777777" w:rsidR="00902559" w:rsidRPr="00296C71" w:rsidRDefault="00902559" w:rsidP="00375FAD">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296C71">
              <w:rPr>
                <w:rFonts w:cs="Myriad Pro"/>
                <w:sz w:val="16"/>
                <w:szCs w:val="16"/>
              </w:rPr>
              <w:t>5 866</w:t>
            </w:r>
          </w:p>
        </w:tc>
      </w:tr>
      <w:tr w:rsidR="00A0366B" w:rsidRPr="00D523AA" w14:paraId="7108C824" w14:textId="77777777" w:rsidTr="00907125">
        <w:tc>
          <w:tcPr>
            <w:cnfStyle w:val="001000000000" w:firstRow="0" w:lastRow="0" w:firstColumn="1" w:lastColumn="0" w:oddVBand="0" w:evenVBand="0" w:oddHBand="0" w:evenHBand="0" w:firstRowFirstColumn="0" w:firstRowLastColumn="0" w:lastRowFirstColumn="0" w:lastRowLastColumn="0"/>
            <w:tcW w:w="1335" w:type="dxa"/>
            <w:hideMark/>
          </w:tcPr>
          <w:p w14:paraId="463FD985" w14:textId="77777777" w:rsidR="00902559" w:rsidRPr="00296C71" w:rsidRDefault="00902559" w:rsidP="00375FAD">
            <w:pPr>
              <w:tabs>
                <w:tab w:val="left" w:pos="1134"/>
              </w:tabs>
              <w:rPr>
                <w:rFonts w:cs="Myriad Pro"/>
                <w:sz w:val="16"/>
                <w:szCs w:val="16"/>
              </w:rPr>
            </w:pPr>
            <w:r w:rsidRPr="00296C71">
              <w:rPr>
                <w:rFonts w:cs="Myriad Pro"/>
                <w:sz w:val="16"/>
                <w:szCs w:val="16"/>
              </w:rPr>
              <w:t>Канцелярские расходы</w:t>
            </w:r>
          </w:p>
        </w:tc>
        <w:tc>
          <w:tcPr>
            <w:tcW w:w="740" w:type="dxa"/>
            <w:hideMark/>
          </w:tcPr>
          <w:p w14:paraId="1A88A7F3" w14:textId="77777777" w:rsidR="00902559" w:rsidRPr="00296C71" w:rsidRDefault="00902559" w:rsidP="00375FAD">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296C71">
              <w:rPr>
                <w:rFonts w:cs="Myriad Pro"/>
                <w:sz w:val="16"/>
                <w:szCs w:val="16"/>
              </w:rPr>
              <w:t>2 019</w:t>
            </w:r>
          </w:p>
        </w:tc>
        <w:tc>
          <w:tcPr>
            <w:tcW w:w="869" w:type="dxa"/>
            <w:hideMark/>
          </w:tcPr>
          <w:p w14:paraId="079FC695" w14:textId="77777777" w:rsidR="00902559" w:rsidRPr="00296C71" w:rsidRDefault="00902559" w:rsidP="00375FAD">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296C71">
              <w:rPr>
                <w:rFonts w:cs="Myriad Pro"/>
                <w:sz w:val="16"/>
                <w:szCs w:val="16"/>
              </w:rPr>
              <w:t>2 589</w:t>
            </w:r>
          </w:p>
        </w:tc>
        <w:tc>
          <w:tcPr>
            <w:tcW w:w="829" w:type="dxa"/>
            <w:hideMark/>
          </w:tcPr>
          <w:p w14:paraId="1792098A" w14:textId="77777777" w:rsidR="00902559" w:rsidRPr="00296C71" w:rsidRDefault="00902559" w:rsidP="00375FAD">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296C71">
              <w:rPr>
                <w:rFonts w:cs="Myriad Pro"/>
                <w:sz w:val="16"/>
                <w:szCs w:val="16"/>
              </w:rPr>
              <w:t>1 723</w:t>
            </w:r>
          </w:p>
        </w:tc>
        <w:tc>
          <w:tcPr>
            <w:tcW w:w="820" w:type="dxa"/>
            <w:hideMark/>
          </w:tcPr>
          <w:p w14:paraId="5884AA94" w14:textId="77777777" w:rsidR="00902559" w:rsidRPr="00296C71" w:rsidRDefault="00902559" w:rsidP="00375FAD">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296C71">
              <w:rPr>
                <w:rFonts w:cs="Myriad Pro"/>
                <w:sz w:val="16"/>
                <w:szCs w:val="16"/>
              </w:rPr>
              <w:t>1 913</w:t>
            </w:r>
          </w:p>
        </w:tc>
        <w:tc>
          <w:tcPr>
            <w:tcW w:w="799" w:type="dxa"/>
            <w:hideMark/>
          </w:tcPr>
          <w:p w14:paraId="7490D97D" w14:textId="77777777" w:rsidR="00902559" w:rsidRPr="00296C71" w:rsidRDefault="00902559" w:rsidP="00375FAD">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296C71">
              <w:rPr>
                <w:rFonts w:cs="Myriad Pro"/>
                <w:sz w:val="16"/>
                <w:szCs w:val="16"/>
              </w:rPr>
              <w:t>2 020</w:t>
            </w:r>
          </w:p>
        </w:tc>
        <w:tc>
          <w:tcPr>
            <w:tcW w:w="852" w:type="dxa"/>
            <w:hideMark/>
          </w:tcPr>
          <w:p w14:paraId="73F4758F" w14:textId="77777777" w:rsidR="00902559" w:rsidRPr="00296C71" w:rsidRDefault="00902559" w:rsidP="00375FAD">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296C71">
              <w:rPr>
                <w:rFonts w:cs="Myriad Pro"/>
                <w:sz w:val="16"/>
                <w:szCs w:val="16"/>
              </w:rPr>
              <w:t>2 094</w:t>
            </w:r>
          </w:p>
        </w:tc>
        <w:tc>
          <w:tcPr>
            <w:tcW w:w="721" w:type="dxa"/>
            <w:hideMark/>
          </w:tcPr>
          <w:p w14:paraId="044EF78C" w14:textId="77777777" w:rsidR="00902559" w:rsidRPr="00296C71" w:rsidRDefault="00902559" w:rsidP="00375FAD">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296C71">
              <w:rPr>
                <w:rFonts w:cs="Myriad Pro"/>
                <w:sz w:val="16"/>
                <w:szCs w:val="16"/>
              </w:rPr>
              <w:t>1 764</w:t>
            </w:r>
          </w:p>
        </w:tc>
        <w:tc>
          <w:tcPr>
            <w:tcW w:w="861" w:type="dxa"/>
            <w:hideMark/>
          </w:tcPr>
          <w:p w14:paraId="647B6E6E" w14:textId="77777777" w:rsidR="00902559" w:rsidRPr="00296C71" w:rsidRDefault="00902559" w:rsidP="00375FAD">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296C71">
              <w:rPr>
                <w:rFonts w:cs="Myriad Pro"/>
                <w:sz w:val="16"/>
                <w:szCs w:val="16"/>
              </w:rPr>
              <w:t>2 090</w:t>
            </w:r>
          </w:p>
        </w:tc>
        <w:tc>
          <w:tcPr>
            <w:tcW w:w="804" w:type="dxa"/>
            <w:hideMark/>
          </w:tcPr>
          <w:p w14:paraId="6E48511E" w14:textId="77777777" w:rsidR="00902559" w:rsidRPr="00296C71" w:rsidRDefault="00902559" w:rsidP="00375FAD">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296C71">
              <w:rPr>
                <w:rFonts w:cs="Myriad Pro"/>
                <w:sz w:val="16"/>
                <w:szCs w:val="16"/>
              </w:rPr>
              <w:t>2 904</w:t>
            </w:r>
          </w:p>
        </w:tc>
        <w:tc>
          <w:tcPr>
            <w:tcW w:w="856" w:type="dxa"/>
            <w:noWrap/>
            <w:hideMark/>
          </w:tcPr>
          <w:p w14:paraId="675CDFF6" w14:textId="77777777" w:rsidR="00902559" w:rsidRPr="00296C71" w:rsidRDefault="00902559" w:rsidP="00375FAD">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16"/>
                <w:szCs w:val="16"/>
              </w:rPr>
            </w:pPr>
            <w:r w:rsidRPr="00296C71">
              <w:rPr>
                <w:rFonts w:cs="Myriad Pro"/>
                <w:sz w:val="16"/>
                <w:szCs w:val="16"/>
              </w:rPr>
              <w:t>2 247</w:t>
            </w:r>
          </w:p>
        </w:tc>
      </w:tr>
    </w:tbl>
    <w:p w14:paraId="74E02DB4" w14:textId="2B37EDFE" w:rsidR="00F60C87" w:rsidRPr="00297DA6" w:rsidRDefault="00F60C87" w:rsidP="00297DA6">
      <w:pPr>
        <w:pStyle w:val="afff7"/>
      </w:pPr>
      <w:r w:rsidRPr="00297DA6">
        <w:t xml:space="preserve">Таким образом, по расчету Исполнителя расходы </w:t>
      </w:r>
      <w:r w:rsidR="00C61289" w:rsidRPr="00297DA6">
        <w:t xml:space="preserve">по статье </w:t>
      </w:r>
      <w:r w:rsidR="00655FFA" w:rsidRPr="00297DA6">
        <w:t>«</w:t>
      </w:r>
      <w:r w:rsidR="00C61289" w:rsidRPr="00297DA6">
        <w:t>Сырье, материалы</w:t>
      </w:r>
      <w:r w:rsidR="00655FFA" w:rsidRPr="00297DA6">
        <w:t>»</w:t>
      </w:r>
      <w:r w:rsidR="00C61289" w:rsidRPr="00297DA6">
        <w:t xml:space="preserve"> на 2019 год состав</w:t>
      </w:r>
      <w:r w:rsidR="00297DA6">
        <w:t xml:space="preserve">или </w:t>
      </w:r>
      <w:r w:rsidR="00C61289" w:rsidRPr="00297DA6">
        <w:t>194 416</w:t>
      </w:r>
      <w:r w:rsidRPr="00297DA6">
        <w:t xml:space="preserve"> тыс. руб.</w:t>
      </w:r>
      <w:r w:rsidR="00C61289" w:rsidRPr="00297DA6">
        <w:t xml:space="preserve">, что ниже на </w:t>
      </w:r>
      <w:r w:rsidR="00DA26BE" w:rsidRPr="00297DA6">
        <w:t xml:space="preserve">23 202,9 </w:t>
      </w:r>
      <w:r w:rsidRPr="00297DA6">
        <w:t xml:space="preserve">тыс. руб. рассчитанного Комитетом и на </w:t>
      </w:r>
      <w:r w:rsidR="00DA26BE" w:rsidRPr="00297DA6">
        <w:t>689 тыс. руб.</w:t>
      </w:r>
      <w:r w:rsidRPr="00297DA6">
        <w:t xml:space="preserve"> ниже заявленного Филиалом.</w:t>
      </w:r>
    </w:p>
    <w:p w14:paraId="65D947B4" w14:textId="586C4BC3" w:rsidR="00FC2016" w:rsidRPr="00CF54D5" w:rsidRDefault="00FC2016" w:rsidP="00A31747">
      <w:pPr>
        <w:tabs>
          <w:tab w:val="left" w:pos="1134"/>
        </w:tabs>
        <w:spacing w:after="0" w:line="360" w:lineRule="auto"/>
        <w:ind w:firstLine="567"/>
        <w:jc w:val="both"/>
        <w:rPr>
          <w:rFonts w:ascii="Myriad Pro" w:eastAsia="Calibri" w:hAnsi="Myriad Pro" w:cs="Times New Roman"/>
          <w:b/>
          <w:sz w:val="26"/>
          <w:szCs w:val="26"/>
          <w:u w:val="single"/>
        </w:rPr>
      </w:pPr>
      <w:r w:rsidRPr="00444A33">
        <w:rPr>
          <w:rFonts w:ascii="Myriad Pro" w:eastAsia="Calibri" w:hAnsi="Myriad Pro" w:cs="Times New Roman"/>
          <w:b/>
          <w:sz w:val="26"/>
          <w:szCs w:val="26"/>
          <w:u w:val="single"/>
        </w:rPr>
        <w:t>Исполнитель рекомендует предоставлять в составе тарифной заявки:</w:t>
      </w:r>
    </w:p>
    <w:p w14:paraId="5BA0A0B3" w14:textId="77777777" w:rsidR="00FC2016" w:rsidRPr="000F31CC" w:rsidRDefault="00FC2016" w:rsidP="009B0BC1">
      <w:pPr>
        <w:pStyle w:val="a4"/>
        <w:numPr>
          <w:ilvl w:val="0"/>
          <w:numId w:val="26"/>
        </w:numPr>
        <w:tabs>
          <w:tab w:val="left" w:pos="1134"/>
        </w:tabs>
        <w:spacing w:after="0" w:line="360" w:lineRule="auto"/>
        <w:ind w:left="0" w:firstLine="567"/>
        <w:jc w:val="both"/>
        <w:rPr>
          <w:rFonts w:ascii="Myriad Pro" w:hAnsi="Myriad Pro"/>
          <w:sz w:val="26"/>
          <w:szCs w:val="26"/>
          <w:u w:val="single"/>
        </w:rPr>
      </w:pPr>
      <w:r w:rsidRPr="00FB0A3A">
        <w:rPr>
          <w:rFonts w:ascii="Myriad Pro" w:hAnsi="Myriad Pro"/>
          <w:sz w:val="26"/>
          <w:szCs w:val="26"/>
        </w:rPr>
        <w:t xml:space="preserve">Расчет расходов на специальную одежду и специальную обувь, а также средства индивидуальной защиты и материалы на охрану труда </w:t>
      </w:r>
      <w:r w:rsidRPr="000F31CC">
        <w:rPr>
          <w:rFonts w:ascii="Myriad Pro" w:hAnsi="Myriad Pro"/>
          <w:b/>
          <w:sz w:val="26"/>
          <w:szCs w:val="26"/>
          <w:u w:val="single"/>
        </w:rPr>
        <w:t>на каждый год</w:t>
      </w:r>
      <w:r w:rsidRPr="00FB0A3A">
        <w:rPr>
          <w:rFonts w:ascii="Myriad Pro" w:hAnsi="Myriad Pro"/>
          <w:sz w:val="26"/>
          <w:szCs w:val="26"/>
        </w:rPr>
        <w:t xml:space="preserve"> долгосрочного периода регулирования, с предложением для </w:t>
      </w:r>
      <w:r w:rsidRPr="000F31CC">
        <w:rPr>
          <w:rFonts w:ascii="Myriad Pro" w:hAnsi="Myriad Pro"/>
          <w:sz w:val="26"/>
          <w:szCs w:val="26"/>
          <w:u w:val="single"/>
        </w:rPr>
        <w:t>включения в состав базового уровня среднегодового значения за пятилетний период.</w:t>
      </w:r>
      <w:r w:rsidRPr="00FB0A3A">
        <w:rPr>
          <w:rFonts w:ascii="Myriad Pro" w:hAnsi="Myriad Pro"/>
          <w:sz w:val="26"/>
          <w:szCs w:val="26"/>
        </w:rPr>
        <w:t xml:space="preserve"> При определении потребности в соответствующих расходах </w:t>
      </w:r>
      <w:r w:rsidRPr="000F31CC">
        <w:rPr>
          <w:rFonts w:ascii="Myriad Pro" w:hAnsi="Myriad Pro"/>
          <w:sz w:val="26"/>
          <w:szCs w:val="26"/>
          <w:u w:val="single"/>
        </w:rPr>
        <w:t>учитывать сроки списания специальной одежды и специальной обуви;</w:t>
      </w:r>
    </w:p>
    <w:p w14:paraId="47DAFE97" w14:textId="5EBC2F15" w:rsidR="00FC2016" w:rsidRPr="00FB0A3A" w:rsidRDefault="00FC2016" w:rsidP="009B0BC1">
      <w:pPr>
        <w:pStyle w:val="a4"/>
        <w:numPr>
          <w:ilvl w:val="0"/>
          <w:numId w:val="26"/>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Обоснование цен (коммерческие предложения, прайс-листы, счета, первичные документы бухгалтерского учета);</w:t>
      </w:r>
    </w:p>
    <w:p w14:paraId="74671610" w14:textId="7D55F257" w:rsidR="00FC2016" w:rsidRDefault="00FC2016" w:rsidP="009B0BC1">
      <w:pPr>
        <w:pStyle w:val="a4"/>
        <w:numPr>
          <w:ilvl w:val="0"/>
          <w:numId w:val="26"/>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Обоснование необходимости заключения новых договоров.</w:t>
      </w:r>
    </w:p>
    <w:p w14:paraId="11ECBC8A" w14:textId="4071EA1E" w:rsidR="00AF0433" w:rsidRPr="00FB0A3A" w:rsidRDefault="00A933E1" w:rsidP="00053456">
      <w:pPr>
        <w:tabs>
          <w:tab w:val="left" w:pos="1134"/>
        </w:tabs>
        <w:spacing w:before="240" w:after="0" w:line="360" w:lineRule="auto"/>
        <w:jc w:val="both"/>
        <w:rPr>
          <w:rFonts w:ascii="Myriad Pro" w:eastAsia="Calibri" w:hAnsi="Myriad Pro" w:cs="Times New Roman"/>
          <w:b/>
          <w:i/>
          <w:sz w:val="26"/>
          <w:szCs w:val="26"/>
        </w:rPr>
      </w:pPr>
      <w:r w:rsidRPr="00FB0A3A">
        <w:rPr>
          <w:rFonts w:ascii="Myriad Pro" w:eastAsia="Calibri" w:hAnsi="Myriad Pro" w:cs="Times New Roman"/>
          <w:b/>
          <w:i/>
          <w:sz w:val="26"/>
          <w:szCs w:val="26"/>
        </w:rPr>
        <w:t>Работы и услуги производственного характера</w:t>
      </w:r>
    </w:p>
    <w:p w14:paraId="50184F8B" w14:textId="77777777" w:rsidR="00E67980" w:rsidRPr="00FB0A3A" w:rsidRDefault="00E67980" w:rsidP="00A31747">
      <w:pPr>
        <w:tabs>
          <w:tab w:val="left" w:pos="1134"/>
        </w:tabs>
        <w:spacing w:after="0" w:line="360" w:lineRule="auto"/>
        <w:ind w:firstLine="567"/>
        <w:jc w:val="both"/>
        <w:rPr>
          <w:rFonts w:ascii="Myriad Pro" w:eastAsia="Calibri" w:hAnsi="Myriad Pro" w:cs="Times New Roman"/>
          <w:sz w:val="26"/>
          <w:szCs w:val="26"/>
        </w:rPr>
      </w:pPr>
      <w:r w:rsidRPr="00FB0A3A">
        <w:rPr>
          <w:rFonts w:ascii="Myriad Pro" w:eastAsia="Calibri" w:hAnsi="Myriad Pro" w:cs="Times New Roman"/>
          <w:sz w:val="26"/>
          <w:szCs w:val="26"/>
        </w:rPr>
        <w:t>Согласно п. 12 Методических указаний №98-э при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следующие статьи затрат: ремонт основных средств, определяемый в соответствии с пунктом 25 Основ ценообразования №1178, а также другие расходы.</w:t>
      </w:r>
    </w:p>
    <w:p w14:paraId="4FB078F0" w14:textId="77777777" w:rsidR="00E67980" w:rsidRPr="00FB0A3A" w:rsidRDefault="00E67980"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В соответствии с п. 25 Основ ценообразования №1178 при определении расходов на ремонт основных средств учитываются:</w:t>
      </w:r>
    </w:p>
    <w:p w14:paraId="401C692D" w14:textId="7114A3FD" w:rsidR="00E67980" w:rsidRPr="00FB0A3A" w:rsidRDefault="00E67980"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 xml:space="preserve">1) нормативы расходов (с учетом их индексации) на ремонт основных средств, утверждаемые соответственно Министерством энергетики Российской Федерации и Государственной корпорацией по атомной энергии </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Росатом</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w:t>
      </w:r>
    </w:p>
    <w:p w14:paraId="1CFBC2F5" w14:textId="77777777" w:rsidR="00E67980" w:rsidRPr="00FB0A3A" w:rsidRDefault="00E67980"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lastRenderedPageBreak/>
        <w:t>2) цены, указанные в пункте 29 Основ ценообразования №1178.</w:t>
      </w:r>
    </w:p>
    <w:p w14:paraId="01730228" w14:textId="77777777" w:rsidR="00E67980" w:rsidRPr="00FB0A3A" w:rsidRDefault="00E67980" w:rsidP="00A31747">
      <w:pPr>
        <w:tabs>
          <w:tab w:val="left" w:pos="1134"/>
        </w:tabs>
        <w:spacing w:after="0" w:line="360" w:lineRule="auto"/>
        <w:ind w:firstLine="567"/>
        <w:jc w:val="both"/>
        <w:rPr>
          <w:rFonts w:ascii="Myriad Pro" w:eastAsia="Calibri" w:hAnsi="Myriad Pro" w:cs="Times New Roman"/>
          <w:sz w:val="26"/>
          <w:szCs w:val="26"/>
        </w:rPr>
      </w:pPr>
      <w:r w:rsidRPr="00FB0A3A">
        <w:rPr>
          <w:rFonts w:ascii="Myriad Pro" w:eastAsia="Calibri" w:hAnsi="Myriad Pro" w:cs="Times New Roman"/>
          <w:sz w:val="26"/>
          <w:szCs w:val="26"/>
        </w:rPr>
        <w:t>Согласно п. 29 Основ ценообразования №1178 при определении фактических значений расходов (цен) регулирующий орган использует (в порядке очередности, если какой-либо из видов цен не может быть применен по причине отсутствия информации о таких ценах):</w:t>
      </w:r>
    </w:p>
    <w:p w14:paraId="34266125" w14:textId="77777777" w:rsidR="00E67980" w:rsidRPr="00FB0A3A" w:rsidRDefault="00E67980" w:rsidP="009B0BC1">
      <w:pPr>
        <w:pStyle w:val="a4"/>
        <w:numPr>
          <w:ilvl w:val="0"/>
          <w:numId w:val="15"/>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w:t>
      </w:r>
    </w:p>
    <w:p w14:paraId="3F698D27" w14:textId="77777777" w:rsidR="00E67980" w:rsidRPr="00FB0A3A" w:rsidRDefault="00E67980" w:rsidP="009B0BC1">
      <w:pPr>
        <w:pStyle w:val="a4"/>
        <w:numPr>
          <w:ilvl w:val="0"/>
          <w:numId w:val="15"/>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расходы (цены), установленные в договорах, заключенных в результате проведения торгов;</w:t>
      </w:r>
    </w:p>
    <w:p w14:paraId="4F58E5CD" w14:textId="77777777" w:rsidR="00E67980" w:rsidRPr="00FB0A3A" w:rsidRDefault="00E67980" w:rsidP="009B0BC1">
      <w:pPr>
        <w:pStyle w:val="a4"/>
        <w:numPr>
          <w:ilvl w:val="0"/>
          <w:numId w:val="15"/>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рыночные цены, сложившиеся на организованных торговых площадках, в том числе биржах, функционирующих на территории Российской Федерации;</w:t>
      </w:r>
    </w:p>
    <w:p w14:paraId="2074B65A" w14:textId="77777777" w:rsidR="00E67980" w:rsidRPr="00FB0A3A" w:rsidRDefault="00E67980" w:rsidP="009B0BC1">
      <w:pPr>
        <w:pStyle w:val="a4"/>
        <w:numPr>
          <w:ilvl w:val="0"/>
          <w:numId w:val="15"/>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рыночные цены, предоставляемые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38845C1C" w14:textId="77777777" w:rsidR="00E67980" w:rsidRPr="00FB0A3A" w:rsidRDefault="00E67980" w:rsidP="00A31747">
      <w:pPr>
        <w:tabs>
          <w:tab w:val="left" w:pos="1134"/>
        </w:tabs>
        <w:spacing w:after="0" w:line="360" w:lineRule="auto"/>
        <w:ind w:firstLine="567"/>
        <w:jc w:val="both"/>
        <w:rPr>
          <w:rFonts w:ascii="Myriad Pro" w:eastAsia="Calibri" w:hAnsi="Myriad Pro" w:cs="Times New Roman"/>
          <w:sz w:val="26"/>
          <w:szCs w:val="26"/>
        </w:rPr>
      </w:pPr>
      <w:r w:rsidRPr="00FB0A3A">
        <w:rPr>
          <w:rFonts w:ascii="Myriad Pro" w:eastAsia="Calibri" w:hAnsi="Myriad Pro" w:cs="Times New Roman"/>
          <w:sz w:val="26"/>
          <w:szCs w:val="26"/>
        </w:rPr>
        <w:t>При отсутствии указанных данных расчетные значения расходов определяются с использованием официальной статистической информации.</w:t>
      </w:r>
    </w:p>
    <w:p w14:paraId="48CE679A" w14:textId="77777777" w:rsidR="00E67980" w:rsidRPr="00FB0A3A" w:rsidRDefault="00E67980" w:rsidP="00AC4D8D">
      <w:pPr>
        <w:pStyle w:val="afff4"/>
        <w:rPr>
          <w:lang w:val="ru-RU"/>
        </w:rPr>
      </w:pPr>
      <w:r w:rsidRPr="00FB0A3A">
        <w:rPr>
          <w:lang w:val="ru-RU"/>
        </w:rPr>
        <w:t>В соответствии с п. 28 Основ ценообразования №1178 в состав прочих расходов включаются расходы на оплату работ (услуг) производственного характера, выполняемых (оказываемых) по договорам с организациями на проведение регламентных работ.</w:t>
      </w:r>
    </w:p>
    <w:tbl>
      <w:tblPr>
        <w:tblStyle w:val="afff6"/>
        <w:tblW w:w="5000" w:type="pct"/>
        <w:tblLook w:val="04A0" w:firstRow="1" w:lastRow="0" w:firstColumn="1" w:lastColumn="0" w:noHBand="0" w:noVBand="1"/>
      </w:tblPr>
      <w:tblGrid>
        <w:gridCol w:w="1989"/>
        <w:gridCol w:w="1357"/>
        <w:gridCol w:w="1955"/>
        <w:gridCol w:w="1286"/>
        <w:gridCol w:w="1699"/>
        <w:gridCol w:w="1058"/>
      </w:tblGrid>
      <w:tr w:rsidR="00AC4D8D" w:rsidRPr="00FB0A3A" w14:paraId="16629BE6" w14:textId="77777777" w:rsidTr="009071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C58B7E3" w14:textId="77777777" w:rsidR="00DB0E2E" w:rsidRPr="00FB0A3A" w:rsidRDefault="00DB0E2E" w:rsidP="00AC4D8D">
            <w:pPr>
              <w:tabs>
                <w:tab w:val="left" w:pos="1134"/>
              </w:tabs>
              <w:jc w:val="center"/>
              <w:rPr>
                <w:rFonts w:eastAsia="Calibri" w:cs="Times New Roman"/>
                <w:sz w:val="20"/>
                <w:szCs w:val="20"/>
              </w:rPr>
            </w:pPr>
            <w:r w:rsidRPr="00FB0A3A">
              <w:rPr>
                <w:rFonts w:eastAsia="Calibri" w:cs="Times New Roman"/>
                <w:sz w:val="20"/>
                <w:szCs w:val="20"/>
              </w:rPr>
              <w:t> Наименование статьи</w:t>
            </w:r>
          </w:p>
        </w:tc>
        <w:tc>
          <w:tcPr>
            <w:tcW w:w="7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72938476" w14:textId="0354C82E" w:rsidR="00DB0E2E" w:rsidRPr="00FB0A3A" w:rsidRDefault="00DB0E2E" w:rsidP="00AC4D8D">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Факт за 2017,</w:t>
            </w:r>
            <w:r w:rsidR="00AC4D8D" w:rsidRPr="00FB0A3A">
              <w:rPr>
                <w:rFonts w:eastAsia="Calibri" w:cs="Times New Roman"/>
                <w:sz w:val="20"/>
                <w:szCs w:val="20"/>
              </w:rPr>
              <w:br/>
            </w:r>
            <w:r w:rsidRPr="00FB0A3A">
              <w:rPr>
                <w:rFonts w:eastAsia="Calibri" w:cs="Times New Roman"/>
                <w:sz w:val="20"/>
                <w:szCs w:val="20"/>
              </w:rPr>
              <w:t>тыс. руб.</w:t>
            </w:r>
          </w:p>
        </w:tc>
        <w:tc>
          <w:tcPr>
            <w:tcW w:w="10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04D8C98" w14:textId="73A25302" w:rsidR="00DB0E2E" w:rsidRPr="00FB0A3A" w:rsidRDefault="00DB0E2E" w:rsidP="00AC4D8D">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 xml:space="preserve">Заявлено филиалом ПАО </w:t>
            </w:r>
            <w:r w:rsidR="00655FFA" w:rsidRPr="00FB0A3A">
              <w:rPr>
                <w:rFonts w:eastAsia="Calibri" w:cs="Times New Roman"/>
                <w:sz w:val="20"/>
                <w:szCs w:val="20"/>
              </w:rPr>
              <w:t>«</w:t>
            </w:r>
            <w:r w:rsidRPr="00FB0A3A">
              <w:rPr>
                <w:rFonts w:eastAsia="Calibri" w:cs="Times New Roman"/>
                <w:sz w:val="20"/>
                <w:szCs w:val="20"/>
              </w:rPr>
              <w:t>МРСК Северо</w:t>
            </w:r>
            <w:r w:rsidR="00C66F37" w:rsidRPr="00FB0A3A">
              <w:rPr>
                <w:rFonts w:eastAsia="Calibri" w:cs="Times New Roman"/>
                <w:sz w:val="20"/>
                <w:szCs w:val="20"/>
              </w:rPr>
              <w:t>- Запада</w:t>
            </w:r>
            <w:r w:rsidR="00655FFA" w:rsidRPr="00FB0A3A">
              <w:rPr>
                <w:rFonts w:eastAsia="Calibri" w:cs="Times New Roman"/>
                <w:sz w:val="20"/>
                <w:szCs w:val="20"/>
              </w:rPr>
              <w:t>»</w:t>
            </w:r>
            <w:r w:rsidR="00C66F37" w:rsidRPr="00FB0A3A">
              <w:rPr>
                <w:rFonts w:eastAsia="Calibri" w:cs="Times New Roman"/>
                <w:sz w:val="20"/>
                <w:szCs w:val="20"/>
              </w:rPr>
              <w:t xml:space="preserve"> </w:t>
            </w:r>
            <w:r w:rsidR="00655FFA" w:rsidRPr="00FB0A3A">
              <w:rPr>
                <w:rFonts w:eastAsia="Calibri" w:cs="Times New Roman"/>
                <w:sz w:val="20"/>
                <w:szCs w:val="20"/>
              </w:rPr>
              <w:t>«</w:t>
            </w:r>
            <w:r w:rsidRPr="00FB0A3A">
              <w:rPr>
                <w:rFonts w:eastAsia="Calibri" w:cs="Times New Roman"/>
                <w:sz w:val="20"/>
                <w:szCs w:val="20"/>
              </w:rPr>
              <w:t>Колэнерго</w:t>
            </w:r>
            <w:r w:rsidR="00655FFA" w:rsidRPr="00FB0A3A">
              <w:rPr>
                <w:rFonts w:eastAsia="Calibri" w:cs="Times New Roman"/>
                <w:sz w:val="20"/>
                <w:szCs w:val="20"/>
              </w:rPr>
              <w:t>»</w:t>
            </w:r>
            <w:r w:rsidRPr="00FB0A3A">
              <w:rPr>
                <w:rFonts w:eastAsia="Calibri" w:cs="Times New Roman"/>
                <w:sz w:val="20"/>
                <w:szCs w:val="20"/>
              </w:rPr>
              <w:t xml:space="preserve"> на 2019, тыс. руб.</w:t>
            </w:r>
          </w:p>
        </w:tc>
        <w:tc>
          <w:tcPr>
            <w:tcW w:w="6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A176215" w14:textId="77777777" w:rsidR="00DB0E2E" w:rsidRPr="00FB0A3A" w:rsidRDefault="00DB0E2E" w:rsidP="00AC4D8D">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ТБР на 2019, тыс. руб.</w:t>
            </w:r>
          </w:p>
        </w:tc>
        <w:tc>
          <w:tcPr>
            <w:tcW w:w="9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E1AA8AE" w14:textId="77777777" w:rsidR="00DB0E2E" w:rsidRPr="00FB0A3A" w:rsidRDefault="00DB0E2E" w:rsidP="00AC4D8D">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Отклонение ТБР на 2019/ заявка на 2019, %</w:t>
            </w:r>
          </w:p>
        </w:tc>
        <w:tc>
          <w:tcPr>
            <w:tcW w:w="5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FC5E803" w14:textId="77777777" w:rsidR="00DB0E2E" w:rsidRPr="00FB0A3A" w:rsidRDefault="00DB0E2E" w:rsidP="00AC4D8D">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ТБР на 2019 /факт за 2017, %</w:t>
            </w:r>
          </w:p>
        </w:tc>
      </w:tr>
      <w:tr w:rsidR="00AC4D8D" w:rsidRPr="00FB0A3A" w14:paraId="046733A6" w14:textId="77777777" w:rsidTr="00907125">
        <w:tc>
          <w:tcPr>
            <w:cnfStyle w:val="001000000000" w:firstRow="0" w:lastRow="0" w:firstColumn="1" w:lastColumn="0" w:oddVBand="0" w:evenVBand="0" w:oddHBand="0" w:evenHBand="0" w:firstRowFirstColumn="0" w:firstRowLastColumn="0" w:lastRowFirstColumn="0" w:lastRowLastColumn="0"/>
            <w:tcW w:w="1065" w:type="pct"/>
            <w:tcBorders>
              <w:top w:val="single" w:sz="4" w:space="0" w:color="FFFFFF" w:themeColor="background1"/>
            </w:tcBorders>
            <w:hideMark/>
          </w:tcPr>
          <w:p w14:paraId="2236790C" w14:textId="77777777" w:rsidR="00DB0E2E" w:rsidRPr="00FB0A3A" w:rsidRDefault="00DB0E2E" w:rsidP="00AC4D8D">
            <w:pPr>
              <w:tabs>
                <w:tab w:val="left" w:pos="1134"/>
              </w:tabs>
              <w:rPr>
                <w:rFonts w:eastAsia="Calibri" w:cs="Times New Roman"/>
                <w:sz w:val="20"/>
                <w:szCs w:val="20"/>
              </w:rPr>
            </w:pPr>
            <w:r w:rsidRPr="00FB0A3A">
              <w:rPr>
                <w:rFonts w:eastAsia="Calibri" w:cs="Times New Roman"/>
                <w:sz w:val="20"/>
                <w:szCs w:val="20"/>
              </w:rPr>
              <w:t>Работы и услуги производственного характера, из них:</w:t>
            </w:r>
          </w:p>
        </w:tc>
        <w:tc>
          <w:tcPr>
            <w:tcW w:w="726" w:type="pct"/>
            <w:tcBorders>
              <w:top w:val="single" w:sz="4" w:space="0" w:color="FFFFFF" w:themeColor="background1"/>
            </w:tcBorders>
            <w:hideMark/>
          </w:tcPr>
          <w:p w14:paraId="1ECE7909" w14:textId="77777777" w:rsidR="00DB0E2E" w:rsidRPr="00FB0A3A" w:rsidRDefault="00DB0E2E" w:rsidP="00AC4D8D">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81 588,00</w:t>
            </w:r>
          </w:p>
        </w:tc>
        <w:tc>
          <w:tcPr>
            <w:tcW w:w="1046" w:type="pct"/>
            <w:tcBorders>
              <w:top w:val="single" w:sz="4" w:space="0" w:color="FFFFFF" w:themeColor="background1"/>
            </w:tcBorders>
            <w:hideMark/>
          </w:tcPr>
          <w:p w14:paraId="7206002B" w14:textId="77777777" w:rsidR="00DB0E2E" w:rsidRPr="00FB0A3A" w:rsidRDefault="00DB0E2E" w:rsidP="00AC4D8D">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155 706,00</w:t>
            </w:r>
          </w:p>
        </w:tc>
        <w:tc>
          <w:tcPr>
            <w:tcW w:w="688" w:type="pct"/>
            <w:tcBorders>
              <w:top w:val="single" w:sz="4" w:space="0" w:color="FFFFFF" w:themeColor="background1"/>
            </w:tcBorders>
            <w:hideMark/>
          </w:tcPr>
          <w:p w14:paraId="6B4170C6" w14:textId="77777777" w:rsidR="00DB0E2E" w:rsidRPr="00FB0A3A" w:rsidRDefault="00DB0E2E" w:rsidP="00AC4D8D">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81 378,18</w:t>
            </w:r>
          </w:p>
        </w:tc>
        <w:tc>
          <w:tcPr>
            <w:tcW w:w="909" w:type="pct"/>
            <w:tcBorders>
              <w:top w:val="single" w:sz="4" w:space="0" w:color="FFFFFF" w:themeColor="background1"/>
            </w:tcBorders>
            <w:hideMark/>
          </w:tcPr>
          <w:p w14:paraId="48903F36" w14:textId="77777777" w:rsidR="00DB0E2E" w:rsidRPr="00FB0A3A" w:rsidRDefault="00DB0E2E" w:rsidP="00AC4D8D">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-47,7</w:t>
            </w:r>
          </w:p>
        </w:tc>
        <w:tc>
          <w:tcPr>
            <w:tcW w:w="566" w:type="pct"/>
            <w:tcBorders>
              <w:top w:val="single" w:sz="4" w:space="0" w:color="FFFFFF" w:themeColor="background1"/>
            </w:tcBorders>
            <w:hideMark/>
          </w:tcPr>
          <w:p w14:paraId="60D5C804" w14:textId="77777777" w:rsidR="00DB0E2E" w:rsidRPr="00FB0A3A" w:rsidRDefault="00DB0E2E" w:rsidP="00AC4D8D">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-0,26</w:t>
            </w:r>
          </w:p>
        </w:tc>
      </w:tr>
      <w:tr w:rsidR="00AC4D8D" w:rsidRPr="00FB0A3A" w14:paraId="7B381790" w14:textId="77777777" w:rsidTr="00AC4D8D">
        <w:tc>
          <w:tcPr>
            <w:cnfStyle w:val="001000000000" w:firstRow="0" w:lastRow="0" w:firstColumn="1" w:lastColumn="0" w:oddVBand="0" w:evenVBand="0" w:oddHBand="0" w:evenHBand="0" w:firstRowFirstColumn="0" w:firstRowLastColumn="0" w:lastRowFirstColumn="0" w:lastRowLastColumn="0"/>
            <w:tcW w:w="1065" w:type="pct"/>
            <w:hideMark/>
          </w:tcPr>
          <w:p w14:paraId="063513E4" w14:textId="77777777" w:rsidR="00DB0E2E" w:rsidRPr="00FB0A3A" w:rsidRDefault="00DB0E2E" w:rsidP="00AC4D8D">
            <w:pPr>
              <w:tabs>
                <w:tab w:val="left" w:pos="1134"/>
              </w:tabs>
              <w:rPr>
                <w:rFonts w:eastAsia="Calibri" w:cs="Times New Roman"/>
                <w:sz w:val="20"/>
                <w:szCs w:val="20"/>
              </w:rPr>
            </w:pPr>
            <w:r w:rsidRPr="00FB0A3A">
              <w:rPr>
                <w:rFonts w:eastAsia="Calibri" w:cs="Times New Roman"/>
                <w:sz w:val="20"/>
                <w:szCs w:val="20"/>
              </w:rPr>
              <w:t>Услуги подрядчиков по обслуживанию</w:t>
            </w:r>
          </w:p>
        </w:tc>
        <w:tc>
          <w:tcPr>
            <w:tcW w:w="726" w:type="pct"/>
            <w:hideMark/>
          </w:tcPr>
          <w:p w14:paraId="3D48C83A" w14:textId="77777777" w:rsidR="00DB0E2E" w:rsidRPr="00FB0A3A" w:rsidRDefault="00DB0E2E" w:rsidP="00AC4D8D">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54 583,00</w:t>
            </w:r>
          </w:p>
        </w:tc>
        <w:tc>
          <w:tcPr>
            <w:tcW w:w="1046" w:type="pct"/>
            <w:hideMark/>
          </w:tcPr>
          <w:p w14:paraId="2C362DF7" w14:textId="77777777" w:rsidR="00DB0E2E" w:rsidRPr="00FB0A3A" w:rsidRDefault="00DB0E2E" w:rsidP="00AC4D8D">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74 932,00</w:t>
            </w:r>
          </w:p>
        </w:tc>
        <w:tc>
          <w:tcPr>
            <w:tcW w:w="688" w:type="pct"/>
            <w:hideMark/>
          </w:tcPr>
          <w:p w14:paraId="358E2EDA" w14:textId="77777777" w:rsidR="00DB0E2E" w:rsidRPr="00FB0A3A" w:rsidRDefault="00DB0E2E" w:rsidP="00AC4D8D">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53 176,79</w:t>
            </w:r>
          </w:p>
        </w:tc>
        <w:tc>
          <w:tcPr>
            <w:tcW w:w="909" w:type="pct"/>
            <w:hideMark/>
          </w:tcPr>
          <w:p w14:paraId="2AA83E08" w14:textId="77777777" w:rsidR="00DB0E2E" w:rsidRPr="00FB0A3A" w:rsidRDefault="00DB0E2E" w:rsidP="00AC4D8D">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-29,03</w:t>
            </w:r>
          </w:p>
        </w:tc>
        <w:tc>
          <w:tcPr>
            <w:tcW w:w="566" w:type="pct"/>
            <w:hideMark/>
          </w:tcPr>
          <w:p w14:paraId="136094C5" w14:textId="77777777" w:rsidR="00DB0E2E" w:rsidRPr="00FB0A3A" w:rsidRDefault="00DB0E2E" w:rsidP="00AC4D8D">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-2,58</w:t>
            </w:r>
          </w:p>
        </w:tc>
      </w:tr>
      <w:tr w:rsidR="00AC4D8D" w:rsidRPr="00FB0A3A" w14:paraId="50CB7329" w14:textId="77777777" w:rsidTr="00AC4D8D">
        <w:tc>
          <w:tcPr>
            <w:cnfStyle w:val="001000000000" w:firstRow="0" w:lastRow="0" w:firstColumn="1" w:lastColumn="0" w:oddVBand="0" w:evenVBand="0" w:oddHBand="0" w:evenHBand="0" w:firstRowFirstColumn="0" w:firstRowLastColumn="0" w:lastRowFirstColumn="0" w:lastRowLastColumn="0"/>
            <w:tcW w:w="1065" w:type="pct"/>
            <w:hideMark/>
          </w:tcPr>
          <w:p w14:paraId="31ECF2E3" w14:textId="77777777" w:rsidR="00DB0E2E" w:rsidRPr="00FB0A3A" w:rsidRDefault="00DB0E2E" w:rsidP="00AC4D8D">
            <w:pPr>
              <w:tabs>
                <w:tab w:val="left" w:pos="1134"/>
              </w:tabs>
              <w:rPr>
                <w:rFonts w:eastAsia="Calibri" w:cs="Times New Roman"/>
                <w:sz w:val="20"/>
                <w:szCs w:val="20"/>
              </w:rPr>
            </w:pPr>
            <w:r w:rsidRPr="00FB0A3A">
              <w:rPr>
                <w:rFonts w:eastAsia="Calibri" w:cs="Times New Roman"/>
                <w:sz w:val="20"/>
                <w:szCs w:val="20"/>
              </w:rPr>
              <w:lastRenderedPageBreak/>
              <w:t>Транспортные услуги</w:t>
            </w:r>
          </w:p>
        </w:tc>
        <w:tc>
          <w:tcPr>
            <w:tcW w:w="726" w:type="pct"/>
            <w:hideMark/>
          </w:tcPr>
          <w:p w14:paraId="6A2EC6CE" w14:textId="77777777" w:rsidR="00DB0E2E" w:rsidRPr="00FB0A3A" w:rsidRDefault="00DB0E2E" w:rsidP="00AC4D8D">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10 266,00</w:t>
            </w:r>
          </w:p>
        </w:tc>
        <w:tc>
          <w:tcPr>
            <w:tcW w:w="1046" w:type="pct"/>
            <w:hideMark/>
          </w:tcPr>
          <w:p w14:paraId="1F8DAC99" w14:textId="77777777" w:rsidR="00DB0E2E" w:rsidRPr="00FB0A3A" w:rsidRDefault="00DB0E2E" w:rsidP="00AC4D8D">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18 026,00</w:t>
            </w:r>
          </w:p>
        </w:tc>
        <w:tc>
          <w:tcPr>
            <w:tcW w:w="688" w:type="pct"/>
            <w:hideMark/>
          </w:tcPr>
          <w:p w14:paraId="1923224E" w14:textId="77777777" w:rsidR="00DB0E2E" w:rsidRPr="00FB0A3A" w:rsidRDefault="00DB0E2E" w:rsidP="00AC4D8D">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10 720,57</w:t>
            </w:r>
          </w:p>
        </w:tc>
        <w:tc>
          <w:tcPr>
            <w:tcW w:w="909" w:type="pct"/>
            <w:hideMark/>
          </w:tcPr>
          <w:p w14:paraId="73E7D111" w14:textId="77777777" w:rsidR="00DB0E2E" w:rsidRPr="00FB0A3A" w:rsidRDefault="00DB0E2E" w:rsidP="00AC4D8D">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-40,53</w:t>
            </w:r>
          </w:p>
        </w:tc>
        <w:tc>
          <w:tcPr>
            <w:tcW w:w="566" w:type="pct"/>
            <w:hideMark/>
          </w:tcPr>
          <w:p w14:paraId="1F4C6500" w14:textId="77777777" w:rsidR="00DB0E2E" w:rsidRPr="00FB0A3A" w:rsidRDefault="00DB0E2E" w:rsidP="00AC4D8D">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4,43</w:t>
            </w:r>
          </w:p>
        </w:tc>
      </w:tr>
      <w:tr w:rsidR="00AC4D8D" w:rsidRPr="00FB0A3A" w14:paraId="7DA17657" w14:textId="77777777" w:rsidTr="00AC4D8D">
        <w:tc>
          <w:tcPr>
            <w:cnfStyle w:val="001000000000" w:firstRow="0" w:lastRow="0" w:firstColumn="1" w:lastColumn="0" w:oddVBand="0" w:evenVBand="0" w:oddHBand="0" w:evenHBand="0" w:firstRowFirstColumn="0" w:firstRowLastColumn="0" w:lastRowFirstColumn="0" w:lastRowLastColumn="0"/>
            <w:tcW w:w="1065" w:type="pct"/>
            <w:hideMark/>
          </w:tcPr>
          <w:p w14:paraId="280DD4A5" w14:textId="77777777" w:rsidR="00DB0E2E" w:rsidRPr="00FB0A3A" w:rsidRDefault="00DB0E2E" w:rsidP="00AC4D8D">
            <w:pPr>
              <w:tabs>
                <w:tab w:val="left" w:pos="1134"/>
              </w:tabs>
              <w:rPr>
                <w:rFonts w:eastAsia="Times New Roman" w:cs="Arial"/>
                <w:sz w:val="20"/>
                <w:szCs w:val="20"/>
                <w:lang w:eastAsia="ru-RU"/>
              </w:rPr>
            </w:pPr>
            <w:r w:rsidRPr="00FB0A3A">
              <w:rPr>
                <w:rFonts w:eastAsia="Times New Roman" w:cs="Arial"/>
                <w:sz w:val="20"/>
                <w:szCs w:val="20"/>
                <w:lang w:eastAsia="ru-RU"/>
              </w:rPr>
              <w:t>Услуги по испытанию и поверке приборов</w:t>
            </w:r>
          </w:p>
        </w:tc>
        <w:tc>
          <w:tcPr>
            <w:tcW w:w="726" w:type="pct"/>
            <w:hideMark/>
          </w:tcPr>
          <w:p w14:paraId="35A3953C" w14:textId="77777777" w:rsidR="00DB0E2E" w:rsidRPr="00FB0A3A" w:rsidRDefault="00DB0E2E" w:rsidP="00AC4D8D">
            <w:pPr>
              <w:tabs>
                <w:tab w:val="left" w:pos="1134"/>
              </w:tabs>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eastAsia="ru-RU"/>
              </w:rPr>
            </w:pPr>
            <w:r w:rsidRPr="00FB0A3A">
              <w:rPr>
                <w:rFonts w:eastAsia="Times New Roman" w:cs="Arial"/>
                <w:sz w:val="20"/>
                <w:szCs w:val="20"/>
                <w:lang w:eastAsia="ru-RU"/>
              </w:rPr>
              <w:t>5 340,00</w:t>
            </w:r>
          </w:p>
        </w:tc>
        <w:tc>
          <w:tcPr>
            <w:tcW w:w="1046" w:type="pct"/>
            <w:hideMark/>
          </w:tcPr>
          <w:p w14:paraId="5FA0E9B9" w14:textId="77777777" w:rsidR="00DB0E2E" w:rsidRPr="00FB0A3A" w:rsidRDefault="00DB0E2E" w:rsidP="00AC4D8D">
            <w:pPr>
              <w:tabs>
                <w:tab w:val="left" w:pos="1134"/>
              </w:tabs>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eastAsia="ru-RU"/>
              </w:rPr>
            </w:pPr>
            <w:r w:rsidRPr="00FB0A3A">
              <w:rPr>
                <w:rFonts w:eastAsia="Times New Roman" w:cs="Arial"/>
                <w:sz w:val="20"/>
                <w:szCs w:val="20"/>
                <w:lang w:eastAsia="ru-RU"/>
              </w:rPr>
              <w:t>9 346,00</w:t>
            </w:r>
          </w:p>
        </w:tc>
        <w:tc>
          <w:tcPr>
            <w:tcW w:w="688" w:type="pct"/>
            <w:hideMark/>
          </w:tcPr>
          <w:p w14:paraId="3B3350A0" w14:textId="77777777" w:rsidR="00DB0E2E" w:rsidRPr="00FB0A3A" w:rsidRDefault="00DB0E2E" w:rsidP="00AC4D8D">
            <w:pPr>
              <w:tabs>
                <w:tab w:val="left" w:pos="1134"/>
              </w:tabs>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eastAsia="ru-RU"/>
              </w:rPr>
            </w:pPr>
            <w:r w:rsidRPr="00FB0A3A">
              <w:rPr>
                <w:rFonts w:eastAsia="Times New Roman" w:cs="Arial"/>
                <w:sz w:val="20"/>
                <w:szCs w:val="20"/>
                <w:lang w:eastAsia="ru-RU"/>
              </w:rPr>
              <w:t>5 576,79</w:t>
            </w:r>
          </w:p>
        </w:tc>
        <w:tc>
          <w:tcPr>
            <w:tcW w:w="909" w:type="pct"/>
            <w:hideMark/>
          </w:tcPr>
          <w:p w14:paraId="3AA8CB9D" w14:textId="77777777" w:rsidR="00DB0E2E" w:rsidRPr="00FB0A3A" w:rsidRDefault="00DB0E2E" w:rsidP="00AC4D8D">
            <w:pPr>
              <w:tabs>
                <w:tab w:val="left" w:pos="1134"/>
              </w:tabs>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eastAsia="ru-RU"/>
              </w:rPr>
            </w:pPr>
            <w:r w:rsidRPr="00FB0A3A">
              <w:rPr>
                <w:rFonts w:eastAsia="Times New Roman" w:cs="Arial"/>
                <w:sz w:val="20"/>
                <w:szCs w:val="20"/>
                <w:lang w:eastAsia="ru-RU"/>
              </w:rPr>
              <w:t>-40,33</w:t>
            </w:r>
          </w:p>
        </w:tc>
        <w:tc>
          <w:tcPr>
            <w:tcW w:w="566" w:type="pct"/>
            <w:hideMark/>
          </w:tcPr>
          <w:p w14:paraId="7898166E" w14:textId="77777777" w:rsidR="00DB0E2E" w:rsidRPr="00FB0A3A" w:rsidRDefault="00DB0E2E" w:rsidP="00AC4D8D">
            <w:pPr>
              <w:tabs>
                <w:tab w:val="left" w:pos="1134"/>
              </w:tabs>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eastAsia="ru-RU"/>
              </w:rPr>
            </w:pPr>
            <w:r w:rsidRPr="00FB0A3A">
              <w:rPr>
                <w:rFonts w:eastAsia="Times New Roman" w:cs="Arial"/>
                <w:sz w:val="20"/>
                <w:szCs w:val="20"/>
                <w:lang w:eastAsia="ru-RU"/>
              </w:rPr>
              <w:t>4,43</w:t>
            </w:r>
          </w:p>
        </w:tc>
      </w:tr>
      <w:tr w:rsidR="00AC4D8D" w:rsidRPr="00FB0A3A" w14:paraId="0E6F6293" w14:textId="77777777" w:rsidTr="00AC4D8D">
        <w:tc>
          <w:tcPr>
            <w:cnfStyle w:val="001000000000" w:firstRow="0" w:lastRow="0" w:firstColumn="1" w:lastColumn="0" w:oddVBand="0" w:evenVBand="0" w:oddHBand="0" w:evenHBand="0" w:firstRowFirstColumn="0" w:firstRowLastColumn="0" w:lastRowFirstColumn="0" w:lastRowLastColumn="0"/>
            <w:tcW w:w="1065" w:type="pct"/>
            <w:hideMark/>
          </w:tcPr>
          <w:p w14:paraId="3645D587" w14:textId="77777777" w:rsidR="00DB0E2E" w:rsidRPr="00FB0A3A" w:rsidRDefault="00DB0E2E" w:rsidP="00AC4D8D">
            <w:pPr>
              <w:tabs>
                <w:tab w:val="left" w:pos="1134"/>
              </w:tabs>
              <w:rPr>
                <w:rFonts w:eastAsia="Times New Roman" w:cs="Arial"/>
                <w:sz w:val="20"/>
                <w:szCs w:val="20"/>
                <w:lang w:eastAsia="ru-RU"/>
              </w:rPr>
            </w:pPr>
            <w:r w:rsidRPr="00FB0A3A">
              <w:rPr>
                <w:rFonts w:eastAsia="Times New Roman" w:cs="Arial"/>
                <w:sz w:val="20"/>
                <w:szCs w:val="20"/>
                <w:lang w:eastAsia="ru-RU"/>
              </w:rPr>
              <w:t>Прочие услуги производственного характера</w:t>
            </w:r>
          </w:p>
        </w:tc>
        <w:tc>
          <w:tcPr>
            <w:tcW w:w="726" w:type="pct"/>
            <w:hideMark/>
          </w:tcPr>
          <w:p w14:paraId="301D6181" w14:textId="77777777" w:rsidR="00DB0E2E" w:rsidRPr="00FB0A3A" w:rsidRDefault="00DB0E2E" w:rsidP="00AC4D8D">
            <w:pPr>
              <w:tabs>
                <w:tab w:val="left" w:pos="1134"/>
              </w:tabs>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eastAsia="ru-RU"/>
              </w:rPr>
            </w:pPr>
            <w:r w:rsidRPr="00FB0A3A">
              <w:rPr>
                <w:rFonts w:eastAsia="Times New Roman" w:cs="Arial"/>
                <w:sz w:val="20"/>
                <w:szCs w:val="20"/>
                <w:lang w:eastAsia="ru-RU"/>
              </w:rPr>
              <w:t>11 399,00</w:t>
            </w:r>
          </w:p>
        </w:tc>
        <w:tc>
          <w:tcPr>
            <w:tcW w:w="1046" w:type="pct"/>
            <w:hideMark/>
          </w:tcPr>
          <w:p w14:paraId="723253F3" w14:textId="77777777" w:rsidR="00DB0E2E" w:rsidRPr="00FB0A3A" w:rsidRDefault="00DB0E2E" w:rsidP="00AC4D8D">
            <w:pPr>
              <w:tabs>
                <w:tab w:val="left" w:pos="1134"/>
              </w:tabs>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eastAsia="ru-RU"/>
              </w:rPr>
            </w:pPr>
            <w:r w:rsidRPr="00FB0A3A">
              <w:rPr>
                <w:rFonts w:eastAsia="Times New Roman" w:cs="Arial"/>
                <w:sz w:val="20"/>
                <w:szCs w:val="20"/>
                <w:lang w:eastAsia="ru-RU"/>
              </w:rPr>
              <w:t>53 402,00</w:t>
            </w:r>
          </w:p>
        </w:tc>
        <w:tc>
          <w:tcPr>
            <w:tcW w:w="688" w:type="pct"/>
            <w:hideMark/>
          </w:tcPr>
          <w:p w14:paraId="0FCB7310" w14:textId="77777777" w:rsidR="00DB0E2E" w:rsidRPr="00FB0A3A" w:rsidRDefault="00DB0E2E" w:rsidP="00AC4D8D">
            <w:pPr>
              <w:tabs>
                <w:tab w:val="left" w:pos="1134"/>
              </w:tabs>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eastAsia="ru-RU"/>
              </w:rPr>
            </w:pPr>
            <w:r w:rsidRPr="00FB0A3A">
              <w:rPr>
                <w:rFonts w:eastAsia="Times New Roman" w:cs="Arial"/>
                <w:sz w:val="20"/>
                <w:szCs w:val="20"/>
                <w:lang w:eastAsia="ru-RU"/>
              </w:rPr>
              <w:t>11 904,03</w:t>
            </w:r>
          </w:p>
        </w:tc>
        <w:tc>
          <w:tcPr>
            <w:tcW w:w="909" w:type="pct"/>
            <w:hideMark/>
          </w:tcPr>
          <w:p w14:paraId="0B09E1F1" w14:textId="77777777" w:rsidR="00DB0E2E" w:rsidRPr="00FB0A3A" w:rsidRDefault="00DB0E2E" w:rsidP="00AC4D8D">
            <w:pPr>
              <w:tabs>
                <w:tab w:val="left" w:pos="1134"/>
              </w:tabs>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eastAsia="ru-RU"/>
              </w:rPr>
            </w:pPr>
            <w:r w:rsidRPr="00FB0A3A">
              <w:rPr>
                <w:rFonts w:eastAsia="Times New Roman" w:cs="Arial"/>
                <w:sz w:val="20"/>
                <w:szCs w:val="20"/>
                <w:lang w:eastAsia="ru-RU"/>
              </w:rPr>
              <w:t>-77,71</w:t>
            </w:r>
          </w:p>
        </w:tc>
        <w:tc>
          <w:tcPr>
            <w:tcW w:w="566" w:type="pct"/>
            <w:hideMark/>
          </w:tcPr>
          <w:p w14:paraId="152D85B6" w14:textId="77777777" w:rsidR="00DB0E2E" w:rsidRPr="00FB0A3A" w:rsidRDefault="00DB0E2E" w:rsidP="00AC4D8D">
            <w:pPr>
              <w:tabs>
                <w:tab w:val="left" w:pos="1134"/>
              </w:tabs>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eastAsia="ru-RU"/>
              </w:rPr>
            </w:pPr>
            <w:r w:rsidRPr="00FB0A3A">
              <w:rPr>
                <w:rFonts w:eastAsia="Times New Roman" w:cs="Arial"/>
                <w:sz w:val="20"/>
                <w:szCs w:val="20"/>
                <w:lang w:eastAsia="ru-RU"/>
              </w:rPr>
              <w:t>4,43</w:t>
            </w:r>
          </w:p>
        </w:tc>
      </w:tr>
    </w:tbl>
    <w:p w14:paraId="17D55154" w14:textId="77777777" w:rsidR="009545C4" w:rsidRPr="00FB0A3A" w:rsidRDefault="009545C4" w:rsidP="00A31747">
      <w:pPr>
        <w:tabs>
          <w:tab w:val="left" w:pos="1134"/>
        </w:tabs>
        <w:spacing w:after="0" w:line="360" w:lineRule="auto"/>
        <w:ind w:firstLine="567"/>
        <w:contextualSpacing/>
        <w:jc w:val="both"/>
        <w:rPr>
          <w:rFonts w:ascii="Myriad Pro" w:eastAsia="Calibri" w:hAnsi="Myriad Pro" w:cs="Times New Roman"/>
          <w:b/>
          <w:sz w:val="26"/>
          <w:szCs w:val="26"/>
        </w:rPr>
      </w:pPr>
    </w:p>
    <w:p w14:paraId="3DEF4EAA" w14:textId="77777777" w:rsidR="00A933E1" w:rsidRPr="00C04ABD" w:rsidRDefault="00A933E1" w:rsidP="00AC4D8D">
      <w:pPr>
        <w:tabs>
          <w:tab w:val="left" w:pos="1134"/>
        </w:tabs>
        <w:spacing w:after="0" w:line="360" w:lineRule="auto"/>
        <w:contextualSpacing/>
        <w:jc w:val="both"/>
        <w:rPr>
          <w:rFonts w:ascii="Myriad Pro" w:eastAsia="Calibri" w:hAnsi="Myriad Pro" w:cs="Times New Roman"/>
          <w:b/>
          <w:sz w:val="26"/>
          <w:szCs w:val="26"/>
        </w:rPr>
      </w:pPr>
      <w:r w:rsidRPr="00C04ABD">
        <w:rPr>
          <w:rFonts w:ascii="Myriad Pro" w:eastAsia="Calibri" w:hAnsi="Myriad Pro" w:cs="Times New Roman"/>
          <w:b/>
          <w:sz w:val="26"/>
          <w:szCs w:val="26"/>
        </w:rPr>
        <w:t>ПОЗИЦИЯ ТЕРРИТОРИАЛЬНОЙ СЕТЕВОЙ ОРГАНИЗАЦИИ</w:t>
      </w:r>
    </w:p>
    <w:p w14:paraId="67EE81F1" w14:textId="6FA538BE" w:rsidR="00DB0E2E" w:rsidRPr="00C04ABD" w:rsidRDefault="00DB0E2E"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Величина расходов, заявленная филиалом на 2019 год, составила – 310 706 тыс. руб., в том числе расходы на услуги по ремонту – 155 000 тыс. руб.</w:t>
      </w:r>
    </w:p>
    <w:p w14:paraId="2602F27C" w14:textId="058539CA" w:rsidR="00060B3B" w:rsidRPr="00C04ABD" w:rsidRDefault="00060B3B" w:rsidP="00AC4D8D">
      <w:pPr>
        <w:tabs>
          <w:tab w:val="left" w:pos="1134"/>
        </w:tabs>
        <w:spacing w:before="240" w:after="0" w:line="360" w:lineRule="auto"/>
        <w:rPr>
          <w:rFonts w:ascii="Myriad Pro" w:eastAsia="Calibri" w:hAnsi="Myriad Pro" w:cs="Times New Roman"/>
          <w:b/>
          <w:i/>
          <w:sz w:val="26"/>
          <w:szCs w:val="26"/>
        </w:rPr>
      </w:pPr>
      <w:r w:rsidRPr="00C04ABD">
        <w:rPr>
          <w:rFonts w:ascii="Myriad Pro" w:eastAsia="Calibri" w:hAnsi="Myriad Pro" w:cs="Times New Roman"/>
          <w:b/>
          <w:i/>
          <w:sz w:val="26"/>
          <w:szCs w:val="26"/>
        </w:rPr>
        <w:t>Услуги подрядчиков по обслуживанию</w:t>
      </w:r>
    </w:p>
    <w:p w14:paraId="2D44CF0F" w14:textId="1F2E965E" w:rsidR="00060B3B" w:rsidRPr="00C04ABD" w:rsidRDefault="00060B3B" w:rsidP="00A31747">
      <w:pPr>
        <w:tabs>
          <w:tab w:val="left" w:pos="1134"/>
        </w:tabs>
        <w:spacing w:after="0" w:line="360" w:lineRule="auto"/>
        <w:ind w:firstLine="567"/>
        <w:jc w:val="both"/>
        <w:rPr>
          <w:rFonts w:ascii="Myriad Pro" w:eastAsia="Calibri" w:hAnsi="Myriad Pro" w:cs="Times New Roman"/>
          <w:sz w:val="26"/>
          <w:szCs w:val="26"/>
        </w:rPr>
      </w:pPr>
      <w:r w:rsidRPr="00C04ABD">
        <w:rPr>
          <w:rFonts w:ascii="Myriad Pro" w:eastAsia="Calibri" w:hAnsi="Myriad Pro" w:cs="Times New Roman"/>
          <w:sz w:val="26"/>
          <w:szCs w:val="26"/>
        </w:rPr>
        <w:t xml:space="preserve">Включают в себя услуги по обслуживанию автотранспорта, обслуживание сетей и оборудования, обслуживание оборудования связи, обслуживание оргтехники, техническое обслуживание средств безопасности и обслуживание административно-хозяйственных зданий и помещений. </w:t>
      </w:r>
    </w:p>
    <w:p w14:paraId="43C848FE" w14:textId="6CDBD3BE" w:rsidR="00060B3B" w:rsidRPr="00C04ABD" w:rsidRDefault="00060B3B" w:rsidP="00A31747">
      <w:pPr>
        <w:tabs>
          <w:tab w:val="left" w:pos="1134"/>
        </w:tabs>
        <w:spacing w:after="0" w:line="360" w:lineRule="auto"/>
        <w:ind w:firstLine="567"/>
        <w:jc w:val="both"/>
        <w:rPr>
          <w:rFonts w:ascii="Myriad Pro" w:eastAsia="Calibri" w:hAnsi="Myriad Pro" w:cs="Times New Roman"/>
          <w:sz w:val="26"/>
          <w:szCs w:val="26"/>
        </w:rPr>
      </w:pPr>
      <w:r w:rsidRPr="00C04ABD">
        <w:rPr>
          <w:rFonts w:ascii="Myriad Pro" w:eastAsia="Calibri" w:hAnsi="Myriad Pro" w:cs="Times New Roman"/>
          <w:sz w:val="26"/>
          <w:szCs w:val="26"/>
        </w:rPr>
        <w:t xml:space="preserve">Рост ожидаемых затрат обусловлен планируемым заключением новых договоров на основании решений Арбитражного суда на текущее техническое обслуживание ВОЛС находящихся в совместной собственности с ПАО </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ТГК-1</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 xml:space="preserve"> и с ПАО </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ФСК ЕЭС</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 xml:space="preserve"> на общую сумму 6</w:t>
      </w:r>
      <w:r w:rsidR="00F07616" w:rsidRPr="00C04ABD">
        <w:rPr>
          <w:rFonts w:ascii="Myriad Pro" w:eastAsia="Calibri" w:hAnsi="Myriad Pro" w:cs="Times New Roman"/>
          <w:sz w:val="26"/>
          <w:szCs w:val="26"/>
        </w:rPr>
        <w:t> </w:t>
      </w:r>
      <w:r w:rsidRPr="00C04ABD">
        <w:rPr>
          <w:rFonts w:ascii="Myriad Pro" w:eastAsia="Calibri" w:hAnsi="Myriad Pro" w:cs="Times New Roman"/>
          <w:sz w:val="26"/>
          <w:szCs w:val="26"/>
        </w:rPr>
        <w:t xml:space="preserve">778,84 </w:t>
      </w:r>
      <w:r w:rsidR="00420C46" w:rsidRPr="00C04ABD">
        <w:rPr>
          <w:rFonts w:ascii="Myriad Pro" w:eastAsia="Calibri" w:hAnsi="Myriad Pro" w:cs="Times New Roman"/>
          <w:sz w:val="26"/>
          <w:szCs w:val="26"/>
        </w:rPr>
        <w:t>тыс. руб. в</w:t>
      </w:r>
      <w:r w:rsidRPr="00C04ABD">
        <w:rPr>
          <w:rFonts w:ascii="Myriad Pro" w:eastAsia="Calibri" w:hAnsi="Myriad Pro" w:cs="Times New Roman"/>
          <w:sz w:val="26"/>
          <w:szCs w:val="26"/>
        </w:rPr>
        <w:t xml:space="preserve"> 2018 год</w:t>
      </w:r>
      <w:r w:rsidR="00420C46" w:rsidRPr="00C04ABD">
        <w:rPr>
          <w:rFonts w:ascii="Myriad Pro" w:eastAsia="Calibri" w:hAnsi="Myriad Pro" w:cs="Times New Roman"/>
          <w:sz w:val="26"/>
          <w:szCs w:val="26"/>
        </w:rPr>
        <w:t>у</w:t>
      </w:r>
      <w:r w:rsidRPr="00C04ABD">
        <w:rPr>
          <w:rFonts w:ascii="Myriad Pro" w:eastAsia="Calibri" w:hAnsi="Myriad Pro" w:cs="Times New Roman"/>
          <w:sz w:val="26"/>
          <w:szCs w:val="26"/>
        </w:rPr>
        <w:t xml:space="preserve">, и с применением индекса инфляции </w:t>
      </w:r>
      <w:r w:rsidR="00420C46" w:rsidRPr="00C04ABD">
        <w:rPr>
          <w:rFonts w:ascii="Myriad Pro" w:eastAsia="Calibri" w:hAnsi="Myriad Pro" w:cs="Times New Roman"/>
          <w:sz w:val="26"/>
          <w:szCs w:val="26"/>
        </w:rPr>
        <w:t xml:space="preserve">плановые расходы </w:t>
      </w:r>
      <w:r w:rsidRPr="00C04ABD">
        <w:rPr>
          <w:rFonts w:ascii="Myriad Pro" w:eastAsia="Calibri" w:hAnsi="Myriad Pro" w:cs="Times New Roman"/>
          <w:sz w:val="26"/>
          <w:szCs w:val="26"/>
        </w:rPr>
        <w:t xml:space="preserve">на 2019 год. </w:t>
      </w:r>
    </w:p>
    <w:p w14:paraId="75A50A3E" w14:textId="77777777" w:rsidR="00060B3B" w:rsidRPr="00C04ABD" w:rsidRDefault="00060B3B" w:rsidP="00A31747">
      <w:pPr>
        <w:tabs>
          <w:tab w:val="left" w:pos="1134"/>
        </w:tabs>
        <w:spacing w:after="0" w:line="360" w:lineRule="auto"/>
        <w:ind w:firstLine="567"/>
        <w:jc w:val="both"/>
        <w:rPr>
          <w:rFonts w:ascii="Myriad Pro" w:eastAsia="Calibri" w:hAnsi="Myriad Pro" w:cs="Times New Roman"/>
          <w:sz w:val="26"/>
          <w:szCs w:val="26"/>
        </w:rPr>
      </w:pPr>
      <w:r w:rsidRPr="00C04ABD">
        <w:rPr>
          <w:rFonts w:ascii="Myriad Pro" w:eastAsia="Calibri" w:hAnsi="Myriad Pro" w:cs="Times New Roman"/>
          <w:sz w:val="26"/>
          <w:szCs w:val="26"/>
        </w:rPr>
        <w:t>Затраты на обслуживание автотранспорта обусловлены действующим законодательством и представляют собой техническое обслуживание транспортных средств.</w:t>
      </w:r>
    </w:p>
    <w:p w14:paraId="5786E1C9" w14:textId="320EB700" w:rsidR="00060B3B" w:rsidRPr="00C04ABD" w:rsidRDefault="00060B3B" w:rsidP="00A31747">
      <w:pPr>
        <w:tabs>
          <w:tab w:val="left" w:pos="1134"/>
        </w:tabs>
        <w:spacing w:after="0" w:line="360" w:lineRule="auto"/>
        <w:ind w:firstLine="567"/>
        <w:jc w:val="both"/>
        <w:rPr>
          <w:rFonts w:ascii="Myriad Pro" w:eastAsia="Calibri" w:hAnsi="Myriad Pro" w:cs="Times New Roman"/>
          <w:sz w:val="26"/>
          <w:szCs w:val="26"/>
        </w:rPr>
      </w:pPr>
      <w:r w:rsidRPr="00C04ABD">
        <w:rPr>
          <w:rFonts w:ascii="Myriad Pro" w:eastAsia="Calibri" w:hAnsi="Myriad Pro" w:cs="Times New Roman"/>
          <w:sz w:val="26"/>
          <w:szCs w:val="26"/>
        </w:rPr>
        <w:t>Затраты на обслуживание сетей и оборудования спрогнозированы исходя из фактических расходов за 2017 год, фактически заключенных договоров на 2018 год, а также планируемых к заключению в 2018 году договоров с применен</w:t>
      </w:r>
      <w:r w:rsidR="000D4964" w:rsidRPr="00C04ABD">
        <w:rPr>
          <w:rFonts w:ascii="Myriad Pro" w:eastAsia="Calibri" w:hAnsi="Myriad Pro" w:cs="Times New Roman"/>
          <w:sz w:val="26"/>
          <w:szCs w:val="26"/>
        </w:rPr>
        <w:t xml:space="preserve">ием индекса инфляции в размере </w:t>
      </w:r>
      <w:r w:rsidRPr="00C04ABD">
        <w:rPr>
          <w:rFonts w:ascii="Myriad Pro" w:eastAsia="Calibri" w:hAnsi="Myriad Pro" w:cs="Times New Roman"/>
          <w:sz w:val="26"/>
          <w:szCs w:val="26"/>
        </w:rPr>
        <w:t xml:space="preserve">4 %. </w:t>
      </w:r>
    </w:p>
    <w:p w14:paraId="082A38C0" w14:textId="77777777" w:rsidR="00060B3B" w:rsidRPr="00C04ABD" w:rsidRDefault="00060B3B" w:rsidP="00B02543">
      <w:pPr>
        <w:tabs>
          <w:tab w:val="left" w:pos="1134"/>
        </w:tabs>
        <w:spacing w:before="240" w:after="0" w:line="360" w:lineRule="auto"/>
        <w:rPr>
          <w:rFonts w:ascii="Myriad Pro" w:eastAsia="Calibri" w:hAnsi="Myriad Pro" w:cs="Times New Roman"/>
          <w:b/>
          <w:i/>
          <w:sz w:val="26"/>
          <w:szCs w:val="26"/>
        </w:rPr>
      </w:pPr>
      <w:r w:rsidRPr="00C04ABD">
        <w:rPr>
          <w:rFonts w:ascii="Myriad Pro" w:eastAsia="Calibri" w:hAnsi="Myriad Pro" w:cs="Times New Roman"/>
          <w:b/>
          <w:i/>
          <w:sz w:val="26"/>
          <w:szCs w:val="26"/>
        </w:rPr>
        <w:lastRenderedPageBreak/>
        <w:t>Транспортные услуги</w:t>
      </w:r>
    </w:p>
    <w:p w14:paraId="56CFD785" w14:textId="26E1B38F" w:rsidR="00060B3B" w:rsidRPr="00C04ABD" w:rsidRDefault="00060B3B" w:rsidP="00A31747">
      <w:pPr>
        <w:tabs>
          <w:tab w:val="left" w:pos="1134"/>
        </w:tabs>
        <w:spacing w:after="0" w:line="360" w:lineRule="auto"/>
        <w:ind w:firstLine="567"/>
        <w:jc w:val="both"/>
        <w:rPr>
          <w:rFonts w:ascii="Myriad Pro" w:eastAsia="Calibri" w:hAnsi="Myriad Pro" w:cs="Times New Roman"/>
          <w:sz w:val="26"/>
          <w:szCs w:val="26"/>
        </w:rPr>
      </w:pPr>
      <w:r w:rsidRPr="00C04ABD">
        <w:rPr>
          <w:rFonts w:ascii="Myriad Pro" w:eastAsia="Calibri" w:hAnsi="Myriad Pro" w:cs="Times New Roman"/>
          <w:sz w:val="26"/>
          <w:szCs w:val="26"/>
        </w:rPr>
        <w:t>Затраты на транспортные услуги спрогнозированы исходя из фактических расходов за 2017 год, фактически заключенных договоров на 2018 год, а также планируемых к заключению в 2018 году договоров с применен</w:t>
      </w:r>
      <w:r w:rsidR="000D4964" w:rsidRPr="00C04ABD">
        <w:rPr>
          <w:rFonts w:ascii="Myriad Pro" w:eastAsia="Calibri" w:hAnsi="Myriad Pro" w:cs="Times New Roman"/>
          <w:sz w:val="26"/>
          <w:szCs w:val="26"/>
        </w:rPr>
        <w:t xml:space="preserve">ием индекса инфляции в размере </w:t>
      </w:r>
      <w:r w:rsidRPr="00C04ABD">
        <w:rPr>
          <w:rFonts w:ascii="Myriad Pro" w:eastAsia="Calibri" w:hAnsi="Myriad Pro" w:cs="Times New Roman"/>
          <w:sz w:val="26"/>
          <w:szCs w:val="26"/>
        </w:rPr>
        <w:t xml:space="preserve">4 %. Рост ожидаемых затрат обусловлен увеличением стоимости по договору с АО </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Вологодское авиационное предприятие</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 xml:space="preserve"> на использование вертолетов типа Ми-8 при плановых осмотрах труднодоступных ЛЭП, проведении аварийно-восстановительных работ на ВЛ, перевозке персонала и грузов на территории МО, а также для аэросканирования ВЛЭП 35-150 кВ с связи с увеличением частоты полетов (рост затрат в 2018 году составил 70%, 2019 год – индекс инфляции к 2018 году). </w:t>
      </w:r>
    </w:p>
    <w:p w14:paraId="57D8643A" w14:textId="1506030B" w:rsidR="00060B3B" w:rsidRPr="00C04ABD" w:rsidRDefault="00060B3B" w:rsidP="00B02543">
      <w:pPr>
        <w:tabs>
          <w:tab w:val="left" w:pos="1134"/>
        </w:tabs>
        <w:spacing w:before="240" w:after="0" w:line="360" w:lineRule="auto"/>
        <w:rPr>
          <w:rFonts w:ascii="Myriad Pro" w:eastAsia="Calibri" w:hAnsi="Myriad Pro" w:cs="Times New Roman"/>
          <w:b/>
          <w:i/>
          <w:sz w:val="26"/>
          <w:szCs w:val="26"/>
        </w:rPr>
      </w:pPr>
      <w:r w:rsidRPr="00C04ABD">
        <w:rPr>
          <w:rFonts w:ascii="Myriad Pro" w:eastAsia="Calibri" w:hAnsi="Myriad Pro" w:cs="Times New Roman"/>
          <w:b/>
          <w:i/>
          <w:sz w:val="26"/>
          <w:szCs w:val="26"/>
        </w:rPr>
        <w:t>Услуги по испытанию и поверке приборов</w:t>
      </w:r>
    </w:p>
    <w:p w14:paraId="2389F2D8" w14:textId="77777777" w:rsidR="00060B3B" w:rsidRPr="00C04ABD" w:rsidRDefault="00060B3B" w:rsidP="00A31747">
      <w:pPr>
        <w:tabs>
          <w:tab w:val="left" w:pos="0"/>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Затраты запланированы на основании графиков поверки приборов. Межповерочный интервал определяется паспортом завода-изготовителя на прибор. Стоимость услуг зависит от количества приборов, необходимых для поверки, и класса напряжения.</w:t>
      </w:r>
    </w:p>
    <w:p w14:paraId="78A79DBA" w14:textId="364BEBAA" w:rsidR="00060B3B" w:rsidRPr="00C04ABD" w:rsidRDefault="00060B3B" w:rsidP="00A31747">
      <w:pPr>
        <w:tabs>
          <w:tab w:val="left" w:pos="0"/>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 xml:space="preserve">Основной действующий договор заключен с Мурманским центром стандартизации и метрологии (ЦСМ), являющимся монополистом в области </w:t>
      </w:r>
      <w:r w:rsidR="000D4964" w:rsidRPr="00C04ABD">
        <w:rPr>
          <w:rFonts w:ascii="Myriad Pro" w:eastAsia="Calibri" w:hAnsi="Myriad Pro" w:cs="Times New Roman"/>
          <w:sz w:val="26"/>
          <w:szCs w:val="26"/>
        </w:rPr>
        <w:t xml:space="preserve">поверки приборов, </w:t>
      </w:r>
      <w:r w:rsidRPr="00C04ABD">
        <w:rPr>
          <w:rFonts w:ascii="Myriad Pro" w:eastAsia="Calibri" w:hAnsi="Myriad Pro" w:cs="Times New Roman"/>
          <w:sz w:val="26"/>
          <w:szCs w:val="26"/>
        </w:rPr>
        <w:t xml:space="preserve">с ростом затрат на 2018 год в сравнении с 2017 годом на 51%, на 2019 год применен индекс инфляции в размере 4%. </w:t>
      </w:r>
    </w:p>
    <w:p w14:paraId="515AF429" w14:textId="5F3375B3" w:rsidR="00060B3B" w:rsidRPr="00C04ABD" w:rsidRDefault="00060B3B" w:rsidP="00B02543">
      <w:pPr>
        <w:tabs>
          <w:tab w:val="left" w:pos="1134"/>
        </w:tabs>
        <w:spacing w:before="240" w:after="0" w:line="360" w:lineRule="auto"/>
        <w:rPr>
          <w:rFonts w:ascii="Myriad Pro" w:eastAsia="Calibri" w:hAnsi="Myriad Pro" w:cs="Times New Roman"/>
          <w:b/>
          <w:i/>
          <w:sz w:val="26"/>
          <w:szCs w:val="26"/>
        </w:rPr>
      </w:pPr>
      <w:r w:rsidRPr="00C04ABD">
        <w:rPr>
          <w:rFonts w:ascii="Myriad Pro" w:eastAsia="Calibri" w:hAnsi="Myriad Pro" w:cs="Times New Roman"/>
          <w:b/>
          <w:i/>
          <w:sz w:val="26"/>
          <w:szCs w:val="26"/>
        </w:rPr>
        <w:t>Прочие услуги производственного характера</w:t>
      </w:r>
    </w:p>
    <w:p w14:paraId="2955B205" w14:textId="77777777" w:rsidR="00060B3B" w:rsidRPr="00C04ABD" w:rsidRDefault="00060B3B" w:rsidP="00A31747">
      <w:pPr>
        <w:tabs>
          <w:tab w:val="left" w:pos="1134"/>
        </w:tabs>
        <w:spacing w:after="0" w:line="360" w:lineRule="auto"/>
        <w:ind w:firstLine="567"/>
        <w:jc w:val="both"/>
        <w:rPr>
          <w:rFonts w:ascii="Myriad Pro" w:eastAsia="Calibri" w:hAnsi="Myriad Pro" w:cs="Times New Roman"/>
          <w:sz w:val="26"/>
          <w:szCs w:val="26"/>
        </w:rPr>
      </w:pPr>
      <w:r w:rsidRPr="00C04ABD">
        <w:rPr>
          <w:rFonts w:ascii="Myriad Pro" w:eastAsia="Calibri" w:hAnsi="Myriad Pro" w:cs="Times New Roman"/>
          <w:sz w:val="26"/>
          <w:szCs w:val="26"/>
        </w:rPr>
        <w:t xml:space="preserve">Рост затрат выше уровня инфляции обусловлен заключением новых договоров в 2018-2019 гг., в частности: </w:t>
      </w:r>
    </w:p>
    <w:p w14:paraId="579B3D96" w14:textId="63BE8284" w:rsidR="00060B3B" w:rsidRPr="00C04ABD" w:rsidRDefault="00060B3B" w:rsidP="009B0BC1">
      <w:pPr>
        <w:pStyle w:val="a4"/>
        <w:numPr>
          <w:ilvl w:val="0"/>
          <w:numId w:val="39"/>
        </w:numPr>
        <w:tabs>
          <w:tab w:val="left" w:pos="1134"/>
        </w:tabs>
        <w:spacing w:after="0" w:line="360" w:lineRule="auto"/>
        <w:jc w:val="both"/>
        <w:rPr>
          <w:rFonts w:ascii="Myriad Pro" w:hAnsi="Myriad Pro"/>
          <w:sz w:val="26"/>
          <w:szCs w:val="26"/>
        </w:rPr>
      </w:pPr>
      <w:r w:rsidRPr="00C04ABD">
        <w:rPr>
          <w:rFonts w:ascii="Myriad Pro" w:hAnsi="Myriad Pro"/>
          <w:sz w:val="26"/>
          <w:szCs w:val="26"/>
        </w:rPr>
        <w:t>на комплексное обследование зданий и сооружений на сумму 3 200 тыс. руб., и на 2019 год с применением индекса инфляции в размере 1,04;</w:t>
      </w:r>
    </w:p>
    <w:p w14:paraId="7996802D" w14:textId="4138E915" w:rsidR="00060B3B" w:rsidRPr="00C04ABD" w:rsidRDefault="00060B3B" w:rsidP="009B0BC1">
      <w:pPr>
        <w:pStyle w:val="a4"/>
        <w:numPr>
          <w:ilvl w:val="0"/>
          <w:numId w:val="39"/>
        </w:numPr>
        <w:tabs>
          <w:tab w:val="left" w:pos="1134"/>
        </w:tabs>
        <w:spacing w:after="0" w:line="360" w:lineRule="auto"/>
        <w:jc w:val="both"/>
        <w:rPr>
          <w:rFonts w:ascii="Myriad Pro" w:hAnsi="Myriad Pro"/>
          <w:sz w:val="26"/>
          <w:szCs w:val="26"/>
        </w:rPr>
      </w:pPr>
      <w:r w:rsidRPr="00C04ABD">
        <w:rPr>
          <w:rFonts w:ascii="Myriad Pro" w:hAnsi="Myriad Pro"/>
          <w:sz w:val="26"/>
          <w:szCs w:val="26"/>
        </w:rPr>
        <w:t>на проведение сертификационных испытаний по показателям качества электрической энергии в сетях в 2018 году на сумму 1 171 тыс. руб. и на 2019 год с применением индекса инфляции в размере 1,04;</w:t>
      </w:r>
    </w:p>
    <w:p w14:paraId="1DC032A4" w14:textId="65A762E4" w:rsidR="00060B3B" w:rsidRPr="00C04ABD" w:rsidRDefault="00060B3B" w:rsidP="009B0BC1">
      <w:pPr>
        <w:pStyle w:val="a4"/>
        <w:numPr>
          <w:ilvl w:val="0"/>
          <w:numId w:val="39"/>
        </w:numPr>
        <w:tabs>
          <w:tab w:val="left" w:pos="1134"/>
        </w:tabs>
        <w:spacing w:after="0" w:line="360" w:lineRule="auto"/>
        <w:jc w:val="both"/>
        <w:rPr>
          <w:rFonts w:ascii="Myriad Pro" w:hAnsi="Myriad Pro"/>
          <w:sz w:val="26"/>
          <w:szCs w:val="26"/>
        </w:rPr>
      </w:pPr>
      <w:r w:rsidRPr="00C04ABD">
        <w:rPr>
          <w:rFonts w:ascii="Myriad Pro" w:hAnsi="Myriad Pro"/>
          <w:sz w:val="26"/>
          <w:szCs w:val="26"/>
        </w:rPr>
        <w:t xml:space="preserve">на систематизацию данных на первом этапе ВЛ 35 кВ (471200м), 110 кВ (360400м) ПО </w:t>
      </w:r>
      <w:r w:rsidR="00655FFA" w:rsidRPr="00C04ABD">
        <w:rPr>
          <w:rFonts w:ascii="Myriad Pro" w:hAnsi="Myriad Pro"/>
          <w:sz w:val="26"/>
          <w:szCs w:val="26"/>
        </w:rPr>
        <w:t>«</w:t>
      </w:r>
      <w:r w:rsidRPr="00C04ABD">
        <w:rPr>
          <w:rFonts w:ascii="Myriad Pro" w:hAnsi="Myriad Pro"/>
          <w:sz w:val="26"/>
          <w:szCs w:val="26"/>
        </w:rPr>
        <w:t>СЭС</w:t>
      </w:r>
      <w:r w:rsidR="00655FFA" w:rsidRPr="00C04ABD">
        <w:rPr>
          <w:rFonts w:ascii="Myriad Pro" w:hAnsi="Myriad Pro"/>
          <w:sz w:val="26"/>
          <w:szCs w:val="26"/>
        </w:rPr>
        <w:t>»</w:t>
      </w:r>
      <w:r w:rsidRPr="00C04ABD">
        <w:rPr>
          <w:rFonts w:ascii="Myriad Pro" w:hAnsi="Myriad Pro"/>
          <w:sz w:val="26"/>
          <w:szCs w:val="26"/>
        </w:rPr>
        <w:t xml:space="preserve">, ВЛ 110 кВ (752000м), ВЛ-150 кВ (598000м) ПО </w:t>
      </w:r>
      <w:r w:rsidR="00655FFA" w:rsidRPr="00C04ABD">
        <w:rPr>
          <w:rFonts w:ascii="Myriad Pro" w:hAnsi="Myriad Pro"/>
          <w:sz w:val="26"/>
          <w:szCs w:val="26"/>
        </w:rPr>
        <w:t>«</w:t>
      </w:r>
      <w:r w:rsidRPr="00C04ABD">
        <w:rPr>
          <w:rFonts w:ascii="Myriad Pro" w:hAnsi="Myriad Pro"/>
          <w:sz w:val="26"/>
          <w:szCs w:val="26"/>
        </w:rPr>
        <w:t>ЦЭС</w:t>
      </w:r>
      <w:r w:rsidR="00655FFA" w:rsidRPr="00C04ABD">
        <w:rPr>
          <w:rFonts w:ascii="Myriad Pro" w:hAnsi="Myriad Pro"/>
          <w:sz w:val="26"/>
          <w:szCs w:val="26"/>
        </w:rPr>
        <w:t>»</w:t>
      </w:r>
      <w:r w:rsidRPr="00C04ABD">
        <w:rPr>
          <w:rFonts w:ascii="Myriad Pro" w:hAnsi="Myriad Pro"/>
          <w:sz w:val="26"/>
          <w:szCs w:val="26"/>
        </w:rPr>
        <w:t xml:space="preserve"> со сбором </w:t>
      </w:r>
      <w:r w:rsidRPr="00C04ABD">
        <w:rPr>
          <w:rFonts w:ascii="Myriad Pro" w:hAnsi="Myriad Pro"/>
          <w:sz w:val="26"/>
          <w:szCs w:val="26"/>
        </w:rPr>
        <w:lastRenderedPageBreak/>
        <w:t>и анализом для 3-х мерной визуализации в электронном виде и просмотре в приложении Google Планета Земля в 2018 году на сумму 3 355 тыс. руб. с пролонгацией на 2019 год;</w:t>
      </w:r>
    </w:p>
    <w:p w14:paraId="71636D74" w14:textId="4036EC77" w:rsidR="00060B3B" w:rsidRPr="00C04ABD" w:rsidRDefault="00060B3B" w:rsidP="009B0BC1">
      <w:pPr>
        <w:pStyle w:val="a4"/>
        <w:numPr>
          <w:ilvl w:val="0"/>
          <w:numId w:val="39"/>
        </w:numPr>
        <w:tabs>
          <w:tab w:val="left" w:pos="0"/>
          <w:tab w:val="left" w:pos="1134"/>
        </w:tabs>
        <w:spacing w:after="0" w:line="360" w:lineRule="auto"/>
        <w:jc w:val="both"/>
        <w:rPr>
          <w:rFonts w:ascii="Myriad Pro" w:hAnsi="Myriad Pro"/>
          <w:sz w:val="26"/>
          <w:szCs w:val="26"/>
        </w:rPr>
      </w:pPr>
      <w:r w:rsidRPr="00C04ABD">
        <w:rPr>
          <w:rFonts w:ascii="Myriad Pro" w:hAnsi="Myriad Pro"/>
          <w:sz w:val="26"/>
          <w:szCs w:val="26"/>
        </w:rPr>
        <w:t>на энергетическое обследование объектов недвижимости в 2018 году на сумму 2 615 тыс. руб., с пролонгацией на 2019 год (обследование технического состояния конструкций зданий и сооружений выполняется специализированными организа</w:t>
      </w:r>
      <w:r w:rsidR="000D4964" w:rsidRPr="00C04ABD">
        <w:rPr>
          <w:rFonts w:ascii="Myriad Pro" w:hAnsi="Myriad Pro"/>
          <w:sz w:val="26"/>
          <w:szCs w:val="26"/>
        </w:rPr>
        <w:t xml:space="preserve">циями в соответствии с п.1.5.2 </w:t>
      </w:r>
      <w:r w:rsidRPr="00C04ABD">
        <w:rPr>
          <w:rFonts w:ascii="Myriad Pro" w:hAnsi="Myriad Pro"/>
          <w:sz w:val="26"/>
          <w:szCs w:val="26"/>
        </w:rPr>
        <w:t xml:space="preserve">и п. 2.2.1 </w:t>
      </w:r>
      <w:r w:rsidR="00655FFA" w:rsidRPr="00C04ABD">
        <w:rPr>
          <w:rFonts w:ascii="Myriad Pro" w:hAnsi="Myriad Pro"/>
          <w:sz w:val="26"/>
          <w:szCs w:val="26"/>
        </w:rPr>
        <w:t>«</w:t>
      </w:r>
      <w:r w:rsidRPr="00C04ABD">
        <w:rPr>
          <w:rFonts w:ascii="Myriad Pro" w:hAnsi="Myriad Pro"/>
          <w:sz w:val="26"/>
          <w:szCs w:val="26"/>
        </w:rPr>
        <w:t>Правил технической эксплуатации электрических станций и сетей Российской Федерации</w:t>
      </w:r>
      <w:r w:rsidR="00655FFA" w:rsidRPr="00C04ABD">
        <w:rPr>
          <w:rFonts w:ascii="Myriad Pro" w:hAnsi="Myriad Pro"/>
          <w:sz w:val="26"/>
          <w:szCs w:val="26"/>
        </w:rPr>
        <w:t>»</w:t>
      </w:r>
      <w:r w:rsidRPr="00C04ABD">
        <w:rPr>
          <w:rFonts w:ascii="Myriad Pro" w:hAnsi="Myriad Pro"/>
          <w:sz w:val="26"/>
          <w:szCs w:val="26"/>
        </w:rPr>
        <w:t xml:space="preserve">); </w:t>
      </w:r>
    </w:p>
    <w:p w14:paraId="0E6AFDF8" w14:textId="52442E42" w:rsidR="00060B3B" w:rsidRPr="00C04ABD" w:rsidRDefault="00060B3B" w:rsidP="009B0BC1">
      <w:pPr>
        <w:pStyle w:val="a4"/>
        <w:numPr>
          <w:ilvl w:val="0"/>
          <w:numId w:val="39"/>
        </w:numPr>
        <w:tabs>
          <w:tab w:val="left" w:pos="1134"/>
        </w:tabs>
        <w:spacing w:after="0" w:line="360" w:lineRule="auto"/>
        <w:jc w:val="both"/>
        <w:rPr>
          <w:rFonts w:ascii="Myriad Pro" w:hAnsi="Myriad Pro"/>
          <w:sz w:val="26"/>
          <w:szCs w:val="26"/>
        </w:rPr>
      </w:pPr>
      <w:r w:rsidRPr="00C04ABD">
        <w:rPr>
          <w:rFonts w:ascii="Myriad Pro" w:hAnsi="Myriad Pro"/>
          <w:sz w:val="26"/>
          <w:szCs w:val="26"/>
        </w:rPr>
        <w:t>на техническое обследование линий электропередач с целью определения скрытых дефектов опор, фундаментов, в результате которого будут определены прочность опор и объемы работ по техническому обслуживанию и ремонту линий электропередач (планируется заключение договоров с ООО</w:t>
      </w:r>
      <w:r w:rsidR="00211E4F" w:rsidRPr="00C04ABD">
        <w:rPr>
          <w:rFonts w:ascii="Myriad Pro" w:hAnsi="Myriad Pro"/>
          <w:sz w:val="26"/>
          <w:szCs w:val="26"/>
        </w:rPr>
        <w:t> </w:t>
      </w:r>
      <w:r w:rsidR="00655FFA" w:rsidRPr="00C04ABD">
        <w:rPr>
          <w:rFonts w:ascii="Myriad Pro" w:hAnsi="Myriad Pro"/>
          <w:sz w:val="26"/>
          <w:szCs w:val="26"/>
        </w:rPr>
        <w:t>«</w:t>
      </w:r>
      <w:r w:rsidRPr="00C04ABD">
        <w:rPr>
          <w:rFonts w:ascii="Myriad Pro" w:hAnsi="Myriad Pro"/>
          <w:sz w:val="26"/>
          <w:szCs w:val="26"/>
        </w:rPr>
        <w:t>Союзстальконструкция</w:t>
      </w:r>
      <w:r w:rsidR="00655FFA" w:rsidRPr="00C04ABD">
        <w:rPr>
          <w:rFonts w:ascii="Myriad Pro" w:hAnsi="Myriad Pro"/>
          <w:sz w:val="26"/>
          <w:szCs w:val="26"/>
        </w:rPr>
        <w:t>»</w:t>
      </w:r>
      <w:r w:rsidRPr="00C04ABD">
        <w:rPr>
          <w:rFonts w:ascii="Myriad Pro" w:hAnsi="Myriad Pro"/>
          <w:sz w:val="26"/>
          <w:szCs w:val="26"/>
        </w:rPr>
        <w:t xml:space="preserve"> на общую сумму 10 567 тыс. руб.);</w:t>
      </w:r>
    </w:p>
    <w:p w14:paraId="399DCC44" w14:textId="237A8A7A" w:rsidR="00060B3B" w:rsidRPr="00C04ABD" w:rsidRDefault="00060B3B" w:rsidP="009B0BC1">
      <w:pPr>
        <w:pStyle w:val="a4"/>
        <w:numPr>
          <w:ilvl w:val="0"/>
          <w:numId w:val="39"/>
        </w:numPr>
        <w:tabs>
          <w:tab w:val="left" w:pos="1134"/>
        </w:tabs>
        <w:spacing w:after="0" w:line="360" w:lineRule="auto"/>
        <w:jc w:val="both"/>
        <w:rPr>
          <w:rFonts w:ascii="Myriad Pro" w:hAnsi="Myriad Pro"/>
          <w:sz w:val="26"/>
          <w:szCs w:val="26"/>
        </w:rPr>
      </w:pPr>
      <w:r w:rsidRPr="00C04ABD">
        <w:rPr>
          <w:rFonts w:ascii="Myriad Pro" w:hAnsi="Myriad Pro"/>
          <w:sz w:val="26"/>
          <w:szCs w:val="26"/>
        </w:rPr>
        <w:t>на проведение аэросканирования участков линий электропередач с целью оценки технического состояния воздушных линий электропередач с применением методов инструментального контроля (планируется заключение договора с ЗАО</w:t>
      </w:r>
      <w:r w:rsidR="00211E4F" w:rsidRPr="00C04ABD">
        <w:rPr>
          <w:rFonts w:ascii="Myriad Pro" w:hAnsi="Myriad Pro"/>
          <w:sz w:val="26"/>
          <w:szCs w:val="26"/>
        </w:rPr>
        <w:t> </w:t>
      </w:r>
      <w:r w:rsidR="00655FFA" w:rsidRPr="00C04ABD">
        <w:rPr>
          <w:rFonts w:ascii="Myriad Pro" w:hAnsi="Myriad Pro"/>
          <w:sz w:val="26"/>
          <w:szCs w:val="26"/>
        </w:rPr>
        <w:t>«</w:t>
      </w:r>
      <w:r w:rsidRPr="00C04ABD">
        <w:rPr>
          <w:rFonts w:ascii="Myriad Pro" w:hAnsi="Myriad Pro"/>
          <w:sz w:val="26"/>
          <w:szCs w:val="26"/>
        </w:rPr>
        <w:t>Оптэн Лимитед</w:t>
      </w:r>
      <w:r w:rsidR="00655FFA" w:rsidRPr="00C04ABD">
        <w:rPr>
          <w:rFonts w:ascii="Myriad Pro" w:hAnsi="Myriad Pro"/>
          <w:sz w:val="26"/>
          <w:szCs w:val="26"/>
        </w:rPr>
        <w:t>»</w:t>
      </w:r>
      <w:r w:rsidRPr="00C04ABD">
        <w:rPr>
          <w:rFonts w:ascii="Myriad Pro" w:hAnsi="Myriad Pro"/>
          <w:sz w:val="26"/>
          <w:szCs w:val="26"/>
        </w:rPr>
        <w:t xml:space="preserve"> на сумму 6</w:t>
      </w:r>
      <w:r w:rsidR="00211E4F" w:rsidRPr="00C04ABD">
        <w:rPr>
          <w:rFonts w:ascii="Myriad Pro" w:hAnsi="Myriad Pro"/>
          <w:sz w:val="26"/>
          <w:szCs w:val="26"/>
        </w:rPr>
        <w:t> </w:t>
      </w:r>
      <w:r w:rsidRPr="00C04ABD">
        <w:rPr>
          <w:rFonts w:ascii="Myriad Pro" w:hAnsi="Myriad Pro"/>
          <w:sz w:val="26"/>
          <w:szCs w:val="26"/>
        </w:rPr>
        <w:t>050 тыс. руб.);</w:t>
      </w:r>
    </w:p>
    <w:p w14:paraId="75B216E1" w14:textId="77777777" w:rsidR="00060B3B" w:rsidRPr="00C04ABD" w:rsidRDefault="00060B3B" w:rsidP="00A31747">
      <w:pPr>
        <w:tabs>
          <w:tab w:val="left" w:pos="1134"/>
        </w:tabs>
        <w:spacing w:after="0" w:line="360" w:lineRule="auto"/>
        <w:ind w:firstLine="567"/>
        <w:jc w:val="both"/>
        <w:rPr>
          <w:rFonts w:ascii="Myriad Pro" w:eastAsia="Calibri" w:hAnsi="Myriad Pro" w:cs="Times New Roman"/>
          <w:sz w:val="26"/>
          <w:szCs w:val="26"/>
        </w:rPr>
      </w:pPr>
      <w:r w:rsidRPr="00C04ABD">
        <w:rPr>
          <w:rFonts w:ascii="Myriad Pro" w:eastAsia="Calibri" w:hAnsi="Myriad Pro" w:cs="Times New Roman"/>
          <w:sz w:val="26"/>
          <w:szCs w:val="26"/>
        </w:rPr>
        <w:t>Состав и структура на работы и услуги производственного характера приведены в отдельной таблице Приложение 1.3.</w:t>
      </w:r>
    </w:p>
    <w:p w14:paraId="5D9D7742" w14:textId="2E2E6904" w:rsidR="00DB0E2E" w:rsidRPr="00C04ABD" w:rsidRDefault="00DB0E2E"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 xml:space="preserve">Для обоснования заявленной суммы расходов на работы и услуги производственного характера филиалом </w:t>
      </w:r>
      <w:r w:rsidR="00350B0A" w:rsidRPr="00C04ABD">
        <w:rPr>
          <w:rFonts w:ascii="Myriad Pro" w:eastAsia="Calibri" w:hAnsi="Myriad Pro" w:cs="Times New Roman"/>
          <w:sz w:val="26"/>
          <w:szCs w:val="26"/>
        </w:rPr>
        <w:t xml:space="preserve">ПАО </w:t>
      </w:r>
      <w:r w:rsidR="00655FFA" w:rsidRPr="00C04ABD">
        <w:rPr>
          <w:rFonts w:ascii="Myriad Pro" w:eastAsia="Calibri" w:hAnsi="Myriad Pro" w:cs="Times New Roman"/>
          <w:sz w:val="26"/>
          <w:szCs w:val="26"/>
        </w:rPr>
        <w:t>«</w:t>
      </w:r>
      <w:r w:rsidR="00350B0A" w:rsidRPr="00C04ABD">
        <w:rPr>
          <w:rFonts w:ascii="Myriad Pro" w:eastAsia="Calibri" w:hAnsi="Myriad Pro" w:cs="Times New Roman"/>
          <w:sz w:val="26"/>
          <w:szCs w:val="26"/>
        </w:rPr>
        <w:t>МРСК Северо-Запада</w:t>
      </w:r>
      <w:r w:rsidR="00655FFA" w:rsidRPr="00C04ABD">
        <w:rPr>
          <w:rFonts w:ascii="Myriad Pro" w:eastAsia="Calibri" w:hAnsi="Myriad Pro" w:cs="Times New Roman"/>
          <w:sz w:val="26"/>
          <w:szCs w:val="26"/>
        </w:rPr>
        <w:t>»</w:t>
      </w:r>
      <w:r w:rsidR="00350B0A" w:rsidRPr="00C04ABD">
        <w:rPr>
          <w:rFonts w:ascii="Myriad Pro" w:eastAsia="Calibri" w:hAnsi="Myriad Pro" w:cs="Times New Roman"/>
          <w:sz w:val="26"/>
          <w:szCs w:val="26"/>
        </w:rPr>
        <w:t xml:space="preserve"> </w:t>
      </w:r>
      <w:r w:rsidR="00655FFA" w:rsidRPr="00C04ABD">
        <w:rPr>
          <w:rFonts w:ascii="Myriad Pro" w:eastAsia="Calibri" w:hAnsi="Myriad Pro" w:cs="Times New Roman"/>
          <w:sz w:val="26"/>
          <w:szCs w:val="26"/>
        </w:rPr>
        <w:t>«</w:t>
      </w:r>
      <w:r w:rsidR="00350B0A" w:rsidRPr="00C04ABD">
        <w:rPr>
          <w:rFonts w:ascii="Myriad Pro" w:eastAsia="Calibri" w:hAnsi="Myriad Pro" w:cs="Times New Roman"/>
          <w:sz w:val="26"/>
          <w:szCs w:val="26"/>
        </w:rPr>
        <w:t>Колэнерго</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 xml:space="preserve"> были представлены следующие документы:</w:t>
      </w:r>
    </w:p>
    <w:p w14:paraId="2F494F6A" w14:textId="77777777" w:rsidR="00DB0E2E" w:rsidRPr="00C04ABD" w:rsidRDefault="00DB0E2E"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Сводная таблица – расчет расходов на работы и услуги производственного характера с указанием утвержденных регулирующим органом стоимостных показателей на 2017-2018 гг., фактических (ожидаемого факта) показателей за 2015-2018 гг., планового значения соответствующих затрат по регулируемой деятельности на 2019 год.</w:t>
      </w:r>
    </w:p>
    <w:p w14:paraId="2A786934" w14:textId="77777777" w:rsidR="00DB0E2E" w:rsidRPr="00C04ABD" w:rsidRDefault="00DB0E2E"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Затраты на работы и услуги производственного представлены в разрезе следующих статей расходов: услуги подрядчиков по обслуживанию, транспортные услуги, услуги по испытанию и поверке приборов, прочие услуги производственного характера, услуги по ремонту.</w:t>
      </w:r>
    </w:p>
    <w:p w14:paraId="6868C59B" w14:textId="5AB33D79" w:rsidR="00DB0E2E" w:rsidRPr="00C04ABD" w:rsidRDefault="00DB0E2E"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lastRenderedPageBreak/>
        <w:t>Таблица–расчет расходов на услуги подрядчиков по обслуживанию с указанием организации и перечня оказываемых услуг, фактических (ожидаемых) стоимостных значений за 2017-2018 гг. и планового значения на 2019 г.;</w:t>
      </w:r>
    </w:p>
    <w:p w14:paraId="1671C3B9" w14:textId="1319D8BF" w:rsidR="00DB0E2E" w:rsidRPr="00C04ABD" w:rsidRDefault="00DB0E2E"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Таблица-расчет транспортных услуг с указанием организации и перечня оказываемых услуг, фактических (ожидаемых) стоимостных значений за 2017-2018 гг. и планового значения на 2019 г.;</w:t>
      </w:r>
    </w:p>
    <w:p w14:paraId="118F091A" w14:textId="68872925" w:rsidR="00DB0E2E" w:rsidRPr="00C04ABD" w:rsidRDefault="00DB0E2E"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Таблица-расчет услуг подрядчиков по испытанию и поверке приборов с указанием организации и перечня оказываемых услуг, фактических (ожидаемых) стоимостных значений за 2017-2018 гг. и планового значения на 2019 г.;</w:t>
      </w:r>
    </w:p>
    <w:p w14:paraId="375CF812" w14:textId="548B7DD2" w:rsidR="00DB0E2E" w:rsidRPr="00C04ABD" w:rsidRDefault="00DB0E2E"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Таблица-расчет услуг подрядчиков по прочим услугам производственного характера с указанием организации и перечня оказываемых услуг, фактических (ожидаемых) стоимостных значений за 2017-2018 гг. и планового значения на 2019 г.;</w:t>
      </w:r>
    </w:p>
    <w:p w14:paraId="471FEED6" w14:textId="42E30AA2" w:rsidR="00DB0E2E" w:rsidRPr="00C04ABD" w:rsidRDefault="00DB0E2E"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 xml:space="preserve">Реестр договоров по статье </w:t>
      </w:r>
      <w:r w:rsidR="00655FFA" w:rsidRPr="00C04ABD">
        <w:rPr>
          <w:rFonts w:ascii="Myriad Pro" w:hAnsi="Myriad Pro"/>
          <w:sz w:val="26"/>
          <w:szCs w:val="26"/>
        </w:rPr>
        <w:t>«</w:t>
      </w:r>
      <w:r w:rsidRPr="00C04ABD">
        <w:rPr>
          <w:rFonts w:ascii="Myriad Pro" w:hAnsi="Myriad Pro"/>
          <w:sz w:val="26"/>
          <w:szCs w:val="26"/>
        </w:rPr>
        <w:t>Услуги подрядчиков по обслуживанию</w:t>
      </w:r>
      <w:r w:rsidR="00655FFA" w:rsidRPr="00C04ABD">
        <w:rPr>
          <w:rFonts w:ascii="Myriad Pro" w:hAnsi="Myriad Pro"/>
          <w:sz w:val="26"/>
          <w:szCs w:val="26"/>
        </w:rPr>
        <w:t>»</w:t>
      </w:r>
      <w:r w:rsidRPr="00C04ABD">
        <w:rPr>
          <w:rFonts w:ascii="Myriad Pro" w:hAnsi="Myriad Pro"/>
          <w:sz w:val="26"/>
          <w:szCs w:val="26"/>
        </w:rPr>
        <w:t>;</w:t>
      </w:r>
    </w:p>
    <w:p w14:paraId="2368F3EE" w14:textId="112AB57C" w:rsidR="00DB0E2E" w:rsidRPr="00C04ABD" w:rsidRDefault="00DB0E2E"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 xml:space="preserve">Реестр договоров по статье </w:t>
      </w:r>
      <w:r w:rsidR="00655FFA" w:rsidRPr="00C04ABD">
        <w:rPr>
          <w:rFonts w:ascii="Myriad Pro" w:hAnsi="Myriad Pro"/>
          <w:sz w:val="26"/>
          <w:szCs w:val="26"/>
        </w:rPr>
        <w:t>«</w:t>
      </w:r>
      <w:r w:rsidRPr="00C04ABD">
        <w:rPr>
          <w:rFonts w:ascii="Myriad Pro" w:hAnsi="Myriad Pro"/>
          <w:sz w:val="26"/>
          <w:szCs w:val="26"/>
        </w:rPr>
        <w:t>Услуги по испытанию и поверке приборов</w:t>
      </w:r>
      <w:r w:rsidR="00655FFA" w:rsidRPr="00C04ABD">
        <w:rPr>
          <w:rFonts w:ascii="Myriad Pro" w:hAnsi="Myriad Pro"/>
          <w:sz w:val="26"/>
          <w:szCs w:val="26"/>
        </w:rPr>
        <w:t>»</w:t>
      </w:r>
      <w:r w:rsidRPr="00C04ABD">
        <w:rPr>
          <w:rFonts w:ascii="Myriad Pro" w:hAnsi="Myriad Pro"/>
          <w:sz w:val="26"/>
          <w:szCs w:val="26"/>
        </w:rPr>
        <w:t>;</w:t>
      </w:r>
    </w:p>
    <w:p w14:paraId="0C62BD4B" w14:textId="7577E761" w:rsidR="00DB0E2E" w:rsidRPr="00C04ABD" w:rsidRDefault="00DB0E2E"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 xml:space="preserve">Реестр договоров по статье </w:t>
      </w:r>
      <w:r w:rsidR="00655FFA" w:rsidRPr="00C04ABD">
        <w:rPr>
          <w:rFonts w:ascii="Myriad Pro" w:hAnsi="Myriad Pro"/>
          <w:sz w:val="26"/>
          <w:szCs w:val="26"/>
        </w:rPr>
        <w:t>«</w:t>
      </w:r>
      <w:r w:rsidRPr="00C04ABD">
        <w:rPr>
          <w:rFonts w:ascii="Myriad Pro" w:hAnsi="Myriad Pro"/>
          <w:sz w:val="26"/>
          <w:szCs w:val="26"/>
        </w:rPr>
        <w:t>Прочие услуги производственного характера</w:t>
      </w:r>
      <w:r w:rsidR="00655FFA" w:rsidRPr="00C04ABD">
        <w:rPr>
          <w:rFonts w:ascii="Myriad Pro" w:hAnsi="Myriad Pro"/>
          <w:sz w:val="26"/>
          <w:szCs w:val="26"/>
        </w:rPr>
        <w:t>»</w:t>
      </w:r>
      <w:r w:rsidRPr="00C04ABD">
        <w:rPr>
          <w:rFonts w:ascii="Myriad Pro" w:hAnsi="Myriad Pro"/>
          <w:sz w:val="26"/>
          <w:szCs w:val="26"/>
        </w:rPr>
        <w:t>;</w:t>
      </w:r>
    </w:p>
    <w:p w14:paraId="430492D4" w14:textId="3B6940AD" w:rsidR="00DB0E2E" w:rsidRPr="00C04ABD" w:rsidRDefault="00DB0E2E"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 xml:space="preserve">Реестр договоров по статье </w:t>
      </w:r>
      <w:r w:rsidR="00655FFA" w:rsidRPr="00C04ABD">
        <w:rPr>
          <w:rFonts w:ascii="Myriad Pro" w:hAnsi="Myriad Pro"/>
          <w:sz w:val="26"/>
          <w:szCs w:val="26"/>
        </w:rPr>
        <w:t>«</w:t>
      </w:r>
      <w:r w:rsidRPr="00C04ABD">
        <w:rPr>
          <w:rFonts w:ascii="Myriad Pro" w:hAnsi="Myriad Pro"/>
          <w:sz w:val="26"/>
          <w:szCs w:val="26"/>
        </w:rPr>
        <w:t>Транспортные услуги</w:t>
      </w:r>
      <w:r w:rsidR="00655FFA" w:rsidRPr="00C04ABD">
        <w:rPr>
          <w:rFonts w:ascii="Myriad Pro" w:hAnsi="Myriad Pro"/>
          <w:sz w:val="26"/>
          <w:szCs w:val="26"/>
        </w:rPr>
        <w:t>»</w:t>
      </w:r>
      <w:r w:rsidRPr="00C04ABD">
        <w:rPr>
          <w:rFonts w:ascii="Myriad Pro" w:hAnsi="Myriad Pro"/>
          <w:sz w:val="26"/>
          <w:szCs w:val="26"/>
        </w:rPr>
        <w:t>;</w:t>
      </w:r>
    </w:p>
    <w:p w14:paraId="06A7C631" w14:textId="77777777" w:rsidR="00DB0E2E" w:rsidRPr="00C04ABD" w:rsidRDefault="00DB0E2E"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Копии договоров на техническое обслуживание зданий и сооружений 2017 год;</w:t>
      </w:r>
    </w:p>
    <w:p w14:paraId="6D6AF18E" w14:textId="77777777" w:rsidR="00DB0E2E" w:rsidRPr="00C04ABD" w:rsidRDefault="00DB0E2E"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Копии договоров на техническое обслуживание оборудования 2017 год;</w:t>
      </w:r>
    </w:p>
    <w:p w14:paraId="3AC1D7C9" w14:textId="77777777" w:rsidR="00DB0E2E" w:rsidRPr="00C04ABD" w:rsidRDefault="00DB0E2E"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Копии договоров на техническое обслуживание автотранспорта 2017 год;</w:t>
      </w:r>
    </w:p>
    <w:p w14:paraId="398015F5" w14:textId="77777777" w:rsidR="00DB0E2E" w:rsidRPr="00C04ABD" w:rsidRDefault="00DB0E2E"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Копии договоров на поверку приборов 2017 год;</w:t>
      </w:r>
    </w:p>
    <w:p w14:paraId="0FDE4495" w14:textId="77777777" w:rsidR="00DB0E2E" w:rsidRPr="00C04ABD" w:rsidRDefault="00DB0E2E"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Копии договоров на ремонт транспорта 2017– 2018 гг.;</w:t>
      </w:r>
    </w:p>
    <w:p w14:paraId="5CF9AEA4" w14:textId="77777777" w:rsidR="00DB0E2E" w:rsidRPr="00C04ABD" w:rsidRDefault="00DB0E2E"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Отчет об исполнении плана закупок за 2017 год;</w:t>
      </w:r>
    </w:p>
    <w:p w14:paraId="71ADB15A" w14:textId="77777777" w:rsidR="00DB0E2E" w:rsidRPr="00C04ABD" w:rsidRDefault="00DB0E2E"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Программа в области энергосбережения и повышения энергетической эффективности в соответствии с требованиями, установленными постановлением Правительства РФ от 15.05.2010 № 340;</w:t>
      </w:r>
    </w:p>
    <w:p w14:paraId="2F79B97D" w14:textId="77777777" w:rsidR="00DB0E2E" w:rsidRPr="00C04ABD" w:rsidRDefault="00DB0E2E"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lastRenderedPageBreak/>
        <w:t>Отчёт о выполнении программы в области энергосбережения и повышения энергетической эффективности за истекший год, предшествующий первому (базовому) году долгосрочного периода регулирования;</w:t>
      </w:r>
    </w:p>
    <w:p w14:paraId="6BCDCA8C" w14:textId="073C0B0E" w:rsidR="00DB0E2E" w:rsidRPr="00C04ABD" w:rsidRDefault="00DB0E2E"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Бухгалтерская отчетность: Обороты по счету 20</w:t>
      </w:r>
      <w:r w:rsidR="00CE360B" w:rsidRPr="00C04ABD">
        <w:rPr>
          <w:rFonts w:ascii="Myriad Pro" w:hAnsi="Myriad Pro"/>
          <w:sz w:val="26"/>
          <w:szCs w:val="26"/>
        </w:rPr>
        <w:t>, 23,25</w:t>
      </w:r>
      <w:r w:rsidRPr="00C04ABD">
        <w:rPr>
          <w:rFonts w:ascii="Myriad Pro" w:hAnsi="Myriad Pro"/>
          <w:sz w:val="26"/>
          <w:szCs w:val="26"/>
        </w:rPr>
        <w:t xml:space="preserve"> за 2017 год по статье </w:t>
      </w:r>
      <w:r w:rsidR="00655FFA" w:rsidRPr="00C04ABD">
        <w:rPr>
          <w:rFonts w:ascii="Myriad Pro" w:hAnsi="Myriad Pro"/>
          <w:sz w:val="26"/>
          <w:szCs w:val="26"/>
        </w:rPr>
        <w:t>«</w:t>
      </w:r>
      <w:r w:rsidRPr="00C04ABD">
        <w:rPr>
          <w:rFonts w:ascii="Myriad Pro" w:hAnsi="Myriad Pro"/>
          <w:sz w:val="26"/>
          <w:szCs w:val="26"/>
        </w:rPr>
        <w:t>Услуги производственного характера</w:t>
      </w:r>
      <w:r w:rsidR="00655FFA" w:rsidRPr="00C04ABD">
        <w:rPr>
          <w:rFonts w:ascii="Myriad Pro" w:hAnsi="Myriad Pro"/>
          <w:sz w:val="26"/>
          <w:szCs w:val="26"/>
        </w:rPr>
        <w:t>»</w:t>
      </w:r>
      <w:r w:rsidRPr="00C04ABD">
        <w:rPr>
          <w:rFonts w:ascii="Myriad Pro" w:hAnsi="Myriad Pro"/>
          <w:sz w:val="26"/>
          <w:szCs w:val="26"/>
        </w:rPr>
        <w:t xml:space="preserve"> по деятельности </w:t>
      </w:r>
      <w:r w:rsidR="00655FFA" w:rsidRPr="00C04ABD">
        <w:rPr>
          <w:rFonts w:ascii="Myriad Pro" w:hAnsi="Myriad Pro"/>
          <w:sz w:val="26"/>
          <w:szCs w:val="26"/>
        </w:rPr>
        <w:t>«</w:t>
      </w:r>
      <w:r w:rsidRPr="00C04ABD">
        <w:rPr>
          <w:rFonts w:ascii="Myriad Pro" w:hAnsi="Myriad Pro"/>
          <w:sz w:val="26"/>
          <w:szCs w:val="26"/>
        </w:rPr>
        <w:t>услуги по передачи электрической энергии</w:t>
      </w:r>
      <w:r w:rsidR="00655FFA" w:rsidRPr="00C04ABD">
        <w:rPr>
          <w:rFonts w:ascii="Myriad Pro" w:hAnsi="Myriad Pro"/>
          <w:sz w:val="26"/>
          <w:szCs w:val="26"/>
        </w:rPr>
        <w:t>»</w:t>
      </w:r>
      <w:r w:rsidRPr="00C04ABD">
        <w:rPr>
          <w:rFonts w:ascii="Myriad Pro" w:hAnsi="Myriad Pro"/>
          <w:sz w:val="26"/>
          <w:szCs w:val="26"/>
        </w:rPr>
        <w:t xml:space="preserve"> по филиалу ПАО </w:t>
      </w:r>
      <w:r w:rsidR="00655FFA" w:rsidRPr="00C04ABD">
        <w:rPr>
          <w:rFonts w:ascii="Myriad Pro" w:hAnsi="Myriad Pro"/>
          <w:sz w:val="26"/>
          <w:szCs w:val="26"/>
        </w:rPr>
        <w:t>«</w:t>
      </w:r>
      <w:r w:rsidRPr="00C04ABD">
        <w:rPr>
          <w:rFonts w:ascii="Myriad Pro" w:hAnsi="Myriad Pro"/>
          <w:sz w:val="26"/>
          <w:szCs w:val="26"/>
        </w:rPr>
        <w:t xml:space="preserve">МРСК </w:t>
      </w:r>
      <w:r w:rsidR="0025782C" w:rsidRPr="00C04ABD">
        <w:rPr>
          <w:rFonts w:ascii="Myriad Pro" w:hAnsi="Myriad Pro"/>
          <w:sz w:val="26"/>
          <w:szCs w:val="26"/>
        </w:rPr>
        <w:t>Северо-Запада</w:t>
      </w:r>
      <w:r w:rsidR="00655FFA" w:rsidRPr="00C04ABD">
        <w:rPr>
          <w:rFonts w:ascii="Myriad Pro" w:hAnsi="Myriad Pro"/>
          <w:sz w:val="26"/>
          <w:szCs w:val="26"/>
        </w:rPr>
        <w:t>»</w:t>
      </w:r>
      <w:r w:rsidRPr="00C04ABD">
        <w:rPr>
          <w:rFonts w:ascii="Myriad Pro" w:hAnsi="Myriad Pro"/>
          <w:sz w:val="26"/>
          <w:szCs w:val="26"/>
        </w:rPr>
        <w:t xml:space="preserve"> </w:t>
      </w:r>
      <w:r w:rsidR="00655FFA" w:rsidRPr="00C04ABD">
        <w:rPr>
          <w:rFonts w:ascii="Myriad Pro" w:hAnsi="Myriad Pro"/>
          <w:sz w:val="26"/>
          <w:szCs w:val="26"/>
        </w:rPr>
        <w:t>«</w:t>
      </w:r>
      <w:r w:rsidRPr="00C04ABD">
        <w:rPr>
          <w:rFonts w:ascii="Myriad Pro" w:hAnsi="Myriad Pro"/>
          <w:sz w:val="26"/>
          <w:szCs w:val="26"/>
        </w:rPr>
        <w:t>Колэнерго</w:t>
      </w:r>
      <w:r w:rsidR="00655FFA" w:rsidRPr="00C04ABD">
        <w:rPr>
          <w:rFonts w:ascii="Myriad Pro" w:hAnsi="Myriad Pro"/>
          <w:sz w:val="26"/>
          <w:szCs w:val="26"/>
        </w:rPr>
        <w:t>»</w:t>
      </w:r>
      <w:r w:rsidRPr="00C04ABD">
        <w:rPr>
          <w:rFonts w:ascii="Myriad Pro" w:hAnsi="Myriad Pro"/>
          <w:sz w:val="26"/>
          <w:szCs w:val="26"/>
        </w:rPr>
        <w:t>.</w:t>
      </w:r>
    </w:p>
    <w:p w14:paraId="0C599C4B" w14:textId="77777777" w:rsidR="0059786B" w:rsidRPr="00C04ABD" w:rsidRDefault="0059786B" w:rsidP="00A31747">
      <w:pPr>
        <w:pStyle w:val="a4"/>
        <w:tabs>
          <w:tab w:val="left" w:pos="1134"/>
        </w:tabs>
        <w:spacing w:after="0" w:line="360" w:lineRule="auto"/>
        <w:ind w:left="0" w:firstLine="567"/>
        <w:jc w:val="both"/>
        <w:rPr>
          <w:rFonts w:ascii="Myriad Pro" w:hAnsi="Myriad Pro"/>
          <w:sz w:val="26"/>
          <w:szCs w:val="26"/>
        </w:rPr>
      </w:pPr>
    </w:p>
    <w:p w14:paraId="0A776576" w14:textId="77777777" w:rsidR="0028752C" w:rsidRPr="00C04ABD" w:rsidRDefault="0028752C" w:rsidP="00B02543">
      <w:pPr>
        <w:pStyle w:val="a4"/>
        <w:tabs>
          <w:tab w:val="left" w:pos="1134"/>
        </w:tabs>
        <w:spacing w:after="0" w:line="360" w:lineRule="auto"/>
        <w:ind w:left="0"/>
        <w:jc w:val="both"/>
        <w:rPr>
          <w:rFonts w:ascii="Myriad Pro" w:hAnsi="Myriad Pro"/>
          <w:b/>
          <w:sz w:val="26"/>
          <w:szCs w:val="26"/>
        </w:rPr>
      </w:pPr>
      <w:r w:rsidRPr="00C04ABD">
        <w:rPr>
          <w:rFonts w:ascii="Myriad Pro" w:hAnsi="Myriad Pro"/>
          <w:b/>
          <w:sz w:val="26"/>
          <w:szCs w:val="26"/>
        </w:rPr>
        <w:t>ПОЗИЦИЯ ОРГАНА РЕГУЛИРОВАНИЯ</w:t>
      </w:r>
    </w:p>
    <w:p w14:paraId="217C27A7" w14:textId="77777777" w:rsidR="0028752C" w:rsidRPr="00C04ABD" w:rsidRDefault="0028752C" w:rsidP="00A31747">
      <w:pPr>
        <w:pStyle w:val="a4"/>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Величина расходов, принятая регулирующим органом на 2019 год:</w:t>
      </w:r>
    </w:p>
    <w:p w14:paraId="3309E598" w14:textId="251EDB8E" w:rsidR="0028752C" w:rsidRPr="00C04ABD" w:rsidRDefault="0028752C" w:rsidP="009B0BC1">
      <w:pPr>
        <w:pStyle w:val="a4"/>
        <w:numPr>
          <w:ilvl w:val="0"/>
          <w:numId w:val="40"/>
        </w:numPr>
        <w:tabs>
          <w:tab w:val="left" w:pos="1134"/>
        </w:tabs>
        <w:spacing w:after="0" w:line="360" w:lineRule="auto"/>
        <w:jc w:val="both"/>
        <w:rPr>
          <w:rFonts w:ascii="Myriad Pro" w:hAnsi="Myriad Pro"/>
          <w:sz w:val="26"/>
          <w:szCs w:val="26"/>
        </w:rPr>
      </w:pPr>
      <w:r w:rsidRPr="00C04ABD">
        <w:rPr>
          <w:rFonts w:ascii="Myriad Pro" w:hAnsi="Myriad Pro"/>
          <w:sz w:val="26"/>
          <w:szCs w:val="26"/>
        </w:rPr>
        <w:t>экономически обоснованный уровень – 84 527 тыс. руб.;</w:t>
      </w:r>
    </w:p>
    <w:p w14:paraId="1DB9CD57" w14:textId="3E1547DE" w:rsidR="0028752C" w:rsidRPr="00C04ABD" w:rsidRDefault="0028752C" w:rsidP="009B0BC1">
      <w:pPr>
        <w:pStyle w:val="a4"/>
        <w:numPr>
          <w:ilvl w:val="0"/>
          <w:numId w:val="40"/>
        </w:numPr>
        <w:tabs>
          <w:tab w:val="left" w:pos="1134"/>
        </w:tabs>
        <w:spacing w:after="0" w:line="360" w:lineRule="auto"/>
        <w:jc w:val="both"/>
        <w:rPr>
          <w:rFonts w:ascii="Myriad Pro" w:hAnsi="Myriad Pro"/>
          <w:sz w:val="26"/>
          <w:szCs w:val="26"/>
        </w:rPr>
      </w:pPr>
      <w:r w:rsidRPr="00C04ABD">
        <w:rPr>
          <w:rFonts w:ascii="Myriad Pro" w:hAnsi="Myriad Pro"/>
          <w:sz w:val="26"/>
          <w:szCs w:val="26"/>
        </w:rPr>
        <w:t>уровень, принятый при установлении НВВ – 81 378 тыс. руб.  (0,7*ЭОУ+0,3*МА)</w:t>
      </w:r>
    </w:p>
    <w:p w14:paraId="22362D15" w14:textId="1F6E02FC" w:rsidR="0028752C" w:rsidRPr="00C04ABD" w:rsidRDefault="00420C46"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В</w:t>
      </w:r>
      <w:r w:rsidR="0028752C" w:rsidRPr="00C04ABD">
        <w:rPr>
          <w:rFonts w:ascii="Myriad Pro" w:eastAsia="Calibri" w:hAnsi="Myriad Pro" w:cs="Times New Roman"/>
          <w:sz w:val="26"/>
          <w:szCs w:val="26"/>
        </w:rPr>
        <w:t xml:space="preserve"> соответствии с </w:t>
      </w:r>
      <w:r w:rsidR="00446192" w:rsidRPr="00C04ABD">
        <w:rPr>
          <w:rFonts w:ascii="Myriad Pro" w:eastAsia="Calibri" w:hAnsi="Myriad Pro" w:cs="Times New Roman"/>
          <w:sz w:val="26"/>
          <w:szCs w:val="26"/>
        </w:rPr>
        <w:t xml:space="preserve">Протоколом от 28-29.12.2018 </w:t>
      </w:r>
      <w:r w:rsidR="0028752C" w:rsidRPr="00C04ABD">
        <w:rPr>
          <w:rFonts w:ascii="Myriad Pro" w:eastAsia="Calibri" w:hAnsi="Myriad Pro" w:cs="Times New Roman"/>
          <w:sz w:val="26"/>
          <w:szCs w:val="26"/>
        </w:rPr>
        <w:t xml:space="preserve">регулирующим органом на основании представленных Филиалом фактических расходов за 2017 год, </w:t>
      </w:r>
      <w:r w:rsidR="00FE318A" w:rsidRPr="00C04ABD">
        <w:rPr>
          <w:rFonts w:ascii="Myriad Pro" w:eastAsia="Calibri" w:hAnsi="Myriad Pro" w:cs="Times New Roman"/>
          <w:sz w:val="26"/>
          <w:szCs w:val="26"/>
        </w:rPr>
        <w:t>учтены</w:t>
      </w:r>
      <w:r w:rsidR="0028752C" w:rsidRPr="00C04ABD">
        <w:rPr>
          <w:rFonts w:ascii="Myriad Pro" w:eastAsia="Calibri" w:hAnsi="Myriad Pro" w:cs="Times New Roman"/>
          <w:sz w:val="26"/>
          <w:szCs w:val="26"/>
        </w:rPr>
        <w:t xml:space="preserve"> экономически обоснованные расходы за 2017 г. с учетом ИПЦ (в том числе услуги подрядчиков по обслуживанию </w:t>
      </w:r>
      <w:r w:rsidR="00E663D3">
        <w:rPr>
          <w:rFonts w:ascii="Myriad Pro" w:eastAsia="Calibri" w:hAnsi="Myriad Pro" w:cs="Times New Roman"/>
          <w:sz w:val="26"/>
          <w:szCs w:val="26"/>
        </w:rPr>
        <w:t>в размере</w:t>
      </w:r>
      <w:r w:rsidR="0028752C" w:rsidRPr="00C04ABD">
        <w:rPr>
          <w:rFonts w:ascii="Myriad Pro" w:eastAsia="Calibri" w:hAnsi="Myriad Pro" w:cs="Times New Roman"/>
          <w:sz w:val="26"/>
          <w:szCs w:val="26"/>
        </w:rPr>
        <w:t xml:space="preserve"> 55</w:t>
      </w:r>
      <w:r w:rsidR="00211E4F" w:rsidRPr="00C04ABD">
        <w:rPr>
          <w:rFonts w:ascii="Myriad Pro" w:eastAsia="Calibri" w:hAnsi="Myriad Pro" w:cs="Times New Roman"/>
          <w:sz w:val="26"/>
          <w:szCs w:val="26"/>
        </w:rPr>
        <w:t> </w:t>
      </w:r>
      <w:r w:rsidR="0028752C" w:rsidRPr="00C04ABD">
        <w:rPr>
          <w:rFonts w:ascii="Myriad Pro" w:eastAsia="Calibri" w:hAnsi="Myriad Pro" w:cs="Times New Roman"/>
          <w:sz w:val="26"/>
          <w:szCs w:val="26"/>
        </w:rPr>
        <w:t xml:space="preserve">234,15 тыс. руб., транспортные услуги производственного характера </w:t>
      </w:r>
      <w:r w:rsidR="00E663D3">
        <w:rPr>
          <w:rFonts w:ascii="Myriad Pro" w:eastAsia="Calibri" w:hAnsi="Myriad Pro" w:cs="Times New Roman"/>
          <w:sz w:val="26"/>
          <w:szCs w:val="26"/>
        </w:rPr>
        <w:t>в размере</w:t>
      </w:r>
      <w:r w:rsidR="0028752C" w:rsidRPr="00C04ABD">
        <w:rPr>
          <w:rFonts w:ascii="Myriad Pro" w:eastAsia="Calibri" w:hAnsi="Myriad Pro" w:cs="Times New Roman"/>
          <w:sz w:val="26"/>
          <w:szCs w:val="26"/>
        </w:rPr>
        <w:t xml:space="preserve"> 11 135,34 тыс. руб., услуги по испытанию и поверке приборов </w:t>
      </w:r>
      <w:r w:rsidR="00E663D3">
        <w:rPr>
          <w:rFonts w:ascii="Myriad Pro" w:eastAsia="Calibri" w:hAnsi="Myriad Pro" w:cs="Times New Roman"/>
          <w:sz w:val="26"/>
          <w:szCs w:val="26"/>
        </w:rPr>
        <w:t>в размере</w:t>
      </w:r>
      <w:r w:rsidR="0028752C" w:rsidRPr="00C04ABD">
        <w:rPr>
          <w:rFonts w:ascii="Myriad Pro" w:eastAsia="Calibri" w:hAnsi="Myriad Pro" w:cs="Times New Roman"/>
          <w:sz w:val="26"/>
          <w:szCs w:val="26"/>
        </w:rPr>
        <w:t xml:space="preserve"> 5</w:t>
      </w:r>
      <w:r w:rsidR="00211E4F" w:rsidRPr="00C04ABD">
        <w:rPr>
          <w:rFonts w:ascii="Myriad Pro" w:eastAsia="Calibri" w:hAnsi="Myriad Pro" w:cs="Times New Roman"/>
          <w:sz w:val="26"/>
          <w:szCs w:val="26"/>
        </w:rPr>
        <w:t> </w:t>
      </w:r>
      <w:r w:rsidR="0028752C" w:rsidRPr="00C04ABD">
        <w:rPr>
          <w:rFonts w:ascii="Myriad Pro" w:eastAsia="Calibri" w:hAnsi="Myriad Pro" w:cs="Times New Roman"/>
          <w:sz w:val="26"/>
          <w:szCs w:val="26"/>
        </w:rPr>
        <w:t xml:space="preserve">792,55 тыс. руб., прочие услуги производственного характера </w:t>
      </w:r>
      <w:r w:rsidR="00E663D3">
        <w:rPr>
          <w:rFonts w:ascii="Myriad Pro" w:eastAsia="Calibri" w:hAnsi="Myriad Pro" w:cs="Times New Roman"/>
          <w:sz w:val="26"/>
          <w:szCs w:val="26"/>
        </w:rPr>
        <w:t>в размере</w:t>
      </w:r>
      <w:r w:rsidR="0028752C" w:rsidRPr="00C04ABD">
        <w:rPr>
          <w:rFonts w:ascii="Myriad Pro" w:eastAsia="Calibri" w:hAnsi="Myriad Pro" w:cs="Times New Roman"/>
          <w:sz w:val="26"/>
          <w:szCs w:val="26"/>
        </w:rPr>
        <w:t xml:space="preserve"> 12 364,59 тыс. руб.).</w:t>
      </w:r>
    </w:p>
    <w:p w14:paraId="380A76C8" w14:textId="77777777" w:rsidR="0028752C" w:rsidRPr="00C04ABD" w:rsidRDefault="0028752C" w:rsidP="00A31747">
      <w:pPr>
        <w:tabs>
          <w:tab w:val="left" w:pos="1134"/>
        </w:tabs>
        <w:spacing w:after="0" w:line="360" w:lineRule="auto"/>
        <w:ind w:firstLine="567"/>
        <w:contextualSpacing/>
        <w:jc w:val="both"/>
        <w:rPr>
          <w:rFonts w:ascii="Myriad Pro" w:eastAsia="Calibri" w:hAnsi="Myriad Pro" w:cs="Times New Roman"/>
          <w:sz w:val="26"/>
          <w:szCs w:val="26"/>
        </w:rPr>
      </w:pPr>
    </w:p>
    <w:p w14:paraId="2B028278" w14:textId="0FCA38E2" w:rsidR="003767FA" w:rsidRPr="00C04ABD" w:rsidRDefault="0028752C" w:rsidP="00B02543">
      <w:pPr>
        <w:tabs>
          <w:tab w:val="left" w:pos="1134"/>
        </w:tabs>
        <w:spacing w:after="0" w:line="360" w:lineRule="auto"/>
        <w:contextualSpacing/>
        <w:jc w:val="both"/>
        <w:rPr>
          <w:rFonts w:ascii="Myriad Pro" w:eastAsia="Calibri" w:hAnsi="Myriad Pro" w:cs="Times New Roman"/>
          <w:b/>
          <w:sz w:val="26"/>
          <w:szCs w:val="26"/>
        </w:rPr>
      </w:pPr>
      <w:r w:rsidRPr="00C04ABD">
        <w:rPr>
          <w:rFonts w:ascii="Myriad Pro" w:eastAsia="Calibri" w:hAnsi="Myriad Pro" w:cs="Times New Roman"/>
          <w:b/>
          <w:sz w:val="26"/>
          <w:szCs w:val="26"/>
        </w:rPr>
        <w:t>ПОЗИЦИЯ ИСПОЛНИТЕЛЯ</w:t>
      </w:r>
    </w:p>
    <w:p w14:paraId="14FFEE85" w14:textId="527798D4" w:rsidR="0028752C" w:rsidRPr="00C04ABD" w:rsidRDefault="0028752C"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 xml:space="preserve">Фактические расходы по статье работы и услуги производственного характера, отнесенные на вид регулируемой деятельности услуги по передаче электрической энергии, за 2017 год составили 81 588 тыс. руб., в том числе услуги подрядчиков по обслуживанию оборудования – 54 583 тыс. руб., транспортные услуги – 10 266 тыс. руб., услуги по испытанию и поверке приборов – 5 340 тыс. руб., прочие услуги– 11 399 тыс. руб. </w:t>
      </w:r>
    </w:p>
    <w:p w14:paraId="4E8B0313" w14:textId="0FE3FEC0" w:rsidR="00450B66" w:rsidRPr="00C04ABD" w:rsidRDefault="00450B66"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Данные в расчетных таблицах по факту 2017 году соответствуют данным</w:t>
      </w:r>
      <w:r w:rsidR="00211E4F" w:rsidRPr="00C04ABD">
        <w:rPr>
          <w:rFonts w:ascii="Myriad Pro" w:eastAsia="Calibri" w:hAnsi="Myriad Pro" w:cs="Times New Roman"/>
          <w:sz w:val="26"/>
          <w:szCs w:val="26"/>
        </w:rPr>
        <w:t>,</w:t>
      </w:r>
      <w:r w:rsidRPr="00C04ABD">
        <w:rPr>
          <w:rFonts w:ascii="Myriad Pro" w:eastAsia="Calibri" w:hAnsi="Myriad Pro" w:cs="Times New Roman"/>
          <w:sz w:val="26"/>
          <w:szCs w:val="26"/>
        </w:rPr>
        <w:t xml:space="preserve"> представленн</w:t>
      </w:r>
      <w:r w:rsidR="00FB3738" w:rsidRPr="00C04ABD">
        <w:rPr>
          <w:rFonts w:ascii="Myriad Pro" w:eastAsia="Calibri" w:hAnsi="Myriad Pro" w:cs="Times New Roman"/>
          <w:sz w:val="26"/>
          <w:szCs w:val="26"/>
        </w:rPr>
        <w:t>ым в бухгалтерской отчетности (о</w:t>
      </w:r>
      <w:r w:rsidRPr="00C04ABD">
        <w:rPr>
          <w:rFonts w:ascii="Myriad Pro" w:eastAsia="Calibri" w:hAnsi="Myriad Pro" w:cs="Times New Roman"/>
          <w:sz w:val="26"/>
          <w:szCs w:val="26"/>
        </w:rPr>
        <w:t>бороту по счету 20,23,25).</w:t>
      </w:r>
    </w:p>
    <w:p w14:paraId="396E1ACA" w14:textId="3D2108A3" w:rsidR="0028752C" w:rsidRPr="00C04ABD" w:rsidRDefault="00450B66"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lastRenderedPageBreak/>
        <w:t>Плановые расходы</w:t>
      </w:r>
      <w:r w:rsidR="00EB5C48" w:rsidRPr="00C04ABD">
        <w:rPr>
          <w:rFonts w:ascii="Myriad Pro" w:eastAsia="Calibri" w:hAnsi="Myriad Pro" w:cs="Times New Roman"/>
          <w:sz w:val="26"/>
          <w:szCs w:val="26"/>
        </w:rPr>
        <w:t xml:space="preserve"> заявлены Филиалом на 2019 год в размере </w:t>
      </w:r>
      <w:r w:rsidRPr="00C04ABD">
        <w:rPr>
          <w:rFonts w:ascii="Myriad Pro" w:eastAsia="Calibri" w:hAnsi="Myriad Pro" w:cs="Times New Roman"/>
          <w:sz w:val="26"/>
          <w:szCs w:val="26"/>
        </w:rPr>
        <w:t>155 706 тыс. руб., что превышает фактические расходы за 2017 год в 1,9 раза.</w:t>
      </w:r>
    </w:p>
    <w:p w14:paraId="3A512F53" w14:textId="454AB41D" w:rsidR="00EB5C48" w:rsidRPr="00C04ABD" w:rsidRDefault="0028752C"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 xml:space="preserve">Следует отметить, что расходы на услуги подрядчиков по обслуживанию оборудования заявлены на 2019 год с ростом 137 % от факта 2017 г. Однако, обоснование дополнительных расходов дано только по необходимости заключением новых договоров на основании решений Арбитражного суда </w:t>
      </w:r>
      <w:r w:rsidR="00EB5C48" w:rsidRPr="00C04ABD">
        <w:rPr>
          <w:rFonts w:ascii="Myriad Pro" w:eastAsia="Calibri" w:hAnsi="Myriad Pro" w:cs="Times New Roman"/>
          <w:sz w:val="26"/>
          <w:szCs w:val="26"/>
        </w:rPr>
        <w:t xml:space="preserve">по делу </w:t>
      </w:r>
      <w:r w:rsidRPr="00C04ABD">
        <w:rPr>
          <w:rFonts w:ascii="Myriad Pro" w:eastAsia="Calibri" w:hAnsi="Myriad Pro" w:cs="Times New Roman"/>
          <w:sz w:val="26"/>
          <w:szCs w:val="26"/>
        </w:rPr>
        <w:t>на текущее техническое обслуживание ВОЛС</w:t>
      </w:r>
      <w:r w:rsidR="00211E4F" w:rsidRPr="00C04ABD">
        <w:rPr>
          <w:rFonts w:ascii="Myriad Pro" w:eastAsia="Calibri" w:hAnsi="Myriad Pro" w:cs="Times New Roman"/>
          <w:sz w:val="26"/>
          <w:szCs w:val="26"/>
        </w:rPr>
        <w:t>,</w:t>
      </w:r>
      <w:r w:rsidRPr="00C04ABD">
        <w:rPr>
          <w:rFonts w:ascii="Myriad Pro" w:eastAsia="Calibri" w:hAnsi="Myriad Pro" w:cs="Times New Roman"/>
          <w:sz w:val="26"/>
          <w:szCs w:val="26"/>
        </w:rPr>
        <w:t xml:space="preserve"> находящихся в </w:t>
      </w:r>
      <w:r w:rsidR="00C66F37" w:rsidRPr="00C04ABD">
        <w:rPr>
          <w:rFonts w:ascii="Myriad Pro" w:eastAsia="Calibri" w:hAnsi="Myriad Pro" w:cs="Times New Roman"/>
          <w:sz w:val="26"/>
          <w:szCs w:val="26"/>
        </w:rPr>
        <w:t xml:space="preserve">совместной собственности с ПАО </w:t>
      </w:r>
      <w:r w:rsidR="00655FFA" w:rsidRPr="00C04ABD">
        <w:rPr>
          <w:rFonts w:ascii="Myriad Pro" w:eastAsia="Calibri" w:hAnsi="Myriad Pro" w:cs="Times New Roman"/>
          <w:sz w:val="26"/>
          <w:szCs w:val="26"/>
        </w:rPr>
        <w:t>«</w:t>
      </w:r>
      <w:r w:rsidR="00C66F37" w:rsidRPr="00C04ABD">
        <w:rPr>
          <w:rFonts w:ascii="Myriad Pro" w:eastAsia="Calibri" w:hAnsi="Myriad Pro" w:cs="Times New Roman"/>
          <w:sz w:val="26"/>
          <w:szCs w:val="26"/>
        </w:rPr>
        <w:t>ТГК-1</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 xml:space="preserve"> и с ПАО </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ФСК ЕЭС</w:t>
      </w:r>
      <w:r w:rsidR="00655FFA" w:rsidRPr="00C04ABD">
        <w:rPr>
          <w:rFonts w:ascii="Myriad Pro" w:eastAsia="Calibri" w:hAnsi="Myriad Pro" w:cs="Times New Roman"/>
          <w:sz w:val="26"/>
          <w:szCs w:val="26"/>
        </w:rPr>
        <w:t>»</w:t>
      </w:r>
      <w:r w:rsidR="00211E4F" w:rsidRPr="00C04ABD">
        <w:rPr>
          <w:rFonts w:ascii="Myriad Pro" w:eastAsia="Calibri" w:hAnsi="Myriad Pro" w:cs="Times New Roman"/>
          <w:sz w:val="26"/>
          <w:szCs w:val="26"/>
        </w:rPr>
        <w:t>,</w:t>
      </w:r>
      <w:r w:rsidRPr="00C04ABD">
        <w:rPr>
          <w:rFonts w:ascii="Myriad Pro" w:eastAsia="Calibri" w:hAnsi="Myriad Pro" w:cs="Times New Roman"/>
          <w:sz w:val="26"/>
          <w:szCs w:val="26"/>
        </w:rPr>
        <w:t xml:space="preserve"> на общую сумму 6</w:t>
      </w:r>
      <w:r w:rsidR="00211E4F" w:rsidRPr="00C04ABD">
        <w:rPr>
          <w:rFonts w:ascii="Myriad Pro" w:eastAsia="Calibri" w:hAnsi="Myriad Pro" w:cs="Times New Roman"/>
          <w:sz w:val="26"/>
          <w:szCs w:val="26"/>
        </w:rPr>
        <w:t> </w:t>
      </w:r>
      <w:r w:rsidRPr="00C04ABD">
        <w:rPr>
          <w:rFonts w:ascii="Myriad Pro" w:eastAsia="Calibri" w:hAnsi="Myriad Pro" w:cs="Times New Roman"/>
          <w:sz w:val="26"/>
          <w:szCs w:val="26"/>
        </w:rPr>
        <w:t>778,8</w:t>
      </w:r>
      <w:r w:rsidR="00F619B6" w:rsidRPr="00C04ABD">
        <w:rPr>
          <w:rFonts w:ascii="Myriad Pro" w:eastAsia="Calibri" w:hAnsi="Myriad Pro" w:cs="Times New Roman"/>
          <w:sz w:val="26"/>
          <w:szCs w:val="26"/>
        </w:rPr>
        <w:t xml:space="preserve">4 тыс. руб. </w:t>
      </w:r>
      <w:r w:rsidR="00EB5C48" w:rsidRPr="00C04ABD">
        <w:rPr>
          <w:rFonts w:ascii="Myriad Pro" w:eastAsia="Calibri" w:hAnsi="Myriad Pro" w:cs="Times New Roman"/>
          <w:sz w:val="26"/>
          <w:szCs w:val="26"/>
        </w:rPr>
        <w:t xml:space="preserve">Однако заключенные договоры с ПАО </w:t>
      </w:r>
      <w:r w:rsidR="00655FFA" w:rsidRPr="00C04ABD">
        <w:rPr>
          <w:rFonts w:ascii="Myriad Pro" w:eastAsia="Calibri" w:hAnsi="Myriad Pro" w:cs="Times New Roman"/>
          <w:sz w:val="26"/>
          <w:szCs w:val="26"/>
        </w:rPr>
        <w:t>«</w:t>
      </w:r>
      <w:r w:rsidR="00EB5C48" w:rsidRPr="00C04ABD">
        <w:rPr>
          <w:rFonts w:ascii="Myriad Pro" w:eastAsia="Calibri" w:hAnsi="Myriad Pro" w:cs="Times New Roman"/>
          <w:sz w:val="26"/>
          <w:szCs w:val="26"/>
        </w:rPr>
        <w:t>ТГК-1</w:t>
      </w:r>
      <w:r w:rsidR="00655FFA" w:rsidRPr="00C04ABD">
        <w:rPr>
          <w:rFonts w:ascii="Myriad Pro" w:eastAsia="Calibri" w:hAnsi="Myriad Pro" w:cs="Times New Roman"/>
          <w:sz w:val="26"/>
          <w:szCs w:val="26"/>
        </w:rPr>
        <w:t>»</w:t>
      </w:r>
      <w:r w:rsidR="00EB5C48" w:rsidRPr="00C04ABD">
        <w:rPr>
          <w:rFonts w:ascii="Myriad Pro" w:eastAsia="Calibri" w:hAnsi="Myriad Pro" w:cs="Times New Roman"/>
          <w:sz w:val="26"/>
          <w:szCs w:val="26"/>
        </w:rPr>
        <w:t xml:space="preserve"> и с ПАО </w:t>
      </w:r>
      <w:r w:rsidR="00655FFA" w:rsidRPr="00C04ABD">
        <w:rPr>
          <w:rFonts w:ascii="Myriad Pro" w:eastAsia="Calibri" w:hAnsi="Myriad Pro" w:cs="Times New Roman"/>
          <w:sz w:val="26"/>
          <w:szCs w:val="26"/>
        </w:rPr>
        <w:t>«</w:t>
      </w:r>
      <w:r w:rsidR="00EB5C48" w:rsidRPr="00C04ABD">
        <w:rPr>
          <w:rFonts w:ascii="Myriad Pro" w:eastAsia="Calibri" w:hAnsi="Myriad Pro" w:cs="Times New Roman"/>
          <w:sz w:val="26"/>
          <w:szCs w:val="26"/>
        </w:rPr>
        <w:t>ФСК ЕЭС</w:t>
      </w:r>
      <w:r w:rsidR="00655FFA" w:rsidRPr="00C04ABD">
        <w:rPr>
          <w:rFonts w:ascii="Myriad Pro" w:eastAsia="Calibri" w:hAnsi="Myriad Pro" w:cs="Times New Roman"/>
          <w:sz w:val="26"/>
          <w:szCs w:val="26"/>
        </w:rPr>
        <w:t>»</w:t>
      </w:r>
      <w:r w:rsidR="00EB5C48" w:rsidRPr="00C04ABD">
        <w:rPr>
          <w:rFonts w:ascii="Myriad Pro" w:eastAsia="Calibri" w:hAnsi="Myriad Pro" w:cs="Times New Roman"/>
          <w:sz w:val="26"/>
          <w:szCs w:val="26"/>
        </w:rPr>
        <w:t xml:space="preserve"> отсутствуют. </w:t>
      </w:r>
      <w:r w:rsidR="00376A9A" w:rsidRPr="00C04ABD">
        <w:rPr>
          <w:rFonts w:ascii="Myriad Pro" w:eastAsia="Calibri" w:hAnsi="Myriad Pro" w:cs="Times New Roman"/>
          <w:sz w:val="26"/>
          <w:szCs w:val="26"/>
        </w:rPr>
        <w:t xml:space="preserve">Судебные тяжбы ведутся с 2016 года, на момент подачи тарифной заявки имелось решение Арбитражного Суда Мурманской области по делу № А42-2312/2016 вступившее в законную силу 21.10.2016 г. В рамках дела № А42-2312/2016 рассматривалось взыскание </w:t>
      </w:r>
      <w:r w:rsidR="003538EC" w:rsidRPr="00C04ABD">
        <w:rPr>
          <w:rFonts w:ascii="Myriad Pro" w:eastAsia="Calibri" w:hAnsi="Myriad Pro" w:cs="Times New Roman"/>
          <w:sz w:val="26"/>
          <w:szCs w:val="26"/>
        </w:rPr>
        <w:t xml:space="preserve">неосновательного обогащения в размере затрат, понесенных в связи с осуществлением ремонтных работ. Таким образом, в отсутствии заключенного договора текущего технического обслуживания ВОЛС </w:t>
      </w:r>
      <w:r w:rsidR="003538EC" w:rsidRPr="00A622B3">
        <w:rPr>
          <w:rFonts w:ascii="Myriad Pro" w:eastAsia="Calibri" w:hAnsi="Myriad Pro" w:cs="Times New Roman"/>
          <w:sz w:val="26"/>
          <w:szCs w:val="26"/>
        </w:rPr>
        <w:t>ссылка на решение Арбитражного Суда Мурманской области, в котором рассматривались расходы по ремонтным работам</w:t>
      </w:r>
      <w:r w:rsidR="00211E4F" w:rsidRPr="00A622B3">
        <w:rPr>
          <w:rFonts w:ascii="Myriad Pro" w:eastAsia="Calibri" w:hAnsi="Myriad Pro" w:cs="Times New Roman"/>
          <w:sz w:val="26"/>
          <w:szCs w:val="26"/>
        </w:rPr>
        <w:t>,</w:t>
      </w:r>
      <w:r w:rsidR="003538EC" w:rsidRPr="00A622B3">
        <w:rPr>
          <w:rFonts w:ascii="Myriad Pro" w:eastAsia="Calibri" w:hAnsi="Myriad Pro" w:cs="Times New Roman"/>
          <w:sz w:val="26"/>
          <w:szCs w:val="26"/>
        </w:rPr>
        <w:t xml:space="preserve"> безосновательна.</w:t>
      </w:r>
    </w:p>
    <w:p w14:paraId="76337B9C" w14:textId="6E671D89" w:rsidR="003538EC" w:rsidRPr="00C04ABD" w:rsidRDefault="00F619B6" w:rsidP="00A31747">
      <w:pPr>
        <w:tabs>
          <w:tab w:val="left" w:pos="1134"/>
        </w:tabs>
        <w:spacing w:after="0" w:line="360" w:lineRule="auto"/>
        <w:ind w:firstLine="567"/>
        <w:contextualSpacing/>
        <w:jc w:val="both"/>
        <w:rPr>
          <w:rFonts w:ascii="Myriad Pro" w:eastAsia="Calibri" w:hAnsi="Myriad Pro" w:cs="Times New Roman"/>
          <w:sz w:val="26"/>
          <w:szCs w:val="26"/>
        </w:rPr>
      </w:pPr>
      <w:r w:rsidRPr="00492B0F">
        <w:rPr>
          <w:rFonts w:ascii="Myriad Pro" w:eastAsia="Calibri" w:hAnsi="Myriad Pro" w:cs="Times New Roman"/>
          <w:sz w:val="26"/>
          <w:szCs w:val="26"/>
        </w:rPr>
        <w:t>В этой связи Исполнитель</w:t>
      </w:r>
      <w:r w:rsidR="0028752C" w:rsidRPr="00492B0F">
        <w:rPr>
          <w:rFonts w:ascii="Myriad Pro" w:eastAsia="Calibri" w:hAnsi="Myriad Pro" w:cs="Times New Roman"/>
          <w:sz w:val="26"/>
          <w:szCs w:val="26"/>
        </w:rPr>
        <w:t xml:space="preserve"> считает </w:t>
      </w:r>
      <w:r w:rsidR="003538EC" w:rsidRPr="00492B0F">
        <w:rPr>
          <w:rFonts w:ascii="Myriad Pro" w:eastAsia="Calibri" w:hAnsi="Myriad Pro" w:cs="Times New Roman"/>
          <w:sz w:val="26"/>
          <w:szCs w:val="26"/>
        </w:rPr>
        <w:t xml:space="preserve">плановые </w:t>
      </w:r>
      <w:r w:rsidR="0028752C" w:rsidRPr="00492B0F">
        <w:rPr>
          <w:rFonts w:ascii="Myriad Pro" w:eastAsia="Calibri" w:hAnsi="Myriad Pro" w:cs="Times New Roman"/>
          <w:sz w:val="26"/>
          <w:szCs w:val="26"/>
        </w:rPr>
        <w:t xml:space="preserve">расходы </w:t>
      </w:r>
      <w:r w:rsidR="003538EC" w:rsidRPr="00492B0F">
        <w:rPr>
          <w:rFonts w:ascii="Myriad Pro" w:eastAsia="Calibri" w:hAnsi="Myriad Pro" w:cs="Times New Roman"/>
          <w:sz w:val="26"/>
          <w:szCs w:val="26"/>
        </w:rPr>
        <w:t>на сумму 6</w:t>
      </w:r>
      <w:r w:rsidR="00211E4F" w:rsidRPr="00492B0F">
        <w:rPr>
          <w:rFonts w:ascii="Myriad Pro" w:eastAsia="Calibri" w:hAnsi="Myriad Pro" w:cs="Times New Roman"/>
          <w:sz w:val="26"/>
          <w:szCs w:val="26"/>
        </w:rPr>
        <w:t> </w:t>
      </w:r>
      <w:r w:rsidR="003538EC" w:rsidRPr="00492B0F">
        <w:rPr>
          <w:rFonts w:ascii="Myriad Pro" w:eastAsia="Calibri" w:hAnsi="Myriad Pro" w:cs="Times New Roman"/>
          <w:sz w:val="26"/>
          <w:szCs w:val="26"/>
        </w:rPr>
        <w:t xml:space="preserve">778,84 тыс. руб. </w:t>
      </w:r>
      <w:r w:rsidR="00413465" w:rsidRPr="00492B0F">
        <w:rPr>
          <w:rFonts w:ascii="Myriad Pro" w:eastAsia="Calibri" w:hAnsi="Myriad Pro" w:cs="Times New Roman"/>
          <w:b/>
          <w:sz w:val="26"/>
          <w:szCs w:val="26"/>
        </w:rPr>
        <w:t>недостаточно документально обоснованными.</w:t>
      </w:r>
    </w:p>
    <w:p w14:paraId="6701B2CC" w14:textId="04E4F1F5" w:rsidR="003538EC" w:rsidRPr="00C04ABD" w:rsidRDefault="003538EC"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 xml:space="preserve">По мнению </w:t>
      </w:r>
      <w:r w:rsidRPr="0066716D">
        <w:rPr>
          <w:rFonts w:ascii="Myriad Pro" w:eastAsia="Calibri" w:hAnsi="Myriad Pro" w:cs="Times New Roman"/>
          <w:sz w:val="26"/>
          <w:szCs w:val="26"/>
        </w:rPr>
        <w:t>Исполнителя</w:t>
      </w:r>
      <w:r w:rsidR="002422CD" w:rsidRPr="0066716D">
        <w:rPr>
          <w:rFonts w:ascii="Myriad Pro" w:eastAsia="Calibri" w:hAnsi="Myriad Pro" w:cs="Times New Roman"/>
          <w:b/>
          <w:sz w:val="26"/>
          <w:szCs w:val="26"/>
          <w:u w:val="single"/>
        </w:rPr>
        <w:t>,</w:t>
      </w:r>
      <w:r w:rsidRPr="0066716D">
        <w:rPr>
          <w:rFonts w:ascii="Myriad Pro" w:eastAsia="Calibri" w:hAnsi="Myriad Pro" w:cs="Times New Roman"/>
          <w:b/>
          <w:sz w:val="26"/>
          <w:szCs w:val="26"/>
          <w:u w:val="single"/>
        </w:rPr>
        <w:t xml:space="preserve"> экономически обоснованная сумма</w:t>
      </w:r>
      <w:r w:rsidRPr="0066716D">
        <w:rPr>
          <w:rFonts w:ascii="Myriad Pro" w:eastAsia="Calibri" w:hAnsi="Myriad Pro" w:cs="Times New Roman"/>
          <w:sz w:val="26"/>
          <w:szCs w:val="26"/>
        </w:rPr>
        <w:t xml:space="preserve"> расходов </w:t>
      </w:r>
      <w:r w:rsidR="002422CD" w:rsidRPr="0066716D">
        <w:rPr>
          <w:rFonts w:ascii="Myriad Pro" w:eastAsia="Calibri" w:hAnsi="Myriad Pro" w:cs="Times New Roman"/>
          <w:sz w:val="26"/>
          <w:szCs w:val="26"/>
        </w:rPr>
        <w:t xml:space="preserve">по статье услуги подрядчиков по обслуживанию оборудования </w:t>
      </w:r>
      <w:r w:rsidRPr="0066716D">
        <w:rPr>
          <w:rFonts w:ascii="Myriad Pro" w:eastAsia="Calibri" w:hAnsi="Myriad Pro" w:cs="Times New Roman"/>
          <w:sz w:val="26"/>
          <w:szCs w:val="26"/>
        </w:rPr>
        <w:t>на 2019 год</w:t>
      </w:r>
      <w:r w:rsidR="00211E4F" w:rsidRPr="0066716D">
        <w:rPr>
          <w:rFonts w:ascii="Myriad Pro" w:eastAsia="Calibri" w:hAnsi="Myriad Pro" w:cs="Times New Roman"/>
          <w:sz w:val="26"/>
          <w:szCs w:val="26"/>
        </w:rPr>
        <w:t xml:space="preserve"> составляет </w:t>
      </w:r>
      <w:r w:rsidRPr="0066716D">
        <w:rPr>
          <w:rFonts w:ascii="Myriad Pro" w:eastAsia="Calibri" w:hAnsi="Myriad Pro" w:cs="Times New Roman"/>
          <w:sz w:val="26"/>
          <w:szCs w:val="26"/>
          <w:u w:val="single"/>
        </w:rPr>
        <w:t>57 422,03</w:t>
      </w:r>
      <w:r w:rsidRPr="0066716D">
        <w:rPr>
          <w:rFonts w:ascii="Myriad Pro" w:eastAsia="Calibri" w:hAnsi="Myriad Pro" w:cs="Times New Roman"/>
          <w:sz w:val="26"/>
          <w:szCs w:val="26"/>
        </w:rPr>
        <w:t xml:space="preserve"> тыс. руб.</w:t>
      </w:r>
    </w:p>
    <w:p w14:paraId="73DDB665" w14:textId="2C93EBBC" w:rsidR="00272C1C" w:rsidRPr="00C04ABD" w:rsidRDefault="00272C1C"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Расходы</w:t>
      </w:r>
      <w:r w:rsidR="0028752C" w:rsidRPr="00C04ABD">
        <w:rPr>
          <w:rFonts w:ascii="Myriad Pro" w:eastAsia="Calibri" w:hAnsi="Myriad Pro" w:cs="Times New Roman"/>
          <w:sz w:val="26"/>
          <w:szCs w:val="26"/>
        </w:rPr>
        <w:t xml:space="preserve"> по статье </w:t>
      </w:r>
      <w:r w:rsidR="00655FFA" w:rsidRPr="00C04ABD">
        <w:rPr>
          <w:rFonts w:ascii="Myriad Pro" w:eastAsia="Calibri" w:hAnsi="Myriad Pro" w:cs="Times New Roman"/>
          <w:sz w:val="26"/>
          <w:szCs w:val="26"/>
        </w:rPr>
        <w:t>«</w:t>
      </w:r>
      <w:r w:rsidR="0028752C" w:rsidRPr="00C04ABD">
        <w:rPr>
          <w:rFonts w:ascii="Myriad Pro" w:eastAsia="Calibri" w:hAnsi="Myriad Pro" w:cs="Times New Roman"/>
          <w:sz w:val="26"/>
          <w:szCs w:val="26"/>
        </w:rPr>
        <w:t>Работы и услуги производственного характер</w:t>
      </w:r>
      <w:r w:rsidR="00655FFA" w:rsidRPr="00C04ABD">
        <w:rPr>
          <w:rFonts w:ascii="Myriad Pro" w:eastAsia="Calibri" w:hAnsi="Myriad Pro" w:cs="Times New Roman"/>
          <w:sz w:val="26"/>
          <w:szCs w:val="26"/>
        </w:rPr>
        <w:t>»</w:t>
      </w:r>
      <w:r w:rsidR="0028752C" w:rsidRPr="00C04ABD">
        <w:rPr>
          <w:rFonts w:ascii="Myriad Pro" w:eastAsia="Calibri" w:hAnsi="Myriad Pro" w:cs="Times New Roman"/>
          <w:sz w:val="26"/>
          <w:szCs w:val="26"/>
        </w:rPr>
        <w:t xml:space="preserve"> в части транспортных расходов </w:t>
      </w:r>
      <w:r w:rsidRPr="00C04ABD">
        <w:rPr>
          <w:rFonts w:ascii="Myriad Pro" w:eastAsia="Calibri" w:hAnsi="Myriad Pro" w:cs="Times New Roman"/>
          <w:sz w:val="26"/>
          <w:szCs w:val="26"/>
        </w:rPr>
        <w:t>заявлены Филиалом с ростом 75%. В пояснительной записке по корректировке и определению НВВ к расчету тарифов на услуги по передаче электрической энергии на период 2019-2023 гг. рост ожидаемых затрат объясняетс</w:t>
      </w:r>
      <w:r w:rsidR="007E10C5" w:rsidRPr="00C04ABD">
        <w:rPr>
          <w:rFonts w:ascii="Myriad Pro" w:eastAsia="Calibri" w:hAnsi="Myriad Pro" w:cs="Times New Roman"/>
          <w:sz w:val="26"/>
          <w:szCs w:val="26"/>
        </w:rPr>
        <w:t>я</w:t>
      </w:r>
      <w:r w:rsidRPr="00C04ABD">
        <w:rPr>
          <w:rFonts w:ascii="Myriad Pro" w:eastAsia="Calibri" w:hAnsi="Myriad Pro" w:cs="Times New Roman"/>
          <w:sz w:val="26"/>
          <w:szCs w:val="26"/>
        </w:rPr>
        <w:t xml:space="preserve">  увеличением стоимост</w:t>
      </w:r>
      <w:r w:rsidR="00D076DA" w:rsidRPr="00C04ABD">
        <w:rPr>
          <w:rFonts w:ascii="Myriad Pro" w:eastAsia="Calibri" w:hAnsi="Myriad Pro" w:cs="Times New Roman"/>
          <w:sz w:val="26"/>
          <w:szCs w:val="26"/>
        </w:rPr>
        <w:t xml:space="preserve">и по договору с АО </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Воло</w:t>
      </w:r>
      <w:r w:rsidR="00D076DA" w:rsidRPr="00C04ABD">
        <w:rPr>
          <w:rFonts w:ascii="Myriad Pro" w:eastAsia="Calibri" w:hAnsi="Myriad Pro" w:cs="Times New Roman"/>
          <w:sz w:val="26"/>
          <w:szCs w:val="26"/>
        </w:rPr>
        <w:t>годское авиационное предприятие</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 xml:space="preserve"> на использование вертолетов типа Ми-8 при плановых осмотрах труднодоступных ЛЭП, проведении аварийно-восстановительных работ на ВЛ, перевозке персонала и грузов на территории Мурманской области, а также для аэросканирования ВЛЭП 35-150 кВ с связи с </w:t>
      </w:r>
      <w:r w:rsidRPr="00C04ABD">
        <w:rPr>
          <w:rFonts w:ascii="Myriad Pro" w:eastAsia="Calibri" w:hAnsi="Myriad Pro" w:cs="Times New Roman"/>
          <w:sz w:val="26"/>
          <w:szCs w:val="26"/>
        </w:rPr>
        <w:lastRenderedPageBreak/>
        <w:t xml:space="preserve">увеличением частоты полетов. Однако, пояснений по необходимости увеличения частоты полетов отсутствуют. Исполнителем проанализированы заключенные договоры с АО </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Воло</w:t>
      </w:r>
      <w:r w:rsidR="00D076DA" w:rsidRPr="00C04ABD">
        <w:rPr>
          <w:rFonts w:ascii="Myriad Pro" w:eastAsia="Calibri" w:hAnsi="Myriad Pro" w:cs="Times New Roman"/>
          <w:sz w:val="26"/>
          <w:szCs w:val="26"/>
        </w:rPr>
        <w:t>годское авиационное предприятие</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 xml:space="preserve"> №41/10-01-2016/14 от 30.12.2016 и №41/10-01-2017/8 от 27.12.2017 г. </w:t>
      </w:r>
    </w:p>
    <w:p w14:paraId="591823C6" w14:textId="62E54C7E" w:rsidR="00272C1C" w:rsidRPr="00C04ABD" w:rsidRDefault="00272C1C"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 xml:space="preserve">В </w:t>
      </w:r>
      <w:r w:rsidR="00652DFE" w:rsidRPr="00C04ABD">
        <w:rPr>
          <w:rFonts w:ascii="Myriad Pro" w:eastAsia="Calibri" w:hAnsi="Myriad Pro" w:cs="Times New Roman"/>
          <w:sz w:val="26"/>
          <w:szCs w:val="26"/>
        </w:rPr>
        <w:t xml:space="preserve">договоре от 30.12.2016 </w:t>
      </w:r>
      <w:r w:rsidRPr="00C04ABD">
        <w:rPr>
          <w:rFonts w:ascii="Myriad Pro" w:eastAsia="Calibri" w:hAnsi="Myriad Pro" w:cs="Times New Roman"/>
          <w:sz w:val="26"/>
          <w:szCs w:val="26"/>
        </w:rPr>
        <w:t xml:space="preserve">№41/10-01-2016/14 указана протяженность трассы 4 476,7 км., а в договоре </w:t>
      </w:r>
      <w:r w:rsidR="00652DFE" w:rsidRPr="00C04ABD">
        <w:rPr>
          <w:rFonts w:ascii="Myriad Pro" w:eastAsia="Calibri" w:hAnsi="Myriad Pro" w:cs="Times New Roman"/>
          <w:sz w:val="26"/>
          <w:szCs w:val="26"/>
        </w:rPr>
        <w:t xml:space="preserve">от 27.12.2017 г. </w:t>
      </w:r>
      <w:r w:rsidRPr="00C04ABD">
        <w:rPr>
          <w:rFonts w:ascii="Myriad Pro" w:eastAsia="Calibri" w:hAnsi="Myriad Pro" w:cs="Times New Roman"/>
          <w:sz w:val="26"/>
          <w:szCs w:val="26"/>
        </w:rPr>
        <w:t xml:space="preserve">№41/10-01-2017/8 - 4 419,1 км, т.е. увеличение километража трассы отсутствует. Однако Исполнителем принято во внимание увеличение стоимости одного полетного часа </w:t>
      </w:r>
      <w:r w:rsidR="007E10C5" w:rsidRPr="00C04ABD">
        <w:rPr>
          <w:rFonts w:ascii="Myriad Pro" w:eastAsia="Calibri" w:hAnsi="Myriad Pro" w:cs="Times New Roman"/>
          <w:sz w:val="26"/>
          <w:szCs w:val="26"/>
        </w:rPr>
        <w:t>по договору №41/10-01-2017/8 от 27.12.2017 г. на 16%.</w:t>
      </w:r>
    </w:p>
    <w:p w14:paraId="223CAA1A" w14:textId="7C1E0475" w:rsidR="00272C1C" w:rsidRPr="00C04ABD" w:rsidRDefault="007E10C5"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Исполнитель</w:t>
      </w:r>
      <w:r w:rsidR="0028752C" w:rsidRPr="00C04ABD">
        <w:rPr>
          <w:rFonts w:ascii="Myriad Pro" w:eastAsia="Calibri" w:hAnsi="Myriad Pro" w:cs="Times New Roman"/>
          <w:sz w:val="26"/>
          <w:szCs w:val="26"/>
        </w:rPr>
        <w:t xml:space="preserve"> считает экономически обоснованными расходы на уровне факта 2017 го</w:t>
      </w:r>
      <w:r w:rsidR="009222D9" w:rsidRPr="00C04ABD">
        <w:rPr>
          <w:rFonts w:ascii="Myriad Pro" w:eastAsia="Calibri" w:hAnsi="Myriad Pro" w:cs="Times New Roman"/>
          <w:sz w:val="26"/>
          <w:szCs w:val="26"/>
        </w:rPr>
        <w:t>да с учетом индексов-дефляторов</w:t>
      </w:r>
      <w:r w:rsidRPr="00C04ABD">
        <w:rPr>
          <w:rFonts w:ascii="Myriad Pro" w:eastAsia="Calibri" w:hAnsi="Myriad Pro" w:cs="Times New Roman"/>
          <w:sz w:val="26"/>
          <w:szCs w:val="26"/>
        </w:rPr>
        <w:t xml:space="preserve"> и с учетом увеличения стоимости одного полетного часа по договору №41/10-01-2017/8 от 27.12.2017 г</w:t>
      </w:r>
      <w:r w:rsidR="009222D9" w:rsidRPr="00C04ABD">
        <w:rPr>
          <w:rFonts w:ascii="Myriad Pro" w:eastAsia="Calibri" w:hAnsi="Myriad Pro" w:cs="Times New Roman"/>
          <w:sz w:val="26"/>
          <w:szCs w:val="26"/>
        </w:rPr>
        <w:t xml:space="preserve">. </w:t>
      </w:r>
    </w:p>
    <w:p w14:paraId="75A33EDE" w14:textId="77777777" w:rsidR="00B24AA3" w:rsidRPr="00C04ABD" w:rsidRDefault="002422CD"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 xml:space="preserve">Филиалом по отдельным договорам расходы на 2019 </w:t>
      </w:r>
      <w:r w:rsidR="00194667" w:rsidRPr="00C04ABD">
        <w:rPr>
          <w:rFonts w:ascii="Myriad Pro" w:eastAsia="Calibri" w:hAnsi="Myriad Pro" w:cs="Times New Roman"/>
          <w:sz w:val="26"/>
          <w:szCs w:val="26"/>
        </w:rPr>
        <w:t>год</w:t>
      </w:r>
      <w:r w:rsidRPr="00C04ABD">
        <w:rPr>
          <w:rFonts w:ascii="Myriad Pro" w:eastAsia="Calibri" w:hAnsi="Myriad Pro" w:cs="Times New Roman"/>
          <w:sz w:val="26"/>
          <w:szCs w:val="26"/>
        </w:rPr>
        <w:t xml:space="preserve"> запланированы с </w:t>
      </w:r>
      <w:r w:rsidR="00B24AA3" w:rsidRPr="00C04ABD">
        <w:rPr>
          <w:rFonts w:ascii="Myriad Pro" w:eastAsia="Calibri" w:hAnsi="Myriad Pro" w:cs="Times New Roman"/>
          <w:sz w:val="26"/>
          <w:szCs w:val="26"/>
        </w:rPr>
        <w:t>увеличением в несколько раз:</w:t>
      </w:r>
    </w:p>
    <w:p w14:paraId="12090A34" w14:textId="77C8CB91" w:rsidR="00B24AA3" w:rsidRPr="00C04ABD" w:rsidRDefault="00B24AA3" w:rsidP="009B0BC1">
      <w:pPr>
        <w:pStyle w:val="a4"/>
        <w:numPr>
          <w:ilvl w:val="0"/>
          <w:numId w:val="41"/>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ф</w:t>
      </w:r>
      <w:r w:rsidR="00194667" w:rsidRPr="00C04ABD">
        <w:rPr>
          <w:rFonts w:ascii="Myriad Pro" w:hAnsi="Myriad Pro"/>
          <w:sz w:val="26"/>
          <w:szCs w:val="26"/>
        </w:rPr>
        <w:t>актические расходы по договору № 41/43/04-2011/3 от 01.02.2011</w:t>
      </w:r>
      <w:r w:rsidRPr="00C04ABD">
        <w:rPr>
          <w:rFonts w:ascii="Myriad Pro" w:hAnsi="Myriad Pro"/>
          <w:sz w:val="26"/>
          <w:szCs w:val="26"/>
        </w:rPr>
        <w:t xml:space="preserve"> за услуги по уборке территории автотранспортной техникой г. Оленегорск в 2017 году составили 18,52 тыс. руб. Планируемые расходы на 2019 год в размере 104 тыс. руб.;</w:t>
      </w:r>
    </w:p>
    <w:p w14:paraId="5C39CC50" w14:textId="26AC5318" w:rsidR="00B24AA3" w:rsidRPr="00C04ABD" w:rsidRDefault="00B24AA3" w:rsidP="009B0BC1">
      <w:pPr>
        <w:pStyle w:val="a4"/>
        <w:numPr>
          <w:ilvl w:val="0"/>
          <w:numId w:val="41"/>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фактические расходы по договору №43/04-2016/4 от 01.02.2016 за услуги по предоставлению дорожной техники в 2017 году составили 18,56 тыс. руб. Планируемые расходы на 2019 год в размере 104 тыс. руб.;</w:t>
      </w:r>
    </w:p>
    <w:p w14:paraId="22716689" w14:textId="55D1AEF3" w:rsidR="00B24AA3" w:rsidRPr="00C04ABD" w:rsidRDefault="00B24AA3" w:rsidP="009B0BC1">
      <w:pPr>
        <w:pStyle w:val="a4"/>
        <w:numPr>
          <w:ilvl w:val="0"/>
          <w:numId w:val="41"/>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 xml:space="preserve">фактические расходы по договору № 42/18-2013/251 от 20.11.2013 за оказание услуг с использованием автотранспортных средств в 2017 году составили 31,22 тыс. руб. Планируемые расходы на 2019 год в размере 184,08 тыс. руб. </w:t>
      </w:r>
    </w:p>
    <w:p w14:paraId="0750E473" w14:textId="5E22E7BE" w:rsidR="00B24AA3" w:rsidRPr="00C04ABD" w:rsidRDefault="00B24AA3"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 xml:space="preserve">Обоснований и расчетов по увеличению расходов Филиалом не представлено. В этой связи Исполнитель считает плановые расходы на сумму 18 025,58 тыс. руб. </w:t>
      </w:r>
      <w:r w:rsidR="00413465" w:rsidRPr="00C04ABD">
        <w:rPr>
          <w:rFonts w:ascii="Myriad Pro" w:eastAsia="Calibri" w:hAnsi="Myriad Pro" w:cs="Times New Roman"/>
          <w:sz w:val="26"/>
          <w:szCs w:val="26"/>
        </w:rPr>
        <w:t>недостаточно документально обоснованными.</w:t>
      </w:r>
    </w:p>
    <w:p w14:paraId="698BDBF1" w14:textId="5390548C" w:rsidR="00B24AA3" w:rsidRPr="00C04ABD" w:rsidRDefault="00B24AA3"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 xml:space="preserve">По мнению Исполнителя, экономически обоснованная сумма расходов по статье </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Работы и услуги производственного характер</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 xml:space="preserve"> в части транспортных расходов на 2019 год 11 568,55 тыс. руб.</w:t>
      </w:r>
    </w:p>
    <w:p w14:paraId="771BB5D7" w14:textId="200E3BF1" w:rsidR="00A10D97" w:rsidRPr="00C04ABD" w:rsidRDefault="00A10D97"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lastRenderedPageBreak/>
        <w:t xml:space="preserve">Расходы по статье </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Работы и услуги производственного характер</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 xml:space="preserve"> в части услуг по испытанию и поверке приборов учета заявлены Филиалом в размере </w:t>
      </w:r>
      <w:r w:rsidR="00996030" w:rsidRPr="00C04ABD">
        <w:rPr>
          <w:rFonts w:ascii="Myriad Pro" w:eastAsia="Calibri" w:hAnsi="Myriad Pro" w:cs="Times New Roman"/>
          <w:sz w:val="26"/>
          <w:szCs w:val="26"/>
        </w:rPr>
        <w:br/>
      </w:r>
      <w:r w:rsidRPr="00C04ABD">
        <w:rPr>
          <w:rFonts w:ascii="Myriad Pro" w:eastAsia="Calibri" w:hAnsi="Myriad Pro" w:cs="Times New Roman"/>
          <w:sz w:val="26"/>
          <w:szCs w:val="26"/>
        </w:rPr>
        <w:t xml:space="preserve">9 346,41 тыс. руб. </w:t>
      </w:r>
    </w:p>
    <w:p w14:paraId="06705963" w14:textId="3B598D58" w:rsidR="0028752C" w:rsidRPr="00C04ABD" w:rsidRDefault="00FE6D0B"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 xml:space="preserve">Исполнителем рассчитаны расходы по испытанию и поверке приборов </w:t>
      </w:r>
      <w:r w:rsidR="00A10D97" w:rsidRPr="00C04ABD">
        <w:rPr>
          <w:rFonts w:ascii="Myriad Pro" w:eastAsia="Calibri" w:hAnsi="Myriad Pro" w:cs="Times New Roman"/>
          <w:sz w:val="26"/>
          <w:szCs w:val="26"/>
        </w:rPr>
        <w:t>на 2019 год в размере 8 176,78 тыс. руб. с</w:t>
      </w:r>
      <w:r w:rsidR="0028752C" w:rsidRPr="00C04ABD">
        <w:rPr>
          <w:rFonts w:ascii="Myriad Pro" w:eastAsia="Calibri" w:hAnsi="Myriad Pro" w:cs="Times New Roman"/>
          <w:sz w:val="26"/>
          <w:szCs w:val="26"/>
        </w:rPr>
        <w:t xml:space="preserve"> учетом фактических расходов за 2015-2017 гг. с индексом ИПЦ и с учетом заключенного договора с ФБУ </w:t>
      </w:r>
      <w:r w:rsidR="00655FFA" w:rsidRPr="00C04ABD">
        <w:rPr>
          <w:rFonts w:ascii="Myriad Pro" w:eastAsia="Calibri" w:hAnsi="Myriad Pro" w:cs="Times New Roman"/>
          <w:sz w:val="26"/>
          <w:szCs w:val="26"/>
        </w:rPr>
        <w:t>«</w:t>
      </w:r>
      <w:r w:rsidR="0028752C" w:rsidRPr="00C04ABD">
        <w:rPr>
          <w:rFonts w:ascii="Myriad Pro" w:eastAsia="Calibri" w:hAnsi="Myriad Pro" w:cs="Times New Roman"/>
          <w:sz w:val="26"/>
          <w:szCs w:val="26"/>
        </w:rPr>
        <w:t>Мурманский ЦСМ</w:t>
      </w:r>
      <w:r w:rsidR="00655FFA" w:rsidRPr="00C04ABD">
        <w:rPr>
          <w:rFonts w:ascii="Myriad Pro" w:eastAsia="Calibri" w:hAnsi="Myriad Pro" w:cs="Times New Roman"/>
          <w:sz w:val="26"/>
          <w:szCs w:val="26"/>
        </w:rPr>
        <w:t>»</w:t>
      </w:r>
      <w:r w:rsidR="0028752C" w:rsidRPr="00C04ABD">
        <w:rPr>
          <w:rFonts w:ascii="Myriad Pro" w:eastAsia="Calibri" w:hAnsi="Myriad Pro" w:cs="Times New Roman"/>
          <w:sz w:val="26"/>
          <w:szCs w:val="26"/>
        </w:rPr>
        <w:t xml:space="preserve"> от 26.12.2017 №26М (увеличение стоимости</w:t>
      </w:r>
      <w:r w:rsidR="009222D9" w:rsidRPr="00C04ABD">
        <w:rPr>
          <w:rFonts w:ascii="Myriad Pro" w:eastAsia="Calibri" w:hAnsi="Myriad Pro" w:cs="Times New Roman"/>
          <w:sz w:val="26"/>
          <w:szCs w:val="26"/>
        </w:rPr>
        <w:t xml:space="preserve"> договора </w:t>
      </w:r>
      <w:r w:rsidR="0028752C" w:rsidRPr="00C04ABD">
        <w:rPr>
          <w:rFonts w:ascii="Myriad Pro" w:eastAsia="Calibri" w:hAnsi="Myriad Pro" w:cs="Times New Roman"/>
          <w:sz w:val="26"/>
          <w:szCs w:val="26"/>
        </w:rPr>
        <w:t>на 2 494 тыс. руб. без НДС).</w:t>
      </w:r>
      <w:r w:rsidR="007E10C5" w:rsidRPr="00C04ABD">
        <w:rPr>
          <w:rFonts w:ascii="Myriad Pro" w:eastAsia="Calibri" w:hAnsi="Myriad Pro" w:cs="Times New Roman"/>
          <w:sz w:val="26"/>
          <w:szCs w:val="26"/>
        </w:rPr>
        <w:t xml:space="preserve"> ФБУ </w:t>
      </w:r>
      <w:r w:rsidR="00655FFA" w:rsidRPr="00C04ABD">
        <w:rPr>
          <w:rFonts w:ascii="Myriad Pro" w:eastAsia="Calibri" w:hAnsi="Myriad Pro" w:cs="Times New Roman"/>
          <w:sz w:val="26"/>
          <w:szCs w:val="26"/>
        </w:rPr>
        <w:t>«</w:t>
      </w:r>
      <w:r w:rsidR="007E10C5" w:rsidRPr="00C04ABD">
        <w:rPr>
          <w:rFonts w:ascii="Myriad Pro" w:eastAsia="Calibri" w:hAnsi="Myriad Pro" w:cs="Times New Roman"/>
          <w:sz w:val="26"/>
          <w:szCs w:val="26"/>
        </w:rPr>
        <w:t>Мурманский ЦСМ</w:t>
      </w:r>
      <w:r w:rsidR="00655FFA" w:rsidRPr="00C04ABD">
        <w:rPr>
          <w:rFonts w:ascii="Myriad Pro" w:eastAsia="Calibri" w:hAnsi="Myriad Pro" w:cs="Times New Roman"/>
          <w:sz w:val="26"/>
          <w:szCs w:val="26"/>
        </w:rPr>
        <w:t>»</w:t>
      </w:r>
      <w:r w:rsidR="007E10C5" w:rsidRPr="00C04ABD">
        <w:rPr>
          <w:rFonts w:ascii="Myriad Pro" w:eastAsia="Calibri" w:hAnsi="Myriad Pro" w:cs="Times New Roman"/>
          <w:sz w:val="26"/>
          <w:szCs w:val="26"/>
        </w:rPr>
        <w:t xml:space="preserve"> осуществляет полномочия Федерального агентства по техническому регулированию и метрологии (Росстандарта) на территории Мурманской области.</w:t>
      </w:r>
    </w:p>
    <w:p w14:paraId="1F21CF28" w14:textId="002F233F" w:rsidR="0028752C" w:rsidRPr="00C04ABD" w:rsidRDefault="009377DA"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 xml:space="preserve">Расходы по статье </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Работы и услуги производственного характер</w:t>
      </w:r>
      <w:r w:rsidR="00F63827">
        <w:rPr>
          <w:rFonts w:ascii="Myriad Pro" w:eastAsia="Calibri" w:hAnsi="Myriad Pro" w:cs="Times New Roman"/>
          <w:sz w:val="26"/>
          <w:szCs w:val="26"/>
        </w:rPr>
        <w:t>а</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 xml:space="preserve"> </w:t>
      </w:r>
      <w:r w:rsidR="0028752C" w:rsidRPr="00C04ABD">
        <w:rPr>
          <w:rFonts w:ascii="Myriad Pro" w:eastAsia="Calibri" w:hAnsi="Myriad Pro" w:cs="Times New Roman"/>
          <w:sz w:val="26"/>
          <w:szCs w:val="26"/>
        </w:rPr>
        <w:t xml:space="preserve">в части прочих услуг производственного характера </w:t>
      </w:r>
      <w:r w:rsidRPr="00C04ABD">
        <w:rPr>
          <w:rFonts w:ascii="Myriad Pro" w:eastAsia="Calibri" w:hAnsi="Myriad Pro" w:cs="Times New Roman"/>
          <w:sz w:val="26"/>
          <w:szCs w:val="26"/>
        </w:rPr>
        <w:t>заявлены Филиалом</w:t>
      </w:r>
      <w:r w:rsidR="0072021C" w:rsidRPr="00C04ABD">
        <w:rPr>
          <w:rFonts w:ascii="Myriad Pro" w:eastAsia="Calibri" w:hAnsi="Myriad Pro" w:cs="Times New Roman"/>
          <w:sz w:val="26"/>
          <w:szCs w:val="26"/>
        </w:rPr>
        <w:t xml:space="preserve"> в размере </w:t>
      </w:r>
      <w:r w:rsidR="00640FB7" w:rsidRPr="00C04ABD">
        <w:rPr>
          <w:rFonts w:ascii="Myriad Pro" w:eastAsia="Calibri" w:hAnsi="Myriad Pro" w:cs="Times New Roman"/>
          <w:sz w:val="26"/>
          <w:szCs w:val="26"/>
        </w:rPr>
        <w:t>53 402,39 тыс. руб.</w:t>
      </w:r>
      <w:r w:rsidR="000C23A0" w:rsidRPr="00C04ABD">
        <w:rPr>
          <w:rFonts w:ascii="Myriad Pro" w:eastAsia="Calibri" w:hAnsi="Myriad Pro" w:cs="Times New Roman"/>
          <w:sz w:val="26"/>
          <w:szCs w:val="26"/>
        </w:rPr>
        <w:t xml:space="preserve"> </w:t>
      </w:r>
      <w:r w:rsidRPr="00C04ABD">
        <w:rPr>
          <w:rFonts w:ascii="Myriad Pro" w:eastAsia="Calibri" w:hAnsi="Myriad Pro" w:cs="Times New Roman"/>
          <w:sz w:val="26"/>
          <w:szCs w:val="26"/>
        </w:rPr>
        <w:t>с ростом в 4,7 раза</w:t>
      </w:r>
      <w:r w:rsidR="000C23A0" w:rsidRPr="00C04ABD">
        <w:rPr>
          <w:rFonts w:ascii="Myriad Pro" w:eastAsia="Calibri" w:hAnsi="Myriad Pro" w:cs="Times New Roman"/>
          <w:sz w:val="26"/>
          <w:szCs w:val="26"/>
        </w:rPr>
        <w:t>. Фактические расходы за 2017 год составили 11 399,07 тыс. руб.</w:t>
      </w:r>
    </w:p>
    <w:p w14:paraId="233DF99A" w14:textId="3557D6C4" w:rsidR="009377DA" w:rsidRPr="00C04ABD" w:rsidRDefault="009377DA"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 xml:space="preserve">В пояснительной записке по корректировке и определению НВВ к расчету тарифов на услуги по передаче электрической энергии на период 2019-2023 гг. рост ожидаемых затрат объясняется заключением новых договоров в 2018-2019 гг., в частности: </w:t>
      </w:r>
    </w:p>
    <w:p w14:paraId="1B9D43EB" w14:textId="77777777" w:rsidR="009377DA" w:rsidRPr="00C04ABD" w:rsidRDefault="009377DA"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на комплексное обследование зданий и сооружений на сумму 3 200 тыс. руб., и на 2019 год с применением индекса инфляции в размере 1,04;</w:t>
      </w:r>
    </w:p>
    <w:p w14:paraId="7B433FF8" w14:textId="77777777" w:rsidR="009377DA" w:rsidRPr="00C04ABD" w:rsidRDefault="009377DA"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на проведение сертификационных испытаний по показателям качества электрической энергии в сетях в 2018 году на сумму 1 171 тыс. руб. и на 2019 год с применением индекса инфляции в размере 1,04;</w:t>
      </w:r>
    </w:p>
    <w:p w14:paraId="5DFA16BC" w14:textId="4B880410" w:rsidR="009377DA" w:rsidRPr="00C04ABD" w:rsidRDefault="009377DA"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 xml:space="preserve">на систематизацию данных на первом этапе ВЛ 35 кВ </w:t>
      </w:r>
      <w:r w:rsidR="00D076DA" w:rsidRPr="00C04ABD">
        <w:rPr>
          <w:rFonts w:ascii="Myriad Pro" w:hAnsi="Myriad Pro"/>
          <w:sz w:val="26"/>
          <w:szCs w:val="26"/>
        </w:rPr>
        <w:t xml:space="preserve">(471200м), 110 кВ (360400м) ПО </w:t>
      </w:r>
      <w:r w:rsidR="00655FFA" w:rsidRPr="00C04ABD">
        <w:rPr>
          <w:rFonts w:ascii="Myriad Pro" w:hAnsi="Myriad Pro"/>
          <w:sz w:val="26"/>
          <w:szCs w:val="26"/>
        </w:rPr>
        <w:t>«</w:t>
      </w:r>
      <w:r w:rsidR="00D076DA" w:rsidRPr="00C04ABD">
        <w:rPr>
          <w:rFonts w:ascii="Myriad Pro" w:hAnsi="Myriad Pro"/>
          <w:sz w:val="26"/>
          <w:szCs w:val="26"/>
        </w:rPr>
        <w:t>СЭС</w:t>
      </w:r>
      <w:r w:rsidR="00655FFA" w:rsidRPr="00C04ABD">
        <w:rPr>
          <w:rFonts w:ascii="Myriad Pro" w:hAnsi="Myriad Pro"/>
          <w:sz w:val="26"/>
          <w:szCs w:val="26"/>
        </w:rPr>
        <w:t>»</w:t>
      </w:r>
      <w:r w:rsidRPr="00C04ABD">
        <w:rPr>
          <w:rFonts w:ascii="Myriad Pro" w:hAnsi="Myriad Pro"/>
          <w:sz w:val="26"/>
          <w:szCs w:val="26"/>
        </w:rPr>
        <w:t xml:space="preserve">, ВЛ 110 кВ (752000м), ВЛ-150 кВ </w:t>
      </w:r>
      <w:r w:rsidR="00D076DA" w:rsidRPr="00C04ABD">
        <w:rPr>
          <w:rFonts w:ascii="Myriad Pro" w:hAnsi="Myriad Pro"/>
          <w:sz w:val="26"/>
          <w:szCs w:val="26"/>
        </w:rPr>
        <w:t xml:space="preserve">(598000м) ПО </w:t>
      </w:r>
      <w:r w:rsidR="00655FFA" w:rsidRPr="00C04ABD">
        <w:rPr>
          <w:rFonts w:ascii="Myriad Pro" w:hAnsi="Myriad Pro"/>
          <w:sz w:val="26"/>
          <w:szCs w:val="26"/>
        </w:rPr>
        <w:t>«</w:t>
      </w:r>
      <w:r w:rsidRPr="00C04ABD">
        <w:rPr>
          <w:rFonts w:ascii="Myriad Pro" w:hAnsi="Myriad Pro"/>
          <w:sz w:val="26"/>
          <w:szCs w:val="26"/>
        </w:rPr>
        <w:t>ЦЭС</w:t>
      </w:r>
      <w:r w:rsidR="00655FFA" w:rsidRPr="00C04ABD">
        <w:rPr>
          <w:rFonts w:ascii="Myriad Pro" w:hAnsi="Myriad Pro"/>
          <w:sz w:val="26"/>
          <w:szCs w:val="26"/>
        </w:rPr>
        <w:t>»</w:t>
      </w:r>
      <w:r w:rsidRPr="00C04ABD">
        <w:rPr>
          <w:rFonts w:ascii="Myriad Pro" w:hAnsi="Myriad Pro"/>
          <w:sz w:val="26"/>
          <w:szCs w:val="26"/>
        </w:rPr>
        <w:t xml:space="preserve"> со сбором и анализом для 3-х мерной визуализации в электронном виде и просмотре в приложении Google Планета Земля в 2018 году на сумму 3 355 тыс. руб. с пролонгацией на 2019 год;</w:t>
      </w:r>
    </w:p>
    <w:p w14:paraId="5E471E0F" w14:textId="18873847" w:rsidR="009377DA" w:rsidRPr="00C04ABD" w:rsidRDefault="009377DA"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 xml:space="preserve">на энергетическое обследование объектов недвижимости в 2018 году на сумму 2 615 тыс. руб., с пролонгацией на 2019 год (обследование технического состояния конструкций зданий и сооружений выполняется специализированными </w:t>
      </w:r>
      <w:r w:rsidRPr="00C04ABD">
        <w:rPr>
          <w:rFonts w:ascii="Myriad Pro" w:hAnsi="Myriad Pro"/>
          <w:sz w:val="26"/>
          <w:szCs w:val="26"/>
        </w:rPr>
        <w:lastRenderedPageBreak/>
        <w:t>организа</w:t>
      </w:r>
      <w:r w:rsidR="00A87BCB" w:rsidRPr="00C04ABD">
        <w:rPr>
          <w:rFonts w:ascii="Myriad Pro" w:hAnsi="Myriad Pro"/>
          <w:sz w:val="26"/>
          <w:szCs w:val="26"/>
        </w:rPr>
        <w:t xml:space="preserve">циями в соответствии с п.1.5.2 </w:t>
      </w:r>
      <w:r w:rsidRPr="00C04ABD">
        <w:rPr>
          <w:rFonts w:ascii="Myriad Pro" w:hAnsi="Myriad Pro"/>
          <w:sz w:val="26"/>
          <w:szCs w:val="26"/>
        </w:rPr>
        <w:t xml:space="preserve">и п. 2.2.1 </w:t>
      </w:r>
      <w:r w:rsidR="00655FFA" w:rsidRPr="00C04ABD">
        <w:rPr>
          <w:rFonts w:ascii="Myriad Pro" w:hAnsi="Myriad Pro"/>
          <w:sz w:val="26"/>
          <w:szCs w:val="26"/>
        </w:rPr>
        <w:t>«</w:t>
      </w:r>
      <w:r w:rsidRPr="00C04ABD">
        <w:rPr>
          <w:rFonts w:ascii="Myriad Pro" w:hAnsi="Myriad Pro"/>
          <w:sz w:val="26"/>
          <w:szCs w:val="26"/>
        </w:rPr>
        <w:t>Правил технической эксплуатации электрических станций и сетей Российской Федерации</w:t>
      </w:r>
      <w:r w:rsidR="00655FFA" w:rsidRPr="00C04ABD">
        <w:rPr>
          <w:rFonts w:ascii="Myriad Pro" w:hAnsi="Myriad Pro"/>
          <w:sz w:val="26"/>
          <w:szCs w:val="26"/>
        </w:rPr>
        <w:t>»</w:t>
      </w:r>
      <w:r w:rsidRPr="00C04ABD">
        <w:rPr>
          <w:rFonts w:ascii="Myriad Pro" w:hAnsi="Myriad Pro"/>
          <w:sz w:val="26"/>
          <w:szCs w:val="26"/>
        </w:rPr>
        <w:t xml:space="preserve">); </w:t>
      </w:r>
    </w:p>
    <w:p w14:paraId="695917A3" w14:textId="715C46BB" w:rsidR="009377DA" w:rsidRPr="00C04ABD" w:rsidRDefault="009377DA"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на техническое обследование линий электропередач с целью определения скрытых дефектов опор, фундаментов, в результате которого будут определены прочность опор и объемы работ по техническому обслуживанию и ремонту линий электропередач (планируется заключение договоров с ООО</w:t>
      </w:r>
      <w:r w:rsidR="00996030" w:rsidRPr="00C04ABD">
        <w:rPr>
          <w:rFonts w:ascii="Myriad Pro" w:hAnsi="Myriad Pro"/>
          <w:sz w:val="26"/>
          <w:szCs w:val="26"/>
        </w:rPr>
        <w:t> </w:t>
      </w:r>
      <w:r w:rsidR="00655FFA" w:rsidRPr="00C04ABD">
        <w:rPr>
          <w:rFonts w:ascii="Myriad Pro" w:hAnsi="Myriad Pro"/>
          <w:sz w:val="26"/>
          <w:szCs w:val="26"/>
        </w:rPr>
        <w:t>«</w:t>
      </w:r>
      <w:r w:rsidRPr="00C04ABD">
        <w:rPr>
          <w:rFonts w:ascii="Myriad Pro" w:hAnsi="Myriad Pro"/>
          <w:sz w:val="26"/>
          <w:szCs w:val="26"/>
        </w:rPr>
        <w:t>Союзстальконструкция</w:t>
      </w:r>
      <w:r w:rsidR="00655FFA" w:rsidRPr="00C04ABD">
        <w:rPr>
          <w:rFonts w:ascii="Myriad Pro" w:hAnsi="Myriad Pro"/>
          <w:sz w:val="26"/>
          <w:szCs w:val="26"/>
        </w:rPr>
        <w:t>»</w:t>
      </w:r>
      <w:r w:rsidRPr="00C04ABD">
        <w:rPr>
          <w:rFonts w:ascii="Myriad Pro" w:hAnsi="Myriad Pro"/>
          <w:sz w:val="26"/>
          <w:szCs w:val="26"/>
        </w:rPr>
        <w:t xml:space="preserve"> на общую сумму 10 567 тыс. руб.);</w:t>
      </w:r>
    </w:p>
    <w:p w14:paraId="19ECC187" w14:textId="0620B73C" w:rsidR="009377DA" w:rsidRPr="00C04ABD" w:rsidRDefault="009377DA"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на проведение аэросканирования участков линий электропередач с целью оценки технического состояния воздушных линий электропередач с применением мето</w:t>
      </w:r>
      <w:r w:rsidR="009A3277" w:rsidRPr="00C04ABD">
        <w:rPr>
          <w:rFonts w:ascii="Myriad Pro" w:hAnsi="Myriad Pro"/>
          <w:sz w:val="26"/>
          <w:szCs w:val="26"/>
        </w:rPr>
        <w:t xml:space="preserve">дов инструментального контроля </w:t>
      </w:r>
      <w:r w:rsidRPr="00C04ABD">
        <w:rPr>
          <w:rFonts w:ascii="Myriad Pro" w:hAnsi="Myriad Pro"/>
          <w:sz w:val="26"/>
          <w:szCs w:val="26"/>
        </w:rPr>
        <w:t xml:space="preserve">(планируется заключение договора с ЗАО </w:t>
      </w:r>
      <w:r w:rsidR="00655FFA" w:rsidRPr="00C04ABD">
        <w:rPr>
          <w:rFonts w:ascii="Myriad Pro" w:hAnsi="Myriad Pro"/>
          <w:sz w:val="26"/>
          <w:szCs w:val="26"/>
        </w:rPr>
        <w:t>«</w:t>
      </w:r>
      <w:r w:rsidRPr="00C04ABD">
        <w:rPr>
          <w:rFonts w:ascii="Myriad Pro" w:hAnsi="Myriad Pro"/>
          <w:sz w:val="26"/>
          <w:szCs w:val="26"/>
        </w:rPr>
        <w:t>Оптэн Лимитед</w:t>
      </w:r>
      <w:r w:rsidR="00655FFA" w:rsidRPr="00C04ABD">
        <w:rPr>
          <w:rFonts w:ascii="Myriad Pro" w:hAnsi="Myriad Pro"/>
          <w:sz w:val="26"/>
          <w:szCs w:val="26"/>
        </w:rPr>
        <w:t>»</w:t>
      </w:r>
      <w:r w:rsidRPr="00C04ABD">
        <w:rPr>
          <w:rFonts w:ascii="Myriad Pro" w:hAnsi="Myriad Pro"/>
          <w:sz w:val="26"/>
          <w:szCs w:val="26"/>
        </w:rPr>
        <w:t xml:space="preserve"> на сумму 6050 тыс. руб.).</w:t>
      </w:r>
    </w:p>
    <w:p w14:paraId="0DE3B70B" w14:textId="23F9AEB0" w:rsidR="00652DFE" w:rsidRPr="00C04ABD" w:rsidRDefault="000C23A0" w:rsidP="00A31747">
      <w:pPr>
        <w:tabs>
          <w:tab w:val="left" w:pos="1134"/>
        </w:tabs>
        <w:spacing w:after="0" w:line="360" w:lineRule="auto"/>
        <w:ind w:firstLine="567"/>
        <w:jc w:val="both"/>
        <w:rPr>
          <w:rFonts w:ascii="Myriad Pro" w:eastAsia="Calibri" w:hAnsi="Myriad Pro" w:cs="Times New Roman"/>
          <w:sz w:val="26"/>
          <w:szCs w:val="26"/>
        </w:rPr>
      </w:pPr>
      <w:r w:rsidRPr="00492B0F">
        <w:rPr>
          <w:rFonts w:ascii="Myriad Pro" w:eastAsia="Calibri" w:hAnsi="Myriad Pro" w:cs="Times New Roman"/>
          <w:sz w:val="26"/>
          <w:szCs w:val="26"/>
        </w:rPr>
        <w:t>Обоснования</w:t>
      </w:r>
      <w:r w:rsidRPr="00492B0F">
        <w:rPr>
          <w:rFonts w:ascii="Myriad Pro" w:hAnsi="Myriad Pro"/>
          <w:sz w:val="26"/>
          <w:szCs w:val="26"/>
        </w:rPr>
        <w:t xml:space="preserve"> необходимости заключения указанных договоров </w:t>
      </w:r>
      <w:r w:rsidR="009E5212" w:rsidRPr="00492B0F">
        <w:rPr>
          <w:rFonts w:ascii="Myriad Pro" w:hAnsi="Myriad Pro"/>
          <w:sz w:val="26"/>
          <w:szCs w:val="26"/>
        </w:rPr>
        <w:t>Филиалом не предоставлено</w:t>
      </w:r>
      <w:r w:rsidRPr="00492B0F">
        <w:rPr>
          <w:rFonts w:ascii="Myriad Pro" w:hAnsi="Myriad Pro"/>
          <w:sz w:val="26"/>
          <w:szCs w:val="26"/>
        </w:rPr>
        <w:t>, отсутствуют ссылки на нормативно-правовые акты, в силу которых существует необходимость заключения указанных договоров.</w:t>
      </w:r>
      <w:r w:rsidR="009E5212" w:rsidRPr="00C04ABD">
        <w:rPr>
          <w:rFonts w:ascii="Myriad Pro" w:hAnsi="Myriad Pro"/>
          <w:sz w:val="26"/>
          <w:szCs w:val="26"/>
        </w:rPr>
        <w:t xml:space="preserve"> </w:t>
      </w:r>
      <w:r w:rsidR="009E5212" w:rsidRPr="00C04ABD">
        <w:rPr>
          <w:rFonts w:ascii="Myriad Pro" w:eastAsia="Calibri" w:hAnsi="Myriad Pro" w:cs="Times New Roman"/>
          <w:sz w:val="26"/>
          <w:szCs w:val="26"/>
        </w:rPr>
        <w:t>Например,</w:t>
      </w:r>
      <w:r w:rsidR="009377DA" w:rsidRPr="00C04ABD">
        <w:rPr>
          <w:rFonts w:ascii="Myriad Pro" w:eastAsia="Calibri" w:hAnsi="Myriad Pro" w:cs="Times New Roman"/>
          <w:sz w:val="26"/>
          <w:szCs w:val="26"/>
        </w:rPr>
        <w:t xml:space="preserve"> в чем необходимость заключения договора с ЗАО </w:t>
      </w:r>
      <w:r w:rsidR="00655FFA" w:rsidRPr="00C04ABD">
        <w:rPr>
          <w:rFonts w:ascii="Myriad Pro" w:eastAsia="Calibri" w:hAnsi="Myriad Pro" w:cs="Times New Roman"/>
          <w:sz w:val="26"/>
          <w:szCs w:val="26"/>
        </w:rPr>
        <w:t>«</w:t>
      </w:r>
      <w:r w:rsidR="009377DA" w:rsidRPr="00C04ABD">
        <w:rPr>
          <w:rFonts w:ascii="Myriad Pro" w:eastAsia="Calibri" w:hAnsi="Myriad Pro" w:cs="Times New Roman"/>
          <w:sz w:val="26"/>
          <w:szCs w:val="26"/>
        </w:rPr>
        <w:t>Оптэн Лимитед</w:t>
      </w:r>
      <w:r w:rsidR="00655FFA" w:rsidRPr="00C04ABD">
        <w:rPr>
          <w:rFonts w:ascii="Myriad Pro" w:eastAsia="Calibri" w:hAnsi="Myriad Pro" w:cs="Times New Roman"/>
          <w:sz w:val="26"/>
          <w:szCs w:val="26"/>
        </w:rPr>
        <w:t>»</w:t>
      </w:r>
      <w:r w:rsidR="009A3277" w:rsidRPr="00C04ABD">
        <w:rPr>
          <w:rFonts w:ascii="Myriad Pro" w:eastAsia="Calibri" w:hAnsi="Myriad Pro" w:cs="Times New Roman"/>
          <w:sz w:val="26"/>
          <w:szCs w:val="26"/>
        </w:rPr>
        <w:t xml:space="preserve"> при существующем договоре (без уменьшения суммы договора), заключенным с АО </w:t>
      </w:r>
      <w:r w:rsidR="00655FFA" w:rsidRPr="00C04ABD">
        <w:rPr>
          <w:rFonts w:ascii="Myriad Pro" w:eastAsia="Calibri" w:hAnsi="Myriad Pro" w:cs="Times New Roman"/>
          <w:sz w:val="26"/>
          <w:szCs w:val="26"/>
        </w:rPr>
        <w:t>«</w:t>
      </w:r>
      <w:r w:rsidR="009A3277" w:rsidRPr="00C04ABD">
        <w:rPr>
          <w:rFonts w:ascii="Myriad Pro" w:eastAsia="Calibri" w:hAnsi="Myriad Pro" w:cs="Times New Roman"/>
          <w:sz w:val="26"/>
          <w:szCs w:val="26"/>
        </w:rPr>
        <w:t>Вологодское авиац</w:t>
      </w:r>
      <w:r w:rsidR="00D076DA" w:rsidRPr="00C04ABD">
        <w:rPr>
          <w:rFonts w:ascii="Myriad Pro" w:eastAsia="Calibri" w:hAnsi="Myriad Pro" w:cs="Times New Roman"/>
          <w:sz w:val="26"/>
          <w:szCs w:val="26"/>
        </w:rPr>
        <w:t>ионное предприятие</w:t>
      </w:r>
      <w:r w:rsidR="00655FFA" w:rsidRPr="00C04ABD">
        <w:rPr>
          <w:rFonts w:ascii="Myriad Pro" w:eastAsia="Calibri" w:hAnsi="Myriad Pro" w:cs="Times New Roman"/>
          <w:sz w:val="26"/>
          <w:szCs w:val="26"/>
        </w:rPr>
        <w:t>»</w:t>
      </w:r>
      <w:r w:rsidR="009A3277" w:rsidRPr="00C04ABD">
        <w:rPr>
          <w:rFonts w:ascii="Myriad Pro" w:eastAsia="Calibri" w:hAnsi="Myriad Pro" w:cs="Times New Roman"/>
          <w:sz w:val="26"/>
          <w:szCs w:val="26"/>
        </w:rPr>
        <w:t>.</w:t>
      </w:r>
    </w:p>
    <w:p w14:paraId="6FF28A2C" w14:textId="6A715ADF" w:rsidR="00322A54" w:rsidRPr="00C04ABD" w:rsidRDefault="00322A54" w:rsidP="00A31747">
      <w:pPr>
        <w:tabs>
          <w:tab w:val="left" w:pos="1134"/>
        </w:tabs>
        <w:spacing w:after="0" w:line="360" w:lineRule="auto"/>
        <w:ind w:firstLine="567"/>
        <w:jc w:val="both"/>
        <w:rPr>
          <w:rFonts w:ascii="Myriad Pro" w:eastAsia="Calibri" w:hAnsi="Myriad Pro" w:cs="Times New Roman"/>
          <w:sz w:val="26"/>
          <w:szCs w:val="26"/>
        </w:rPr>
      </w:pPr>
      <w:r w:rsidRPr="00C04ABD">
        <w:rPr>
          <w:rFonts w:ascii="Myriad Pro" w:eastAsia="Calibri" w:hAnsi="Myriad Pro" w:cs="Times New Roman"/>
          <w:sz w:val="26"/>
          <w:szCs w:val="26"/>
        </w:rPr>
        <w:t xml:space="preserve">В соответствии со статьей 15 федерального закона от 23.11.2009 N 261-ФЗ </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Об энергосбережении и о повышении энергетической эффективности и о внесении изменений в отдельные законодательные акты Российской Федерации</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 xml:space="preserve"> энергетические обследования проводится в добровольном порядке. </w:t>
      </w:r>
      <w:bookmarkStart w:id="35" w:name="dst100189"/>
      <w:bookmarkStart w:id="36" w:name="dst100190"/>
      <w:bookmarkStart w:id="37" w:name="dst100191"/>
      <w:bookmarkStart w:id="38" w:name="dst45"/>
      <w:bookmarkEnd w:id="35"/>
      <w:bookmarkEnd w:id="36"/>
      <w:bookmarkEnd w:id="37"/>
      <w:bookmarkEnd w:id="38"/>
      <w:r w:rsidR="00A109EF" w:rsidRPr="00C04ABD">
        <w:rPr>
          <w:rFonts w:ascii="Myriad Pro" w:eastAsia="Calibri" w:hAnsi="Myriad Pro" w:cs="Times New Roman"/>
          <w:sz w:val="26"/>
          <w:szCs w:val="26"/>
        </w:rPr>
        <w:t xml:space="preserve">Срок проведения энергетических обследований – 1 раз в пять лет. В программе в области энергосбережения и повышения энергетической эффективности филиала </w:t>
      </w:r>
      <w:r w:rsidR="00A109EF" w:rsidRPr="00C04ABD">
        <w:rPr>
          <w:rFonts w:ascii="Myriad Pro" w:hAnsi="Myriad Pro"/>
          <w:sz w:val="26"/>
          <w:szCs w:val="26"/>
        </w:rPr>
        <w:t xml:space="preserve">ПАО </w:t>
      </w:r>
      <w:r w:rsidR="00655FFA" w:rsidRPr="00C04ABD">
        <w:rPr>
          <w:rFonts w:ascii="Myriad Pro" w:hAnsi="Myriad Pro"/>
          <w:sz w:val="26"/>
          <w:szCs w:val="26"/>
        </w:rPr>
        <w:t>«</w:t>
      </w:r>
      <w:r w:rsidR="00A109EF" w:rsidRPr="00C04ABD">
        <w:rPr>
          <w:rFonts w:ascii="Myriad Pro" w:hAnsi="Myriad Pro"/>
          <w:sz w:val="26"/>
          <w:szCs w:val="26"/>
        </w:rPr>
        <w:t xml:space="preserve">МРСК </w:t>
      </w:r>
      <w:r w:rsidR="0025782C" w:rsidRPr="00C04ABD">
        <w:rPr>
          <w:rFonts w:ascii="Myriad Pro" w:hAnsi="Myriad Pro"/>
          <w:sz w:val="26"/>
          <w:szCs w:val="26"/>
        </w:rPr>
        <w:t>Северо-Запада</w:t>
      </w:r>
      <w:r w:rsidR="00655FFA" w:rsidRPr="00C04ABD">
        <w:rPr>
          <w:rFonts w:ascii="Myriad Pro" w:hAnsi="Myriad Pro"/>
          <w:sz w:val="26"/>
          <w:szCs w:val="26"/>
        </w:rPr>
        <w:t>»</w:t>
      </w:r>
      <w:r w:rsidR="00A109EF" w:rsidRPr="00C04ABD">
        <w:rPr>
          <w:rFonts w:ascii="Myriad Pro" w:hAnsi="Myriad Pro"/>
          <w:sz w:val="26"/>
          <w:szCs w:val="26"/>
        </w:rPr>
        <w:t xml:space="preserve"> </w:t>
      </w:r>
      <w:r w:rsidR="00655FFA" w:rsidRPr="00C04ABD">
        <w:rPr>
          <w:rFonts w:ascii="Myriad Pro" w:hAnsi="Myriad Pro"/>
          <w:sz w:val="26"/>
          <w:szCs w:val="26"/>
        </w:rPr>
        <w:t>«</w:t>
      </w:r>
      <w:r w:rsidR="00A109EF" w:rsidRPr="00C04ABD">
        <w:rPr>
          <w:rFonts w:ascii="Myriad Pro" w:hAnsi="Myriad Pro"/>
          <w:sz w:val="26"/>
          <w:szCs w:val="26"/>
        </w:rPr>
        <w:t>Колэнерго</w:t>
      </w:r>
      <w:r w:rsidR="00655FFA" w:rsidRPr="00C04ABD">
        <w:rPr>
          <w:rFonts w:ascii="Myriad Pro" w:hAnsi="Myriad Pro"/>
          <w:sz w:val="26"/>
          <w:szCs w:val="26"/>
        </w:rPr>
        <w:t>»</w:t>
      </w:r>
      <w:r w:rsidR="00A109EF" w:rsidRPr="00C04ABD">
        <w:rPr>
          <w:rFonts w:ascii="Myriad Pro" w:hAnsi="Myriad Pro"/>
          <w:sz w:val="26"/>
          <w:szCs w:val="26"/>
        </w:rPr>
        <w:t xml:space="preserve"> указано, что энергетическое обследование выполнено в 2012 году. </w:t>
      </w:r>
      <w:r w:rsidR="00375FAD" w:rsidRPr="00C04ABD">
        <w:rPr>
          <w:rFonts w:ascii="Myriad Pro" w:hAnsi="Myriad Pro"/>
          <w:sz w:val="26"/>
          <w:szCs w:val="26"/>
        </w:rPr>
        <w:t>Экспертное</w:t>
      </w:r>
      <w:r w:rsidR="00A109EF" w:rsidRPr="00C04ABD">
        <w:rPr>
          <w:rFonts w:ascii="Myriad Pro" w:hAnsi="Myriad Pro"/>
          <w:sz w:val="26"/>
          <w:szCs w:val="26"/>
        </w:rPr>
        <w:t xml:space="preserve"> заключение на энергетический паспорт </w:t>
      </w:r>
      <w:r w:rsidR="0025782C" w:rsidRPr="00C04ABD">
        <w:rPr>
          <w:rFonts w:ascii="Myriad Pro" w:hAnsi="Myriad Pro"/>
          <w:sz w:val="26"/>
          <w:szCs w:val="26"/>
        </w:rPr>
        <w:t>ПАО «МРСК</w:t>
      </w:r>
      <w:r w:rsidR="00A109EF" w:rsidRPr="00C04ABD">
        <w:rPr>
          <w:rFonts w:ascii="Myriad Pro" w:hAnsi="Myriad Pro"/>
          <w:sz w:val="26"/>
          <w:szCs w:val="26"/>
        </w:rPr>
        <w:t xml:space="preserve"> Северо-Запада</w:t>
      </w:r>
      <w:r w:rsidR="00655FFA" w:rsidRPr="00C04ABD">
        <w:rPr>
          <w:rFonts w:ascii="Myriad Pro" w:hAnsi="Myriad Pro"/>
          <w:sz w:val="26"/>
          <w:szCs w:val="26"/>
        </w:rPr>
        <w:t>»</w:t>
      </w:r>
      <w:r w:rsidR="00A109EF" w:rsidRPr="00C04ABD">
        <w:rPr>
          <w:rFonts w:ascii="Myriad Pro" w:hAnsi="Myriad Pro"/>
          <w:sz w:val="26"/>
          <w:szCs w:val="26"/>
        </w:rPr>
        <w:t xml:space="preserve"> от 26.12.2012 г. №12-02/01. Приказом ПАО</w:t>
      </w:r>
      <w:r w:rsidR="00996030" w:rsidRPr="00C04ABD">
        <w:rPr>
          <w:rFonts w:ascii="Myriad Pro" w:hAnsi="Myriad Pro"/>
          <w:sz w:val="26"/>
          <w:szCs w:val="26"/>
        </w:rPr>
        <w:t> </w:t>
      </w:r>
      <w:r w:rsidR="00655FFA" w:rsidRPr="00C04ABD">
        <w:rPr>
          <w:rFonts w:ascii="Myriad Pro" w:hAnsi="Myriad Pro"/>
          <w:sz w:val="26"/>
          <w:szCs w:val="26"/>
        </w:rPr>
        <w:t>«</w:t>
      </w:r>
      <w:r w:rsidR="00A109EF" w:rsidRPr="00C04ABD">
        <w:rPr>
          <w:rFonts w:ascii="Myriad Pro" w:hAnsi="Myriad Pro"/>
          <w:sz w:val="26"/>
          <w:szCs w:val="26"/>
        </w:rPr>
        <w:t>МРСК Северо-Запада</w:t>
      </w:r>
      <w:r w:rsidR="00655FFA" w:rsidRPr="00C04ABD">
        <w:rPr>
          <w:rFonts w:ascii="Myriad Pro" w:hAnsi="Myriad Pro"/>
          <w:sz w:val="26"/>
          <w:szCs w:val="26"/>
        </w:rPr>
        <w:t>»</w:t>
      </w:r>
      <w:r w:rsidR="00A109EF" w:rsidRPr="00C04ABD">
        <w:rPr>
          <w:rFonts w:ascii="Myriad Pro" w:hAnsi="Myriad Pro"/>
          <w:sz w:val="26"/>
          <w:szCs w:val="26"/>
        </w:rPr>
        <w:t xml:space="preserve"> от 10.01.2018 №4 энергетическое обследование проводиться в 2018 году (на исполнении). </w:t>
      </w:r>
      <w:r w:rsidR="004F1F9B" w:rsidRPr="00C04ABD">
        <w:rPr>
          <w:rFonts w:ascii="Myriad Pro" w:hAnsi="Myriad Pro"/>
          <w:sz w:val="26"/>
          <w:szCs w:val="26"/>
        </w:rPr>
        <w:t>Таким образом, проведение энергетического обследования в 2019 году не обоснованно</w:t>
      </w:r>
      <w:r w:rsidR="00A109EF" w:rsidRPr="00C04ABD">
        <w:rPr>
          <w:rFonts w:ascii="Myriad Pro" w:hAnsi="Myriad Pro"/>
          <w:sz w:val="26"/>
          <w:szCs w:val="26"/>
        </w:rPr>
        <w:t xml:space="preserve">. В связи с тем, что указанные расходы входят в состав базового уровня операционных расходов </w:t>
      </w:r>
      <w:r w:rsidR="004F1F9B" w:rsidRPr="00C04ABD">
        <w:rPr>
          <w:rFonts w:ascii="Myriad Pro" w:hAnsi="Myriad Pro"/>
          <w:sz w:val="26"/>
          <w:szCs w:val="26"/>
        </w:rPr>
        <w:t xml:space="preserve">и </w:t>
      </w:r>
      <w:r w:rsidR="004F1F9B" w:rsidRPr="00C04ABD">
        <w:rPr>
          <w:rFonts w:ascii="Myriad Pro" w:hAnsi="Myriad Pro"/>
          <w:sz w:val="26"/>
          <w:szCs w:val="26"/>
        </w:rPr>
        <w:lastRenderedPageBreak/>
        <w:t xml:space="preserve">утверждаются на 5 лет Филиалу необходимо включать расходы как среднее за пять лет.  </w:t>
      </w:r>
    </w:p>
    <w:p w14:paraId="4985873F" w14:textId="697ED306" w:rsidR="009E5212" w:rsidRPr="00C04ABD" w:rsidRDefault="009E5212"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 xml:space="preserve">В этой связи Исполнитель считает плановые расходы на сумму 53 402,39 тыс. руб. </w:t>
      </w:r>
      <w:r w:rsidR="00413465" w:rsidRPr="00C04ABD">
        <w:rPr>
          <w:rFonts w:ascii="Myriad Pro" w:eastAsia="Calibri" w:hAnsi="Myriad Pro" w:cs="Times New Roman"/>
          <w:sz w:val="26"/>
          <w:szCs w:val="26"/>
        </w:rPr>
        <w:t>недостаточно документально обоснованными.</w:t>
      </w:r>
    </w:p>
    <w:p w14:paraId="22A25188" w14:textId="236B1453" w:rsidR="009E5212" w:rsidRPr="00C04ABD" w:rsidRDefault="009E5212"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 xml:space="preserve">По мнению Исполнителя, экономически обоснованная сумма расходов по статье </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Работы и услуги производственного характер</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 xml:space="preserve"> в части прочих услуг производственного характера на 2019 год 12 254,8 тыс. руб.</w:t>
      </w:r>
      <w:r w:rsidR="004C277A" w:rsidRPr="00C04ABD">
        <w:rPr>
          <w:rFonts w:ascii="Myriad Pro" w:eastAsia="Calibri" w:hAnsi="Myriad Pro" w:cs="Times New Roman"/>
          <w:sz w:val="26"/>
          <w:szCs w:val="26"/>
        </w:rPr>
        <w:t xml:space="preserve"> </w:t>
      </w:r>
    </w:p>
    <w:p w14:paraId="7019F570" w14:textId="7788A882" w:rsidR="009377DA" w:rsidRPr="00C04ABD" w:rsidRDefault="009E5212" w:rsidP="00B02543">
      <w:pPr>
        <w:pStyle w:val="afff4"/>
        <w:rPr>
          <w:lang w:val="ru-RU"/>
        </w:rPr>
      </w:pPr>
      <w:r w:rsidRPr="00C04ABD">
        <w:rPr>
          <w:lang w:val="ru-RU"/>
        </w:rPr>
        <w:t xml:space="preserve">Общая сумма расходов по статье </w:t>
      </w:r>
      <w:r w:rsidR="00655FFA" w:rsidRPr="00C04ABD">
        <w:rPr>
          <w:lang w:val="ru-RU"/>
        </w:rPr>
        <w:t>«</w:t>
      </w:r>
      <w:r w:rsidRPr="00C04ABD">
        <w:rPr>
          <w:lang w:val="ru-RU"/>
        </w:rPr>
        <w:t>Работы и услуги производственного характер</w:t>
      </w:r>
      <w:r w:rsidR="00655FFA" w:rsidRPr="00C04ABD">
        <w:rPr>
          <w:lang w:val="ru-RU"/>
        </w:rPr>
        <w:t>»</w:t>
      </w:r>
      <w:r w:rsidRPr="00C04ABD">
        <w:rPr>
          <w:lang w:val="ru-RU"/>
        </w:rPr>
        <w:t xml:space="preserve"> на 2019 </w:t>
      </w:r>
      <w:r w:rsidR="00645F92" w:rsidRPr="00C04ABD">
        <w:rPr>
          <w:lang w:val="ru-RU"/>
        </w:rPr>
        <w:t>год Исполнителем</w:t>
      </w:r>
      <w:r w:rsidR="009A4114" w:rsidRPr="00C04ABD">
        <w:rPr>
          <w:lang w:val="ru-RU"/>
        </w:rPr>
        <w:t xml:space="preserve"> рассчитаны на сумму 89 422,2</w:t>
      </w:r>
      <w:r w:rsidRPr="00C04ABD">
        <w:rPr>
          <w:lang w:val="ru-RU"/>
        </w:rPr>
        <w:t xml:space="preserve"> тыс. руб. </w:t>
      </w:r>
      <w:r w:rsidR="00645F92" w:rsidRPr="00C04ABD">
        <w:rPr>
          <w:lang w:val="ru-RU"/>
        </w:rPr>
        <w:t>(без учета услуги подрядчиков по ремонту</w:t>
      </w:r>
      <w:r w:rsidR="00FE6D0B" w:rsidRPr="00C04ABD">
        <w:rPr>
          <w:lang w:val="ru-RU"/>
        </w:rPr>
        <w:t xml:space="preserve">), </w:t>
      </w:r>
      <w:r w:rsidR="009A4114" w:rsidRPr="00C04ABD">
        <w:rPr>
          <w:lang w:val="ru-RU"/>
        </w:rPr>
        <w:t>что выше на 4 895,4</w:t>
      </w:r>
      <w:r w:rsidR="00FE6D0B" w:rsidRPr="00C04ABD">
        <w:rPr>
          <w:lang w:val="ru-RU"/>
        </w:rPr>
        <w:t xml:space="preserve"> тыс. руб. утвержденного (ЭОУ) Комитетом и ниже на 66 283,9 тыс. руб.</w:t>
      </w:r>
      <w:r w:rsidR="00B02543" w:rsidRPr="00C04ABD">
        <w:rPr>
          <w:lang w:val="ru-RU"/>
        </w:rPr>
        <w:t>,</w:t>
      </w:r>
      <w:r w:rsidR="00FE6D0B" w:rsidRPr="00C04ABD">
        <w:rPr>
          <w:lang w:val="ru-RU"/>
        </w:rPr>
        <w:t xml:space="preserve"> заявленного </w:t>
      </w:r>
      <w:r w:rsidR="00B02543" w:rsidRPr="00C04ABD">
        <w:rPr>
          <w:lang w:val="ru-RU"/>
        </w:rPr>
        <w:t xml:space="preserve">филиалом ПАО «МРСК </w:t>
      </w:r>
      <w:r w:rsidR="0025782C" w:rsidRPr="00C04ABD">
        <w:rPr>
          <w:lang w:val="ru-RU"/>
        </w:rPr>
        <w:t>Северо-Запада</w:t>
      </w:r>
      <w:r w:rsidR="00B02543" w:rsidRPr="00C04ABD">
        <w:rPr>
          <w:lang w:val="ru-RU"/>
        </w:rPr>
        <w:t>» «Колэнерго»</w:t>
      </w:r>
      <w:r w:rsidR="00FE6D0B" w:rsidRPr="00C04ABD">
        <w:rPr>
          <w:lang w:val="ru-RU"/>
        </w:rPr>
        <w:t>.</w:t>
      </w:r>
    </w:p>
    <w:tbl>
      <w:tblPr>
        <w:tblStyle w:val="afff6"/>
        <w:tblW w:w="5000" w:type="pct"/>
        <w:tblLayout w:type="fixed"/>
        <w:tblLook w:val="04A0" w:firstRow="1" w:lastRow="0" w:firstColumn="1" w:lastColumn="0" w:noHBand="0" w:noVBand="1"/>
      </w:tblPr>
      <w:tblGrid>
        <w:gridCol w:w="1806"/>
        <w:gridCol w:w="1366"/>
        <w:gridCol w:w="1516"/>
        <w:gridCol w:w="1516"/>
        <w:gridCol w:w="1570"/>
        <w:gridCol w:w="1570"/>
      </w:tblGrid>
      <w:tr w:rsidR="00381A50" w:rsidRPr="00FB0A3A" w14:paraId="2D6DBD2F" w14:textId="77777777" w:rsidTr="009071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6E589ADA" w14:textId="77777777" w:rsidR="00652DFE" w:rsidRPr="00FB0A3A" w:rsidRDefault="00652DFE" w:rsidP="00B02543">
            <w:pPr>
              <w:tabs>
                <w:tab w:val="left" w:pos="1134"/>
              </w:tabs>
              <w:jc w:val="center"/>
              <w:rPr>
                <w:rFonts w:eastAsia="Calibri" w:cs="Times New Roman"/>
                <w:szCs w:val="18"/>
              </w:rPr>
            </w:pPr>
            <w:r w:rsidRPr="00FB0A3A">
              <w:rPr>
                <w:rFonts w:eastAsia="Calibri" w:cs="Times New Roman"/>
                <w:szCs w:val="18"/>
              </w:rPr>
              <w:t> Наименование статьи</w:t>
            </w:r>
          </w:p>
        </w:tc>
        <w:tc>
          <w:tcPr>
            <w:tcW w:w="1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58399F7F" w14:textId="77777777" w:rsidR="00652DFE" w:rsidRPr="00FB0A3A" w:rsidRDefault="00652DFE" w:rsidP="00B02543">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Заявлено Филиалом</w:t>
            </w:r>
          </w:p>
        </w:tc>
        <w:tc>
          <w:tcPr>
            <w:tcW w:w="15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5A8A02E" w14:textId="77777777" w:rsidR="00652DFE" w:rsidRPr="00FB0A3A" w:rsidRDefault="00652DFE" w:rsidP="00B02543">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Рассчитано Комитетом (ЭОУ)</w:t>
            </w:r>
          </w:p>
        </w:tc>
        <w:tc>
          <w:tcPr>
            <w:tcW w:w="15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115E4C5" w14:textId="77777777" w:rsidR="00652DFE" w:rsidRPr="00FB0A3A" w:rsidRDefault="00652DFE" w:rsidP="00B02543">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Рассчитано Исполнителем (ЭОУ)</w:t>
            </w:r>
          </w:p>
        </w:tc>
        <w:tc>
          <w:tcPr>
            <w:tcW w:w="15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FF62E29" w14:textId="257CD6E7" w:rsidR="00652DFE" w:rsidRPr="00FB0A3A" w:rsidRDefault="00652DFE" w:rsidP="00B02543">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Отклонение  между Испо</w:t>
            </w:r>
            <w:r w:rsidR="00381A50" w:rsidRPr="00FB0A3A">
              <w:rPr>
                <w:rFonts w:eastAsia="Calibri" w:cs="Times New Roman"/>
                <w:szCs w:val="18"/>
              </w:rPr>
              <w:t>л</w:t>
            </w:r>
            <w:r w:rsidRPr="00FB0A3A">
              <w:rPr>
                <w:rFonts w:eastAsia="Calibri" w:cs="Times New Roman"/>
                <w:szCs w:val="18"/>
              </w:rPr>
              <w:t>нителем и Комитетом</w:t>
            </w:r>
          </w:p>
        </w:tc>
        <w:tc>
          <w:tcPr>
            <w:tcW w:w="15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255B783" w14:textId="77777777" w:rsidR="00652DFE" w:rsidRPr="00FB0A3A" w:rsidRDefault="00652DFE" w:rsidP="00B02543">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Отклонение  между Исполнителем и Филиалом</w:t>
            </w:r>
          </w:p>
        </w:tc>
      </w:tr>
      <w:tr w:rsidR="00381A50" w:rsidRPr="00FB0A3A" w14:paraId="27DB8175" w14:textId="77777777" w:rsidTr="00907125">
        <w:tc>
          <w:tcPr>
            <w:cnfStyle w:val="001000000000" w:firstRow="0" w:lastRow="0" w:firstColumn="1" w:lastColumn="0" w:oddVBand="0" w:evenVBand="0" w:oddHBand="0" w:evenHBand="0" w:firstRowFirstColumn="0" w:firstRowLastColumn="0" w:lastRowFirstColumn="0" w:lastRowLastColumn="0"/>
            <w:tcW w:w="1834" w:type="dxa"/>
            <w:tcBorders>
              <w:top w:val="single" w:sz="4" w:space="0" w:color="FFFFFF" w:themeColor="background1"/>
            </w:tcBorders>
            <w:hideMark/>
          </w:tcPr>
          <w:p w14:paraId="65FF8E70" w14:textId="77777777" w:rsidR="00652DFE" w:rsidRPr="00FB0A3A" w:rsidRDefault="00652DFE" w:rsidP="00B02543">
            <w:pPr>
              <w:tabs>
                <w:tab w:val="left" w:pos="1134"/>
              </w:tabs>
              <w:rPr>
                <w:rFonts w:eastAsia="Calibri" w:cs="Times New Roman"/>
                <w:szCs w:val="18"/>
              </w:rPr>
            </w:pPr>
            <w:r w:rsidRPr="00FB0A3A">
              <w:rPr>
                <w:rFonts w:eastAsia="Calibri" w:cs="Times New Roman"/>
                <w:szCs w:val="18"/>
              </w:rPr>
              <w:t xml:space="preserve">Работы и услуги производственного характера, из них </w:t>
            </w:r>
          </w:p>
        </w:tc>
        <w:tc>
          <w:tcPr>
            <w:tcW w:w="1386" w:type="dxa"/>
            <w:tcBorders>
              <w:top w:val="single" w:sz="4" w:space="0" w:color="FFFFFF" w:themeColor="background1"/>
            </w:tcBorders>
            <w:hideMark/>
          </w:tcPr>
          <w:p w14:paraId="180851C8" w14:textId="1B39CAB5" w:rsidR="00652DFE" w:rsidRPr="00FB0A3A" w:rsidRDefault="000E41EE" w:rsidP="00B0254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155 706,0</w:t>
            </w:r>
          </w:p>
        </w:tc>
        <w:tc>
          <w:tcPr>
            <w:tcW w:w="1539" w:type="dxa"/>
            <w:tcBorders>
              <w:top w:val="single" w:sz="4" w:space="0" w:color="FFFFFF" w:themeColor="background1"/>
            </w:tcBorders>
            <w:hideMark/>
          </w:tcPr>
          <w:p w14:paraId="12361923" w14:textId="77777777" w:rsidR="00652DFE" w:rsidRPr="00FB0A3A" w:rsidRDefault="00652DFE" w:rsidP="00B0254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84 526,63</w:t>
            </w:r>
          </w:p>
        </w:tc>
        <w:tc>
          <w:tcPr>
            <w:tcW w:w="1539" w:type="dxa"/>
            <w:tcBorders>
              <w:top w:val="single" w:sz="4" w:space="0" w:color="FFFFFF" w:themeColor="background1"/>
            </w:tcBorders>
            <w:hideMark/>
          </w:tcPr>
          <w:p w14:paraId="406EFF06" w14:textId="77777777" w:rsidR="00652DFE" w:rsidRPr="00FB0A3A" w:rsidRDefault="00652DFE" w:rsidP="00B0254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89 422,07</w:t>
            </w:r>
          </w:p>
        </w:tc>
        <w:tc>
          <w:tcPr>
            <w:tcW w:w="1594" w:type="dxa"/>
            <w:tcBorders>
              <w:top w:val="single" w:sz="4" w:space="0" w:color="FFFFFF" w:themeColor="background1"/>
            </w:tcBorders>
            <w:hideMark/>
          </w:tcPr>
          <w:p w14:paraId="7D3A6291" w14:textId="77777777" w:rsidR="00652DFE" w:rsidRPr="00FB0A3A" w:rsidRDefault="00652DFE" w:rsidP="00B0254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4 895,44</w:t>
            </w:r>
          </w:p>
        </w:tc>
        <w:tc>
          <w:tcPr>
            <w:tcW w:w="1594" w:type="dxa"/>
            <w:tcBorders>
              <w:top w:val="single" w:sz="4" w:space="0" w:color="FFFFFF" w:themeColor="background1"/>
            </w:tcBorders>
            <w:hideMark/>
          </w:tcPr>
          <w:p w14:paraId="43E44944" w14:textId="77777777" w:rsidR="00652DFE" w:rsidRPr="00FB0A3A" w:rsidRDefault="00652DFE" w:rsidP="00B0254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-66 283,93</w:t>
            </w:r>
          </w:p>
        </w:tc>
      </w:tr>
      <w:tr w:rsidR="00381A50" w:rsidRPr="00FB0A3A" w14:paraId="493BDB44" w14:textId="77777777" w:rsidTr="00B02543">
        <w:tc>
          <w:tcPr>
            <w:cnfStyle w:val="001000000000" w:firstRow="0" w:lastRow="0" w:firstColumn="1" w:lastColumn="0" w:oddVBand="0" w:evenVBand="0" w:oddHBand="0" w:evenHBand="0" w:firstRowFirstColumn="0" w:firstRowLastColumn="0" w:lastRowFirstColumn="0" w:lastRowLastColumn="0"/>
            <w:tcW w:w="1834" w:type="dxa"/>
            <w:hideMark/>
          </w:tcPr>
          <w:p w14:paraId="2B02317C" w14:textId="77777777" w:rsidR="00652DFE" w:rsidRPr="00FB0A3A" w:rsidRDefault="00652DFE" w:rsidP="00B02543">
            <w:pPr>
              <w:tabs>
                <w:tab w:val="left" w:pos="1134"/>
              </w:tabs>
              <w:rPr>
                <w:rFonts w:eastAsia="Calibri" w:cs="Times New Roman"/>
                <w:szCs w:val="18"/>
              </w:rPr>
            </w:pPr>
            <w:r w:rsidRPr="00FB0A3A">
              <w:rPr>
                <w:rFonts w:eastAsia="Calibri" w:cs="Times New Roman"/>
                <w:szCs w:val="18"/>
              </w:rPr>
              <w:t>Услуги подрядчиков по обслуживанию</w:t>
            </w:r>
          </w:p>
        </w:tc>
        <w:tc>
          <w:tcPr>
            <w:tcW w:w="1386" w:type="dxa"/>
            <w:hideMark/>
          </w:tcPr>
          <w:p w14:paraId="0E311C92" w14:textId="77777777" w:rsidR="00652DFE" w:rsidRPr="00FB0A3A" w:rsidRDefault="00652DFE" w:rsidP="00B0254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74 932,00</w:t>
            </w:r>
          </w:p>
        </w:tc>
        <w:tc>
          <w:tcPr>
            <w:tcW w:w="1539" w:type="dxa"/>
            <w:hideMark/>
          </w:tcPr>
          <w:p w14:paraId="0D21BB33" w14:textId="77777777" w:rsidR="00652DFE" w:rsidRPr="00FB0A3A" w:rsidRDefault="00652DFE" w:rsidP="00B0254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55 234,15</w:t>
            </w:r>
          </w:p>
        </w:tc>
        <w:tc>
          <w:tcPr>
            <w:tcW w:w="1539" w:type="dxa"/>
            <w:hideMark/>
          </w:tcPr>
          <w:p w14:paraId="621742CE" w14:textId="77777777" w:rsidR="00652DFE" w:rsidRPr="00FB0A3A" w:rsidRDefault="00652DFE" w:rsidP="00B0254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57 422,03</w:t>
            </w:r>
          </w:p>
        </w:tc>
        <w:tc>
          <w:tcPr>
            <w:tcW w:w="1594" w:type="dxa"/>
            <w:hideMark/>
          </w:tcPr>
          <w:p w14:paraId="316ACA47" w14:textId="77777777" w:rsidR="00652DFE" w:rsidRPr="00FB0A3A" w:rsidRDefault="00652DFE" w:rsidP="00B0254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2 187,88</w:t>
            </w:r>
          </w:p>
        </w:tc>
        <w:tc>
          <w:tcPr>
            <w:tcW w:w="1594" w:type="dxa"/>
            <w:hideMark/>
          </w:tcPr>
          <w:p w14:paraId="68DEDFC8" w14:textId="77777777" w:rsidR="00652DFE" w:rsidRPr="00FB0A3A" w:rsidRDefault="00652DFE" w:rsidP="00B0254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-17 509,97</w:t>
            </w:r>
          </w:p>
        </w:tc>
      </w:tr>
      <w:tr w:rsidR="00381A50" w:rsidRPr="00FB0A3A" w14:paraId="6E849EFE" w14:textId="77777777" w:rsidTr="00B02543">
        <w:tc>
          <w:tcPr>
            <w:cnfStyle w:val="001000000000" w:firstRow="0" w:lastRow="0" w:firstColumn="1" w:lastColumn="0" w:oddVBand="0" w:evenVBand="0" w:oddHBand="0" w:evenHBand="0" w:firstRowFirstColumn="0" w:firstRowLastColumn="0" w:lastRowFirstColumn="0" w:lastRowLastColumn="0"/>
            <w:tcW w:w="1834" w:type="dxa"/>
            <w:hideMark/>
          </w:tcPr>
          <w:p w14:paraId="185790DA" w14:textId="77777777" w:rsidR="00652DFE" w:rsidRPr="00FB0A3A" w:rsidRDefault="00652DFE" w:rsidP="00B02543">
            <w:pPr>
              <w:tabs>
                <w:tab w:val="left" w:pos="1134"/>
              </w:tabs>
              <w:rPr>
                <w:rFonts w:eastAsia="Calibri" w:cs="Times New Roman"/>
                <w:szCs w:val="18"/>
              </w:rPr>
            </w:pPr>
            <w:r w:rsidRPr="00FB0A3A">
              <w:rPr>
                <w:rFonts w:eastAsia="Calibri" w:cs="Times New Roman"/>
                <w:szCs w:val="18"/>
              </w:rPr>
              <w:t>Транспортные услуги</w:t>
            </w:r>
          </w:p>
        </w:tc>
        <w:tc>
          <w:tcPr>
            <w:tcW w:w="1386" w:type="dxa"/>
            <w:hideMark/>
          </w:tcPr>
          <w:p w14:paraId="725CCA2B" w14:textId="77777777" w:rsidR="00652DFE" w:rsidRPr="00FB0A3A" w:rsidRDefault="00652DFE" w:rsidP="00B0254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18 026,00</w:t>
            </w:r>
          </w:p>
        </w:tc>
        <w:tc>
          <w:tcPr>
            <w:tcW w:w="1539" w:type="dxa"/>
            <w:hideMark/>
          </w:tcPr>
          <w:p w14:paraId="6CC4BEB1" w14:textId="77777777" w:rsidR="00652DFE" w:rsidRPr="00FB0A3A" w:rsidRDefault="00652DFE" w:rsidP="00B0254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11 135,34</w:t>
            </w:r>
          </w:p>
        </w:tc>
        <w:tc>
          <w:tcPr>
            <w:tcW w:w="1539" w:type="dxa"/>
            <w:hideMark/>
          </w:tcPr>
          <w:p w14:paraId="52D47BDE" w14:textId="77777777" w:rsidR="00652DFE" w:rsidRPr="00FB0A3A" w:rsidRDefault="00652DFE" w:rsidP="00B0254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11 568,55</w:t>
            </w:r>
          </w:p>
        </w:tc>
        <w:tc>
          <w:tcPr>
            <w:tcW w:w="1594" w:type="dxa"/>
            <w:hideMark/>
          </w:tcPr>
          <w:p w14:paraId="3CA0DF52" w14:textId="77777777" w:rsidR="00652DFE" w:rsidRPr="00FB0A3A" w:rsidRDefault="00652DFE" w:rsidP="00B0254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433,21</w:t>
            </w:r>
          </w:p>
        </w:tc>
        <w:tc>
          <w:tcPr>
            <w:tcW w:w="1594" w:type="dxa"/>
            <w:hideMark/>
          </w:tcPr>
          <w:p w14:paraId="02A4274E" w14:textId="77777777" w:rsidR="00652DFE" w:rsidRPr="00FB0A3A" w:rsidRDefault="00652DFE" w:rsidP="00B0254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-6 457,45</w:t>
            </w:r>
          </w:p>
        </w:tc>
      </w:tr>
      <w:tr w:rsidR="00381A50" w:rsidRPr="00FB0A3A" w14:paraId="01C5526A" w14:textId="77777777" w:rsidTr="00B02543">
        <w:tc>
          <w:tcPr>
            <w:cnfStyle w:val="001000000000" w:firstRow="0" w:lastRow="0" w:firstColumn="1" w:lastColumn="0" w:oddVBand="0" w:evenVBand="0" w:oddHBand="0" w:evenHBand="0" w:firstRowFirstColumn="0" w:firstRowLastColumn="0" w:lastRowFirstColumn="0" w:lastRowLastColumn="0"/>
            <w:tcW w:w="1834" w:type="dxa"/>
            <w:hideMark/>
          </w:tcPr>
          <w:p w14:paraId="70D4774D" w14:textId="77777777" w:rsidR="00652DFE" w:rsidRPr="00FB0A3A" w:rsidRDefault="00652DFE" w:rsidP="00B02543">
            <w:pPr>
              <w:tabs>
                <w:tab w:val="left" w:pos="1134"/>
              </w:tabs>
              <w:rPr>
                <w:rFonts w:eastAsia="Calibri" w:cs="Times New Roman"/>
                <w:szCs w:val="18"/>
              </w:rPr>
            </w:pPr>
            <w:r w:rsidRPr="00FB0A3A">
              <w:rPr>
                <w:rFonts w:eastAsia="Calibri" w:cs="Times New Roman"/>
                <w:szCs w:val="18"/>
              </w:rPr>
              <w:t>Услуги по испытанию и поверке приборов</w:t>
            </w:r>
          </w:p>
        </w:tc>
        <w:tc>
          <w:tcPr>
            <w:tcW w:w="1386" w:type="dxa"/>
            <w:hideMark/>
          </w:tcPr>
          <w:p w14:paraId="21F1ADA6" w14:textId="77777777" w:rsidR="00652DFE" w:rsidRPr="00FB0A3A" w:rsidRDefault="00652DFE" w:rsidP="00B0254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9 346,00</w:t>
            </w:r>
          </w:p>
        </w:tc>
        <w:tc>
          <w:tcPr>
            <w:tcW w:w="1539" w:type="dxa"/>
            <w:hideMark/>
          </w:tcPr>
          <w:p w14:paraId="4F9F89B4" w14:textId="77777777" w:rsidR="00652DFE" w:rsidRPr="00FB0A3A" w:rsidRDefault="00652DFE" w:rsidP="00B0254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5 792,55</w:t>
            </w:r>
          </w:p>
        </w:tc>
        <w:tc>
          <w:tcPr>
            <w:tcW w:w="1539" w:type="dxa"/>
            <w:hideMark/>
          </w:tcPr>
          <w:p w14:paraId="36729469" w14:textId="77777777" w:rsidR="00652DFE" w:rsidRPr="00FB0A3A" w:rsidRDefault="00652DFE" w:rsidP="00B0254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8 176,78</w:t>
            </w:r>
          </w:p>
        </w:tc>
        <w:tc>
          <w:tcPr>
            <w:tcW w:w="1594" w:type="dxa"/>
            <w:hideMark/>
          </w:tcPr>
          <w:p w14:paraId="64B447B3" w14:textId="77777777" w:rsidR="00652DFE" w:rsidRPr="00FB0A3A" w:rsidRDefault="00652DFE" w:rsidP="00B0254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2 384,23</w:t>
            </w:r>
          </w:p>
        </w:tc>
        <w:tc>
          <w:tcPr>
            <w:tcW w:w="1594" w:type="dxa"/>
            <w:hideMark/>
          </w:tcPr>
          <w:p w14:paraId="732F89C5" w14:textId="77777777" w:rsidR="00652DFE" w:rsidRPr="00FB0A3A" w:rsidRDefault="00652DFE" w:rsidP="00B0254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-1 169,22</w:t>
            </w:r>
          </w:p>
        </w:tc>
      </w:tr>
      <w:tr w:rsidR="00381A50" w:rsidRPr="00FB0A3A" w14:paraId="5B6FEE91" w14:textId="77777777" w:rsidTr="00B02543">
        <w:tc>
          <w:tcPr>
            <w:cnfStyle w:val="001000000000" w:firstRow="0" w:lastRow="0" w:firstColumn="1" w:lastColumn="0" w:oddVBand="0" w:evenVBand="0" w:oddHBand="0" w:evenHBand="0" w:firstRowFirstColumn="0" w:firstRowLastColumn="0" w:lastRowFirstColumn="0" w:lastRowLastColumn="0"/>
            <w:tcW w:w="1834" w:type="dxa"/>
            <w:hideMark/>
          </w:tcPr>
          <w:p w14:paraId="09F76C20" w14:textId="77777777" w:rsidR="00652DFE" w:rsidRPr="00FB0A3A" w:rsidRDefault="00652DFE" w:rsidP="00B02543">
            <w:pPr>
              <w:tabs>
                <w:tab w:val="left" w:pos="1134"/>
              </w:tabs>
              <w:rPr>
                <w:rFonts w:eastAsia="Calibri" w:cs="Times New Roman"/>
                <w:szCs w:val="18"/>
              </w:rPr>
            </w:pPr>
            <w:r w:rsidRPr="00FB0A3A">
              <w:rPr>
                <w:rFonts w:eastAsia="Calibri" w:cs="Times New Roman"/>
                <w:szCs w:val="18"/>
              </w:rPr>
              <w:t>Прочие услуги производственного характера</w:t>
            </w:r>
          </w:p>
        </w:tc>
        <w:tc>
          <w:tcPr>
            <w:tcW w:w="1386" w:type="dxa"/>
            <w:hideMark/>
          </w:tcPr>
          <w:p w14:paraId="73FBC344" w14:textId="77777777" w:rsidR="00652DFE" w:rsidRPr="00FB0A3A" w:rsidRDefault="00652DFE" w:rsidP="00B0254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53 402,00</w:t>
            </w:r>
          </w:p>
        </w:tc>
        <w:tc>
          <w:tcPr>
            <w:tcW w:w="1539" w:type="dxa"/>
            <w:hideMark/>
          </w:tcPr>
          <w:p w14:paraId="1C7F0F04" w14:textId="77777777" w:rsidR="00652DFE" w:rsidRPr="00FB0A3A" w:rsidRDefault="00652DFE" w:rsidP="00B0254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12 364,59</w:t>
            </w:r>
          </w:p>
        </w:tc>
        <w:tc>
          <w:tcPr>
            <w:tcW w:w="1539" w:type="dxa"/>
            <w:hideMark/>
          </w:tcPr>
          <w:p w14:paraId="516FD8CE" w14:textId="77777777" w:rsidR="00652DFE" w:rsidRPr="00FB0A3A" w:rsidRDefault="00652DFE" w:rsidP="00B0254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12 254,72</w:t>
            </w:r>
          </w:p>
        </w:tc>
        <w:tc>
          <w:tcPr>
            <w:tcW w:w="1594" w:type="dxa"/>
            <w:hideMark/>
          </w:tcPr>
          <w:p w14:paraId="4ADD3432" w14:textId="77777777" w:rsidR="00652DFE" w:rsidRPr="00FB0A3A" w:rsidRDefault="00652DFE" w:rsidP="00B0254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-109,87</w:t>
            </w:r>
          </w:p>
        </w:tc>
        <w:tc>
          <w:tcPr>
            <w:tcW w:w="1594" w:type="dxa"/>
            <w:hideMark/>
          </w:tcPr>
          <w:p w14:paraId="23284871" w14:textId="77777777" w:rsidR="00652DFE" w:rsidRPr="00FB0A3A" w:rsidRDefault="00652DFE" w:rsidP="00B0254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-41 147,28</w:t>
            </w:r>
          </w:p>
        </w:tc>
      </w:tr>
    </w:tbl>
    <w:p w14:paraId="48DD328C" w14:textId="45123200" w:rsidR="001101BD" w:rsidRPr="00C04ABD" w:rsidRDefault="001101BD" w:rsidP="00B02543">
      <w:pPr>
        <w:pStyle w:val="afff7"/>
      </w:pPr>
      <w:r w:rsidRPr="00C04ABD">
        <w:t xml:space="preserve">Исполнитель также считает необходимым рекомендовать филиалу </w:t>
      </w:r>
      <w:r w:rsidR="00655FFA" w:rsidRPr="00C04ABD">
        <w:t>ПАО</w:t>
      </w:r>
      <w:r w:rsidR="00996030" w:rsidRPr="00C04ABD">
        <w:t> </w:t>
      </w:r>
      <w:r w:rsidR="00655FFA" w:rsidRPr="00C04ABD">
        <w:t xml:space="preserve">«МРСК </w:t>
      </w:r>
      <w:r w:rsidRPr="00C04ABD">
        <w:t>Северо-Запада</w:t>
      </w:r>
      <w:r w:rsidR="00655FFA" w:rsidRPr="00C04ABD">
        <w:t>»</w:t>
      </w:r>
      <w:r w:rsidRPr="00C04ABD">
        <w:t xml:space="preserve"> </w:t>
      </w:r>
      <w:r w:rsidR="00655FFA" w:rsidRPr="00C04ABD">
        <w:t>«</w:t>
      </w:r>
      <w:r w:rsidRPr="00C04ABD">
        <w:t>Колэнерго</w:t>
      </w:r>
      <w:r w:rsidR="00655FFA" w:rsidRPr="00C04ABD">
        <w:t>»</w:t>
      </w:r>
      <w:r w:rsidRPr="00C04ABD">
        <w:t xml:space="preserve"> с целью обоснования заявляемых к принятию расходов предоставлять в составе материалов тарифной заявки:</w:t>
      </w:r>
    </w:p>
    <w:p w14:paraId="68E90571" w14:textId="77777777" w:rsidR="001101BD" w:rsidRPr="00C04ABD" w:rsidRDefault="001101BD" w:rsidP="009B0BC1">
      <w:pPr>
        <w:pStyle w:val="a4"/>
        <w:numPr>
          <w:ilvl w:val="0"/>
          <w:numId w:val="27"/>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Реестр актов выполненных работ и акты за истекший год, предшествующий первому (базовому) году долгосрочного периода регулирования;</w:t>
      </w:r>
    </w:p>
    <w:p w14:paraId="3EFF7A64" w14:textId="77777777" w:rsidR="001101BD" w:rsidRPr="00C04ABD" w:rsidRDefault="001101BD" w:rsidP="009B0BC1">
      <w:pPr>
        <w:pStyle w:val="a4"/>
        <w:numPr>
          <w:ilvl w:val="0"/>
          <w:numId w:val="27"/>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Дополнительные пояснения относительно значительного превышения плановых затрат над фактическими расходами;</w:t>
      </w:r>
    </w:p>
    <w:p w14:paraId="4DCAE69D" w14:textId="2C297E05" w:rsidR="00BA30AF" w:rsidRPr="00C04ABD" w:rsidRDefault="001101BD" w:rsidP="009B0BC1">
      <w:pPr>
        <w:pStyle w:val="a4"/>
        <w:numPr>
          <w:ilvl w:val="0"/>
          <w:numId w:val="27"/>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lastRenderedPageBreak/>
        <w:t>Обоснование необходимости заключения договоров</w:t>
      </w:r>
      <w:r w:rsidR="00775B63" w:rsidRPr="00C04ABD">
        <w:rPr>
          <w:rFonts w:ascii="Myriad Pro" w:hAnsi="Myriad Pro"/>
          <w:sz w:val="26"/>
          <w:szCs w:val="26"/>
        </w:rPr>
        <w:t xml:space="preserve"> с обоснованием потребности и экономической целесообразности расходов, нормативного обоснования необходимости осуществления расходов</w:t>
      </w:r>
      <w:r w:rsidR="00BA30AF" w:rsidRPr="00C04ABD">
        <w:rPr>
          <w:rFonts w:ascii="Myriad Pro" w:hAnsi="Myriad Pro"/>
          <w:sz w:val="26"/>
          <w:szCs w:val="26"/>
        </w:rPr>
        <w:t xml:space="preserve">, на работы и </w:t>
      </w:r>
      <w:r w:rsidR="00375FAD" w:rsidRPr="00C04ABD">
        <w:rPr>
          <w:rFonts w:ascii="Myriad Pro" w:hAnsi="Myriad Pro"/>
          <w:sz w:val="26"/>
          <w:szCs w:val="26"/>
        </w:rPr>
        <w:t>услуги,</w:t>
      </w:r>
      <w:r w:rsidR="00B02543" w:rsidRPr="00C04ABD">
        <w:rPr>
          <w:rFonts w:ascii="Myriad Pro" w:hAnsi="Myriad Pro"/>
          <w:sz w:val="26"/>
          <w:szCs w:val="26"/>
        </w:rPr>
        <w:t xml:space="preserve"> </w:t>
      </w:r>
      <w:r w:rsidR="00BA30AF" w:rsidRPr="00C04ABD">
        <w:rPr>
          <w:rFonts w:ascii="Myriad Pro" w:hAnsi="Myriad Pro"/>
          <w:sz w:val="26"/>
          <w:szCs w:val="26"/>
        </w:rPr>
        <w:t>не проводившиеся в предыдущие периоды регулирования;</w:t>
      </w:r>
    </w:p>
    <w:p w14:paraId="216D6F25" w14:textId="1A72380E" w:rsidR="001101BD" w:rsidRDefault="00BA30AF" w:rsidP="009B0BC1">
      <w:pPr>
        <w:pStyle w:val="a4"/>
        <w:numPr>
          <w:ilvl w:val="0"/>
          <w:numId w:val="27"/>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 xml:space="preserve"> Работы и услуги периодического характера, которые не проводятся ежегодно, включать как среднее за пять лет.</w:t>
      </w:r>
    </w:p>
    <w:p w14:paraId="7761BF13" w14:textId="700354BE" w:rsidR="00E1334F" w:rsidRPr="00C04ABD" w:rsidRDefault="00E1334F" w:rsidP="00B02543">
      <w:pPr>
        <w:tabs>
          <w:tab w:val="left" w:pos="1134"/>
        </w:tabs>
        <w:spacing w:before="240" w:after="0" w:line="360" w:lineRule="auto"/>
        <w:contextualSpacing/>
        <w:jc w:val="both"/>
        <w:rPr>
          <w:rFonts w:ascii="Myriad Pro" w:eastAsia="Calibri" w:hAnsi="Myriad Pro" w:cs="Times New Roman"/>
          <w:b/>
          <w:i/>
          <w:sz w:val="26"/>
          <w:szCs w:val="26"/>
        </w:rPr>
      </w:pPr>
      <w:r w:rsidRPr="00C04ABD">
        <w:rPr>
          <w:rFonts w:ascii="Myriad Pro" w:eastAsia="Calibri" w:hAnsi="Myriad Pro" w:cs="Times New Roman"/>
          <w:b/>
          <w:i/>
          <w:sz w:val="26"/>
          <w:szCs w:val="26"/>
        </w:rPr>
        <w:t>Р</w:t>
      </w:r>
      <w:r w:rsidR="00345217" w:rsidRPr="00C04ABD">
        <w:rPr>
          <w:rFonts w:ascii="Myriad Pro" w:eastAsia="Calibri" w:hAnsi="Myriad Pro" w:cs="Times New Roman"/>
          <w:b/>
          <w:i/>
          <w:sz w:val="26"/>
          <w:szCs w:val="26"/>
        </w:rPr>
        <w:t>асходы на ремонт основных средств</w:t>
      </w:r>
    </w:p>
    <w:p w14:paraId="373E90EB" w14:textId="77777777" w:rsidR="00E1334F" w:rsidRPr="00C04ABD" w:rsidRDefault="00E1334F"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 xml:space="preserve">Основание для планирования расходов на ремонтные работы: </w:t>
      </w:r>
      <w:hyperlink r:id="rId32">
        <w:r w:rsidRPr="00C04ABD">
          <w:rPr>
            <w:rFonts w:ascii="Myriad Pro" w:eastAsia="Calibri" w:hAnsi="Myriad Pro" w:cs="Times New Roman"/>
            <w:sz w:val="26"/>
            <w:szCs w:val="26"/>
          </w:rPr>
          <w:t>пункт 25</w:t>
        </w:r>
      </w:hyperlink>
      <w:r w:rsidRPr="00C04ABD">
        <w:rPr>
          <w:rFonts w:ascii="Myriad Pro" w:eastAsia="Calibri" w:hAnsi="Myriad Pro" w:cs="Times New Roman"/>
          <w:sz w:val="26"/>
          <w:szCs w:val="26"/>
        </w:rPr>
        <w:t xml:space="preserve"> Основ ценообразования в области регулируемых цен (тарифов) в электроэнергетике, утвержденных постановлением Правительства Российской Федерации от 29.12.2011 N 1178 (далее – Основы ценообразования).</w:t>
      </w:r>
    </w:p>
    <w:p w14:paraId="1B07EE41" w14:textId="77777777" w:rsidR="00E1334F" w:rsidRPr="00C04ABD" w:rsidRDefault="00E1334F"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При определении расходов на ремонт основных средств учитываются:</w:t>
      </w:r>
    </w:p>
    <w:p w14:paraId="1A4BEE23" w14:textId="60E000C9" w:rsidR="00E1334F" w:rsidRPr="00C04ABD" w:rsidRDefault="00E1334F" w:rsidP="00A31747">
      <w:pPr>
        <w:tabs>
          <w:tab w:val="left" w:pos="1134"/>
        </w:tabs>
        <w:spacing w:after="0" w:line="360" w:lineRule="auto"/>
        <w:ind w:firstLine="567"/>
        <w:contextualSpacing/>
        <w:jc w:val="both"/>
        <w:rPr>
          <w:rFonts w:ascii="Myriad Pro" w:eastAsia="Calibri" w:hAnsi="Myriad Pro" w:cs="Times New Roman"/>
          <w:sz w:val="26"/>
          <w:szCs w:val="26"/>
        </w:rPr>
      </w:pPr>
      <w:bookmarkStart w:id="39" w:name="sub_200329"/>
      <w:bookmarkEnd w:id="39"/>
      <w:r w:rsidRPr="00C04ABD">
        <w:rPr>
          <w:rFonts w:ascii="Myriad Pro" w:eastAsia="Calibri" w:hAnsi="Myriad Pro" w:cs="Times New Roman"/>
          <w:sz w:val="26"/>
          <w:szCs w:val="26"/>
        </w:rPr>
        <w:t xml:space="preserve">1) нормативы расходов (с учетом их индексации) на ремонт основных средств, утверждаемые соответственно Министерством энергетики Российской Федерации и Государственной </w:t>
      </w:r>
      <w:r w:rsidR="00D076DA" w:rsidRPr="00C04ABD">
        <w:rPr>
          <w:rFonts w:ascii="Myriad Pro" w:eastAsia="Calibri" w:hAnsi="Myriad Pro" w:cs="Times New Roman"/>
          <w:sz w:val="26"/>
          <w:szCs w:val="26"/>
        </w:rPr>
        <w:t xml:space="preserve">корпорацией по атомной энергии </w:t>
      </w:r>
      <w:r w:rsidR="00655FFA" w:rsidRPr="00C04ABD">
        <w:rPr>
          <w:rFonts w:ascii="Myriad Pro" w:eastAsia="Calibri" w:hAnsi="Myriad Pro" w:cs="Times New Roman"/>
          <w:sz w:val="26"/>
          <w:szCs w:val="26"/>
        </w:rPr>
        <w:t>«</w:t>
      </w:r>
      <w:r w:rsidR="00D076DA" w:rsidRPr="00C04ABD">
        <w:rPr>
          <w:rFonts w:ascii="Myriad Pro" w:eastAsia="Calibri" w:hAnsi="Myriad Pro" w:cs="Times New Roman"/>
          <w:sz w:val="26"/>
          <w:szCs w:val="26"/>
        </w:rPr>
        <w:t>Росатом</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w:t>
      </w:r>
    </w:p>
    <w:p w14:paraId="6DFB62DE" w14:textId="77777777" w:rsidR="00E1334F" w:rsidRPr="00C04ABD" w:rsidRDefault="00E1334F" w:rsidP="00A31747">
      <w:pPr>
        <w:tabs>
          <w:tab w:val="left" w:pos="1134"/>
        </w:tabs>
        <w:spacing w:after="0" w:line="360" w:lineRule="auto"/>
        <w:ind w:firstLine="567"/>
        <w:contextualSpacing/>
        <w:jc w:val="both"/>
        <w:rPr>
          <w:rFonts w:ascii="Myriad Pro" w:eastAsia="Calibri" w:hAnsi="Myriad Pro" w:cs="Times New Roman"/>
          <w:sz w:val="26"/>
          <w:szCs w:val="26"/>
        </w:rPr>
      </w:pPr>
      <w:bookmarkStart w:id="40" w:name="sub_200330"/>
      <w:bookmarkEnd w:id="40"/>
      <w:r w:rsidRPr="00C04ABD">
        <w:rPr>
          <w:rFonts w:ascii="Myriad Pro" w:eastAsia="Calibri" w:hAnsi="Myriad Pro" w:cs="Times New Roman"/>
          <w:sz w:val="26"/>
          <w:szCs w:val="26"/>
        </w:rPr>
        <w:t>2) цены, указанные в пункте 29 Основ ценообразования.</w:t>
      </w:r>
    </w:p>
    <w:tbl>
      <w:tblPr>
        <w:tblStyle w:val="afff6"/>
        <w:tblW w:w="5000" w:type="pct"/>
        <w:tblLook w:val="04A0" w:firstRow="1" w:lastRow="0" w:firstColumn="1" w:lastColumn="0" w:noHBand="0" w:noVBand="1"/>
      </w:tblPr>
      <w:tblGrid>
        <w:gridCol w:w="1977"/>
        <w:gridCol w:w="1949"/>
        <w:gridCol w:w="1845"/>
        <w:gridCol w:w="1129"/>
        <w:gridCol w:w="1533"/>
        <w:gridCol w:w="911"/>
      </w:tblGrid>
      <w:tr w:rsidR="00B02543" w:rsidRPr="00FB0A3A" w14:paraId="5CD78BC4" w14:textId="77777777" w:rsidTr="009071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4E7A5A2B" w14:textId="6EBC7B04" w:rsidR="00734FC7" w:rsidRPr="00FB0A3A" w:rsidRDefault="00734FC7" w:rsidP="00B02543">
            <w:pPr>
              <w:tabs>
                <w:tab w:val="left" w:pos="1134"/>
              </w:tabs>
              <w:jc w:val="center"/>
              <w:rPr>
                <w:rFonts w:eastAsia="Calibri" w:cs="Times New Roman"/>
                <w:szCs w:val="18"/>
              </w:rPr>
            </w:pPr>
            <w:r w:rsidRPr="00FB0A3A">
              <w:rPr>
                <w:rFonts w:eastAsia="Calibri" w:cs="Times New Roman"/>
                <w:szCs w:val="18"/>
              </w:rPr>
              <w:t>Наименование статьи</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46E20793" w14:textId="77777777" w:rsidR="00734FC7" w:rsidRPr="00FB0A3A" w:rsidRDefault="00734FC7" w:rsidP="00B02543">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Факт за 2017, тыс. руб.</w:t>
            </w:r>
          </w:p>
        </w:tc>
        <w:tc>
          <w:tcPr>
            <w:tcW w:w="9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8497814" w14:textId="78FEBA3B" w:rsidR="00734FC7" w:rsidRPr="00FB0A3A" w:rsidRDefault="00734FC7" w:rsidP="00B02543">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 xml:space="preserve">Заявлено филиалом ПАО </w:t>
            </w:r>
            <w:r w:rsidR="00655FFA" w:rsidRPr="00FB0A3A">
              <w:rPr>
                <w:rFonts w:eastAsia="Calibri" w:cs="Times New Roman"/>
                <w:szCs w:val="18"/>
              </w:rPr>
              <w:t>«</w:t>
            </w:r>
            <w:r w:rsidRPr="00FB0A3A">
              <w:rPr>
                <w:rFonts w:eastAsia="Calibri" w:cs="Times New Roman"/>
                <w:szCs w:val="18"/>
              </w:rPr>
              <w:t>МРСК Северо</w:t>
            </w:r>
            <w:r w:rsidR="00C66F37" w:rsidRPr="00FB0A3A">
              <w:rPr>
                <w:rFonts w:eastAsia="Calibri" w:cs="Times New Roman"/>
                <w:szCs w:val="18"/>
              </w:rPr>
              <w:t>- Запада</w:t>
            </w:r>
            <w:r w:rsidR="00655FFA" w:rsidRPr="00FB0A3A">
              <w:rPr>
                <w:rFonts w:eastAsia="Calibri" w:cs="Times New Roman"/>
                <w:szCs w:val="18"/>
              </w:rPr>
              <w:t>»</w:t>
            </w:r>
            <w:r w:rsidR="00C66F37" w:rsidRPr="00FB0A3A">
              <w:rPr>
                <w:rFonts w:eastAsia="Calibri" w:cs="Times New Roman"/>
                <w:szCs w:val="18"/>
              </w:rPr>
              <w:t xml:space="preserve"> </w:t>
            </w:r>
            <w:r w:rsidR="00655FFA" w:rsidRPr="00FB0A3A">
              <w:rPr>
                <w:rFonts w:eastAsia="Calibri" w:cs="Times New Roman"/>
                <w:szCs w:val="18"/>
              </w:rPr>
              <w:t>«</w:t>
            </w:r>
            <w:r w:rsidRPr="00FB0A3A">
              <w:rPr>
                <w:rFonts w:eastAsia="Calibri" w:cs="Times New Roman"/>
                <w:szCs w:val="18"/>
              </w:rPr>
              <w:t>Колэнерго</w:t>
            </w:r>
            <w:r w:rsidR="00655FFA" w:rsidRPr="00FB0A3A">
              <w:rPr>
                <w:rFonts w:eastAsia="Calibri" w:cs="Times New Roman"/>
                <w:szCs w:val="18"/>
              </w:rPr>
              <w:t>»</w:t>
            </w:r>
            <w:r w:rsidRPr="00FB0A3A">
              <w:rPr>
                <w:rFonts w:eastAsia="Calibri" w:cs="Times New Roman"/>
                <w:szCs w:val="18"/>
              </w:rPr>
              <w:t xml:space="preserve"> на 2019, тыс. руб.</w:t>
            </w:r>
          </w:p>
        </w:tc>
        <w:tc>
          <w:tcPr>
            <w:tcW w:w="6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59083C3" w14:textId="77777777" w:rsidR="00734FC7" w:rsidRPr="00FB0A3A" w:rsidRDefault="00734FC7" w:rsidP="00B02543">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ТБР на 2019, тыс. руб.</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41BAA47" w14:textId="77777777" w:rsidR="00734FC7" w:rsidRPr="00FB0A3A" w:rsidRDefault="00734FC7" w:rsidP="00B02543">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Отклонение ТБР на 2019/ заявка на 2019, %</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46048D9" w14:textId="77777777" w:rsidR="00734FC7" w:rsidRPr="00FB0A3A" w:rsidRDefault="00734FC7" w:rsidP="00B02543">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ТБР на 2019 /факт за 2017, %</w:t>
            </w:r>
          </w:p>
        </w:tc>
      </w:tr>
      <w:tr w:rsidR="00C66F37" w:rsidRPr="00FB0A3A" w14:paraId="393D5955" w14:textId="77777777" w:rsidTr="00907125">
        <w:trPr>
          <w:trHeight w:val="51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tcBorders>
            <w:hideMark/>
          </w:tcPr>
          <w:p w14:paraId="4CFCF10D" w14:textId="77777777" w:rsidR="00734FC7" w:rsidRPr="00FB0A3A" w:rsidRDefault="00734FC7" w:rsidP="001B5220">
            <w:pPr>
              <w:tabs>
                <w:tab w:val="left" w:pos="1134"/>
              </w:tabs>
              <w:rPr>
                <w:rFonts w:eastAsia="Calibri" w:cs="Times New Roman"/>
                <w:szCs w:val="18"/>
              </w:rPr>
            </w:pPr>
            <w:r w:rsidRPr="00FB0A3A">
              <w:rPr>
                <w:rFonts w:eastAsia="Calibri" w:cs="Times New Roman"/>
                <w:szCs w:val="18"/>
              </w:rPr>
              <w:t>Ремонт основных средств</w:t>
            </w:r>
          </w:p>
        </w:tc>
        <w:tc>
          <w:tcPr>
            <w:tcW w:w="0" w:type="auto"/>
            <w:tcBorders>
              <w:top w:val="single" w:sz="4" w:space="0" w:color="FFFFFF" w:themeColor="background1"/>
            </w:tcBorders>
            <w:hideMark/>
          </w:tcPr>
          <w:p w14:paraId="1EB85E5C" w14:textId="77777777" w:rsidR="00734FC7" w:rsidRPr="00FB0A3A" w:rsidRDefault="00734FC7" w:rsidP="00B0254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90 199,80</w:t>
            </w:r>
          </w:p>
        </w:tc>
        <w:tc>
          <w:tcPr>
            <w:tcW w:w="987" w:type="pct"/>
            <w:tcBorders>
              <w:top w:val="single" w:sz="4" w:space="0" w:color="FFFFFF" w:themeColor="background1"/>
            </w:tcBorders>
            <w:hideMark/>
          </w:tcPr>
          <w:p w14:paraId="2208B2B6" w14:textId="77777777" w:rsidR="00734FC7" w:rsidRPr="00FB0A3A" w:rsidRDefault="00734FC7" w:rsidP="00B0254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155 000,00</w:t>
            </w:r>
          </w:p>
        </w:tc>
        <w:tc>
          <w:tcPr>
            <w:tcW w:w="604" w:type="pct"/>
            <w:tcBorders>
              <w:top w:val="single" w:sz="4" w:space="0" w:color="FFFFFF" w:themeColor="background1"/>
            </w:tcBorders>
            <w:hideMark/>
          </w:tcPr>
          <w:p w14:paraId="42BCA7F0" w14:textId="77777777" w:rsidR="00734FC7" w:rsidRPr="00FB0A3A" w:rsidRDefault="00734FC7" w:rsidP="00B0254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112 171,18</w:t>
            </w:r>
          </w:p>
        </w:tc>
        <w:tc>
          <w:tcPr>
            <w:tcW w:w="0" w:type="auto"/>
            <w:tcBorders>
              <w:top w:val="single" w:sz="4" w:space="0" w:color="FFFFFF" w:themeColor="background1"/>
            </w:tcBorders>
            <w:hideMark/>
          </w:tcPr>
          <w:p w14:paraId="5A838863" w14:textId="77777777" w:rsidR="00734FC7" w:rsidRPr="00FB0A3A" w:rsidRDefault="00734FC7" w:rsidP="00B0254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-27,6</w:t>
            </w:r>
          </w:p>
        </w:tc>
        <w:tc>
          <w:tcPr>
            <w:tcW w:w="0" w:type="auto"/>
            <w:tcBorders>
              <w:top w:val="single" w:sz="4" w:space="0" w:color="FFFFFF" w:themeColor="background1"/>
            </w:tcBorders>
            <w:hideMark/>
          </w:tcPr>
          <w:p w14:paraId="031434E1" w14:textId="77777777" w:rsidR="00734FC7" w:rsidRPr="00FB0A3A" w:rsidRDefault="00734FC7" w:rsidP="00B0254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24,36</w:t>
            </w:r>
          </w:p>
        </w:tc>
      </w:tr>
    </w:tbl>
    <w:p w14:paraId="2389C532" w14:textId="77777777" w:rsidR="00E1334F" w:rsidRPr="00FB0A3A" w:rsidRDefault="00E1334F" w:rsidP="00A31747">
      <w:pPr>
        <w:tabs>
          <w:tab w:val="left" w:pos="1134"/>
        </w:tabs>
        <w:spacing w:after="0" w:line="360" w:lineRule="auto"/>
        <w:ind w:firstLine="567"/>
        <w:contextualSpacing/>
        <w:jc w:val="both"/>
        <w:rPr>
          <w:rFonts w:ascii="Myriad Pro" w:eastAsia="Calibri" w:hAnsi="Myriad Pro" w:cs="Times New Roman"/>
          <w:b/>
          <w:sz w:val="26"/>
          <w:szCs w:val="26"/>
        </w:rPr>
      </w:pPr>
    </w:p>
    <w:p w14:paraId="19ED4490" w14:textId="4D0653C2" w:rsidR="00E1334F" w:rsidRPr="00FB0A3A" w:rsidRDefault="00A321FF" w:rsidP="001B5220">
      <w:pPr>
        <w:tabs>
          <w:tab w:val="left" w:pos="1134"/>
        </w:tabs>
        <w:spacing w:after="0" w:line="360" w:lineRule="auto"/>
        <w:contextualSpacing/>
        <w:jc w:val="both"/>
        <w:rPr>
          <w:rFonts w:ascii="Myriad Pro" w:eastAsia="Calibri" w:hAnsi="Myriad Pro" w:cs="Times New Roman"/>
          <w:b/>
          <w:sz w:val="26"/>
          <w:szCs w:val="26"/>
        </w:rPr>
      </w:pPr>
      <w:r w:rsidRPr="00FB0A3A">
        <w:rPr>
          <w:rFonts w:ascii="Myriad Pro" w:eastAsia="Calibri" w:hAnsi="Myriad Pro" w:cs="Times New Roman"/>
          <w:b/>
          <w:sz w:val="26"/>
          <w:szCs w:val="26"/>
        </w:rPr>
        <w:t>ПОЗИЦИЯ ТЕРРИТОРИАЛЬНОЙ СЕТЕВОЙ ОРГАНИЗАЦИИ</w:t>
      </w:r>
    </w:p>
    <w:p w14:paraId="0D70E572" w14:textId="17AB6AA3" w:rsidR="00734FC7" w:rsidRPr="00FB0A3A" w:rsidRDefault="00345217" w:rsidP="00C04ABD">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Расходы на ремонт основных средств</w:t>
      </w:r>
      <w:r w:rsidR="00734FC7" w:rsidRPr="00FB0A3A">
        <w:rPr>
          <w:rFonts w:ascii="Myriad Pro" w:eastAsia="Calibri" w:hAnsi="Myriad Pro" w:cs="Times New Roman"/>
          <w:sz w:val="26"/>
          <w:szCs w:val="26"/>
        </w:rPr>
        <w:t xml:space="preserve"> определены филиалом </w:t>
      </w:r>
      <w:r w:rsidR="00350B0A" w:rsidRPr="00FB0A3A">
        <w:rPr>
          <w:rFonts w:ascii="Myriad Pro" w:eastAsia="Calibri" w:hAnsi="Myriad Pro" w:cs="Times New Roman"/>
          <w:sz w:val="26"/>
          <w:szCs w:val="26"/>
        </w:rPr>
        <w:t xml:space="preserve">ПАО </w:t>
      </w:r>
      <w:r w:rsidR="00655FFA" w:rsidRPr="00FB0A3A">
        <w:rPr>
          <w:rFonts w:ascii="Myriad Pro" w:eastAsia="Calibri" w:hAnsi="Myriad Pro" w:cs="Times New Roman"/>
          <w:sz w:val="26"/>
          <w:szCs w:val="26"/>
        </w:rPr>
        <w:t>«</w:t>
      </w:r>
      <w:r w:rsidR="00350B0A" w:rsidRPr="00FB0A3A">
        <w:rPr>
          <w:rFonts w:ascii="Myriad Pro" w:eastAsia="Calibri" w:hAnsi="Myriad Pro" w:cs="Times New Roman"/>
          <w:sz w:val="26"/>
          <w:szCs w:val="26"/>
        </w:rPr>
        <w:t>МРСК Северо-Запада</w:t>
      </w:r>
      <w:r w:rsidR="00655FFA" w:rsidRPr="00FB0A3A">
        <w:rPr>
          <w:rFonts w:ascii="Myriad Pro" w:eastAsia="Calibri" w:hAnsi="Myriad Pro" w:cs="Times New Roman"/>
          <w:sz w:val="26"/>
          <w:szCs w:val="26"/>
        </w:rPr>
        <w:t>»</w:t>
      </w:r>
      <w:r w:rsidR="00350B0A" w:rsidRPr="00FB0A3A">
        <w:rPr>
          <w:rFonts w:ascii="Myriad Pro" w:eastAsia="Calibri" w:hAnsi="Myriad Pro" w:cs="Times New Roman"/>
          <w:sz w:val="26"/>
          <w:szCs w:val="26"/>
        </w:rPr>
        <w:t xml:space="preserve"> </w:t>
      </w:r>
      <w:r w:rsidR="00655FFA" w:rsidRPr="00FB0A3A">
        <w:rPr>
          <w:rFonts w:ascii="Myriad Pro" w:eastAsia="Calibri" w:hAnsi="Myriad Pro" w:cs="Times New Roman"/>
          <w:sz w:val="26"/>
          <w:szCs w:val="26"/>
        </w:rPr>
        <w:t>«</w:t>
      </w:r>
      <w:r w:rsidR="00350B0A" w:rsidRPr="00FB0A3A">
        <w:rPr>
          <w:rFonts w:ascii="Myriad Pro" w:eastAsia="Calibri" w:hAnsi="Myriad Pro" w:cs="Times New Roman"/>
          <w:sz w:val="26"/>
          <w:szCs w:val="26"/>
        </w:rPr>
        <w:t>Колэнерго</w:t>
      </w:r>
      <w:r w:rsidR="00655FFA" w:rsidRPr="00FB0A3A">
        <w:rPr>
          <w:rFonts w:ascii="Myriad Pro" w:eastAsia="Calibri" w:hAnsi="Myriad Pro" w:cs="Times New Roman"/>
          <w:sz w:val="26"/>
          <w:szCs w:val="26"/>
        </w:rPr>
        <w:t>»</w:t>
      </w:r>
      <w:r w:rsidR="00734FC7" w:rsidRPr="00FB0A3A">
        <w:rPr>
          <w:rFonts w:ascii="Myriad Pro" w:eastAsia="Calibri" w:hAnsi="Myriad Pro" w:cs="Times New Roman"/>
          <w:sz w:val="26"/>
          <w:szCs w:val="26"/>
        </w:rPr>
        <w:t xml:space="preserve"> в необходимой валовой выручке на 2019 год и предъявлены в составе заявления от 28.04.2018 №МР2/4/02/3129 об установлении тарифов на услуги по передаче электрической энергии в размере </w:t>
      </w:r>
      <w:r w:rsidRPr="00FB0A3A">
        <w:rPr>
          <w:rFonts w:ascii="Myriad Pro" w:eastAsia="Calibri" w:hAnsi="Myriad Pro" w:cs="Times New Roman"/>
          <w:sz w:val="26"/>
          <w:szCs w:val="26"/>
        </w:rPr>
        <w:t>155 000</w:t>
      </w:r>
      <w:r w:rsidR="00734FC7" w:rsidRPr="00FB0A3A">
        <w:rPr>
          <w:rFonts w:ascii="Myriad Pro" w:eastAsia="Calibri" w:hAnsi="Myriad Pro" w:cs="Times New Roman"/>
          <w:sz w:val="26"/>
          <w:szCs w:val="26"/>
        </w:rPr>
        <w:t xml:space="preserve"> тыс. руб.</w:t>
      </w:r>
      <w:r w:rsidR="00BA55AB" w:rsidRPr="00FB0A3A">
        <w:rPr>
          <w:rFonts w:ascii="Myriad Pro" w:eastAsia="Calibri" w:hAnsi="Myriad Pro" w:cs="Times New Roman"/>
          <w:sz w:val="26"/>
          <w:szCs w:val="26"/>
        </w:rPr>
        <w:t xml:space="preserve"> с ростом 171,8% от фактических расходов за 2017 год.</w:t>
      </w:r>
    </w:p>
    <w:p w14:paraId="05EB5A21" w14:textId="77777777" w:rsidR="005A5505" w:rsidRPr="00FB0A3A" w:rsidRDefault="005A5505" w:rsidP="00C04ABD">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 xml:space="preserve">Программа ремонтов на 2019 год сформирована в соответствии с требованиями Стандарта СТО 01.Б7.04-2016, на основании перспективных (многолетних) графиков работ, с учетом технического состояния объектов. </w:t>
      </w:r>
      <w:r w:rsidRPr="00FB0A3A">
        <w:rPr>
          <w:rFonts w:ascii="Myriad Pro" w:eastAsia="Calibri" w:hAnsi="Myriad Pro" w:cs="Times New Roman"/>
          <w:sz w:val="26"/>
          <w:szCs w:val="26"/>
        </w:rPr>
        <w:lastRenderedPageBreak/>
        <w:t xml:space="preserve">Перспективные (многолетние) графики ежегодно актуализируются с учетом результатов диагностики, изменений условий эксплуатации, данных о фактическом состоянии оборудования ПС и элементов ВЛ, проведенных внеплановых ремонтов и реализации программы технического перевооружения и реконструкции. </w:t>
      </w:r>
    </w:p>
    <w:p w14:paraId="30ED6208" w14:textId="5362E351" w:rsidR="005A5505" w:rsidRPr="00FB0A3A" w:rsidRDefault="005A5505" w:rsidP="00C04ABD">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 xml:space="preserve">Основной задачей ремонтной компании является поддержание производственных активов в исправном состоянии, обеспечение надежности и качества электроснабжения потребителей и безусловное выполнение плана ремонтов в утвержденные сроки. </w:t>
      </w:r>
    </w:p>
    <w:p w14:paraId="1DD68FAB" w14:textId="383BBA3B" w:rsidR="005A5505" w:rsidRPr="00FB0A3A" w:rsidRDefault="005A5505" w:rsidP="00C04ABD">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В 2019 году в рамках реализации ремонтной программы с привлечением подрядных организаций планируется расчистить 551 га трассы, произвести замену опор ВЛ 6-150кВ в количестве 137</w:t>
      </w:r>
      <w:r w:rsidR="002D4A32" w:rsidRPr="00FB0A3A">
        <w:rPr>
          <w:rFonts w:ascii="Myriad Pro" w:eastAsia="Calibri" w:hAnsi="Myriad Pro" w:cs="Times New Roman"/>
          <w:sz w:val="26"/>
          <w:szCs w:val="26"/>
        </w:rPr>
        <w:t xml:space="preserve"> </w:t>
      </w:r>
      <w:r w:rsidRPr="00FB0A3A">
        <w:rPr>
          <w:rFonts w:ascii="Myriad Pro" w:eastAsia="Calibri" w:hAnsi="Myriad Pro" w:cs="Times New Roman"/>
          <w:sz w:val="26"/>
          <w:szCs w:val="26"/>
        </w:rPr>
        <w:t xml:space="preserve">штук, усиление фундаментов опор ВЛ 35-150кВ – 111 штук, отремонтировать 16 штук выключателей 6-150кВ. </w:t>
      </w:r>
    </w:p>
    <w:p w14:paraId="63BAA48E" w14:textId="6D46557D" w:rsidR="00345217" w:rsidRPr="00FB0A3A" w:rsidRDefault="00345217" w:rsidP="00C04ABD">
      <w:pPr>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 xml:space="preserve">Для обоснования заявленной суммы расходов на </w:t>
      </w:r>
      <w:r w:rsidR="00BA55AB" w:rsidRPr="00FB0A3A">
        <w:rPr>
          <w:rFonts w:ascii="Myriad Pro" w:eastAsia="Calibri" w:hAnsi="Myriad Pro" w:cs="Times New Roman"/>
          <w:sz w:val="26"/>
          <w:szCs w:val="26"/>
        </w:rPr>
        <w:t>ремонт основных средств</w:t>
      </w:r>
      <w:r w:rsidRPr="00FB0A3A">
        <w:rPr>
          <w:rFonts w:ascii="Myriad Pro" w:eastAsia="Calibri" w:hAnsi="Myriad Pro" w:cs="Times New Roman"/>
          <w:sz w:val="26"/>
          <w:szCs w:val="26"/>
        </w:rPr>
        <w:t xml:space="preserve"> филиалом </w:t>
      </w:r>
      <w:r w:rsidR="00350B0A" w:rsidRPr="00FB0A3A">
        <w:rPr>
          <w:rFonts w:ascii="Myriad Pro" w:eastAsia="Calibri" w:hAnsi="Myriad Pro" w:cs="Times New Roman"/>
          <w:sz w:val="26"/>
          <w:szCs w:val="26"/>
        </w:rPr>
        <w:t xml:space="preserve">ПАО </w:t>
      </w:r>
      <w:r w:rsidR="00655FFA" w:rsidRPr="00FB0A3A">
        <w:rPr>
          <w:rFonts w:ascii="Myriad Pro" w:eastAsia="Calibri" w:hAnsi="Myriad Pro" w:cs="Times New Roman"/>
          <w:sz w:val="26"/>
          <w:szCs w:val="26"/>
        </w:rPr>
        <w:t>«</w:t>
      </w:r>
      <w:r w:rsidR="00350B0A" w:rsidRPr="00FB0A3A">
        <w:rPr>
          <w:rFonts w:ascii="Myriad Pro" w:eastAsia="Calibri" w:hAnsi="Myriad Pro" w:cs="Times New Roman"/>
          <w:sz w:val="26"/>
          <w:szCs w:val="26"/>
        </w:rPr>
        <w:t>МРСК Северо-Запада</w:t>
      </w:r>
      <w:r w:rsidR="00655FFA" w:rsidRPr="00FB0A3A">
        <w:rPr>
          <w:rFonts w:ascii="Myriad Pro" w:eastAsia="Calibri" w:hAnsi="Myriad Pro" w:cs="Times New Roman"/>
          <w:sz w:val="26"/>
          <w:szCs w:val="26"/>
        </w:rPr>
        <w:t>»</w:t>
      </w:r>
      <w:r w:rsidR="00350B0A" w:rsidRPr="00FB0A3A">
        <w:rPr>
          <w:rFonts w:ascii="Myriad Pro" w:eastAsia="Calibri" w:hAnsi="Myriad Pro" w:cs="Times New Roman"/>
          <w:sz w:val="26"/>
          <w:szCs w:val="26"/>
        </w:rPr>
        <w:t xml:space="preserve"> </w:t>
      </w:r>
      <w:r w:rsidR="00655FFA" w:rsidRPr="00FB0A3A">
        <w:rPr>
          <w:rFonts w:ascii="Myriad Pro" w:eastAsia="Calibri" w:hAnsi="Myriad Pro" w:cs="Times New Roman"/>
          <w:sz w:val="26"/>
          <w:szCs w:val="26"/>
        </w:rPr>
        <w:t>«</w:t>
      </w:r>
      <w:r w:rsidR="00350B0A" w:rsidRPr="00FB0A3A">
        <w:rPr>
          <w:rFonts w:ascii="Myriad Pro" w:eastAsia="Calibri" w:hAnsi="Myriad Pro" w:cs="Times New Roman"/>
          <w:sz w:val="26"/>
          <w:szCs w:val="26"/>
        </w:rPr>
        <w:t>Колэнерго</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 xml:space="preserve"> были представлены следующие документы:</w:t>
      </w:r>
    </w:p>
    <w:p w14:paraId="09C4FA3D" w14:textId="41452E9F" w:rsidR="00345217" w:rsidRPr="00FB0A3A" w:rsidRDefault="00345217" w:rsidP="00C04ABD">
      <w:pPr>
        <w:pStyle w:val="a4"/>
        <w:numPr>
          <w:ilvl w:val="0"/>
          <w:numId w:val="6"/>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Таблица-расчет услуг подрядчиков по ремонтным работам с указанием организации и перечня оказываемых услуг, фактических (ожидаемых) стоимостных значений за 2017-2018 гг. и планового значения на 2019 г.;</w:t>
      </w:r>
    </w:p>
    <w:p w14:paraId="66588499" w14:textId="77777777" w:rsidR="00345217" w:rsidRPr="00FB0A3A" w:rsidRDefault="00345217" w:rsidP="00C04ABD">
      <w:pPr>
        <w:pStyle w:val="a4"/>
        <w:numPr>
          <w:ilvl w:val="0"/>
          <w:numId w:val="6"/>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 xml:space="preserve">План ремонтов в разрезе видов работ и групп оборудования на 2019 год по следующим разделам:  </w:t>
      </w:r>
    </w:p>
    <w:p w14:paraId="6CE3C695" w14:textId="68892712" w:rsidR="00345217" w:rsidRPr="00FB0A3A" w:rsidRDefault="00345217" w:rsidP="00C04ABD">
      <w:pPr>
        <w:pStyle w:val="a4"/>
        <w:numPr>
          <w:ilvl w:val="1"/>
          <w:numId w:val="42"/>
        </w:numPr>
        <w:spacing w:after="0" w:line="360" w:lineRule="auto"/>
        <w:jc w:val="both"/>
        <w:rPr>
          <w:rFonts w:ascii="Myriad Pro" w:hAnsi="Myriad Pro"/>
          <w:sz w:val="26"/>
          <w:szCs w:val="26"/>
        </w:rPr>
      </w:pPr>
      <w:r w:rsidRPr="00FB0A3A">
        <w:rPr>
          <w:rFonts w:ascii="Myriad Pro" w:hAnsi="Myriad Pro"/>
          <w:sz w:val="26"/>
          <w:szCs w:val="26"/>
        </w:rPr>
        <w:t xml:space="preserve">перспективный (многолетний) план ремонтов ПС 35-150 кВ по </w:t>
      </w:r>
      <w:r w:rsidR="00655FFA" w:rsidRPr="00FB0A3A">
        <w:rPr>
          <w:rFonts w:ascii="Myriad Pro" w:hAnsi="Myriad Pro"/>
          <w:sz w:val="26"/>
          <w:szCs w:val="26"/>
        </w:rPr>
        <w:t>«</w:t>
      </w:r>
      <w:r w:rsidRPr="00FB0A3A">
        <w:rPr>
          <w:rFonts w:ascii="Myriad Pro" w:hAnsi="Myriad Pro"/>
          <w:sz w:val="26"/>
          <w:szCs w:val="26"/>
        </w:rPr>
        <w:t>Центральным электрическим сетям</w:t>
      </w:r>
      <w:r w:rsidR="00655FFA" w:rsidRPr="00FB0A3A">
        <w:rPr>
          <w:rFonts w:ascii="Myriad Pro" w:hAnsi="Myriad Pro"/>
          <w:sz w:val="26"/>
          <w:szCs w:val="26"/>
        </w:rPr>
        <w:t>»</w:t>
      </w:r>
      <w:r w:rsidRPr="00FB0A3A">
        <w:rPr>
          <w:rFonts w:ascii="Myriad Pro" w:hAnsi="Myriad Pro"/>
          <w:sz w:val="26"/>
          <w:szCs w:val="26"/>
        </w:rPr>
        <w:t xml:space="preserve"> филиала ПАО </w:t>
      </w:r>
      <w:r w:rsidR="00655FFA" w:rsidRPr="00FB0A3A">
        <w:rPr>
          <w:rFonts w:ascii="Myriad Pro" w:hAnsi="Myriad Pro"/>
          <w:sz w:val="26"/>
          <w:szCs w:val="26"/>
        </w:rPr>
        <w:t>«</w:t>
      </w:r>
      <w:r w:rsidR="00597FD5" w:rsidRPr="00FB0A3A">
        <w:rPr>
          <w:rFonts w:ascii="Myriad Pro" w:hAnsi="Myriad Pro"/>
          <w:sz w:val="26"/>
          <w:szCs w:val="26"/>
        </w:rPr>
        <w:t>МРСК Северо-Запада</w:t>
      </w:r>
      <w:r w:rsidR="00655FFA" w:rsidRPr="00FB0A3A">
        <w:rPr>
          <w:rFonts w:ascii="Myriad Pro" w:hAnsi="Myriad Pro"/>
          <w:sz w:val="26"/>
          <w:szCs w:val="26"/>
        </w:rPr>
        <w:t>»</w:t>
      </w:r>
      <w:r w:rsidR="00D076DA" w:rsidRPr="00FB0A3A">
        <w:rPr>
          <w:rFonts w:ascii="Myriad Pro" w:hAnsi="Myriad Pro"/>
          <w:sz w:val="26"/>
          <w:szCs w:val="26"/>
        </w:rPr>
        <w:t xml:space="preserve"> </w:t>
      </w:r>
      <w:r w:rsidR="00655FFA" w:rsidRPr="00FB0A3A">
        <w:rPr>
          <w:rFonts w:ascii="Myriad Pro" w:hAnsi="Myriad Pro"/>
          <w:sz w:val="26"/>
          <w:szCs w:val="26"/>
        </w:rPr>
        <w:t>«</w:t>
      </w:r>
      <w:r w:rsidR="00D076DA" w:rsidRPr="00FB0A3A">
        <w:rPr>
          <w:rFonts w:ascii="Myriad Pro" w:hAnsi="Myriad Pro"/>
          <w:sz w:val="26"/>
          <w:szCs w:val="26"/>
        </w:rPr>
        <w:t>Колэнерго</w:t>
      </w:r>
      <w:r w:rsidR="00655FFA" w:rsidRPr="00FB0A3A">
        <w:rPr>
          <w:rFonts w:ascii="Myriad Pro" w:hAnsi="Myriad Pro"/>
          <w:sz w:val="26"/>
          <w:szCs w:val="26"/>
        </w:rPr>
        <w:t>»</w:t>
      </w:r>
      <w:r w:rsidRPr="00FB0A3A">
        <w:rPr>
          <w:rFonts w:ascii="Myriad Pro" w:hAnsi="Myriad Pro"/>
          <w:sz w:val="26"/>
          <w:szCs w:val="26"/>
        </w:rPr>
        <w:t>;</w:t>
      </w:r>
    </w:p>
    <w:p w14:paraId="79463CA2" w14:textId="7E6C1BDF" w:rsidR="00345217" w:rsidRPr="00FB0A3A" w:rsidRDefault="00345217" w:rsidP="00C04ABD">
      <w:pPr>
        <w:pStyle w:val="a4"/>
        <w:numPr>
          <w:ilvl w:val="1"/>
          <w:numId w:val="42"/>
        </w:numPr>
        <w:spacing w:after="0" w:line="360" w:lineRule="auto"/>
        <w:jc w:val="both"/>
        <w:rPr>
          <w:rFonts w:ascii="Myriad Pro" w:hAnsi="Myriad Pro"/>
          <w:sz w:val="26"/>
          <w:szCs w:val="26"/>
        </w:rPr>
      </w:pPr>
      <w:r w:rsidRPr="00FB0A3A">
        <w:rPr>
          <w:rFonts w:ascii="Myriad Pro" w:hAnsi="Myriad Pro"/>
          <w:sz w:val="26"/>
          <w:szCs w:val="26"/>
        </w:rPr>
        <w:t xml:space="preserve">перспективный (многолетний) план ремонтов ПС 35-150 кВ по </w:t>
      </w:r>
      <w:r w:rsidR="00655FFA" w:rsidRPr="00FB0A3A">
        <w:rPr>
          <w:rFonts w:ascii="Myriad Pro" w:hAnsi="Myriad Pro"/>
          <w:sz w:val="26"/>
          <w:szCs w:val="26"/>
        </w:rPr>
        <w:t>«</w:t>
      </w:r>
      <w:r w:rsidRPr="00FB0A3A">
        <w:rPr>
          <w:rFonts w:ascii="Myriad Pro" w:hAnsi="Myriad Pro"/>
          <w:sz w:val="26"/>
          <w:szCs w:val="26"/>
        </w:rPr>
        <w:t>Северным электрическим сетям</w:t>
      </w:r>
      <w:r w:rsidR="00655FFA" w:rsidRPr="00FB0A3A">
        <w:rPr>
          <w:rFonts w:ascii="Myriad Pro" w:hAnsi="Myriad Pro"/>
          <w:sz w:val="26"/>
          <w:szCs w:val="26"/>
        </w:rPr>
        <w:t>»</w:t>
      </w:r>
      <w:r w:rsidRPr="00FB0A3A">
        <w:rPr>
          <w:rFonts w:ascii="Myriad Pro" w:hAnsi="Myriad Pro"/>
          <w:sz w:val="26"/>
          <w:szCs w:val="26"/>
        </w:rPr>
        <w:t xml:space="preserve"> филиала ПАО </w:t>
      </w:r>
      <w:r w:rsidR="00655FFA" w:rsidRPr="00FB0A3A">
        <w:rPr>
          <w:rFonts w:ascii="Myriad Pro" w:hAnsi="Myriad Pro"/>
          <w:sz w:val="26"/>
          <w:szCs w:val="26"/>
        </w:rPr>
        <w:t>«</w:t>
      </w:r>
      <w:r w:rsidR="00597FD5" w:rsidRPr="00FB0A3A">
        <w:rPr>
          <w:rFonts w:ascii="Myriad Pro" w:hAnsi="Myriad Pro"/>
          <w:sz w:val="26"/>
          <w:szCs w:val="26"/>
        </w:rPr>
        <w:t>МРСК Северо-Запада</w:t>
      </w:r>
      <w:r w:rsidR="00655FFA" w:rsidRPr="00FB0A3A">
        <w:rPr>
          <w:rFonts w:ascii="Myriad Pro" w:hAnsi="Myriad Pro"/>
          <w:sz w:val="26"/>
          <w:szCs w:val="26"/>
        </w:rPr>
        <w:t>»</w:t>
      </w:r>
      <w:r w:rsidR="00D076DA" w:rsidRPr="00FB0A3A">
        <w:rPr>
          <w:rFonts w:ascii="Myriad Pro" w:hAnsi="Myriad Pro"/>
          <w:sz w:val="26"/>
          <w:szCs w:val="26"/>
        </w:rPr>
        <w:t xml:space="preserve"> </w:t>
      </w:r>
      <w:r w:rsidR="00655FFA" w:rsidRPr="00FB0A3A">
        <w:rPr>
          <w:rFonts w:ascii="Myriad Pro" w:hAnsi="Myriad Pro"/>
          <w:sz w:val="26"/>
          <w:szCs w:val="26"/>
        </w:rPr>
        <w:t>«</w:t>
      </w:r>
      <w:r w:rsidR="00D076DA" w:rsidRPr="00FB0A3A">
        <w:rPr>
          <w:rFonts w:ascii="Myriad Pro" w:hAnsi="Myriad Pro"/>
          <w:sz w:val="26"/>
          <w:szCs w:val="26"/>
        </w:rPr>
        <w:t>Колэнерго</w:t>
      </w:r>
      <w:r w:rsidR="00655FFA" w:rsidRPr="00FB0A3A">
        <w:rPr>
          <w:rFonts w:ascii="Myriad Pro" w:hAnsi="Myriad Pro"/>
          <w:sz w:val="26"/>
          <w:szCs w:val="26"/>
        </w:rPr>
        <w:t>»</w:t>
      </w:r>
      <w:r w:rsidR="00D076DA" w:rsidRPr="00FB0A3A">
        <w:rPr>
          <w:rFonts w:ascii="Myriad Pro" w:hAnsi="Myriad Pro"/>
          <w:sz w:val="26"/>
          <w:szCs w:val="26"/>
        </w:rPr>
        <w:t>;</w:t>
      </w:r>
    </w:p>
    <w:p w14:paraId="16911275" w14:textId="77777777" w:rsidR="00345217" w:rsidRPr="00FB0A3A" w:rsidRDefault="00345217" w:rsidP="00C04ABD">
      <w:pPr>
        <w:pStyle w:val="a4"/>
        <w:numPr>
          <w:ilvl w:val="0"/>
          <w:numId w:val="6"/>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Отчет по ремонту за 2017 год;</w:t>
      </w:r>
    </w:p>
    <w:p w14:paraId="340F699D" w14:textId="4C260445" w:rsidR="00345217" w:rsidRPr="00FB0A3A" w:rsidRDefault="00345217" w:rsidP="00C04ABD">
      <w:pPr>
        <w:pStyle w:val="a4"/>
        <w:numPr>
          <w:ilvl w:val="0"/>
          <w:numId w:val="6"/>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 xml:space="preserve">Реестр договоров по статье </w:t>
      </w:r>
      <w:r w:rsidR="00655FFA" w:rsidRPr="00FB0A3A">
        <w:rPr>
          <w:rFonts w:ascii="Myriad Pro" w:hAnsi="Myriad Pro"/>
          <w:sz w:val="26"/>
          <w:szCs w:val="26"/>
        </w:rPr>
        <w:t>«</w:t>
      </w:r>
      <w:r w:rsidRPr="00FB0A3A">
        <w:rPr>
          <w:rFonts w:ascii="Myriad Pro" w:hAnsi="Myriad Pro"/>
          <w:sz w:val="26"/>
          <w:szCs w:val="26"/>
        </w:rPr>
        <w:t>Услуги подрядчиков по ремонту</w:t>
      </w:r>
      <w:r w:rsidR="00655FFA" w:rsidRPr="00FB0A3A">
        <w:rPr>
          <w:rFonts w:ascii="Myriad Pro" w:hAnsi="Myriad Pro"/>
          <w:sz w:val="26"/>
          <w:szCs w:val="26"/>
        </w:rPr>
        <w:t>»</w:t>
      </w:r>
      <w:r w:rsidRPr="00FB0A3A">
        <w:rPr>
          <w:rFonts w:ascii="Myriad Pro" w:hAnsi="Myriad Pro"/>
          <w:sz w:val="26"/>
          <w:szCs w:val="26"/>
        </w:rPr>
        <w:t>;</w:t>
      </w:r>
    </w:p>
    <w:p w14:paraId="3D7F865C" w14:textId="3692CC80" w:rsidR="00345217" w:rsidRPr="00FB0A3A" w:rsidRDefault="00345217" w:rsidP="00C04ABD">
      <w:pPr>
        <w:pStyle w:val="a4"/>
        <w:numPr>
          <w:ilvl w:val="0"/>
          <w:numId w:val="6"/>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 xml:space="preserve">Сводная таблица по расходам на ремонт по виду деятельности </w:t>
      </w:r>
      <w:r w:rsidR="00655FFA" w:rsidRPr="00FB0A3A">
        <w:rPr>
          <w:rFonts w:ascii="Myriad Pro" w:hAnsi="Myriad Pro"/>
          <w:sz w:val="26"/>
          <w:szCs w:val="26"/>
        </w:rPr>
        <w:t>«</w:t>
      </w:r>
      <w:r w:rsidRPr="00FB0A3A">
        <w:rPr>
          <w:rFonts w:ascii="Myriad Pro" w:hAnsi="Myriad Pro"/>
          <w:sz w:val="26"/>
          <w:szCs w:val="26"/>
        </w:rPr>
        <w:t>передача электрической энергии</w:t>
      </w:r>
      <w:r w:rsidR="00655FFA" w:rsidRPr="00FB0A3A">
        <w:rPr>
          <w:rFonts w:ascii="Myriad Pro" w:hAnsi="Myriad Pro"/>
          <w:sz w:val="26"/>
          <w:szCs w:val="26"/>
        </w:rPr>
        <w:t>»</w:t>
      </w:r>
      <w:r w:rsidRPr="00FB0A3A">
        <w:rPr>
          <w:rFonts w:ascii="Myriad Pro" w:hAnsi="Myriad Pro"/>
          <w:sz w:val="26"/>
          <w:szCs w:val="26"/>
        </w:rPr>
        <w:t>;</w:t>
      </w:r>
    </w:p>
    <w:p w14:paraId="0372C45B" w14:textId="77777777" w:rsidR="00345217" w:rsidRPr="00FB0A3A" w:rsidRDefault="00345217" w:rsidP="00C04ABD">
      <w:pPr>
        <w:pStyle w:val="a4"/>
        <w:numPr>
          <w:ilvl w:val="0"/>
          <w:numId w:val="6"/>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lastRenderedPageBreak/>
        <w:t>Копии договоров на ремонт оборудования 2017– 2018 гг.;</w:t>
      </w:r>
    </w:p>
    <w:p w14:paraId="64E39519" w14:textId="77777777" w:rsidR="00345217" w:rsidRPr="00FB0A3A" w:rsidRDefault="00345217" w:rsidP="00C04ABD">
      <w:pPr>
        <w:pStyle w:val="a4"/>
        <w:numPr>
          <w:ilvl w:val="0"/>
          <w:numId w:val="6"/>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Копии договоров на ремонт транспорта 2017– 2018 гг.;</w:t>
      </w:r>
    </w:p>
    <w:p w14:paraId="09DBC936" w14:textId="77777777" w:rsidR="00345217" w:rsidRPr="00FB0A3A" w:rsidRDefault="00345217" w:rsidP="00C04ABD">
      <w:pPr>
        <w:pStyle w:val="a4"/>
        <w:numPr>
          <w:ilvl w:val="0"/>
          <w:numId w:val="6"/>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Отчет об исполнении плана закупок за 2017 год;</w:t>
      </w:r>
    </w:p>
    <w:p w14:paraId="4FC2CA06" w14:textId="77777777" w:rsidR="00345217" w:rsidRPr="00FB0A3A" w:rsidRDefault="00345217" w:rsidP="00C04ABD">
      <w:pPr>
        <w:pStyle w:val="a4"/>
        <w:numPr>
          <w:ilvl w:val="0"/>
          <w:numId w:val="6"/>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Программа в области энергосбережения и повышения энергетической эффективности в соответствии с требованиями, установленными постановлением Правительства РФ от 15.05.2010 № 340;</w:t>
      </w:r>
    </w:p>
    <w:p w14:paraId="7ECD24DD" w14:textId="77777777" w:rsidR="00345217" w:rsidRPr="00FB0A3A" w:rsidRDefault="00345217" w:rsidP="00C04ABD">
      <w:pPr>
        <w:pStyle w:val="a4"/>
        <w:numPr>
          <w:ilvl w:val="0"/>
          <w:numId w:val="6"/>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Отчёт о выполнении программы в области энергосбережения и повышения энергетической эффективности за истекший год, предшествующий первому (базовому) году долгосрочного периода регулирования;</w:t>
      </w:r>
    </w:p>
    <w:p w14:paraId="1F0C2694" w14:textId="5BA005D0" w:rsidR="00345217" w:rsidRPr="00FB0A3A" w:rsidRDefault="00815C2E" w:rsidP="00C04ABD">
      <w:pPr>
        <w:pStyle w:val="a4"/>
        <w:numPr>
          <w:ilvl w:val="0"/>
          <w:numId w:val="6"/>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Бухгалтерская отчетность: о</w:t>
      </w:r>
      <w:r w:rsidR="00345217" w:rsidRPr="00FB0A3A">
        <w:rPr>
          <w:rFonts w:ascii="Myriad Pro" w:hAnsi="Myriad Pro"/>
          <w:sz w:val="26"/>
          <w:szCs w:val="26"/>
        </w:rPr>
        <w:t xml:space="preserve">бороты по счету 20, 23, 25 за 2017 год по статье </w:t>
      </w:r>
      <w:r w:rsidR="00655FFA" w:rsidRPr="00FB0A3A">
        <w:rPr>
          <w:rFonts w:ascii="Myriad Pro" w:hAnsi="Myriad Pro"/>
          <w:sz w:val="26"/>
          <w:szCs w:val="26"/>
        </w:rPr>
        <w:t>«</w:t>
      </w:r>
      <w:r w:rsidR="00345217" w:rsidRPr="00FB0A3A">
        <w:rPr>
          <w:rFonts w:ascii="Myriad Pro" w:hAnsi="Myriad Pro"/>
          <w:sz w:val="26"/>
          <w:szCs w:val="26"/>
        </w:rPr>
        <w:t>Услуги производственного характера</w:t>
      </w:r>
      <w:r w:rsidR="00655FFA" w:rsidRPr="00FB0A3A">
        <w:rPr>
          <w:rFonts w:ascii="Myriad Pro" w:hAnsi="Myriad Pro"/>
          <w:sz w:val="26"/>
          <w:szCs w:val="26"/>
        </w:rPr>
        <w:t>»</w:t>
      </w:r>
      <w:r w:rsidR="00345217" w:rsidRPr="00FB0A3A">
        <w:rPr>
          <w:rFonts w:ascii="Myriad Pro" w:hAnsi="Myriad Pro"/>
          <w:sz w:val="26"/>
          <w:szCs w:val="26"/>
        </w:rPr>
        <w:t xml:space="preserve"> по деятельности </w:t>
      </w:r>
      <w:r w:rsidR="00655FFA" w:rsidRPr="00FB0A3A">
        <w:rPr>
          <w:rFonts w:ascii="Myriad Pro" w:hAnsi="Myriad Pro"/>
          <w:sz w:val="26"/>
          <w:szCs w:val="26"/>
        </w:rPr>
        <w:t>«</w:t>
      </w:r>
      <w:r w:rsidR="00345217" w:rsidRPr="00FB0A3A">
        <w:rPr>
          <w:rFonts w:ascii="Myriad Pro" w:hAnsi="Myriad Pro"/>
          <w:sz w:val="26"/>
          <w:szCs w:val="26"/>
        </w:rPr>
        <w:t>услуги по передачи электрической энергии</w:t>
      </w:r>
      <w:r w:rsidR="00655FFA" w:rsidRPr="00FB0A3A">
        <w:rPr>
          <w:rFonts w:ascii="Myriad Pro" w:hAnsi="Myriad Pro"/>
          <w:sz w:val="26"/>
          <w:szCs w:val="26"/>
        </w:rPr>
        <w:t>»</w:t>
      </w:r>
      <w:r w:rsidR="00345217" w:rsidRPr="00FB0A3A">
        <w:rPr>
          <w:rFonts w:ascii="Myriad Pro" w:hAnsi="Myriad Pro"/>
          <w:sz w:val="26"/>
          <w:szCs w:val="26"/>
        </w:rPr>
        <w:t xml:space="preserve"> по филиалу ПАО </w:t>
      </w:r>
      <w:r w:rsidR="00655FFA" w:rsidRPr="00FB0A3A">
        <w:rPr>
          <w:rFonts w:ascii="Myriad Pro" w:hAnsi="Myriad Pro"/>
          <w:sz w:val="26"/>
          <w:szCs w:val="26"/>
        </w:rPr>
        <w:t>«</w:t>
      </w:r>
      <w:r w:rsidR="00345217" w:rsidRPr="00FB0A3A">
        <w:rPr>
          <w:rFonts w:ascii="Myriad Pro" w:hAnsi="Myriad Pro"/>
          <w:sz w:val="26"/>
          <w:szCs w:val="26"/>
        </w:rPr>
        <w:t xml:space="preserve">МРСК </w:t>
      </w:r>
      <w:r w:rsidR="0025782C" w:rsidRPr="00FB0A3A">
        <w:rPr>
          <w:rFonts w:ascii="Myriad Pro" w:hAnsi="Myriad Pro"/>
          <w:sz w:val="26"/>
          <w:szCs w:val="26"/>
        </w:rPr>
        <w:t>Северо-Запада</w:t>
      </w:r>
      <w:r w:rsidR="00655FFA" w:rsidRPr="00FB0A3A">
        <w:rPr>
          <w:rFonts w:ascii="Myriad Pro" w:hAnsi="Myriad Pro"/>
          <w:sz w:val="26"/>
          <w:szCs w:val="26"/>
        </w:rPr>
        <w:t>»</w:t>
      </w:r>
      <w:r w:rsidR="00345217" w:rsidRPr="00FB0A3A">
        <w:rPr>
          <w:rFonts w:ascii="Myriad Pro" w:hAnsi="Myriad Pro"/>
          <w:sz w:val="26"/>
          <w:szCs w:val="26"/>
        </w:rPr>
        <w:t xml:space="preserve"> </w:t>
      </w:r>
      <w:r w:rsidR="00655FFA" w:rsidRPr="00FB0A3A">
        <w:rPr>
          <w:rFonts w:ascii="Myriad Pro" w:hAnsi="Myriad Pro"/>
          <w:sz w:val="26"/>
          <w:szCs w:val="26"/>
        </w:rPr>
        <w:t>«</w:t>
      </w:r>
      <w:r w:rsidR="00345217" w:rsidRPr="00FB0A3A">
        <w:rPr>
          <w:rFonts w:ascii="Myriad Pro" w:hAnsi="Myriad Pro"/>
          <w:sz w:val="26"/>
          <w:szCs w:val="26"/>
        </w:rPr>
        <w:t>Колэнерго</w:t>
      </w:r>
      <w:r w:rsidR="00655FFA" w:rsidRPr="00FB0A3A">
        <w:rPr>
          <w:rFonts w:ascii="Myriad Pro" w:hAnsi="Myriad Pro"/>
          <w:sz w:val="26"/>
          <w:szCs w:val="26"/>
        </w:rPr>
        <w:t>»</w:t>
      </w:r>
      <w:r w:rsidR="00345217" w:rsidRPr="00FB0A3A">
        <w:rPr>
          <w:rFonts w:ascii="Myriad Pro" w:hAnsi="Myriad Pro"/>
          <w:sz w:val="26"/>
          <w:szCs w:val="26"/>
        </w:rPr>
        <w:t>.</w:t>
      </w:r>
    </w:p>
    <w:p w14:paraId="2E4EB544" w14:textId="77777777" w:rsidR="002F115E" w:rsidRDefault="002F115E" w:rsidP="00C04ABD">
      <w:pPr>
        <w:pStyle w:val="a4"/>
        <w:tabs>
          <w:tab w:val="left" w:pos="1134"/>
        </w:tabs>
        <w:spacing w:after="0" w:line="360" w:lineRule="auto"/>
        <w:ind w:left="0"/>
        <w:jc w:val="both"/>
        <w:rPr>
          <w:rFonts w:ascii="Myriad Pro" w:hAnsi="Myriad Pro"/>
          <w:b/>
          <w:sz w:val="26"/>
          <w:szCs w:val="26"/>
        </w:rPr>
      </w:pPr>
    </w:p>
    <w:p w14:paraId="32DD6E59" w14:textId="4EDDCEAD" w:rsidR="00815C2E" w:rsidRPr="00FB0A3A" w:rsidRDefault="00815C2E" w:rsidP="00C04ABD">
      <w:pPr>
        <w:pStyle w:val="a4"/>
        <w:tabs>
          <w:tab w:val="left" w:pos="1134"/>
        </w:tabs>
        <w:spacing w:after="0" w:line="360" w:lineRule="auto"/>
        <w:ind w:left="0"/>
        <w:jc w:val="both"/>
        <w:rPr>
          <w:rFonts w:ascii="Myriad Pro" w:hAnsi="Myriad Pro"/>
          <w:b/>
          <w:sz w:val="26"/>
          <w:szCs w:val="26"/>
        </w:rPr>
      </w:pPr>
      <w:r w:rsidRPr="00FB0A3A">
        <w:rPr>
          <w:rFonts w:ascii="Myriad Pro" w:hAnsi="Myriad Pro"/>
          <w:b/>
          <w:sz w:val="26"/>
          <w:szCs w:val="26"/>
        </w:rPr>
        <w:t>ПОЗИЦИЯ ОРГАНА РЕГУЛИРОВАНИЯ</w:t>
      </w:r>
    </w:p>
    <w:p w14:paraId="14FF1D92" w14:textId="0D703CBB" w:rsidR="009D311D" w:rsidRPr="00FB0A3A" w:rsidRDefault="009D311D" w:rsidP="00C04ABD">
      <w:pPr>
        <w:tabs>
          <w:tab w:val="left" w:pos="1134"/>
        </w:tabs>
        <w:autoSpaceDE w:val="0"/>
        <w:autoSpaceDN w:val="0"/>
        <w:adjustRightInd w:val="0"/>
        <w:spacing w:after="0" w:line="360" w:lineRule="auto"/>
        <w:ind w:firstLine="567"/>
        <w:jc w:val="both"/>
        <w:rPr>
          <w:rFonts w:ascii="Myriad Pro" w:hAnsi="Myriad Pro"/>
          <w:sz w:val="26"/>
          <w:szCs w:val="26"/>
        </w:rPr>
      </w:pPr>
      <w:r w:rsidRPr="00FB0A3A">
        <w:rPr>
          <w:rFonts w:ascii="Myriad Pro" w:hAnsi="Myriad Pro"/>
          <w:sz w:val="26"/>
          <w:szCs w:val="26"/>
        </w:rPr>
        <w:t>Согласно Протоколу от 28.12.2018 общие расходы на ремонт основных средств в 2019 году по расчету Комитета приняты в размере 86 510,98 тыс. руб.</w:t>
      </w:r>
    </w:p>
    <w:p w14:paraId="73DF177B" w14:textId="51363DE1" w:rsidR="00815C2E" w:rsidRPr="00FB0A3A" w:rsidRDefault="009D311D" w:rsidP="00C04ABD">
      <w:pPr>
        <w:tabs>
          <w:tab w:val="left" w:pos="1134"/>
        </w:tabs>
        <w:spacing w:after="0" w:line="360" w:lineRule="auto"/>
        <w:ind w:firstLine="567"/>
        <w:jc w:val="both"/>
        <w:rPr>
          <w:rFonts w:ascii="Myriad Pro" w:hAnsi="Myriad Pro"/>
          <w:sz w:val="26"/>
          <w:szCs w:val="26"/>
        </w:rPr>
      </w:pPr>
      <w:r w:rsidRPr="00FB0A3A">
        <w:rPr>
          <w:rFonts w:ascii="Myriad Pro" w:hAnsi="Myriad Pro"/>
          <w:sz w:val="26"/>
          <w:szCs w:val="26"/>
        </w:rPr>
        <w:t>Согласно Протоколу от 29.12.2018 Комитетом по итогам изучения особого мнения и дополнительных материалов, представленных Филиалом, экспертной группой Комитета в состав НВВ на 2019 год включены (скорректированы)</w:t>
      </w:r>
      <w:r w:rsidR="00845009" w:rsidRPr="00FB0A3A">
        <w:rPr>
          <w:rFonts w:ascii="Myriad Pro" w:hAnsi="Myriad Pro"/>
          <w:sz w:val="26"/>
          <w:szCs w:val="26"/>
        </w:rPr>
        <w:t>,</w:t>
      </w:r>
      <w:r w:rsidRPr="00FB0A3A">
        <w:rPr>
          <w:rFonts w:ascii="Myriad Pro" w:hAnsi="Myriad Pro"/>
          <w:sz w:val="26"/>
          <w:szCs w:val="26"/>
        </w:rPr>
        <w:t xml:space="preserve"> в том числе статья подконтрольных расходов </w:t>
      </w:r>
      <w:r w:rsidR="00655FFA" w:rsidRPr="00FB0A3A">
        <w:rPr>
          <w:rFonts w:ascii="Myriad Pro" w:hAnsi="Myriad Pro"/>
          <w:sz w:val="26"/>
          <w:szCs w:val="26"/>
        </w:rPr>
        <w:t>«</w:t>
      </w:r>
      <w:r w:rsidRPr="00FB0A3A">
        <w:rPr>
          <w:rFonts w:ascii="Myriad Pro" w:hAnsi="Myriad Pro"/>
          <w:sz w:val="26"/>
          <w:szCs w:val="26"/>
        </w:rPr>
        <w:t>Расходы на ремонт основных средств</w:t>
      </w:r>
      <w:r w:rsidR="00655FFA" w:rsidRPr="00FB0A3A">
        <w:rPr>
          <w:rFonts w:ascii="Myriad Pro" w:hAnsi="Myriad Pro"/>
          <w:sz w:val="26"/>
          <w:szCs w:val="26"/>
        </w:rPr>
        <w:t>»</w:t>
      </w:r>
      <w:r w:rsidRPr="00FB0A3A">
        <w:rPr>
          <w:rFonts w:ascii="Myriad Pro" w:hAnsi="Myriad Pro"/>
          <w:sz w:val="26"/>
          <w:szCs w:val="26"/>
        </w:rPr>
        <w:t xml:space="preserve"> в размере:</w:t>
      </w:r>
    </w:p>
    <w:p w14:paraId="5094D101" w14:textId="6B3341B4" w:rsidR="00815C2E" w:rsidRPr="00FB0A3A" w:rsidRDefault="00815C2E" w:rsidP="00C04ABD">
      <w:pPr>
        <w:pStyle w:val="a4"/>
        <w:numPr>
          <w:ilvl w:val="0"/>
          <w:numId w:val="43"/>
        </w:numPr>
        <w:tabs>
          <w:tab w:val="left" w:pos="1134"/>
        </w:tabs>
        <w:spacing w:after="0" w:line="360" w:lineRule="auto"/>
        <w:jc w:val="both"/>
        <w:rPr>
          <w:rFonts w:ascii="Myriad Pro" w:hAnsi="Myriad Pro"/>
          <w:sz w:val="26"/>
          <w:szCs w:val="26"/>
        </w:rPr>
      </w:pPr>
      <w:r w:rsidRPr="00FB0A3A">
        <w:rPr>
          <w:rFonts w:ascii="Myriad Pro" w:hAnsi="Myriad Pro"/>
          <w:sz w:val="26"/>
          <w:szCs w:val="26"/>
        </w:rPr>
        <w:t>экономически обоснованный уровень – 116 510,98 тыс. руб.;</w:t>
      </w:r>
    </w:p>
    <w:p w14:paraId="7822EEFF" w14:textId="08BEADDD" w:rsidR="00815C2E" w:rsidRPr="00FB0A3A" w:rsidRDefault="00815C2E" w:rsidP="00C04ABD">
      <w:pPr>
        <w:pStyle w:val="a4"/>
        <w:numPr>
          <w:ilvl w:val="0"/>
          <w:numId w:val="43"/>
        </w:numPr>
        <w:tabs>
          <w:tab w:val="left" w:pos="1134"/>
        </w:tabs>
        <w:spacing w:line="360" w:lineRule="auto"/>
        <w:jc w:val="both"/>
        <w:rPr>
          <w:rFonts w:ascii="Myriad Pro" w:hAnsi="Myriad Pro"/>
          <w:sz w:val="26"/>
          <w:szCs w:val="26"/>
        </w:rPr>
      </w:pPr>
      <w:r w:rsidRPr="00FB0A3A">
        <w:rPr>
          <w:rFonts w:ascii="Myriad Pro" w:hAnsi="Myriad Pro"/>
          <w:sz w:val="26"/>
          <w:szCs w:val="26"/>
        </w:rPr>
        <w:t>уровень, принятый при установлении НВВ – 112 171 тыс. руб.  (0,7*ЭОУ+0,3*МА)</w:t>
      </w:r>
    </w:p>
    <w:p w14:paraId="2E207E19" w14:textId="5CA6A37E" w:rsidR="00815C2E" w:rsidRPr="00FB0A3A" w:rsidRDefault="00B47CD9" w:rsidP="00C04ABD">
      <w:pPr>
        <w:pStyle w:val="a4"/>
        <w:tabs>
          <w:tab w:val="left" w:pos="1134"/>
        </w:tabs>
        <w:spacing w:line="360" w:lineRule="auto"/>
        <w:ind w:left="0" w:firstLine="567"/>
        <w:jc w:val="both"/>
        <w:rPr>
          <w:rFonts w:ascii="Myriad Pro" w:hAnsi="Myriad Pro"/>
          <w:sz w:val="26"/>
          <w:szCs w:val="26"/>
        </w:rPr>
      </w:pPr>
      <w:r w:rsidRPr="00FB0A3A">
        <w:rPr>
          <w:rFonts w:ascii="Myriad Pro" w:hAnsi="Myriad Pro"/>
          <w:sz w:val="26"/>
          <w:szCs w:val="26"/>
        </w:rPr>
        <w:t>В обосновании затрат Филиалом в Комитет представлены технические задания, сметные расчеты, договоры с подрядчиками, план по капитальному и текущему ремонтам подрядным и хозяйственным способом, ремонтная программа, перспективный (многолетний) план ремонтов и др.</w:t>
      </w:r>
    </w:p>
    <w:p w14:paraId="7FDB050B" w14:textId="127B1DD0" w:rsidR="00B47CD9" w:rsidRPr="00FB0A3A" w:rsidRDefault="00B47CD9" w:rsidP="00C04ABD">
      <w:pPr>
        <w:pStyle w:val="a4"/>
        <w:tabs>
          <w:tab w:val="left" w:pos="1134"/>
        </w:tabs>
        <w:spacing w:after="0" w:line="360" w:lineRule="auto"/>
        <w:ind w:left="0" w:firstLine="567"/>
        <w:contextualSpacing w:val="0"/>
        <w:jc w:val="both"/>
        <w:rPr>
          <w:rFonts w:ascii="Myriad Pro" w:hAnsi="Myriad Pro"/>
          <w:sz w:val="26"/>
          <w:szCs w:val="26"/>
        </w:rPr>
      </w:pPr>
      <w:r w:rsidRPr="00FB0A3A">
        <w:rPr>
          <w:rFonts w:ascii="Myriad Pro" w:hAnsi="Myriad Pro"/>
          <w:sz w:val="26"/>
          <w:szCs w:val="26"/>
        </w:rPr>
        <w:t xml:space="preserve">В связи с тем, что по представленной технической документации не представляется возможным однозначно определить сроки и стоимость </w:t>
      </w:r>
      <w:r w:rsidRPr="00FB0A3A">
        <w:rPr>
          <w:rFonts w:ascii="Myriad Pro" w:hAnsi="Myriad Pro"/>
          <w:sz w:val="26"/>
          <w:szCs w:val="26"/>
        </w:rPr>
        <w:lastRenderedPageBreak/>
        <w:t>выполнения работ, Комитетом на основании анализа представленных Фил</w:t>
      </w:r>
      <w:r w:rsidR="000448B7" w:rsidRPr="00FB0A3A">
        <w:rPr>
          <w:rFonts w:ascii="Myriad Pro" w:hAnsi="Myriad Pro"/>
          <w:sz w:val="26"/>
          <w:szCs w:val="26"/>
        </w:rPr>
        <w:t>иалом фактических расходов за 2</w:t>
      </w:r>
      <w:r w:rsidRPr="00FB0A3A">
        <w:rPr>
          <w:rFonts w:ascii="Myriad Pro" w:hAnsi="Myriad Pro"/>
          <w:sz w:val="26"/>
          <w:szCs w:val="26"/>
        </w:rPr>
        <w:t>017 год, на 2019 год приняты экономически обоснованные расходы за 2017 год с учетом ИПЦ.</w:t>
      </w:r>
    </w:p>
    <w:p w14:paraId="06C818CA" w14:textId="586A447D" w:rsidR="00A321FF" w:rsidRPr="00FB0A3A" w:rsidRDefault="00A321FF" w:rsidP="00C04ABD">
      <w:pPr>
        <w:tabs>
          <w:tab w:val="left" w:pos="1134"/>
        </w:tabs>
        <w:spacing w:after="0" w:line="360" w:lineRule="auto"/>
        <w:ind w:firstLine="567"/>
        <w:contextualSpacing/>
        <w:jc w:val="both"/>
        <w:rPr>
          <w:rFonts w:ascii="Myriad Pro" w:eastAsia="Calibri" w:hAnsi="Myriad Pro" w:cs="Times New Roman"/>
          <w:b/>
          <w:sz w:val="26"/>
          <w:szCs w:val="26"/>
        </w:rPr>
      </w:pPr>
    </w:p>
    <w:p w14:paraId="60DEDADB" w14:textId="77777777" w:rsidR="0065551B" w:rsidRPr="00FB0A3A" w:rsidRDefault="0065551B" w:rsidP="00C04ABD">
      <w:pPr>
        <w:tabs>
          <w:tab w:val="left" w:pos="1134"/>
        </w:tabs>
        <w:spacing w:after="0" w:line="360" w:lineRule="auto"/>
        <w:contextualSpacing/>
        <w:jc w:val="both"/>
        <w:rPr>
          <w:rFonts w:ascii="Myriad Pro" w:eastAsia="Calibri" w:hAnsi="Myriad Pro" w:cs="Times New Roman"/>
          <w:b/>
          <w:sz w:val="26"/>
          <w:szCs w:val="26"/>
        </w:rPr>
      </w:pPr>
      <w:r w:rsidRPr="00FB0A3A">
        <w:rPr>
          <w:rFonts w:ascii="Myriad Pro" w:eastAsia="Calibri" w:hAnsi="Myriad Pro" w:cs="Times New Roman"/>
          <w:b/>
          <w:sz w:val="26"/>
          <w:szCs w:val="26"/>
        </w:rPr>
        <w:t>ПОЗИЦИЯ ИСПОЛНИТЕЛЯ</w:t>
      </w:r>
    </w:p>
    <w:p w14:paraId="7FD24BA5" w14:textId="09D5AAEC" w:rsidR="0065551B" w:rsidRPr="00FB0A3A" w:rsidRDefault="0065551B" w:rsidP="00C04ABD">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В пояснительной записке по корректировке и определению НВВ к расчету тарифов на услуги по передаче электрической энергии на период 2019-2023 гг., представленной в материалах тарифного дела даны пояснения</w:t>
      </w:r>
      <w:r w:rsidR="00E24442" w:rsidRPr="00FB0A3A">
        <w:rPr>
          <w:rFonts w:ascii="Myriad Pro" w:eastAsia="Calibri" w:hAnsi="Myriad Pro" w:cs="Times New Roman"/>
          <w:sz w:val="26"/>
          <w:szCs w:val="26"/>
        </w:rPr>
        <w:t xml:space="preserve"> по расходам на ремонт основных средств.</w:t>
      </w:r>
    </w:p>
    <w:p w14:paraId="650AE232" w14:textId="2ADD36EC" w:rsidR="00A87BCB" w:rsidRPr="00FB0A3A" w:rsidRDefault="00A87BCB" w:rsidP="00C04ABD">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 xml:space="preserve">Расходы на ремонт на плановый период 2019 года заявлены Филиалом с </w:t>
      </w:r>
      <w:r w:rsidR="00182B11" w:rsidRPr="00FB0A3A">
        <w:rPr>
          <w:rFonts w:ascii="Myriad Pro" w:eastAsia="Calibri" w:hAnsi="Myriad Pro" w:cs="Times New Roman"/>
          <w:sz w:val="26"/>
          <w:szCs w:val="26"/>
        </w:rPr>
        <w:t xml:space="preserve">увеличением </w:t>
      </w:r>
      <w:r w:rsidRPr="00FB0A3A">
        <w:rPr>
          <w:rFonts w:ascii="Myriad Pro" w:eastAsia="Calibri" w:hAnsi="Myriad Pro" w:cs="Times New Roman"/>
          <w:sz w:val="26"/>
          <w:szCs w:val="26"/>
        </w:rPr>
        <w:t>в 1,7 раза над фактически произведенными расходами в 2017 году (утверждено в 2017 году -144 675 тыс. руб., израсходовано в 2017 г. – 90 199,80 тыс. руб., заявлено на 2019 год – 155 000 тыс. руб.).</w:t>
      </w:r>
    </w:p>
    <w:p w14:paraId="0AEBB6C7" w14:textId="2FD7345D" w:rsidR="00232E99" w:rsidRPr="00FB0A3A" w:rsidRDefault="00D076DA" w:rsidP="00C04ABD">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 xml:space="preserve">В реестре договоров по статье </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Услуги подрядчиков по Ремонту</w:t>
      </w:r>
      <w:r w:rsidR="00655FFA" w:rsidRPr="00FB0A3A">
        <w:rPr>
          <w:rFonts w:ascii="Myriad Pro" w:eastAsia="Calibri" w:hAnsi="Myriad Pro" w:cs="Times New Roman"/>
          <w:sz w:val="26"/>
          <w:szCs w:val="26"/>
        </w:rPr>
        <w:t>»</w:t>
      </w:r>
      <w:r w:rsidR="00E24442" w:rsidRPr="00FB0A3A">
        <w:rPr>
          <w:rFonts w:ascii="Myriad Pro" w:eastAsia="Calibri" w:hAnsi="Myriad Pro" w:cs="Times New Roman"/>
          <w:sz w:val="26"/>
          <w:szCs w:val="26"/>
        </w:rPr>
        <w:t xml:space="preserve"> указаны планируемые к заключению договоры с указанием видов работ. </w:t>
      </w:r>
      <w:r w:rsidR="00232E99" w:rsidRPr="00FB0A3A">
        <w:rPr>
          <w:rFonts w:ascii="Myriad Pro" w:eastAsia="Calibri" w:hAnsi="Myriad Pro" w:cs="Times New Roman"/>
          <w:sz w:val="26"/>
          <w:szCs w:val="26"/>
        </w:rPr>
        <w:t>Стоимостные показатели ремонтных работ документально не подтверждены</w:t>
      </w:r>
      <w:r w:rsidR="00E24442" w:rsidRPr="00FB0A3A">
        <w:rPr>
          <w:rFonts w:ascii="Myriad Pro" w:eastAsia="Calibri" w:hAnsi="Myriad Pro" w:cs="Times New Roman"/>
          <w:sz w:val="26"/>
          <w:szCs w:val="26"/>
        </w:rPr>
        <w:t>.</w:t>
      </w:r>
      <w:r w:rsidR="00CB6554" w:rsidRPr="00FB0A3A">
        <w:rPr>
          <w:rFonts w:ascii="Myriad Pro" w:eastAsia="Calibri" w:hAnsi="Myriad Pro" w:cs="Times New Roman"/>
          <w:sz w:val="26"/>
          <w:szCs w:val="26"/>
        </w:rPr>
        <w:t xml:space="preserve"> Отсутствуют дефектные ведомости, акты освидетельствования технического состояния, листы осмотра</w:t>
      </w:r>
      <w:r w:rsidR="00232E99" w:rsidRPr="00FB0A3A">
        <w:rPr>
          <w:rFonts w:ascii="Myriad Pro" w:eastAsia="Calibri" w:hAnsi="Myriad Pro" w:cs="Times New Roman"/>
          <w:sz w:val="26"/>
          <w:szCs w:val="26"/>
        </w:rPr>
        <w:t>, сметные расчеты.</w:t>
      </w:r>
    </w:p>
    <w:p w14:paraId="380650B6" w14:textId="6948644C" w:rsidR="00E24442" w:rsidRPr="00FB0A3A" w:rsidRDefault="00E24442" w:rsidP="00C04ABD">
      <w:pPr>
        <w:tabs>
          <w:tab w:val="left" w:pos="1134"/>
        </w:tabs>
        <w:spacing w:after="0" w:line="360" w:lineRule="auto"/>
        <w:ind w:firstLine="567"/>
        <w:contextualSpacing/>
        <w:jc w:val="both"/>
        <w:rPr>
          <w:rFonts w:ascii="Myriad Pro" w:hAnsi="Myriad Pro"/>
          <w:sz w:val="26"/>
          <w:szCs w:val="26"/>
        </w:rPr>
      </w:pPr>
      <w:r w:rsidRPr="00FB0A3A">
        <w:rPr>
          <w:rFonts w:ascii="Myriad Pro" w:eastAsia="Calibri" w:hAnsi="Myriad Pro" w:cs="Times New Roman"/>
          <w:sz w:val="26"/>
          <w:szCs w:val="26"/>
        </w:rPr>
        <w:t xml:space="preserve">В </w:t>
      </w:r>
      <w:r w:rsidRPr="00FB0A3A">
        <w:rPr>
          <w:rFonts w:ascii="Myriad Pro" w:hAnsi="Myriad Pro"/>
          <w:sz w:val="26"/>
          <w:szCs w:val="26"/>
        </w:rPr>
        <w:t>перспективных (многолетних) планах ремонтов не указана стоимость работ.</w:t>
      </w:r>
    </w:p>
    <w:p w14:paraId="193CA070" w14:textId="0CA71124" w:rsidR="00E24442" w:rsidRPr="00FB0A3A" w:rsidRDefault="00E24442" w:rsidP="00C04ABD">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 xml:space="preserve">Принимая во внимание, что расходы на ремонт основных средств входят в состав базового уровня операционных расходов, утверждаемого на пятилетний период 2019-2023 гг. регулируемой организации необходимо было выполнить расчет </w:t>
      </w:r>
      <w:r w:rsidR="00C4194F" w:rsidRPr="00FB0A3A">
        <w:rPr>
          <w:rFonts w:ascii="Myriad Pro" w:eastAsia="Calibri" w:hAnsi="Myriad Pro" w:cs="Times New Roman"/>
          <w:sz w:val="26"/>
          <w:szCs w:val="26"/>
        </w:rPr>
        <w:t xml:space="preserve">расходов </w:t>
      </w:r>
      <w:r w:rsidRPr="00FB0A3A">
        <w:rPr>
          <w:rFonts w:ascii="Myriad Pro" w:eastAsia="Calibri" w:hAnsi="Myriad Pro" w:cs="Times New Roman"/>
          <w:sz w:val="26"/>
          <w:szCs w:val="26"/>
        </w:rPr>
        <w:t xml:space="preserve">на каждый год долгосрочного периода регулирования </w:t>
      </w:r>
      <w:r w:rsidR="00C4194F" w:rsidRPr="00FB0A3A">
        <w:rPr>
          <w:rFonts w:ascii="Myriad Pro" w:eastAsia="Calibri" w:hAnsi="Myriad Pro" w:cs="Times New Roman"/>
          <w:sz w:val="26"/>
          <w:szCs w:val="26"/>
        </w:rPr>
        <w:t xml:space="preserve">с обоснованием периодичности и стоимости работ, указанием даты последнего ремонта. В состав базового уровня необходимо было включить </w:t>
      </w:r>
      <w:r w:rsidRPr="00FB0A3A">
        <w:rPr>
          <w:rFonts w:ascii="Myriad Pro" w:eastAsia="Calibri" w:hAnsi="Myriad Pro" w:cs="Times New Roman"/>
          <w:sz w:val="26"/>
          <w:szCs w:val="26"/>
        </w:rPr>
        <w:t>1/5 от общего объема потребности за пятилетний период.</w:t>
      </w:r>
    </w:p>
    <w:p w14:paraId="0E7CADB6" w14:textId="2C97E13E" w:rsidR="00E24442" w:rsidRPr="00FB0A3A" w:rsidRDefault="00A41FCC" w:rsidP="00C04ABD">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На основании выше</w:t>
      </w:r>
      <w:r w:rsidR="00C4194F" w:rsidRPr="00FB0A3A">
        <w:rPr>
          <w:rFonts w:ascii="Myriad Pro" w:eastAsia="Calibri" w:hAnsi="Myriad Pro" w:cs="Times New Roman"/>
          <w:sz w:val="26"/>
          <w:szCs w:val="26"/>
        </w:rPr>
        <w:t>изложенного не представляется возможным сделать однозначный вывод об экономической целесообразности данных расходов на 2019 год.</w:t>
      </w:r>
    </w:p>
    <w:p w14:paraId="09B0B7BB" w14:textId="0390BA4E" w:rsidR="006276B7" w:rsidRPr="00FB0A3A" w:rsidRDefault="006276B7" w:rsidP="00C04ABD">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 xml:space="preserve">В этой связи Исполнитель считает плановые расходы на сумму 155 000,0 тыс. руб. </w:t>
      </w:r>
      <w:r w:rsidR="00182B11" w:rsidRPr="00FB0A3A">
        <w:rPr>
          <w:rFonts w:ascii="Myriad Pro" w:eastAsia="Calibri" w:hAnsi="Myriad Pro" w:cs="Times New Roman"/>
          <w:sz w:val="26"/>
          <w:szCs w:val="26"/>
        </w:rPr>
        <w:t>недостаточно документально обоснованными</w:t>
      </w:r>
      <w:r w:rsidRPr="00FB0A3A">
        <w:rPr>
          <w:rFonts w:ascii="Myriad Pro" w:eastAsia="Calibri" w:hAnsi="Myriad Pro" w:cs="Times New Roman"/>
          <w:sz w:val="26"/>
          <w:szCs w:val="26"/>
        </w:rPr>
        <w:t>.</w:t>
      </w:r>
    </w:p>
    <w:p w14:paraId="4AF4D5AA" w14:textId="1AAC24C6" w:rsidR="00205B53" w:rsidRPr="00FB0A3A" w:rsidRDefault="00205B53" w:rsidP="00C04ABD">
      <w:pPr>
        <w:pStyle w:val="afff4"/>
        <w:rPr>
          <w:lang w:val="ru-RU"/>
        </w:rPr>
      </w:pPr>
      <w:r w:rsidRPr="00FB0A3A">
        <w:rPr>
          <w:lang w:val="ru-RU"/>
        </w:rPr>
        <w:lastRenderedPageBreak/>
        <w:t xml:space="preserve">Учитывая фактические расходы по ремонтам за 2017 год </w:t>
      </w:r>
      <w:r w:rsidR="00E663D3">
        <w:rPr>
          <w:lang w:val="ru-RU"/>
        </w:rPr>
        <w:t>в размере</w:t>
      </w:r>
      <w:r w:rsidRPr="00FB0A3A">
        <w:rPr>
          <w:lang w:val="ru-RU"/>
        </w:rPr>
        <w:t xml:space="preserve"> 90 200 тыс. руб. при плановых расходах </w:t>
      </w:r>
      <w:r w:rsidR="00E663D3">
        <w:rPr>
          <w:lang w:val="ru-RU"/>
        </w:rPr>
        <w:t>в размере</w:t>
      </w:r>
      <w:r w:rsidR="00C4194F" w:rsidRPr="00FB0A3A">
        <w:rPr>
          <w:lang w:val="ru-RU"/>
        </w:rPr>
        <w:t xml:space="preserve"> 144 675 тыс. руб. Исполнитель</w:t>
      </w:r>
      <w:r w:rsidRPr="00FB0A3A">
        <w:rPr>
          <w:lang w:val="ru-RU"/>
        </w:rPr>
        <w:t xml:space="preserve"> </w:t>
      </w:r>
      <w:r w:rsidRPr="00261E33">
        <w:rPr>
          <w:lang w:val="ru-RU"/>
        </w:rPr>
        <w:t>соглашается</w:t>
      </w:r>
      <w:r w:rsidRPr="00FB0A3A">
        <w:rPr>
          <w:lang w:val="ru-RU"/>
        </w:rPr>
        <w:t xml:space="preserve"> с регулирующим органом, принявшим расходы на ремонтные работы на уровне факта 2017 года с учетом индексов-дефляторов и дополнительно предоставленных обосновывающих материалов.</w:t>
      </w:r>
    </w:p>
    <w:tbl>
      <w:tblPr>
        <w:tblStyle w:val="afff6"/>
        <w:tblW w:w="5000" w:type="pct"/>
        <w:tblLayout w:type="fixed"/>
        <w:tblLook w:val="04A0" w:firstRow="1" w:lastRow="0" w:firstColumn="1" w:lastColumn="0" w:noHBand="0" w:noVBand="1"/>
      </w:tblPr>
      <w:tblGrid>
        <w:gridCol w:w="1806"/>
        <w:gridCol w:w="1366"/>
        <w:gridCol w:w="1516"/>
        <w:gridCol w:w="1516"/>
        <w:gridCol w:w="1570"/>
        <w:gridCol w:w="1570"/>
      </w:tblGrid>
      <w:tr w:rsidR="000448B7" w:rsidRPr="00FB0A3A" w14:paraId="47A1721A" w14:textId="77777777" w:rsidTr="009071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65D1A297" w14:textId="77777777" w:rsidR="000448B7" w:rsidRPr="00FB0A3A" w:rsidRDefault="000448B7" w:rsidP="001B5220">
            <w:pPr>
              <w:tabs>
                <w:tab w:val="left" w:pos="1134"/>
              </w:tabs>
              <w:jc w:val="center"/>
              <w:rPr>
                <w:rFonts w:eastAsia="Calibri" w:cs="Times New Roman"/>
                <w:sz w:val="20"/>
                <w:szCs w:val="20"/>
              </w:rPr>
            </w:pPr>
            <w:r w:rsidRPr="00FB0A3A">
              <w:rPr>
                <w:rFonts w:eastAsia="Calibri" w:cs="Times New Roman"/>
                <w:sz w:val="20"/>
                <w:szCs w:val="20"/>
              </w:rPr>
              <w:t> Наименование статьи</w:t>
            </w:r>
          </w:p>
        </w:tc>
        <w:tc>
          <w:tcPr>
            <w:tcW w:w="1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36576AE0" w14:textId="77777777" w:rsidR="000448B7" w:rsidRPr="00FB0A3A" w:rsidRDefault="000448B7" w:rsidP="001B5220">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Заявлено Филиалом</w:t>
            </w:r>
          </w:p>
        </w:tc>
        <w:tc>
          <w:tcPr>
            <w:tcW w:w="15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2ABDC0E" w14:textId="77777777" w:rsidR="000448B7" w:rsidRPr="00FB0A3A" w:rsidRDefault="000448B7" w:rsidP="001B5220">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Рассчитано Комитетом (ЭОУ)</w:t>
            </w:r>
          </w:p>
        </w:tc>
        <w:tc>
          <w:tcPr>
            <w:tcW w:w="15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625E645" w14:textId="77777777" w:rsidR="000448B7" w:rsidRPr="00FB0A3A" w:rsidRDefault="000448B7" w:rsidP="001B5220">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Рассчитано Исполнителем (ЭОУ)</w:t>
            </w:r>
          </w:p>
        </w:tc>
        <w:tc>
          <w:tcPr>
            <w:tcW w:w="15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6FFAF19" w14:textId="77777777" w:rsidR="000448B7" w:rsidRPr="00FB0A3A" w:rsidRDefault="000448B7" w:rsidP="001B5220">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Отклонение  между Исполнителем и Комитетом</w:t>
            </w:r>
          </w:p>
        </w:tc>
        <w:tc>
          <w:tcPr>
            <w:tcW w:w="15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9ED173D" w14:textId="77777777" w:rsidR="000448B7" w:rsidRPr="00FB0A3A" w:rsidRDefault="000448B7" w:rsidP="001B5220">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Отклонение  между Исполнителем и Филиалом</w:t>
            </w:r>
          </w:p>
        </w:tc>
      </w:tr>
      <w:tr w:rsidR="000448B7" w:rsidRPr="00FB0A3A" w14:paraId="1AB3976E" w14:textId="77777777" w:rsidTr="00907125">
        <w:tc>
          <w:tcPr>
            <w:cnfStyle w:val="001000000000" w:firstRow="0" w:lastRow="0" w:firstColumn="1" w:lastColumn="0" w:oddVBand="0" w:evenVBand="0" w:oddHBand="0" w:evenHBand="0" w:firstRowFirstColumn="0" w:firstRowLastColumn="0" w:lastRowFirstColumn="0" w:lastRowLastColumn="0"/>
            <w:tcW w:w="1834" w:type="dxa"/>
            <w:tcBorders>
              <w:top w:val="single" w:sz="4" w:space="0" w:color="FFFFFF" w:themeColor="background1"/>
            </w:tcBorders>
            <w:hideMark/>
          </w:tcPr>
          <w:p w14:paraId="17A31B5A" w14:textId="77777777" w:rsidR="000448B7" w:rsidRPr="00FB0A3A" w:rsidRDefault="000448B7" w:rsidP="001B5220">
            <w:pPr>
              <w:tabs>
                <w:tab w:val="left" w:pos="1134"/>
              </w:tabs>
              <w:rPr>
                <w:rFonts w:eastAsia="Calibri" w:cs="Times New Roman"/>
                <w:sz w:val="20"/>
                <w:szCs w:val="20"/>
              </w:rPr>
            </w:pPr>
            <w:r w:rsidRPr="00FB0A3A">
              <w:rPr>
                <w:rFonts w:eastAsia="Calibri" w:cs="Times New Roman"/>
                <w:sz w:val="20"/>
                <w:szCs w:val="20"/>
              </w:rPr>
              <w:t>Расходы на ремонт основных средств</w:t>
            </w:r>
          </w:p>
        </w:tc>
        <w:tc>
          <w:tcPr>
            <w:tcW w:w="1386" w:type="dxa"/>
            <w:tcBorders>
              <w:top w:val="single" w:sz="4" w:space="0" w:color="FFFFFF" w:themeColor="background1"/>
            </w:tcBorders>
            <w:hideMark/>
          </w:tcPr>
          <w:p w14:paraId="675CFF3E" w14:textId="41AD6147" w:rsidR="000448B7" w:rsidRPr="00FB0A3A" w:rsidRDefault="000448B7" w:rsidP="001B5220">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155 000</w:t>
            </w:r>
          </w:p>
        </w:tc>
        <w:tc>
          <w:tcPr>
            <w:tcW w:w="1539" w:type="dxa"/>
            <w:tcBorders>
              <w:top w:val="single" w:sz="4" w:space="0" w:color="FFFFFF" w:themeColor="background1"/>
            </w:tcBorders>
            <w:hideMark/>
          </w:tcPr>
          <w:p w14:paraId="75B8EC86" w14:textId="77777777" w:rsidR="000448B7" w:rsidRPr="00FB0A3A" w:rsidRDefault="000448B7" w:rsidP="001B5220">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116 510,98</w:t>
            </w:r>
          </w:p>
        </w:tc>
        <w:tc>
          <w:tcPr>
            <w:tcW w:w="1539" w:type="dxa"/>
            <w:tcBorders>
              <w:top w:val="single" w:sz="4" w:space="0" w:color="FFFFFF" w:themeColor="background1"/>
            </w:tcBorders>
            <w:hideMark/>
          </w:tcPr>
          <w:p w14:paraId="5256CC50" w14:textId="77777777" w:rsidR="000448B7" w:rsidRPr="00FB0A3A" w:rsidRDefault="000448B7" w:rsidP="001B5220">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116 510,98</w:t>
            </w:r>
          </w:p>
        </w:tc>
        <w:tc>
          <w:tcPr>
            <w:tcW w:w="1594" w:type="dxa"/>
            <w:tcBorders>
              <w:top w:val="single" w:sz="4" w:space="0" w:color="FFFFFF" w:themeColor="background1"/>
            </w:tcBorders>
            <w:hideMark/>
          </w:tcPr>
          <w:p w14:paraId="66E8E7CF" w14:textId="77777777" w:rsidR="000448B7" w:rsidRPr="00FB0A3A" w:rsidRDefault="000448B7" w:rsidP="001B5220">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0,00</w:t>
            </w:r>
          </w:p>
        </w:tc>
        <w:tc>
          <w:tcPr>
            <w:tcW w:w="1594" w:type="dxa"/>
            <w:tcBorders>
              <w:top w:val="single" w:sz="4" w:space="0" w:color="FFFFFF" w:themeColor="background1"/>
            </w:tcBorders>
            <w:hideMark/>
          </w:tcPr>
          <w:p w14:paraId="1011ECBC" w14:textId="77777777" w:rsidR="000448B7" w:rsidRPr="00FB0A3A" w:rsidRDefault="000448B7" w:rsidP="001B5220">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-38 489,02</w:t>
            </w:r>
          </w:p>
        </w:tc>
      </w:tr>
    </w:tbl>
    <w:p w14:paraId="04B46B58" w14:textId="183D0C40" w:rsidR="007A6016" w:rsidRPr="00FB0A3A" w:rsidRDefault="007A6016" w:rsidP="001B5220">
      <w:pPr>
        <w:tabs>
          <w:tab w:val="left" w:pos="1134"/>
        </w:tabs>
        <w:spacing w:before="240" w:after="0" w:line="360" w:lineRule="auto"/>
        <w:jc w:val="both"/>
        <w:rPr>
          <w:rFonts w:ascii="Myriad Pro" w:eastAsia="Calibri" w:hAnsi="Myriad Pro" w:cs="Times New Roman"/>
          <w:b/>
          <w:i/>
          <w:sz w:val="26"/>
          <w:szCs w:val="26"/>
        </w:rPr>
      </w:pPr>
      <w:r w:rsidRPr="00FB0A3A">
        <w:rPr>
          <w:rFonts w:ascii="Myriad Pro" w:eastAsia="Calibri" w:hAnsi="Myriad Pro" w:cs="Times New Roman"/>
          <w:b/>
          <w:i/>
          <w:sz w:val="26"/>
          <w:szCs w:val="26"/>
        </w:rPr>
        <w:t>Расходы на оплату труда</w:t>
      </w:r>
    </w:p>
    <w:p w14:paraId="43BF50E5" w14:textId="517063B6" w:rsidR="007A6016" w:rsidRPr="00FB0A3A" w:rsidRDefault="007A6016"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 xml:space="preserve">В соответствии с п. 26 Основ ценообразования </w:t>
      </w:r>
      <w:r w:rsidR="00CA2B21" w:rsidRPr="00FB0A3A">
        <w:rPr>
          <w:rFonts w:ascii="Myriad Pro" w:eastAsia="Calibri" w:hAnsi="Myriad Pro" w:cs="Times New Roman"/>
          <w:sz w:val="26"/>
          <w:szCs w:val="26"/>
        </w:rPr>
        <w:t xml:space="preserve">№ 1178 </w:t>
      </w:r>
      <w:r w:rsidRPr="00FB0A3A">
        <w:rPr>
          <w:rFonts w:ascii="Myriad Pro" w:eastAsia="Calibri" w:hAnsi="Myriad Pro" w:cs="Times New Roman"/>
          <w:sz w:val="26"/>
          <w:szCs w:val="26"/>
        </w:rPr>
        <w:t>при определении расходов на оплату труда, включаемых в необходимую валовую выручку, регулирующие органы определяют размер фонда оплаты труда с учетом отраслевых тарифных соглашений, заключенных соответствующими организациями, и фактического объема фонда оплаты труда и фактической численности работников в последнем расчетном периоде регулирования, а также с учетом прогнозного индекса потребительских цен.</w:t>
      </w:r>
    </w:p>
    <w:p w14:paraId="4C9FFD5B" w14:textId="39435A03" w:rsidR="007A6016" w:rsidRPr="00FB0A3A" w:rsidRDefault="00C76E17"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Отраслевое тарифное соглашение в электроэнергетике Российской Федерации на 2013 - 2015 годы</w:t>
      </w:r>
      <w:r w:rsidR="007B5087" w:rsidRPr="00FB0A3A">
        <w:rPr>
          <w:rFonts w:ascii="Myriad Pro" w:eastAsia="Calibri" w:hAnsi="Myriad Pro" w:cs="Times New Roman"/>
          <w:sz w:val="26"/>
          <w:szCs w:val="26"/>
        </w:rPr>
        <w:t xml:space="preserve"> (далее – ОТС на 2013-2015 годы) утверждено Общероссийским отраслевым объединением работодателей электроэнергетики, Общественным объединением </w:t>
      </w:r>
      <w:r w:rsidR="00655FFA" w:rsidRPr="00FB0A3A">
        <w:rPr>
          <w:rFonts w:ascii="Myriad Pro" w:eastAsia="Calibri" w:hAnsi="Myriad Pro" w:cs="Times New Roman"/>
          <w:sz w:val="26"/>
          <w:szCs w:val="26"/>
        </w:rPr>
        <w:t>«</w:t>
      </w:r>
      <w:r w:rsidR="007B5087" w:rsidRPr="00FB0A3A">
        <w:rPr>
          <w:rFonts w:ascii="Myriad Pro" w:eastAsia="Calibri" w:hAnsi="Myriad Pro" w:cs="Times New Roman"/>
          <w:sz w:val="26"/>
          <w:szCs w:val="26"/>
        </w:rPr>
        <w:t>Всероссийский Электропрофсоюз</w:t>
      </w:r>
      <w:r w:rsidR="00655FFA" w:rsidRPr="00FB0A3A">
        <w:rPr>
          <w:rFonts w:ascii="Myriad Pro" w:eastAsia="Calibri" w:hAnsi="Myriad Pro" w:cs="Times New Roman"/>
          <w:sz w:val="26"/>
          <w:szCs w:val="26"/>
        </w:rPr>
        <w:t>»</w:t>
      </w:r>
      <w:r w:rsidR="007B5087" w:rsidRPr="00FB0A3A">
        <w:rPr>
          <w:rFonts w:ascii="Myriad Pro" w:eastAsia="Calibri" w:hAnsi="Myriad Pro" w:cs="Times New Roman"/>
          <w:sz w:val="26"/>
          <w:szCs w:val="26"/>
        </w:rPr>
        <w:t xml:space="preserve"> 18.03.2013 года.</w:t>
      </w:r>
    </w:p>
    <w:p w14:paraId="67E5A064" w14:textId="5E373AF4" w:rsidR="007B5087" w:rsidRPr="00FB0A3A" w:rsidRDefault="007B5087"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Соглашением о порядке, условиях и продлении срока действия Отраслевого тарифного соглашения в электроэнергетике Российской Федерации на 2013 - 2015 годы на период 2016 - 2018 годов (далее - Соглашение на 2016-2018 годы) на период действия Соглашения на 2016-2018 годы продлен срок действия всех без исключения положений Отраслевого тарифного соглашения в электроэнергетике Российской Федерации на 2013 - 2015 годы.</w:t>
      </w:r>
    </w:p>
    <w:p w14:paraId="25E2F87F" w14:textId="337B7424" w:rsidR="00607D24" w:rsidRPr="00FB0A3A" w:rsidRDefault="00607D24"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lastRenderedPageBreak/>
        <w:t>В п.</w:t>
      </w:r>
      <w:r w:rsidR="007A6016" w:rsidRPr="00FB0A3A">
        <w:rPr>
          <w:rFonts w:ascii="Myriad Pro" w:eastAsia="Calibri" w:hAnsi="Myriad Pro" w:cs="Times New Roman"/>
          <w:sz w:val="26"/>
          <w:szCs w:val="26"/>
        </w:rPr>
        <w:t xml:space="preserve"> 3.3 </w:t>
      </w:r>
      <w:r w:rsidRPr="00FB0A3A">
        <w:rPr>
          <w:rFonts w:ascii="Myriad Pro" w:eastAsia="Calibri" w:hAnsi="Myriad Pro" w:cs="Times New Roman"/>
          <w:sz w:val="26"/>
          <w:szCs w:val="26"/>
        </w:rPr>
        <w:t>ОТС на 2013-2015 годы</w:t>
      </w:r>
      <w:r w:rsidR="007A6016" w:rsidRPr="00FB0A3A">
        <w:rPr>
          <w:rFonts w:ascii="Myriad Pro" w:eastAsia="Calibri" w:hAnsi="Myriad Pro" w:cs="Times New Roman"/>
          <w:sz w:val="26"/>
          <w:szCs w:val="26"/>
        </w:rPr>
        <w:t xml:space="preserve"> </w:t>
      </w:r>
      <w:r w:rsidRPr="00FB0A3A">
        <w:rPr>
          <w:rFonts w:ascii="Myriad Pro" w:eastAsia="Calibri" w:hAnsi="Myriad Pro" w:cs="Times New Roman"/>
          <w:sz w:val="26"/>
          <w:szCs w:val="26"/>
        </w:rPr>
        <w:t>указан порядок определения минимальной месячной тарифной ставки</w:t>
      </w:r>
      <w:r w:rsidR="007A6016" w:rsidRPr="00FB0A3A">
        <w:rPr>
          <w:rFonts w:ascii="Myriad Pro" w:eastAsia="Calibri" w:hAnsi="Myriad Pro" w:cs="Times New Roman"/>
          <w:sz w:val="26"/>
          <w:szCs w:val="26"/>
        </w:rPr>
        <w:t xml:space="preserve"> рабочих первого разряда промышленно-производственного персонала (далее – ММТС). </w:t>
      </w:r>
    </w:p>
    <w:p w14:paraId="454BC9AE" w14:textId="01C0EA1A" w:rsidR="007A6016" w:rsidRPr="00FB0A3A" w:rsidRDefault="00607D24"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Р</w:t>
      </w:r>
      <w:r w:rsidR="007A6016" w:rsidRPr="00FB0A3A">
        <w:rPr>
          <w:rFonts w:ascii="Myriad Pro" w:eastAsia="Calibri" w:hAnsi="Myriad Pro" w:cs="Times New Roman"/>
          <w:sz w:val="26"/>
          <w:szCs w:val="26"/>
        </w:rPr>
        <w:t xml:space="preserve">азмер ММТС индексируется один раз в полгода в соответствии с индексом потребительских цен в Российской Федерации </w:t>
      </w:r>
      <w:r w:rsidRPr="00FB0A3A">
        <w:rPr>
          <w:rFonts w:ascii="Myriad Pro" w:eastAsia="Calibri" w:hAnsi="Myriad Pro" w:cs="Times New Roman"/>
          <w:sz w:val="26"/>
          <w:szCs w:val="26"/>
        </w:rPr>
        <w:t xml:space="preserve">(на основании официальных данных Федеральной службы государственной статистики) </w:t>
      </w:r>
      <w:r w:rsidR="007A6016" w:rsidRPr="00FB0A3A">
        <w:rPr>
          <w:rFonts w:ascii="Myriad Pro" w:eastAsia="Calibri" w:hAnsi="Myriad Pro" w:cs="Times New Roman"/>
          <w:sz w:val="26"/>
          <w:szCs w:val="26"/>
        </w:rPr>
        <w:t>за соответствующий полугодичный период, предшествующий индексации.</w:t>
      </w:r>
    </w:p>
    <w:p w14:paraId="386BAB23" w14:textId="387AA19D" w:rsidR="00607D24" w:rsidRPr="00FB0A3A" w:rsidRDefault="00607D24"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 xml:space="preserve">В Организациях, где на момент заключения Соглашения </w:t>
      </w:r>
      <w:r w:rsidR="008608F6" w:rsidRPr="00FB0A3A">
        <w:rPr>
          <w:rFonts w:ascii="Myriad Pro" w:eastAsia="Calibri" w:hAnsi="Myriad Pro" w:cs="Times New Roman"/>
          <w:sz w:val="26"/>
          <w:szCs w:val="26"/>
        </w:rPr>
        <w:t xml:space="preserve">на 2016-2018 годы </w:t>
      </w:r>
      <w:r w:rsidRPr="00FB0A3A">
        <w:rPr>
          <w:rFonts w:ascii="Myriad Pro" w:eastAsia="Calibri" w:hAnsi="Myriad Pro" w:cs="Times New Roman"/>
          <w:sz w:val="26"/>
          <w:szCs w:val="26"/>
        </w:rPr>
        <w:t>размер тарифных ставок рабочих первого разряда превышает ММТС, размер их увеличения определяется сторонами социального партнерства Организаций, но не менее чем на индекс потребительских цен на основании официальных данных Росстата.</w:t>
      </w:r>
    </w:p>
    <w:p w14:paraId="0784FD71" w14:textId="6B28D9F2" w:rsidR="007A6016" w:rsidRPr="00FB0A3A" w:rsidRDefault="005D29BE"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 xml:space="preserve">Согласно </w:t>
      </w:r>
      <w:r w:rsidR="00607D24" w:rsidRPr="00FB0A3A">
        <w:rPr>
          <w:rFonts w:ascii="Myriad Pro" w:eastAsia="Calibri" w:hAnsi="Myriad Pro" w:cs="Times New Roman"/>
          <w:sz w:val="26"/>
          <w:szCs w:val="26"/>
        </w:rPr>
        <w:t>п.</w:t>
      </w:r>
      <w:r w:rsidR="007A6016" w:rsidRPr="00FB0A3A">
        <w:rPr>
          <w:rFonts w:ascii="Myriad Pro" w:eastAsia="Calibri" w:hAnsi="Myriad Pro" w:cs="Times New Roman"/>
          <w:sz w:val="26"/>
          <w:szCs w:val="26"/>
        </w:rPr>
        <w:t xml:space="preserve"> 2 Соглашения </w:t>
      </w:r>
      <w:r w:rsidR="00607D24" w:rsidRPr="00FB0A3A">
        <w:rPr>
          <w:rFonts w:ascii="Myriad Pro" w:eastAsia="Calibri" w:hAnsi="Myriad Pro" w:cs="Times New Roman"/>
          <w:sz w:val="26"/>
          <w:szCs w:val="26"/>
        </w:rPr>
        <w:t>на 2016-2018 годы</w:t>
      </w:r>
      <w:r w:rsidR="007A6016" w:rsidRPr="00FB0A3A">
        <w:rPr>
          <w:rFonts w:ascii="Myriad Pro" w:eastAsia="Calibri" w:hAnsi="Myriad Pro" w:cs="Times New Roman"/>
          <w:sz w:val="26"/>
          <w:szCs w:val="26"/>
        </w:rPr>
        <w:t xml:space="preserve"> индексация ММТС производится один раз в полгода в соответствии с индексом потребительских цен в Российской Федерации за соответствующий полугодичный период, предшествующий индексации (на основании данных Федеральной службы государственной статистики и совместного письма Объединения РаЭл и ВЭП).</w:t>
      </w:r>
    </w:p>
    <w:p w14:paraId="1DAD99EA" w14:textId="3C25940D" w:rsidR="00C05697" w:rsidRPr="00FB0A3A" w:rsidRDefault="00C05697"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 xml:space="preserve">В соответствии </w:t>
      </w:r>
      <w:r w:rsidR="00EB4B64" w:rsidRPr="00FB0A3A">
        <w:rPr>
          <w:rFonts w:ascii="Myriad Pro" w:eastAsia="Calibri" w:hAnsi="Myriad Pro" w:cs="Times New Roman"/>
          <w:sz w:val="26"/>
          <w:szCs w:val="26"/>
        </w:rPr>
        <w:t>с п. 8.4. ОТС на 2013-2015 годы расходы (средства), направляемые на оплату труда, рассчитываются, исходя из численности работников списочного состава и числа вакантных рабочих мест (но не выше нормативной численности) с учетом нормативной численности на вновь вводимые объекты, размера ММТС, среднего тарифного коэффициента по Организации и состоят из:</w:t>
      </w:r>
    </w:p>
    <w:p w14:paraId="321004D3" w14:textId="7B9A1D1D" w:rsidR="00EB4B64" w:rsidRPr="00FB0A3A" w:rsidRDefault="00EB4B64"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8.4.1. Тарифной составляющей расходов (средств), направляемых на оплату труда, которая рассчитывается, исходя из ММТС и среднего тарифного коэффициента по Организации. В связи с опережающим повышением размера ММТС в соответствии с ОТС на 2013-2015 годы работодатели обращаются в тарифорегулирующие органы с расчетами, учитывающими пропорциональное увеличение ММТС;</w:t>
      </w:r>
    </w:p>
    <w:p w14:paraId="6F95B8F5" w14:textId="2B95D5B7" w:rsidR="00C05697" w:rsidRPr="00FB0A3A" w:rsidRDefault="00EB4B64"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8.4.2. Средств, направляемых на премирование работников, доплат, надбавок и других выплат в составе средств на оплату труда, которые состоят из:</w:t>
      </w:r>
    </w:p>
    <w:p w14:paraId="41B70CDD" w14:textId="31A87226" w:rsidR="00C05697" w:rsidRPr="00FB0A3A" w:rsidRDefault="00C05697"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lastRenderedPageBreak/>
        <w:t xml:space="preserve">8.4.2.1. Доплат, надбавок к тарифным ставкам и должностным окладам стимулирующего и (или) компенсирующего характера, связанных с режимом работы и условиями труда, в размере не менее 12,5 процентов тарифной составляющей расходов (средств), направляемых на оплату труда. </w:t>
      </w:r>
    </w:p>
    <w:p w14:paraId="10D15AFC" w14:textId="439819E0" w:rsidR="00C05697" w:rsidRPr="00FB0A3A" w:rsidRDefault="00C05697"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8.4.2.2. Доплат (надбавок) стимулирующего характера, размер и порядок установления которых определяется</w:t>
      </w:r>
      <w:r w:rsidR="005D29BE" w:rsidRPr="00FB0A3A">
        <w:rPr>
          <w:rFonts w:ascii="Myriad Pro" w:eastAsia="Calibri" w:hAnsi="Myriad Pro" w:cs="Times New Roman"/>
          <w:sz w:val="26"/>
          <w:szCs w:val="26"/>
        </w:rPr>
        <w:t xml:space="preserve"> непосредственно в Организации;</w:t>
      </w:r>
    </w:p>
    <w:p w14:paraId="4A9C3503" w14:textId="77777777" w:rsidR="00C05697" w:rsidRPr="00FB0A3A" w:rsidRDefault="00C05697"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8.4.2.3. Премий за основные результаты производственно-хозяйственной (финансово-хозяйственной) деятельности - в размере не менее 75 процентов тарифной составляющей расходов (средств), направляемых на оплату труда, с учетом сумм доплат и надбавок, связанных с режимом и условиями труда;</w:t>
      </w:r>
    </w:p>
    <w:p w14:paraId="65AA8828" w14:textId="77777777" w:rsidR="00C05697" w:rsidRPr="00FB0A3A" w:rsidRDefault="00C05697"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8.4.2.4. Вознаграждения по итогам работы за год - в размере не менее 33 процентов тарифной составляющей расходов (средств), направляемых на оплату труда (что составляет не менее 3,96 должностного оклада за полный год);</w:t>
      </w:r>
    </w:p>
    <w:p w14:paraId="5A365F17" w14:textId="77777777" w:rsidR="00C05697" w:rsidRPr="00FB0A3A" w:rsidRDefault="00C05697"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8.4.2.5. Вознаграждения за выслугу лет - в размере не менее 15 процентов тарифной составляющей расходов (средств), направляемых на оплату труда (что составляет не менее 1,8 должностного оклада за полный год);</w:t>
      </w:r>
    </w:p>
    <w:p w14:paraId="72EAD928" w14:textId="7BA4CDBF" w:rsidR="00C05697" w:rsidRPr="00FB0A3A" w:rsidRDefault="00C05697"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 xml:space="preserve">8.4.2.6. Иные виды премирования работников, в том числе по показателям, предусмотренным пунктом 3.12 </w:t>
      </w:r>
      <w:r w:rsidR="00EB4B64" w:rsidRPr="00FB0A3A">
        <w:rPr>
          <w:rFonts w:ascii="Myriad Pro" w:eastAsia="Calibri" w:hAnsi="Myriad Pro" w:cs="Times New Roman"/>
          <w:sz w:val="26"/>
          <w:szCs w:val="26"/>
        </w:rPr>
        <w:t>ОТС на 2013-2015 годы</w:t>
      </w:r>
      <w:r w:rsidRPr="00FB0A3A">
        <w:rPr>
          <w:rFonts w:ascii="Myriad Pro" w:eastAsia="Calibri" w:hAnsi="Myriad Pro" w:cs="Times New Roman"/>
          <w:sz w:val="26"/>
          <w:szCs w:val="26"/>
        </w:rPr>
        <w:t>;</w:t>
      </w:r>
    </w:p>
    <w:p w14:paraId="09508AB5" w14:textId="62DCD712" w:rsidR="00C05697" w:rsidRPr="00FB0A3A" w:rsidRDefault="00C05697"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8.4.2.7. Выплат компенсационного характера за работу вне места постоянного проживания или в местностях с особыми климатическими условиями, осуществляемых в соответствии с законод</w:t>
      </w:r>
      <w:r w:rsidR="005D29BE" w:rsidRPr="00FB0A3A">
        <w:rPr>
          <w:rFonts w:ascii="Myriad Pro" w:eastAsia="Calibri" w:hAnsi="Myriad Pro" w:cs="Times New Roman"/>
          <w:sz w:val="26"/>
          <w:szCs w:val="26"/>
        </w:rPr>
        <w:t>ательством Российской Федерации.</w:t>
      </w:r>
    </w:p>
    <w:p w14:paraId="65A053ED" w14:textId="5627A05A" w:rsidR="00CC197E" w:rsidRPr="00FB0A3A" w:rsidRDefault="003E0E81"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 xml:space="preserve">Нормативная численность </w:t>
      </w:r>
      <w:r w:rsidR="001B371A" w:rsidRPr="00FB0A3A">
        <w:rPr>
          <w:rFonts w:ascii="Myriad Pro" w:eastAsia="Calibri" w:hAnsi="Myriad Pro" w:cs="Times New Roman"/>
          <w:sz w:val="26"/>
          <w:szCs w:val="26"/>
        </w:rPr>
        <w:t xml:space="preserve">персонала определена </w:t>
      </w:r>
      <w:r w:rsidRPr="00FB0A3A">
        <w:rPr>
          <w:rFonts w:ascii="Myriad Pro" w:eastAsia="Calibri" w:hAnsi="Myriad Pro" w:cs="Times New Roman"/>
          <w:sz w:val="26"/>
          <w:szCs w:val="26"/>
        </w:rPr>
        <w:t xml:space="preserve">в соответствии с </w:t>
      </w:r>
      <w:r w:rsidR="001B371A" w:rsidRPr="00FB0A3A">
        <w:rPr>
          <w:rFonts w:ascii="Myriad Pro" w:eastAsia="Calibri" w:hAnsi="Myriad Pro" w:cs="Times New Roman"/>
          <w:sz w:val="26"/>
          <w:szCs w:val="26"/>
        </w:rPr>
        <w:t xml:space="preserve">Нормативами численности промышленно-производственного персонала распределительных электрических сетей, разработанными ОАО </w:t>
      </w:r>
      <w:r w:rsidR="00655FFA" w:rsidRPr="00FB0A3A">
        <w:rPr>
          <w:rFonts w:ascii="Myriad Pro" w:eastAsia="Calibri" w:hAnsi="Myriad Pro" w:cs="Times New Roman"/>
          <w:sz w:val="26"/>
          <w:szCs w:val="26"/>
        </w:rPr>
        <w:t>«</w:t>
      </w:r>
      <w:r w:rsidR="001B371A" w:rsidRPr="00FB0A3A">
        <w:rPr>
          <w:rFonts w:ascii="Myriad Pro" w:eastAsia="Calibri" w:hAnsi="Myriad Pro" w:cs="Times New Roman"/>
          <w:sz w:val="26"/>
          <w:szCs w:val="26"/>
        </w:rPr>
        <w:t>ЦОТэнерго</w:t>
      </w:r>
      <w:r w:rsidR="00655FFA" w:rsidRPr="00FB0A3A">
        <w:rPr>
          <w:rFonts w:ascii="Myriad Pro" w:eastAsia="Calibri" w:hAnsi="Myriad Pro" w:cs="Times New Roman"/>
          <w:sz w:val="26"/>
          <w:szCs w:val="26"/>
        </w:rPr>
        <w:t>»</w:t>
      </w:r>
      <w:r w:rsidR="001B371A" w:rsidRPr="00FB0A3A">
        <w:rPr>
          <w:rFonts w:ascii="Myriad Pro" w:eastAsia="Calibri" w:hAnsi="Myriad Pro" w:cs="Times New Roman"/>
          <w:sz w:val="26"/>
          <w:szCs w:val="26"/>
        </w:rPr>
        <w:t xml:space="preserve"> и утвержденными ОАО РАО </w:t>
      </w:r>
      <w:r w:rsidR="00655FFA" w:rsidRPr="00FB0A3A">
        <w:rPr>
          <w:rFonts w:ascii="Myriad Pro" w:eastAsia="Calibri" w:hAnsi="Myriad Pro" w:cs="Times New Roman"/>
          <w:sz w:val="26"/>
          <w:szCs w:val="26"/>
        </w:rPr>
        <w:t>«</w:t>
      </w:r>
      <w:r w:rsidR="001B371A" w:rsidRPr="00FB0A3A">
        <w:rPr>
          <w:rFonts w:ascii="Myriad Pro" w:eastAsia="Calibri" w:hAnsi="Myriad Pro" w:cs="Times New Roman"/>
          <w:sz w:val="26"/>
          <w:szCs w:val="26"/>
        </w:rPr>
        <w:t>ЕЭС России</w:t>
      </w:r>
      <w:r w:rsidR="00655FFA" w:rsidRPr="00FB0A3A">
        <w:rPr>
          <w:rFonts w:ascii="Myriad Pro" w:eastAsia="Calibri" w:hAnsi="Myriad Pro" w:cs="Times New Roman"/>
          <w:sz w:val="26"/>
          <w:szCs w:val="26"/>
        </w:rPr>
        <w:t>»</w:t>
      </w:r>
      <w:r w:rsidR="001B371A" w:rsidRPr="00FB0A3A">
        <w:rPr>
          <w:rFonts w:ascii="Myriad Pro" w:eastAsia="Calibri" w:hAnsi="Myriad Pro" w:cs="Times New Roman"/>
          <w:sz w:val="26"/>
          <w:szCs w:val="26"/>
        </w:rPr>
        <w:t xml:space="preserve"> 03.12.2014. Указанные нормативы </w:t>
      </w:r>
      <w:r w:rsidR="00CC197E" w:rsidRPr="00FB0A3A">
        <w:rPr>
          <w:rFonts w:ascii="Myriad Pro" w:eastAsia="Calibri" w:hAnsi="Myriad Pro" w:cs="Times New Roman"/>
          <w:sz w:val="26"/>
          <w:szCs w:val="26"/>
        </w:rPr>
        <w:t>распространяются на действующие и вновь вводимые электрические сети Единой энергетической системы России, имеющие на своем балансе только объекты распределительных электрических сетей напряжением 35-220 кВ и 0,4-10 кВ.</w:t>
      </w:r>
    </w:p>
    <w:p w14:paraId="4D33C6EC" w14:textId="145ADBF5" w:rsidR="00634658" w:rsidRPr="00FB0A3A" w:rsidRDefault="00CC197E" w:rsidP="001B5220">
      <w:pPr>
        <w:pStyle w:val="afff4"/>
        <w:rPr>
          <w:lang w:val="ru-RU"/>
        </w:rPr>
      </w:pPr>
      <w:r w:rsidRPr="00FB0A3A">
        <w:rPr>
          <w:lang w:val="ru-RU"/>
        </w:rPr>
        <w:t xml:space="preserve">Нормативы являются основанием для расчета и планирования нормативной численности промышленно-производственного персонала распределительных электрических сетей, которая может быть использована для планирования </w:t>
      </w:r>
      <w:r w:rsidRPr="00FB0A3A">
        <w:rPr>
          <w:lang w:val="ru-RU"/>
        </w:rPr>
        <w:lastRenderedPageBreak/>
        <w:t>численности персонала подразделений и в целом предприятий, расчета и планирования фонда оплаты труда и составления штатных расписаний распределительных электрических сетей.</w:t>
      </w:r>
    </w:p>
    <w:tbl>
      <w:tblPr>
        <w:tblStyle w:val="afff6"/>
        <w:tblW w:w="5015" w:type="pct"/>
        <w:tblLook w:val="04A0" w:firstRow="1" w:lastRow="0" w:firstColumn="1" w:lastColumn="0" w:noHBand="0" w:noVBand="1"/>
      </w:tblPr>
      <w:tblGrid>
        <w:gridCol w:w="2011"/>
        <w:gridCol w:w="1241"/>
        <w:gridCol w:w="1962"/>
        <w:gridCol w:w="1426"/>
        <w:gridCol w:w="1699"/>
        <w:gridCol w:w="1033"/>
      </w:tblGrid>
      <w:tr w:rsidR="001B5220" w:rsidRPr="00FB0A3A" w14:paraId="646311B7" w14:textId="77777777" w:rsidTr="00A54C03">
        <w:trPr>
          <w:cnfStyle w:val="100000000000" w:firstRow="1" w:lastRow="0" w:firstColumn="0" w:lastColumn="0" w:oddVBand="0" w:evenVBand="0" w:oddHBand="0" w:evenHBand="0" w:firstRowFirstColumn="0" w:firstRowLastColumn="0" w:lastRowFirstColumn="0" w:lastRowLastColumn="0"/>
          <w:trHeight w:val="1101"/>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181727D9" w14:textId="77777777" w:rsidR="00B232A6" w:rsidRPr="00FB0A3A" w:rsidRDefault="00B232A6" w:rsidP="001B5220">
            <w:pPr>
              <w:tabs>
                <w:tab w:val="left" w:pos="1134"/>
              </w:tabs>
              <w:jc w:val="center"/>
              <w:rPr>
                <w:rFonts w:eastAsia="Calibri" w:cs="Times New Roman"/>
                <w:szCs w:val="18"/>
              </w:rPr>
            </w:pPr>
            <w:r w:rsidRPr="00FB0A3A">
              <w:rPr>
                <w:rFonts w:eastAsia="Calibri" w:cs="Times New Roman"/>
                <w:szCs w:val="18"/>
              </w:rPr>
              <w:t> Наименование статьи</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4B6067A7" w14:textId="03F792F5" w:rsidR="00B232A6" w:rsidRPr="00FB0A3A" w:rsidRDefault="00B232A6" w:rsidP="001B5220">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Факт за 2017,</w:t>
            </w:r>
            <w:r w:rsidR="001B5220" w:rsidRPr="00FB0A3A">
              <w:rPr>
                <w:rFonts w:eastAsia="Calibri" w:cs="Times New Roman"/>
                <w:szCs w:val="18"/>
              </w:rPr>
              <w:br/>
            </w:r>
            <w:r w:rsidRPr="00FB0A3A">
              <w:rPr>
                <w:rFonts w:eastAsia="Calibri" w:cs="Times New Roman"/>
                <w:szCs w:val="18"/>
              </w:rPr>
              <w:t>тыс. руб.</w:t>
            </w:r>
          </w:p>
        </w:tc>
        <w:tc>
          <w:tcPr>
            <w:tcW w:w="10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C7557DF" w14:textId="1B2F7BCF" w:rsidR="00B232A6" w:rsidRPr="00FB0A3A" w:rsidRDefault="00B232A6" w:rsidP="001B5220">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 xml:space="preserve">Заявлено филиалом ПАО </w:t>
            </w:r>
            <w:r w:rsidR="00655FFA" w:rsidRPr="00FB0A3A">
              <w:rPr>
                <w:rFonts w:eastAsia="Calibri" w:cs="Times New Roman"/>
                <w:szCs w:val="18"/>
              </w:rPr>
              <w:t>«</w:t>
            </w:r>
            <w:r w:rsidRPr="00FB0A3A">
              <w:rPr>
                <w:rFonts w:eastAsia="Calibri" w:cs="Times New Roman"/>
                <w:szCs w:val="18"/>
              </w:rPr>
              <w:t>МРСК Северо</w:t>
            </w:r>
            <w:r w:rsidR="00C66F37" w:rsidRPr="00FB0A3A">
              <w:rPr>
                <w:rFonts w:eastAsia="Calibri" w:cs="Times New Roman"/>
                <w:szCs w:val="18"/>
              </w:rPr>
              <w:t>-</w:t>
            </w:r>
            <w:r w:rsidRPr="00FB0A3A">
              <w:rPr>
                <w:rFonts w:eastAsia="Calibri" w:cs="Times New Roman"/>
                <w:szCs w:val="18"/>
              </w:rPr>
              <w:t xml:space="preserve"> Запада</w:t>
            </w:r>
            <w:r w:rsidR="00655FFA" w:rsidRPr="00FB0A3A">
              <w:rPr>
                <w:rFonts w:eastAsia="Calibri" w:cs="Times New Roman"/>
                <w:szCs w:val="18"/>
              </w:rPr>
              <w:t>»</w:t>
            </w:r>
            <w:r w:rsidRPr="00FB0A3A">
              <w:rPr>
                <w:rFonts w:eastAsia="Calibri" w:cs="Times New Roman"/>
                <w:szCs w:val="18"/>
              </w:rPr>
              <w:t xml:space="preserve"> </w:t>
            </w:r>
            <w:r w:rsidR="00655FFA" w:rsidRPr="00FB0A3A">
              <w:rPr>
                <w:rFonts w:eastAsia="Calibri" w:cs="Times New Roman"/>
                <w:szCs w:val="18"/>
              </w:rPr>
              <w:t>«</w:t>
            </w:r>
            <w:r w:rsidRPr="00FB0A3A">
              <w:rPr>
                <w:rFonts w:eastAsia="Calibri" w:cs="Times New Roman"/>
                <w:szCs w:val="18"/>
              </w:rPr>
              <w:t>Колэнерго</w:t>
            </w:r>
            <w:r w:rsidR="00655FFA" w:rsidRPr="00FB0A3A">
              <w:rPr>
                <w:rFonts w:eastAsia="Calibri" w:cs="Times New Roman"/>
                <w:szCs w:val="18"/>
              </w:rPr>
              <w:t>»</w:t>
            </w:r>
            <w:r w:rsidRPr="00FB0A3A">
              <w:rPr>
                <w:rFonts w:eastAsia="Calibri" w:cs="Times New Roman"/>
                <w:szCs w:val="18"/>
              </w:rPr>
              <w:t xml:space="preserve"> на 2019, тыс. руб.</w:t>
            </w:r>
          </w:p>
        </w:tc>
        <w:tc>
          <w:tcPr>
            <w:tcW w:w="7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CB8D68F" w14:textId="77777777" w:rsidR="00B232A6" w:rsidRPr="00FB0A3A" w:rsidRDefault="00B232A6" w:rsidP="001B5220">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ТБР на 2019, тыс. руб.</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A0C0FE7" w14:textId="77777777" w:rsidR="00B232A6" w:rsidRPr="00FB0A3A" w:rsidRDefault="00B232A6" w:rsidP="001B5220">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Отклонение ТБР на 2019/ заявка на 2019, %</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BCAF698" w14:textId="77777777" w:rsidR="00B232A6" w:rsidRPr="00FB0A3A" w:rsidRDefault="00B232A6" w:rsidP="001B5220">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ТБР на 2019 /факт за 2017, %</w:t>
            </w:r>
          </w:p>
        </w:tc>
      </w:tr>
      <w:tr w:rsidR="001B5220" w:rsidRPr="00FB0A3A" w14:paraId="7E8866E1" w14:textId="77777777" w:rsidTr="00A54C03">
        <w:trPr>
          <w:trHeight w:val="533"/>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tcBorders>
            <w:hideMark/>
          </w:tcPr>
          <w:p w14:paraId="47145884" w14:textId="77777777" w:rsidR="00B232A6" w:rsidRPr="00FB0A3A" w:rsidRDefault="00B232A6" w:rsidP="001B5220">
            <w:pPr>
              <w:tabs>
                <w:tab w:val="left" w:pos="1134"/>
              </w:tabs>
              <w:rPr>
                <w:rFonts w:eastAsia="Calibri" w:cs="Times New Roman"/>
                <w:szCs w:val="18"/>
              </w:rPr>
            </w:pPr>
            <w:r w:rsidRPr="00FB0A3A">
              <w:rPr>
                <w:rFonts w:eastAsia="Calibri" w:cs="Times New Roman"/>
                <w:szCs w:val="18"/>
              </w:rPr>
              <w:t>Расходы на оплату труда</w:t>
            </w:r>
          </w:p>
        </w:tc>
        <w:tc>
          <w:tcPr>
            <w:tcW w:w="0" w:type="auto"/>
            <w:tcBorders>
              <w:top w:val="single" w:sz="4" w:space="0" w:color="FFFFFF" w:themeColor="background1"/>
            </w:tcBorders>
            <w:hideMark/>
          </w:tcPr>
          <w:p w14:paraId="7294A960" w14:textId="77777777" w:rsidR="00B232A6" w:rsidRPr="00FB0A3A" w:rsidRDefault="00B232A6" w:rsidP="001B5220">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886 240,34</w:t>
            </w:r>
          </w:p>
        </w:tc>
        <w:tc>
          <w:tcPr>
            <w:tcW w:w="1047" w:type="pct"/>
            <w:tcBorders>
              <w:top w:val="single" w:sz="4" w:space="0" w:color="FFFFFF" w:themeColor="background1"/>
            </w:tcBorders>
            <w:hideMark/>
          </w:tcPr>
          <w:p w14:paraId="4C32B785" w14:textId="77777777" w:rsidR="00B232A6" w:rsidRPr="00FB0A3A" w:rsidRDefault="00B232A6" w:rsidP="001B5220">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1 265 486,04</w:t>
            </w:r>
          </w:p>
        </w:tc>
        <w:tc>
          <w:tcPr>
            <w:tcW w:w="761" w:type="pct"/>
            <w:tcBorders>
              <w:top w:val="single" w:sz="4" w:space="0" w:color="FFFFFF" w:themeColor="background1"/>
            </w:tcBorders>
            <w:hideMark/>
          </w:tcPr>
          <w:p w14:paraId="50B735AB" w14:textId="77777777" w:rsidR="00B232A6" w:rsidRPr="00FB0A3A" w:rsidRDefault="00B232A6" w:rsidP="001B5220">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992 704,37</w:t>
            </w:r>
          </w:p>
        </w:tc>
        <w:tc>
          <w:tcPr>
            <w:tcW w:w="0" w:type="auto"/>
            <w:tcBorders>
              <w:top w:val="single" w:sz="4" w:space="0" w:color="FFFFFF" w:themeColor="background1"/>
            </w:tcBorders>
            <w:hideMark/>
          </w:tcPr>
          <w:p w14:paraId="1F92BE7C" w14:textId="77777777" w:rsidR="00B232A6" w:rsidRPr="00FB0A3A" w:rsidRDefault="00B232A6" w:rsidP="001B5220">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-21,6</w:t>
            </w:r>
          </w:p>
        </w:tc>
        <w:tc>
          <w:tcPr>
            <w:tcW w:w="0" w:type="auto"/>
            <w:tcBorders>
              <w:top w:val="single" w:sz="4" w:space="0" w:color="FFFFFF" w:themeColor="background1"/>
            </w:tcBorders>
            <w:hideMark/>
          </w:tcPr>
          <w:p w14:paraId="5BA25AF6" w14:textId="77777777" w:rsidR="00B232A6" w:rsidRPr="00FB0A3A" w:rsidRDefault="00B232A6" w:rsidP="001B5220">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12,01</w:t>
            </w:r>
          </w:p>
        </w:tc>
      </w:tr>
    </w:tbl>
    <w:p w14:paraId="2246CA1F" w14:textId="3E32F25F" w:rsidR="002D4A32" w:rsidRDefault="002D4A32" w:rsidP="001B5220">
      <w:pPr>
        <w:tabs>
          <w:tab w:val="left" w:pos="1134"/>
        </w:tabs>
        <w:spacing w:after="0" w:line="360" w:lineRule="auto"/>
        <w:contextualSpacing/>
        <w:jc w:val="both"/>
        <w:rPr>
          <w:rFonts w:ascii="Myriad Pro" w:eastAsia="Calibri" w:hAnsi="Myriad Pro" w:cs="Times New Roman"/>
          <w:b/>
          <w:sz w:val="26"/>
          <w:szCs w:val="26"/>
        </w:rPr>
      </w:pPr>
    </w:p>
    <w:p w14:paraId="62ED6D4A" w14:textId="151358EA" w:rsidR="00607D24" w:rsidRPr="00FB0A3A" w:rsidRDefault="001B371A" w:rsidP="001B5220">
      <w:pPr>
        <w:tabs>
          <w:tab w:val="left" w:pos="1134"/>
        </w:tabs>
        <w:spacing w:after="0" w:line="360" w:lineRule="auto"/>
        <w:contextualSpacing/>
        <w:jc w:val="both"/>
        <w:rPr>
          <w:rFonts w:ascii="Myriad Pro" w:eastAsia="Calibri" w:hAnsi="Myriad Pro" w:cs="Times New Roman"/>
          <w:b/>
          <w:sz w:val="26"/>
          <w:szCs w:val="26"/>
        </w:rPr>
      </w:pPr>
      <w:r w:rsidRPr="00FB0A3A">
        <w:rPr>
          <w:rFonts w:ascii="Myriad Pro" w:eastAsia="Calibri" w:hAnsi="Myriad Pro" w:cs="Times New Roman"/>
          <w:b/>
          <w:sz w:val="26"/>
          <w:szCs w:val="26"/>
        </w:rPr>
        <w:t>ПОЗИЦИЯ ТЕРРИТОРИАЛЬНОЙ СЕТЕВОЙ ОРГАНИЗАЦИИ</w:t>
      </w:r>
    </w:p>
    <w:p w14:paraId="083354D2" w14:textId="0326D15B" w:rsidR="004A69C5" w:rsidRPr="00FB0A3A" w:rsidRDefault="004A69C5"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 xml:space="preserve">Расходы на оплату труда определены филиалом </w:t>
      </w:r>
      <w:r w:rsidR="00350B0A" w:rsidRPr="00FB0A3A">
        <w:rPr>
          <w:rFonts w:ascii="Myriad Pro" w:eastAsia="Calibri" w:hAnsi="Myriad Pro" w:cs="Times New Roman"/>
          <w:sz w:val="26"/>
          <w:szCs w:val="26"/>
        </w:rPr>
        <w:t xml:space="preserve">ПАО </w:t>
      </w:r>
      <w:r w:rsidR="00655FFA" w:rsidRPr="00FB0A3A">
        <w:rPr>
          <w:rFonts w:ascii="Myriad Pro" w:eastAsia="Calibri" w:hAnsi="Myriad Pro" w:cs="Times New Roman"/>
          <w:sz w:val="26"/>
          <w:szCs w:val="26"/>
        </w:rPr>
        <w:t>«</w:t>
      </w:r>
      <w:r w:rsidR="00350B0A" w:rsidRPr="00FB0A3A">
        <w:rPr>
          <w:rFonts w:ascii="Myriad Pro" w:eastAsia="Calibri" w:hAnsi="Myriad Pro" w:cs="Times New Roman"/>
          <w:sz w:val="26"/>
          <w:szCs w:val="26"/>
        </w:rPr>
        <w:t>МРСК Северо-Запада</w:t>
      </w:r>
      <w:r w:rsidR="00655FFA" w:rsidRPr="00FB0A3A">
        <w:rPr>
          <w:rFonts w:ascii="Myriad Pro" w:eastAsia="Calibri" w:hAnsi="Myriad Pro" w:cs="Times New Roman"/>
          <w:sz w:val="26"/>
          <w:szCs w:val="26"/>
        </w:rPr>
        <w:t>»</w:t>
      </w:r>
      <w:r w:rsidR="00350B0A" w:rsidRPr="00FB0A3A">
        <w:rPr>
          <w:rFonts w:ascii="Myriad Pro" w:eastAsia="Calibri" w:hAnsi="Myriad Pro" w:cs="Times New Roman"/>
          <w:sz w:val="26"/>
          <w:szCs w:val="26"/>
        </w:rPr>
        <w:t xml:space="preserve"> </w:t>
      </w:r>
      <w:r w:rsidR="00655FFA" w:rsidRPr="00FB0A3A">
        <w:rPr>
          <w:rFonts w:ascii="Myriad Pro" w:eastAsia="Calibri" w:hAnsi="Myriad Pro" w:cs="Times New Roman"/>
          <w:sz w:val="26"/>
          <w:szCs w:val="26"/>
        </w:rPr>
        <w:t>«</w:t>
      </w:r>
      <w:r w:rsidR="00350B0A" w:rsidRPr="00FB0A3A">
        <w:rPr>
          <w:rFonts w:ascii="Myriad Pro" w:eastAsia="Calibri" w:hAnsi="Myriad Pro" w:cs="Times New Roman"/>
          <w:sz w:val="26"/>
          <w:szCs w:val="26"/>
        </w:rPr>
        <w:t>Колэнерго</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 xml:space="preserve"> в нео</w:t>
      </w:r>
      <w:r w:rsidR="00B232A6" w:rsidRPr="00FB0A3A">
        <w:rPr>
          <w:rFonts w:ascii="Myriad Pro" w:eastAsia="Calibri" w:hAnsi="Myriad Pro" w:cs="Times New Roman"/>
          <w:sz w:val="26"/>
          <w:szCs w:val="26"/>
        </w:rPr>
        <w:t>бходимой валовой выручке на 2019</w:t>
      </w:r>
      <w:r w:rsidRPr="00FB0A3A">
        <w:rPr>
          <w:rFonts w:ascii="Myriad Pro" w:eastAsia="Calibri" w:hAnsi="Myriad Pro" w:cs="Times New Roman"/>
          <w:sz w:val="26"/>
          <w:szCs w:val="26"/>
        </w:rPr>
        <w:t xml:space="preserve"> год и предъявлены в составе заявления </w:t>
      </w:r>
      <w:r w:rsidR="00B232A6" w:rsidRPr="00FB0A3A">
        <w:rPr>
          <w:rFonts w:ascii="Myriad Pro" w:eastAsia="Calibri" w:hAnsi="Myriad Pro" w:cs="Times New Roman"/>
          <w:sz w:val="26"/>
          <w:szCs w:val="26"/>
        </w:rPr>
        <w:t xml:space="preserve">от 28.04.2018 №МР2/4/02/3129 </w:t>
      </w:r>
      <w:r w:rsidRPr="00FB0A3A">
        <w:rPr>
          <w:rFonts w:ascii="Myriad Pro" w:eastAsia="Calibri" w:hAnsi="Myriad Pro" w:cs="Times New Roman"/>
          <w:sz w:val="26"/>
          <w:szCs w:val="26"/>
        </w:rPr>
        <w:t xml:space="preserve">об установлении тарифов на услуги по передаче электрической энергии в размере </w:t>
      </w:r>
      <w:r w:rsidR="00B232A6" w:rsidRPr="00FB0A3A">
        <w:rPr>
          <w:rFonts w:ascii="Myriad Pro" w:eastAsia="Calibri" w:hAnsi="Myriad Pro" w:cs="Times New Roman"/>
          <w:sz w:val="26"/>
          <w:szCs w:val="26"/>
        </w:rPr>
        <w:t>1 265 486,04</w:t>
      </w:r>
      <w:r w:rsidR="0098488A" w:rsidRPr="00FB0A3A">
        <w:rPr>
          <w:rFonts w:ascii="Myriad Pro" w:eastAsia="Calibri" w:hAnsi="Myriad Pro" w:cs="Times New Roman"/>
          <w:sz w:val="26"/>
          <w:szCs w:val="26"/>
        </w:rPr>
        <w:t xml:space="preserve"> </w:t>
      </w:r>
      <w:r w:rsidRPr="00FB0A3A">
        <w:rPr>
          <w:rFonts w:ascii="Myriad Pro" w:eastAsia="Calibri" w:hAnsi="Myriad Pro" w:cs="Times New Roman"/>
          <w:sz w:val="26"/>
          <w:szCs w:val="26"/>
        </w:rPr>
        <w:t>тыс. руб.</w:t>
      </w:r>
    </w:p>
    <w:p w14:paraId="6D8D2D63" w14:textId="2456CA72" w:rsidR="00091877" w:rsidRPr="00FB0A3A" w:rsidRDefault="00091877"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 xml:space="preserve">Расчет средств на оплату труда в тарифе производился в соответствии с порядком, определенным в Отраслевом тарифном соглашении, Коллективным договором ПАО </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МРСК Северо-Запада</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 Трудовым кодексом Российской Федерации и фактическим объемом фонда оплаты труда в последнем расчетн</w:t>
      </w:r>
      <w:r w:rsidR="003C3007" w:rsidRPr="00FB0A3A">
        <w:rPr>
          <w:rFonts w:ascii="Myriad Pro" w:eastAsia="Calibri" w:hAnsi="Myriad Pro" w:cs="Times New Roman"/>
          <w:sz w:val="26"/>
          <w:szCs w:val="26"/>
        </w:rPr>
        <w:t>ом периоде регулирования, а так</w:t>
      </w:r>
      <w:r w:rsidRPr="00FB0A3A">
        <w:rPr>
          <w:rFonts w:ascii="Myriad Pro" w:eastAsia="Calibri" w:hAnsi="Myriad Pro" w:cs="Times New Roman"/>
          <w:sz w:val="26"/>
          <w:szCs w:val="26"/>
        </w:rPr>
        <w:t>же с учетом прогнозного ИПЦ Минэкономразвития РФ.</w:t>
      </w:r>
    </w:p>
    <w:p w14:paraId="5C132952" w14:textId="1C615D6B" w:rsidR="00091877" w:rsidRPr="00FB0A3A" w:rsidRDefault="00091877"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 xml:space="preserve"> При формировании затрат на оплату труда на 2018 год в соответствии с Коллективным договором в расчете с 01.01.2018 принята минимальная тарифная ставка рабочего 1 разряда </w:t>
      </w:r>
      <w:r w:rsidR="00D57B12" w:rsidRPr="00FB0A3A">
        <w:rPr>
          <w:rFonts w:ascii="Myriad Pro" w:eastAsia="Calibri" w:hAnsi="Myriad Pro" w:cs="Times New Roman"/>
          <w:sz w:val="26"/>
          <w:szCs w:val="26"/>
        </w:rPr>
        <w:t xml:space="preserve">в размере </w:t>
      </w:r>
      <w:r w:rsidRPr="00FB0A3A">
        <w:rPr>
          <w:rFonts w:ascii="Myriad Pro" w:eastAsia="Calibri" w:hAnsi="Myriad Pro" w:cs="Times New Roman"/>
          <w:sz w:val="26"/>
          <w:szCs w:val="26"/>
        </w:rPr>
        <w:t>7772 руб.</w:t>
      </w:r>
    </w:p>
    <w:p w14:paraId="66252074" w14:textId="37F7861D" w:rsidR="00091877" w:rsidRPr="00FB0A3A" w:rsidRDefault="00091877" w:rsidP="00A54C03">
      <w:pPr>
        <w:pStyle w:val="afff4"/>
        <w:rPr>
          <w:lang w:val="ru-RU"/>
        </w:rPr>
      </w:pPr>
      <w:r w:rsidRPr="00FB0A3A">
        <w:rPr>
          <w:lang w:val="ru-RU"/>
        </w:rPr>
        <w:t xml:space="preserve">При расчете численности, заявляемой в тариф на передачу электроэнергии, принята фактически сложившаяся среднесписочная численность работников филиала ПАО </w:t>
      </w:r>
      <w:r w:rsidR="00655FFA" w:rsidRPr="00FB0A3A">
        <w:rPr>
          <w:lang w:val="ru-RU"/>
        </w:rPr>
        <w:t>«</w:t>
      </w:r>
      <w:r w:rsidRPr="00FB0A3A">
        <w:rPr>
          <w:lang w:val="ru-RU"/>
        </w:rPr>
        <w:t>МРСК Северо-Запада</w:t>
      </w:r>
      <w:r w:rsidR="00655FFA" w:rsidRPr="00FB0A3A">
        <w:rPr>
          <w:lang w:val="ru-RU"/>
        </w:rPr>
        <w:t>»</w:t>
      </w:r>
      <w:r w:rsidRPr="00FB0A3A">
        <w:rPr>
          <w:lang w:val="ru-RU"/>
        </w:rPr>
        <w:t xml:space="preserve"> </w:t>
      </w:r>
      <w:r w:rsidR="00655FFA" w:rsidRPr="00FB0A3A">
        <w:rPr>
          <w:lang w:val="ru-RU"/>
        </w:rPr>
        <w:t>«</w:t>
      </w:r>
      <w:r w:rsidRPr="00FB0A3A">
        <w:rPr>
          <w:lang w:val="ru-RU"/>
        </w:rPr>
        <w:t>Колэнерго</w:t>
      </w:r>
      <w:r w:rsidR="00655FFA" w:rsidRPr="00FB0A3A">
        <w:rPr>
          <w:lang w:val="ru-RU"/>
        </w:rPr>
        <w:t>»</w:t>
      </w:r>
      <w:r w:rsidRPr="00FB0A3A">
        <w:rPr>
          <w:lang w:val="ru-RU"/>
        </w:rPr>
        <w:t>, осуществляющих услуги по передаче электроэнергии за 2017 год (в соответствии с формой статистической отчетности П-4- численность составила 1140,9 чел.). Расчет среднесписочной численности за 2017 год на основании отчетов П-4 представлен в нижеследующей таблице:</w:t>
      </w:r>
    </w:p>
    <w:tbl>
      <w:tblPr>
        <w:tblStyle w:val="afff6"/>
        <w:tblW w:w="5000" w:type="pct"/>
        <w:tblLook w:val="04A0" w:firstRow="1" w:lastRow="0" w:firstColumn="1" w:lastColumn="0" w:noHBand="0" w:noVBand="1"/>
      </w:tblPr>
      <w:tblGrid>
        <w:gridCol w:w="2105"/>
        <w:gridCol w:w="1720"/>
        <w:gridCol w:w="1845"/>
        <w:gridCol w:w="1845"/>
        <w:gridCol w:w="1829"/>
      </w:tblGrid>
      <w:tr w:rsidR="00091877" w:rsidRPr="00A54C03" w14:paraId="0634FF92" w14:textId="77777777" w:rsidTr="009071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70DDB983" w14:textId="42E3C11A" w:rsidR="00091877" w:rsidRPr="00A54C03" w:rsidRDefault="00091877" w:rsidP="00A54C03">
            <w:pPr>
              <w:tabs>
                <w:tab w:val="left" w:pos="1134"/>
              </w:tabs>
              <w:jc w:val="center"/>
              <w:rPr>
                <w:rFonts w:eastAsia="Calibri" w:cs="Times New Roman"/>
                <w:szCs w:val="18"/>
              </w:rPr>
            </w:pPr>
            <w:r w:rsidRPr="00A54C03">
              <w:rPr>
                <w:rFonts w:eastAsia="Calibri" w:cs="Times New Roman"/>
                <w:szCs w:val="18"/>
              </w:rPr>
              <w:lastRenderedPageBreak/>
              <w:t>Месяц</w:t>
            </w:r>
          </w:p>
        </w:tc>
        <w:tc>
          <w:tcPr>
            <w:tcW w:w="9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522CF3A" w14:textId="60A8C81C" w:rsidR="00091877" w:rsidRPr="00A54C03" w:rsidRDefault="00091877" w:rsidP="00A54C03">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Cs w:val="18"/>
              </w:rPr>
            </w:pPr>
            <w:r w:rsidRPr="00A54C03">
              <w:rPr>
                <w:rFonts w:eastAsia="Calibri" w:cs="Times New Roman"/>
                <w:szCs w:val="18"/>
              </w:rPr>
              <w:t>Передача отражено в расчете ФОТ на 2018 год, чел.</w:t>
            </w:r>
          </w:p>
        </w:tc>
        <w:tc>
          <w:tcPr>
            <w:tcW w:w="9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2374A8A2" w14:textId="286D8A95" w:rsidR="00091877" w:rsidRPr="00A54C03" w:rsidRDefault="00091877" w:rsidP="00A54C03">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Cs w:val="18"/>
              </w:rPr>
            </w:pPr>
            <w:r w:rsidRPr="00A54C03">
              <w:rPr>
                <w:rFonts w:eastAsia="Calibri" w:cs="Times New Roman"/>
                <w:szCs w:val="18"/>
              </w:rPr>
              <w:t>К</w:t>
            </w:r>
            <w:r w:rsidR="002D4A32" w:rsidRPr="00A54C03">
              <w:rPr>
                <w:rFonts w:eastAsia="Calibri" w:cs="Times New Roman"/>
                <w:szCs w:val="18"/>
              </w:rPr>
              <w:t>оличество</w:t>
            </w:r>
            <w:r w:rsidR="00B860F1" w:rsidRPr="00A54C03">
              <w:rPr>
                <w:rFonts w:eastAsia="Calibri" w:cs="Times New Roman"/>
                <w:szCs w:val="18"/>
              </w:rPr>
              <w:t xml:space="preserve"> человек,</w:t>
            </w:r>
            <w:r w:rsidR="00B860F1" w:rsidRPr="00A54C03">
              <w:rPr>
                <w:rFonts w:eastAsia="Calibri" w:cs="Times New Roman"/>
                <w:szCs w:val="18"/>
              </w:rPr>
              <w:br/>
            </w:r>
            <w:r w:rsidR="00015159" w:rsidRPr="00A54C03">
              <w:rPr>
                <w:rFonts w:eastAsia="Calibri" w:cs="Times New Roman"/>
                <w:szCs w:val="18"/>
              </w:rPr>
              <w:t>относящихся  к ТП</w:t>
            </w:r>
          </w:p>
        </w:tc>
        <w:tc>
          <w:tcPr>
            <w:tcW w:w="8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4D760A0B" w14:textId="770D37BE" w:rsidR="00091877" w:rsidRPr="00A54C03" w:rsidRDefault="002D4A32" w:rsidP="00A54C03">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Cs w:val="18"/>
              </w:rPr>
            </w:pPr>
            <w:r w:rsidRPr="00A54C03">
              <w:rPr>
                <w:rFonts w:eastAsia="Calibri" w:cs="Times New Roman"/>
                <w:szCs w:val="18"/>
              </w:rPr>
              <w:t xml:space="preserve">Количество </w:t>
            </w:r>
            <w:r w:rsidR="00091877" w:rsidRPr="00A54C03">
              <w:rPr>
                <w:rFonts w:eastAsia="Calibri" w:cs="Times New Roman"/>
                <w:szCs w:val="18"/>
              </w:rPr>
              <w:t>человек</w:t>
            </w:r>
            <w:r w:rsidR="00B860F1" w:rsidRPr="00A54C03">
              <w:rPr>
                <w:rFonts w:eastAsia="Calibri" w:cs="Times New Roman"/>
                <w:szCs w:val="18"/>
              </w:rPr>
              <w:t>,</w:t>
            </w:r>
            <w:r w:rsidR="00B860F1" w:rsidRPr="00A54C03">
              <w:rPr>
                <w:rFonts w:eastAsia="Calibri" w:cs="Times New Roman"/>
                <w:szCs w:val="18"/>
              </w:rPr>
              <w:br/>
            </w:r>
            <w:r w:rsidR="00091877" w:rsidRPr="00A54C03">
              <w:rPr>
                <w:rFonts w:eastAsia="Calibri" w:cs="Times New Roman"/>
                <w:szCs w:val="18"/>
              </w:rPr>
              <w:t>относящихся  ОКС</w:t>
            </w:r>
          </w:p>
        </w:tc>
        <w:tc>
          <w:tcPr>
            <w:tcW w:w="10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46C34DE" w14:textId="6F01023E" w:rsidR="00091877" w:rsidRPr="00A54C03" w:rsidRDefault="00091877" w:rsidP="00A54C03">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Cs w:val="18"/>
              </w:rPr>
            </w:pPr>
            <w:r w:rsidRPr="00A54C03">
              <w:rPr>
                <w:rFonts w:eastAsia="Calibri" w:cs="Times New Roman"/>
                <w:szCs w:val="18"/>
              </w:rPr>
              <w:t>Итого передача с ТП и ОКС, отражено в П-4</w:t>
            </w:r>
          </w:p>
        </w:tc>
      </w:tr>
      <w:tr w:rsidR="00091877" w:rsidRPr="00A54C03" w14:paraId="7FCD906D" w14:textId="77777777" w:rsidTr="00A54C03">
        <w:trPr>
          <w:trHeight w:val="16"/>
        </w:trPr>
        <w:tc>
          <w:tcPr>
            <w:cnfStyle w:val="001000000000" w:firstRow="0" w:lastRow="0" w:firstColumn="1" w:lastColumn="0" w:oddVBand="0" w:evenVBand="0" w:oddHBand="0" w:evenHBand="0" w:firstRowFirstColumn="0" w:firstRowLastColumn="0" w:lastRowFirstColumn="0" w:lastRowLastColumn="0"/>
            <w:tcW w:w="1190" w:type="pct"/>
            <w:tcBorders>
              <w:top w:val="single" w:sz="4" w:space="0" w:color="FFFFFF" w:themeColor="background1"/>
            </w:tcBorders>
            <w:noWrap/>
            <w:hideMark/>
          </w:tcPr>
          <w:p w14:paraId="3A3D2C20" w14:textId="77777777" w:rsidR="00091877" w:rsidRPr="00A54C03" w:rsidRDefault="00091877" w:rsidP="00A54C03">
            <w:pPr>
              <w:tabs>
                <w:tab w:val="left" w:pos="1134"/>
              </w:tabs>
              <w:rPr>
                <w:rFonts w:eastAsia="Calibri" w:cs="Times New Roman"/>
                <w:szCs w:val="18"/>
              </w:rPr>
            </w:pPr>
            <w:r w:rsidRPr="00A54C03">
              <w:rPr>
                <w:rFonts w:eastAsia="Calibri" w:cs="Times New Roman"/>
                <w:szCs w:val="18"/>
              </w:rPr>
              <w:t>Январь 2017</w:t>
            </w:r>
          </w:p>
        </w:tc>
        <w:tc>
          <w:tcPr>
            <w:tcW w:w="984" w:type="pct"/>
            <w:tcBorders>
              <w:top w:val="single" w:sz="4" w:space="0" w:color="FFFFFF" w:themeColor="background1"/>
            </w:tcBorders>
            <w:noWrap/>
            <w:hideMark/>
          </w:tcPr>
          <w:p w14:paraId="57D2A848" w14:textId="77777777" w:rsidR="00091877" w:rsidRPr="00A54C03" w:rsidRDefault="00091877" w:rsidP="00A54C0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A54C03">
              <w:rPr>
                <w:rFonts w:eastAsia="Calibri" w:cs="Times New Roman"/>
                <w:szCs w:val="18"/>
              </w:rPr>
              <w:t>1 128,7</w:t>
            </w:r>
          </w:p>
        </w:tc>
        <w:tc>
          <w:tcPr>
            <w:tcW w:w="925" w:type="pct"/>
            <w:tcBorders>
              <w:top w:val="single" w:sz="4" w:space="0" w:color="FFFFFF" w:themeColor="background1"/>
            </w:tcBorders>
            <w:noWrap/>
            <w:hideMark/>
          </w:tcPr>
          <w:p w14:paraId="478EB822" w14:textId="77777777" w:rsidR="00091877" w:rsidRPr="00A54C03" w:rsidRDefault="00091877" w:rsidP="00A54C0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A54C03">
              <w:rPr>
                <w:rFonts w:eastAsia="Calibri" w:cs="Times New Roman"/>
                <w:szCs w:val="18"/>
              </w:rPr>
              <w:t>13,5</w:t>
            </w:r>
          </w:p>
        </w:tc>
        <w:tc>
          <w:tcPr>
            <w:tcW w:w="859" w:type="pct"/>
            <w:tcBorders>
              <w:top w:val="single" w:sz="4" w:space="0" w:color="FFFFFF" w:themeColor="background1"/>
            </w:tcBorders>
            <w:noWrap/>
            <w:hideMark/>
          </w:tcPr>
          <w:p w14:paraId="493AD25C" w14:textId="77777777" w:rsidR="00091877" w:rsidRPr="00A54C03" w:rsidRDefault="00091877" w:rsidP="00A54C0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A54C03">
              <w:rPr>
                <w:rFonts w:eastAsia="Calibri" w:cs="Times New Roman"/>
                <w:szCs w:val="18"/>
              </w:rPr>
              <w:t>14,0</w:t>
            </w:r>
          </w:p>
        </w:tc>
        <w:tc>
          <w:tcPr>
            <w:tcW w:w="1043" w:type="pct"/>
            <w:tcBorders>
              <w:top w:val="single" w:sz="4" w:space="0" w:color="FFFFFF" w:themeColor="background1"/>
            </w:tcBorders>
            <w:noWrap/>
            <w:hideMark/>
          </w:tcPr>
          <w:p w14:paraId="70A4DD60" w14:textId="77777777" w:rsidR="00091877" w:rsidRPr="00A54C03" w:rsidRDefault="00091877" w:rsidP="00A54C0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A54C03">
              <w:rPr>
                <w:rFonts w:eastAsia="Calibri" w:cs="Times New Roman"/>
                <w:szCs w:val="18"/>
              </w:rPr>
              <w:t>1 156,2</w:t>
            </w:r>
          </w:p>
        </w:tc>
      </w:tr>
      <w:tr w:rsidR="00091877" w:rsidRPr="00A54C03" w14:paraId="47A17A63" w14:textId="77777777" w:rsidTr="00A54C03">
        <w:trPr>
          <w:trHeight w:val="19"/>
        </w:trPr>
        <w:tc>
          <w:tcPr>
            <w:cnfStyle w:val="001000000000" w:firstRow="0" w:lastRow="0" w:firstColumn="1" w:lastColumn="0" w:oddVBand="0" w:evenVBand="0" w:oddHBand="0" w:evenHBand="0" w:firstRowFirstColumn="0" w:firstRowLastColumn="0" w:lastRowFirstColumn="0" w:lastRowLastColumn="0"/>
            <w:tcW w:w="1190" w:type="pct"/>
            <w:noWrap/>
            <w:hideMark/>
          </w:tcPr>
          <w:p w14:paraId="0C2A9CD0" w14:textId="77777777" w:rsidR="00091877" w:rsidRPr="00A54C03" w:rsidRDefault="00091877" w:rsidP="00A54C03">
            <w:pPr>
              <w:tabs>
                <w:tab w:val="left" w:pos="1134"/>
              </w:tabs>
              <w:rPr>
                <w:rFonts w:eastAsia="Calibri" w:cs="Times New Roman"/>
                <w:szCs w:val="18"/>
              </w:rPr>
            </w:pPr>
            <w:r w:rsidRPr="00A54C03">
              <w:rPr>
                <w:rFonts w:eastAsia="Calibri" w:cs="Times New Roman"/>
                <w:szCs w:val="18"/>
              </w:rPr>
              <w:t>Февраль 2017</w:t>
            </w:r>
          </w:p>
        </w:tc>
        <w:tc>
          <w:tcPr>
            <w:tcW w:w="984" w:type="pct"/>
            <w:noWrap/>
            <w:hideMark/>
          </w:tcPr>
          <w:p w14:paraId="59CE8ABD" w14:textId="77777777" w:rsidR="00091877" w:rsidRPr="00A54C03" w:rsidRDefault="00091877" w:rsidP="00A54C0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A54C03">
              <w:rPr>
                <w:rFonts w:eastAsia="Calibri" w:cs="Times New Roman"/>
                <w:szCs w:val="18"/>
              </w:rPr>
              <w:t>1 129,9</w:t>
            </w:r>
          </w:p>
        </w:tc>
        <w:tc>
          <w:tcPr>
            <w:tcW w:w="925" w:type="pct"/>
            <w:noWrap/>
            <w:hideMark/>
          </w:tcPr>
          <w:p w14:paraId="63AD50D2" w14:textId="77777777" w:rsidR="00091877" w:rsidRPr="00A54C03" w:rsidRDefault="00091877" w:rsidP="00A54C0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A54C03">
              <w:rPr>
                <w:rFonts w:eastAsia="Calibri" w:cs="Times New Roman"/>
                <w:szCs w:val="18"/>
              </w:rPr>
              <w:t>13,9</w:t>
            </w:r>
          </w:p>
        </w:tc>
        <w:tc>
          <w:tcPr>
            <w:tcW w:w="859" w:type="pct"/>
            <w:noWrap/>
            <w:hideMark/>
          </w:tcPr>
          <w:p w14:paraId="0B02722B" w14:textId="77777777" w:rsidR="00091877" w:rsidRPr="00A54C03" w:rsidRDefault="00091877" w:rsidP="00A54C0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A54C03">
              <w:rPr>
                <w:rFonts w:eastAsia="Calibri" w:cs="Times New Roman"/>
                <w:szCs w:val="18"/>
              </w:rPr>
              <w:t>14,0</w:t>
            </w:r>
          </w:p>
        </w:tc>
        <w:tc>
          <w:tcPr>
            <w:tcW w:w="1043" w:type="pct"/>
            <w:noWrap/>
            <w:hideMark/>
          </w:tcPr>
          <w:p w14:paraId="77E281FB" w14:textId="77777777" w:rsidR="00091877" w:rsidRPr="00A54C03" w:rsidRDefault="00091877" w:rsidP="00A54C0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A54C03">
              <w:rPr>
                <w:rFonts w:eastAsia="Calibri" w:cs="Times New Roman"/>
                <w:szCs w:val="18"/>
              </w:rPr>
              <w:t>1 157,8</w:t>
            </w:r>
          </w:p>
        </w:tc>
      </w:tr>
      <w:tr w:rsidR="00091877" w:rsidRPr="00A54C03" w14:paraId="1FDDAED2" w14:textId="77777777" w:rsidTr="002D4A32">
        <w:tc>
          <w:tcPr>
            <w:cnfStyle w:val="001000000000" w:firstRow="0" w:lastRow="0" w:firstColumn="1" w:lastColumn="0" w:oddVBand="0" w:evenVBand="0" w:oddHBand="0" w:evenHBand="0" w:firstRowFirstColumn="0" w:firstRowLastColumn="0" w:lastRowFirstColumn="0" w:lastRowLastColumn="0"/>
            <w:tcW w:w="1190" w:type="pct"/>
            <w:noWrap/>
            <w:hideMark/>
          </w:tcPr>
          <w:p w14:paraId="18E0F9B7" w14:textId="77777777" w:rsidR="00091877" w:rsidRPr="00A54C03" w:rsidRDefault="00091877" w:rsidP="00A54C03">
            <w:pPr>
              <w:tabs>
                <w:tab w:val="left" w:pos="1134"/>
              </w:tabs>
              <w:rPr>
                <w:rFonts w:eastAsia="Calibri" w:cs="Times New Roman"/>
                <w:szCs w:val="18"/>
              </w:rPr>
            </w:pPr>
            <w:r w:rsidRPr="00A54C03">
              <w:rPr>
                <w:rFonts w:eastAsia="Calibri" w:cs="Times New Roman"/>
                <w:szCs w:val="18"/>
              </w:rPr>
              <w:t>Март 2017</w:t>
            </w:r>
          </w:p>
        </w:tc>
        <w:tc>
          <w:tcPr>
            <w:tcW w:w="984" w:type="pct"/>
            <w:noWrap/>
            <w:hideMark/>
          </w:tcPr>
          <w:p w14:paraId="09D89B7B" w14:textId="77777777" w:rsidR="00091877" w:rsidRPr="00A54C03" w:rsidRDefault="00091877" w:rsidP="00A54C0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A54C03">
              <w:rPr>
                <w:rFonts w:eastAsia="Calibri" w:cs="Times New Roman"/>
                <w:szCs w:val="18"/>
              </w:rPr>
              <w:t>1 132,7</w:t>
            </w:r>
          </w:p>
        </w:tc>
        <w:tc>
          <w:tcPr>
            <w:tcW w:w="925" w:type="pct"/>
            <w:noWrap/>
            <w:hideMark/>
          </w:tcPr>
          <w:p w14:paraId="55D1616C" w14:textId="77777777" w:rsidR="00091877" w:rsidRPr="00A54C03" w:rsidRDefault="00091877" w:rsidP="00A54C0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A54C03">
              <w:rPr>
                <w:rFonts w:eastAsia="Calibri" w:cs="Times New Roman"/>
                <w:szCs w:val="18"/>
              </w:rPr>
              <w:t>13,9</w:t>
            </w:r>
          </w:p>
        </w:tc>
        <w:tc>
          <w:tcPr>
            <w:tcW w:w="859" w:type="pct"/>
            <w:noWrap/>
            <w:hideMark/>
          </w:tcPr>
          <w:p w14:paraId="5C935EB9" w14:textId="77777777" w:rsidR="00091877" w:rsidRPr="00A54C03" w:rsidRDefault="00091877" w:rsidP="00A54C0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A54C03">
              <w:rPr>
                <w:rFonts w:eastAsia="Calibri" w:cs="Times New Roman"/>
                <w:szCs w:val="18"/>
              </w:rPr>
              <w:t>14,0</w:t>
            </w:r>
          </w:p>
        </w:tc>
        <w:tc>
          <w:tcPr>
            <w:tcW w:w="1043" w:type="pct"/>
            <w:noWrap/>
            <w:hideMark/>
          </w:tcPr>
          <w:p w14:paraId="1CA5CE07" w14:textId="77777777" w:rsidR="00091877" w:rsidRPr="00A54C03" w:rsidRDefault="00091877" w:rsidP="00A54C0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A54C03">
              <w:rPr>
                <w:rFonts w:eastAsia="Calibri" w:cs="Times New Roman"/>
                <w:szCs w:val="18"/>
              </w:rPr>
              <w:t>1 160,6</w:t>
            </w:r>
          </w:p>
        </w:tc>
      </w:tr>
      <w:tr w:rsidR="00091877" w:rsidRPr="00A54C03" w14:paraId="62C831DB" w14:textId="77777777" w:rsidTr="002D4A32">
        <w:tc>
          <w:tcPr>
            <w:cnfStyle w:val="001000000000" w:firstRow="0" w:lastRow="0" w:firstColumn="1" w:lastColumn="0" w:oddVBand="0" w:evenVBand="0" w:oddHBand="0" w:evenHBand="0" w:firstRowFirstColumn="0" w:firstRowLastColumn="0" w:lastRowFirstColumn="0" w:lastRowLastColumn="0"/>
            <w:tcW w:w="1190" w:type="pct"/>
            <w:noWrap/>
            <w:hideMark/>
          </w:tcPr>
          <w:p w14:paraId="168884AF" w14:textId="77777777" w:rsidR="00091877" w:rsidRPr="00A54C03" w:rsidRDefault="00091877" w:rsidP="00A54C03">
            <w:pPr>
              <w:tabs>
                <w:tab w:val="left" w:pos="1134"/>
              </w:tabs>
              <w:rPr>
                <w:rFonts w:eastAsia="Calibri" w:cs="Times New Roman"/>
                <w:szCs w:val="18"/>
              </w:rPr>
            </w:pPr>
            <w:r w:rsidRPr="00A54C03">
              <w:rPr>
                <w:rFonts w:eastAsia="Calibri" w:cs="Times New Roman"/>
                <w:szCs w:val="18"/>
              </w:rPr>
              <w:t>Апрель 2017</w:t>
            </w:r>
          </w:p>
        </w:tc>
        <w:tc>
          <w:tcPr>
            <w:tcW w:w="984" w:type="pct"/>
            <w:noWrap/>
            <w:hideMark/>
          </w:tcPr>
          <w:p w14:paraId="0E56F19D" w14:textId="77777777" w:rsidR="00091877" w:rsidRPr="00A54C03" w:rsidRDefault="00091877" w:rsidP="00A54C0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A54C03">
              <w:rPr>
                <w:rFonts w:eastAsia="Calibri" w:cs="Times New Roman"/>
                <w:szCs w:val="18"/>
              </w:rPr>
              <w:t>1 136,9</w:t>
            </w:r>
          </w:p>
        </w:tc>
        <w:tc>
          <w:tcPr>
            <w:tcW w:w="925" w:type="pct"/>
            <w:noWrap/>
            <w:hideMark/>
          </w:tcPr>
          <w:p w14:paraId="387FC4D0" w14:textId="77777777" w:rsidR="00091877" w:rsidRPr="00A54C03" w:rsidRDefault="00091877" w:rsidP="00A54C0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A54C03">
              <w:rPr>
                <w:rFonts w:eastAsia="Calibri" w:cs="Times New Roman"/>
                <w:szCs w:val="18"/>
              </w:rPr>
              <w:t>13,9</w:t>
            </w:r>
          </w:p>
        </w:tc>
        <w:tc>
          <w:tcPr>
            <w:tcW w:w="859" w:type="pct"/>
            <w:noWrap/>
            <w:hideMark/>
          </w:tcPr>
          <w:p w14:paraId="18AE42EC" w14:textId="77777777" w:rsidR="00091877" w:rsidRPr="00A54C03" w:rsidRDefault="00091877" w:rsidP="00A54C0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A54C03">
              <w:rPr>
                <w:rFonts w:eastAsia="Calibri" w:cs="Times New Roman"/>
                <w:szCs w:val="18"/>
              </w:rPr>
              <w:t>15,0</w:t>
            </w:r>
          </w:p>
        </w:tc>
        <w:tc>
          <w:tcPr>
            <w:tcW w:w="1043" w:type="pct"/>
            <w:noWrap/>
            <w:hideMark/>
          </w:tcPr>
          <w:p w14:paraId="704A05AA" w14:textId="77777777" w:rsidR="00091877" w:rsidRPr="00A54C03" w:rsidRDefault="00091877" w:rsidP="00A54C0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A54C03">
              <w:rPr>
                <w:rFonts w:eastAsia="Calibri" w:cs="Times New Roman"/>
                <w:szCs w:val="18"/>
              </w:rPr>
              <w:t>1 165,8</w:t>
            </w:r>
          </w:p>
        </w:tc>
      </w:tr>
      <w:tr w:rsidR="00091877" w:rsidRPr="00A54C03" w14:paraId="77F0C686" w14:textId="77777777" w:rsidTr="002D4A32">
        <w:tc>
          <w:tcPr>
            <w:cnfStyle w:val="001000000000" w:firstRow="0" w:lastRow="0" w:firstColumn="1" w:lastColumn="0" w:oddVBand="0" w:evenVBand="0" w:oddHBand="0" w:evenHBand="0" w:firstRowFirstColumn="0" w:firstRowLastColumn="0" w:lastRowFirstColumn="0" w:lastRowLastColumn="0"/>
            <w:tcW w:w="1190" w:type="pct"/>
            <w:noWrap/>
            <w:hideMark/>
          </w:tcPr>
          <w:p w14:paraId="352D9C5D" w14:textId="77777777" w:rsidR="00091877" w:rsidRPr="00A54C03" w:rsidRDefault="00091877" w:rsidP="00A54C03">
            <w:pPr>
              <w:tabs>
                <w:tab w:val="left" w:pos="1134"/>
              </w:tabs>
              <w:rPr>
                <w:rFonts w:eastAsia="Calibri" w:cs="Times New Roman"/>
                <w:szCs w:val="18"/>
              </w:rPr>
            </w:pPr>
            <w:r w:rsidRPr="00A54C03">
              <w:rPr>
                <w:rFonts w:eastAsia="Calibri" w:cs="Times New Roman"/>
                <w:szCs w:val="18"/>
              </w:rPr>
              <w:t>Май 2017</w:t>
            </w:r>
          </w:p>
        </w:tc>
        <w:tc>
          <w:tcPr>
            <w:tcW w:w="984" w:type="pct"/>
            <w:noWrap/>
            <w:hideMark/>
          </w:tcPr>
          <w:p w14:paraId="31D474A7" w14:textId="77777777" w:rsidR="00091877" w:rsidRPr="00A54C03" w:rsidRDefault="00091877" w:rsidP="00A54C0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A54C03">
              <w:rPr>
                <w:rFonts w:eastAsia="Calibri" w:cs="Times New Roman"/>
                <w:szCs w:val="18"/>
              </w:rPr>
              <w:t>1 135,7</w:t>
            </w:r>
          </w:p>
        </w:tc>
        <w:tc>
          <w:tcPr>
            <w:tcW w:w="925" w:type="pct"/>
            <w:noWrap/>
            <w:hideMark/>
          </w:tcPr>
          <w:p w14:paraId="3E8BEE7A" w14:textId="77777777" w:rsidR="00091877" w:rsidRPr="00A54C03" w:rsidRDefault="00091877" w:rsidP="00A54C0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A54C03">
              <w:rPr>
                <w:rFonts w:eastAsia="Calibri" w:cs="Times New Roman"/>
                <w:szCs w:val="18"/>
              </w:rPr>
              <w:t>13,6</w:t>
            </w:r>
          </w:p>
        </w:tc>
        <w:tc>
          <w:tcPr>
            <w:tcW w:w="859" w:type="pct"/>
            <w:noWrap/>
            <w:hideMark/>
          </w:tcPr>
          <w:p w14:paraId="1948A6EC" w14:textId="77777777" w:rsidR="00091877" w:rsidRPr="00A54C03" w:rsidRDefault="00091877" w:rsidP="00A54C0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A54C03">
              <w:rPr>
                <w:rFonts w:eastAsia="Calibri" w:cs="Times New Roman"/>
                <w:szCs w:val="18"/>
              </w:rPr>
              <w:t>15,0</w:t>
            </w:r>
          </w:p>
        </w:tc>
        <w:tc>
          <w:tcPr>
            <w:tcW w:w="1043" w:type="pct"/>
            <w:noWrap/>
            <w:hideMark/>
          </w:tcPr>
          <w:p w14:paraId="13387518" w14:textId="77777777" w:rsidR="00091877" w:rsidRPr="00A54C03" w:rsidRDefault="00091877" w:rsidP="00A54C0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A54C03">
              <w:rPr>
                <w:rFonts w:eastAsia="Calibri" w:cs="Times New Roman"/>
                <w:szCs w:val="18"/>
              </w:rPr>
              <w:t>1 164,3</w:t>
            </w:r>
          </w:p>
        </w:tc>
      </w:tr>
      <w:tr w:rsidR="00091877" w:rsidRPr="00A54C03" w14:paraId="3BC00C07" w14:textId="77777777" w:rsidTr="002D4A32">
        <w:tc>
          <w:tcPr>
            <w:cnfStyle w:val="001000000000" w:firstRow="0" w:lastRow="0" w:firstColumn="1" w:lastColumn="0" w:oddVBand="0" w:evenVBand="0" w:oddHBand="0" w:evenHBand="0" w:firstRowFirstColumn="0" w:firstRowLastColumn="0" w:lastRowFirstColumn="0" w:lastRowLastColumn="0"/>
            <w:tcW w:w="1190" w:type="pct"/>
            <w:noWrap/>
            <w:hideMark/>
          </w:tcPr>
          <w:p w14:paraId="6AFCF458" w14:textId="77777777" w:rsidR="00091877" w:rsidRPr="00A54C03" w:rsidRDefault="00091877" w:rsidP="00A54C03">
            <w:pPr>
              <w:tabs>
                <w:tab w:val="left" w:pos="1134"/>
              </w:tabs>
              <w:rPr>
                <w:rFonts w:eastAsia="Calibri" w:cs="Times New Roman"/>
                <w:szCs w:val="18"/>
              </w:rPr>
            </w:pPr>
            <w:r w:rsidRPr="00A54C03">
              <w:rPr>
                <w:rFonts w:eastAsia="Calibri" w:cs="Times New Roman"/>
                <w:szCs w:val="18"/>
              </w:rPr>
              <w:t>Июнь 2017</w:t>
            </w:r>
          </w:p>
        </w:tc>
        <w:tc>
          <w:tcPr>
            <w:tcW w:w="984" w:type="pct"/>
            <w:noWrap/>
            <w:hideMark/>
          </w:tcPr>
          <w:p w14:paraId="0536C2F1" w14:textId="77777777" w:rsidR="00091877" w:rsidRPr="00A54C03" w:rsidRDefault="00091877" w:rsidP="00A54C0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A54C03">
              <w:rPr>
                <w:rFonts w:eastAsia="Calibri" w:cs="Times New Roman"/>
                <w:szCs w:val="18"/>
              </w:rPr>
              <w:t>1 142,8</w:t>
            </w:r>
          </w:p>
        </w:tc>
        <w:tc>
          <w:tcPr>
            <w:tcW w:w="925" w:type="pct"/>
            <w:noWrap/>
            <w:hideMark/>
          </w:tcPr>
          <w:p w14:paraId="20E14B7A" w14:textId="77777777" w:rsidR="00091877" w:rsidRPr="00A54C03" w:rsidRDefault="00091877" w:rsidP="00A54C0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A54C03">
              <w:rPr>
                <w:rFonts w:eastAsia="Calibri" w:cs="Times New Roman"/>
                <w:szCs w:val="18"/>
              </w:rPr>
              <w:t>13,0</w:t>
            </w:r>
          </w:p>
        </w:tc>
        <w:tc>
          <w:tcPr>
            <w:tcW w:w="859" w:type="pct"/>
            <w:noWrap/>
            <w:hideMark/>
          </w:tcPr>
          <w:p w14:paraId="7E195C6F" w14:textId="77777777" w:rsidR="00091877" w:rsidRPr="00A54C03" w:rsidRDefault="00091877" w:rsidP="00A54C0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A54C03">
              <w:rPr>
                <w:rFonts w:eastAsia="Calibri" w:cs="Times New Roman"/>
                <w:szCs w:val="18"/>
              </w:rPr>
              <w:t>15,0</w:t>
            </w:r>
          </w:p>
        </w:tc>
        <w:tc>
          <w:tcPr>
            <w:tcW w:w="1043" w:type="pct"/>
            <w:noWrap/>
            <w:hideMark/>
          </w:tcPr>
          <w:p w14:paraId="2DFC1BB7" w14:textId="77777777" w:rsidR="00091877" w:rsidRPr="00A54C03" w:rsidRDefault="00091877" w:rsidP="00A54C0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A54C03">
              <w:rPr>
                <w:rFonts w:eastAsia="Calibri" w:cs="Times New Roman"/>
                <w:szCs w:val="18"/>
              </w:rPr>
              <w:t>1 170,8</w:t>
            </w:r>
          </w:p>
        </w:tc>
      </w:tr>
      <w:tr w:rsidR="00091877" w:rsidRPr="00A54C03" w14:paraId="6074AA40" w14:textId="77777777" w:rsidTr="002D4A32">
        <w:tc>
          <w:tcPr>
            <w:cnfStyle w:val="001000000000" w:firstRow="0" w:lastRow="0" w:firstColumn="1" w:lastColumn="0" w:oddVBand="0" w:evenVBand="0" w:oddHBand="0" w:evenHBand="0" w:firstRowFirstColumn="0" w:firstRowLastColumn="0" w:lastRowFirstColumn="0" w:lastRowLastColumn="0"/>
            <w:tcW w:w="1190" w:type="pct"/>
            <w:noWrap/>
            <w:hideMark/>
          </w:tcPr>
          <w:p w14:paraId="519A4C7F" w14:textId="77777777" w:rsidR="00091877" w:rsidRPr="00A54C03" w:rsidRDefault="00091877" w:rsidP="00A54C03">
            <w:pPr>
              <w:tabs>
                <w:tab w:val="left" w:pos="1134"/>
              </w:tabs>
              <w:rPr>
                <w:rFonts w:eastAsia="Calibri" w:cs="Times New Roman"/>
                <w:szCs w:val="18"/>
              </w:rPr>
            </w:pPr>
            <w:r w:rsidRPr="00A54C03">
              <w:rPr>
                <w:rFonts w:eastAsia="Calibri" w:cs="Times New Roman"/>
                <w:szCs w:val="18"/>
              </w:rPr>
              <w:t>Июль 2017</w:t>
            </w:r>
          </w:p>
        </w:tc>
        <w:tc>
          <w:tcPr>
            <w:tcW w:w="984" w:type="pct"/>
            <w:noWrap/>
            <w:hideMark/>
          </w:tcPr>
          <w:p w14:paraId="277589D1" w14:textId="77777777" w:rsidR="00091877" w:rsidRPr="00A54C03" w:rsidRDefault="00091877" w:rsidP="00A54C0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A54C03">
              <w:rPr>
                <w:rFonts w:eastAsia="Calibri" w:cs="Times New Roman"/>
                <w:szCs w:val="18"/>
              </w:rPr>
              <w:t>1 140,1</w:t>
            </w:r>
          </w:p>
        </w:tc>
        <w:tc>
          <w:tcPr>
            <w:tcW w:w="925" w:type="pct"/>
            <w:noWrap/>
            <w:hideMark/>
          </w:tcPr>
          <w:p w14:paraId="6334DD0F" w14:textId="77777777" w:rsidR="00091877" w:rsidRPr="00A54C03" w:rsidRDefault="00091877" w:rsidP="00A54C0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A54C03">
              <w:rPr>
                <w:rFonts w:eastAsia="Calibri" w:cs="Times New Roman"/>
                <w:szCs w:val="18"/>
              </w:rPr>
              <w:t>13,1</w:t>
            </w:r>
          </w:p>
        </w:tc>
        <w:tc>
          <w:tcPr>
            <w:tcW w:w="859" w:type="pct"/>
            <w:noWrap/>
            <w:hideMark/>
          </w:tcPr>
          <w:p w14:paraId="7E1162E2" w14:textId="77777777" w:rsidR="00091877" w:rsidRPr="00A54C03" w:rsidRDefault="00091877" w:rsidP="00A54C0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A54C03">
              <w:rPr>
                <w:rFonts w:eastAsia="Calibri" w:cs="Times New Roman"/>
                <w:szCs w:val="18"/>
              </w:rPr>
              <w:t>15,0</w:t>
            </w:r>
          </w:p>
        </w:tc>
        <w:tc>
          <w:tcPr>
            <w:tcW w:w="1043" w:type="pct"/>
            <w:noWrap/>
            <w:hideMark/>
          </w:tcPr>
          <w:p w14:paraId="7C0B8184" w14:textId="77777777" w:rsidR="00091877" w:rsidRPr="00A54C03" w:rsidRDefault="00091877" w:rsidP="00A54C0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A54C03">
              <w:rPr>
                <w:rFonts w:eastAsia="Calibri" w:cs="Times New Roman"/>
                <w:szCs w:val="18"/>
              </w:rPr>
              <w:t>1 168,2</w:t>
            </w:r>
          </w:p>
        </w:tc>
      </w:tr>
      <w:tr w:rsidR="00091877" w:rsidRPr="00A54C03" w14:paraId="79F800DB" w14:textId="77777777" w:rsidTr="002D4A32">
        <w:tc>
          <w:tcPr>
            <w:cnfStyle w:val="001000000000" w:firstRow="0" w:lastRow="0" w:firstColumn="1" w:lastColumn="0" w:oddVBand="0" w:evenVBand="0" w:oddHBand="0" w:evenHBand="0" w:firstRowFirstColumn="0" w:firstRowLastColumn="0" w:lastRowFirstColumn="0" w:lastRowLastColumn="0"/>
            <w:tcW w:w="1190" w:type="pct"/>
            <w:noWrap/>
            <w:hideMark/>
          </w:tcPr>
          <w:p w14:paraId="76B4387B" w14:textId="77777777" w:rsidR="00091877" w:rsidRPr="00A54C03" w:rsidRDefault="00091877" w:rsidP="00A54C03">
            <w:pPr>
              <w:tabs>
                <w:tab w:val="left" w:pos="1134"/>
              </w:tabs>
              <w:rPr>
                <w:rFonts w:eastAsia="Calibri" w:cs="Times New Roman"/>
                <w:szCs w:val="18"/>
              </w:rPr>
            </w:pPr>
            <w:r w:rsidRPr="00A54C03">
              <w:rPr>
                <w:rFonts w:eastAsia="Calibri" w:cs="Times New Roman"/>
                <w:szCs w:val="18"/>
              </w:rPr>
              <w:t>Август 2017</w:t>
            </w:r>
          </w:p>
        </w:tc>
        <w:tc>
          <w:tcPr>
            <w:tcW w:w="984" w:type="pct"/>
            <w:noWrap/>
            <w:hideMark/>
          </w:tcPr>
          <w:p w14:paraId="7AE7C1B6" w14:textId="77777777" w:rsidR="00091877" w:rsidRPr="00A54C03" w:rsidRDefault="00091877" w:rsidP="00A54C0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A54C03">
              <w:rPr>
                <w:rFonts w:eastAsia="Calibri" w:cs="Times New Roman"/>
                <w:szCs w:val="18"/>
              </w:rPr>
              <w:t>1 134,7</w:t>
            </w:r>
          </w:p>
        </w:tc>
        <w:tc>
          <w:tcPr>
            <w:tcW w:w="925" w:type="pct"/>
            <w:noWrap/>
            <w:hideMark/>
          </w:tcPr>
          <w:p w14:paraId="27FF6D36" w14:textId="77777777" w:rsidR="00091877" w:rsidRPr="00A54C03" w:rsidRDefault="00091877" w:rsidP="00A54C0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A54C03">
              <w:rPr>
                <w:rFonts w:eastAsia="Calibri" w:cs="Times New Roman"/>
                <w:szCs w:val="18"/>
              </w:rPr>
              <w:t>14,0</w:t>
            </w:r>
          </w:p>
        </w:tc>
        <w:tc>
          <w:tcPr>
            <w:tcW w:w="859" w:type="pct"/>
            <w:noWrap/>
            <w:hideMark/>
          </w:tcPr>
          <w:p w14:paraId="0D0D8178" w14:textId="77777777" w:rsidR="00091877" w:rsidRPr="00A54C03" w:rsidRDefault="00091877" w:rsidP="00A54C0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A54C03">
              <w:rPr>
                <w:rFonts w:eastAsia="Calibri" w:cs="Times New Roman"/>
                <w:szCs w:val="18"/>
              </w:rPr>
              <w:t>15,0</w:t>
            </w:r>
          </w:p>
        </w:tc>
        <w:tc>
          <w:tcPr>
            <w:tcW w:w="1043" w:type="pct"/>
            <w:noWrap/>
            <w:hideMark/>
          </w:tcPr>
          <w:p w14:paraId="5A2C8BB2" w14:textId="77777777" w:rsidR="00091877" w:rsidRPr="00A54C03" w:rsidRDefault="00091877" w:rsidP="00A54C0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A54C03">
              <w:rPr>
                <w:rFonts w:eastAsia="Calibri" w:cs="Times New Roman"/>
                <w:szCs w:val="18"/>
              </w:rPr>
              <w:t>1 163,7</w:t>
            </w:r>
          </w:p>
        </w:tc>
      </w:tr>
      <w:tr w:rsidR="00091877" w:rsidRPr="00A54C03" w14:paraId="7282D844" w14:textId="77777777" w:rsidTr="002D4A32">
        <w:tc>
          <w:tcPr>
            <w:cnfStyle w:val="001000000000" w:firstRow="0" w:lastRow="0" w:firstColumn="1" w:lastColumn="0" w:oddVBand="0" w:evenVBand="0" w:oddHBand="0" w:evenHBand="0" w:firstRowFirstColumn="0" w:firstRowLastColumn="0" w:lastRowFirstColumn="0" w:lastRowLastColumn="0"/>
            <w:tcW w:w="1190" w:type="pct"/>
            <w:noWrap/>
            <w:hideMark/>
          </w:tcPr>
          <w:p w14:paraId="3A45BF8E" w14:textId="77777777" w:rsidR="00091877" w:rsidRPr="00A54C03" w:rsidRDefault="00091877" w:rsidP="00A54C03">
            <w:pPr>
              <w:tabs>
                <w:tab w:val="left" w:pos="1134"/>
              </w:tabs>
              <w:rPr>
                <w:rFonts w:eastAsia="Calibri" w:cs="Times New Roman"/>
                <w:szCs w:val="18"/>
              </w:rPr>
            </w:pPr>
            <w:r w:rsidRPr="00A54C03">
              <w:rPr>
                <w:rFonts w:eastAsia="Calibri" w:cs="Times New Roman"/>
                <w:szCs w:val="18"/>
              </w:rPr>
              <w:t>Сентябрь 2017</w:t>
            </w:r>
          </w:p>
        </w:tc>
        <w:tc>
          <w:tcPr>
            <w:tcW w:w="984" w:type="pct"/>
            <w:noWrap/>
            <w:hideMark/>
          </w:tcPr>
          <w:p w14:paraId="20D276F1" w14:textId="77777777" w:rsidR="00091877" w:rsidRPr="00A54C03" w:rsidRDefault="00091877" w:rsidP="00A54C0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A54C03">
              <w:rPr>
                <w:rFonts w:eastAsia="Calibri" w:cs="Times New Roman"/>
                <w:szCs w:val="18"/>
              </w:rPr>
              <w:t>1 145,7</w:t>
            </w:r>
          </w:p>
        </w:tc>
        <w:tc>
          <w:tcPr>
            <w:tcW w:w="925" w:type="pct"/>
            <w:noWrap/>
            <w:hideMark/>
          </w:tcPr>
          <w:p w14:paraId="4529B28C" w14:textId="77777777" w:rsidR="00091877" w:rsidRPr="00A54C03" w:rsidRDefault="00091877" w:rsidP="00A54C0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A54C03">
              <w:rPr>
                <w:rFonts w:eastAsia="Calibri" w:cs="Times New Roman"/>
                <w:szCs w:val="18"/>
              </w:rPr>
              <w:t>14,0</w:t>
            </w:r>
          </w:p>
        </w:tc>
        <w:tc>
          <w:tcPr>
            <w:tcW w:w="859" w:type="pct"/>
            <w:noWrap/>
            <w:hideMark/>
          </w:tcPr>
          <w:p w14:paraId="6BB38B22" w14:textId="77777777" w:rsidR="00091877" w:rsidRPr="00A54C03" w:rsidRDefault="00091877" w:rsidP="00A54C0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A54C03">
              <w:rPr>
                <w:rFonts w:eastAsia="Calibri" w:cs="Times New Roman"/>
                <w:szCs w:val="18"/>
              </w:rPr>
              <w:t>15,0</w:t>
            </w:r>
          </w:p>
        </w:tc>
        <w:tc>
          <w:tcPr>
            <w:tcW w:w="1043" w:type="pct"/>
            <w:noWrap/>
            <w:hideMark/>
          </w:tcPr>
          <w:p w14:paraId="61ED953B" w14:textId="77777777" w:rsidR="00091877" w:rsidRPr="00A54C03" w:rsidRDefault="00091877" w:rsidP="00A54C0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A54C03">
              <w:rPr>
                <w:rFonts w:eastAsia="Calibri" w:cs="Times New Roman"/>
                <w:szCs w:val="18"/>
              </w:rPr>
              <w:t>1 174,7</w:t>
            </w:r>
          </w:p>
        </w:tc>
      </w:tr>
      <w:tr w:rsidR="00091877" w:rsidRPr="00A54C03" w14:paraId="2F8E2C2D" w14:textId="77777777" w:rsidTr="002D4A32">
        <w:tc>
          <w:tcPr>
            <w:cnfStyle w:val="001000000000" w:firstRow="0" w:lastRow="0" w:firstColumn="1" w:lastColumn="0" w:oddVBand="0" w:evenVBand="0" w:oddHBand="0" w:evenHBand="0" w:firstRowFirstColumn="0" w:firstRowLastColumn="0" w:lastRowFirstColumn="0" w:lastRowLastColumn="0"/>
            <w:tcW w:w="1190" w:type="pct"/>
            <w:noWrap/>
            <w:hideMark/>
          </w:tcPr>
          <w:p w14:paraId="20AF8EC2" w14:textId="77777777" w:rsidR="00091877" w:rsidRPr="00A54C03" w:rsidRDefault="00091877" w:rsidP="00A54C03">
            <w:pPr>
              <w:tabs>
                <w:tab w:val="left" w:pos="1134"/>
              </w:tabs>
              <w:rPr>
                <w:rFonts w:eastAsia="Calibri" w:cs="Times New Roman"/>
                <w:szCs w:val="18"/>
              </w:rPr>
            </w:pPr>
            <w:r w:rsidRPr="00A54C03">
              <w:rPr>
                <w:rFonts w:eastAsia="Calibri" w:cs="Times New Roman"/>
                <w:szCs w:val="18"/>
              </w:rPr>
              <w:t>Октябрь 2017</w:t>
            </w:r>
          </w:p>
        </w:tc>
        <w:tc>
          <w:tcPr>
            <w:tcW w:w="984" w:type="pct"/>
            <w:noWrap/>
            <w:hideMark/>
          </w:tcPr>
          <w:p w14:paraId="0A046B3E" w14:textId="77777777" w:rsidR="00091877" w:rsidRPr="00A54C03" w:rsidRDefault="00091877" w:rsidP="00A54C0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A54C03">
              <w:rPr>
                <w:rFonts w:eastAsia="Calibri" w:cs="Times New Roman"/>
                <w:szCs w:val="18"/>
              </w:rPr>
              <w:t>1 155,5</w:t>
            </w:r>
          </w:p>
        </w:tc>
        <w:tc>
          <w:tcPr>
            <w:tcW w:w="925" w:type="pct"/>
            <w:noWrap/>
            <w:hideMark/>
          </w:tcPr>
          <w:p w14:paraId="6692D6EE" w14:textId="77777777" w:rsidR="00091877" w:rsidRPr="00A54C03" w:rsidRDefault="00091877" w:rsidP="00A54C0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A54C03">
              <w:rPr>
                <w:rFonts w:eastAsia="Calibri" w:cs="Times New Roman"/>
                <w:szCs w:val="18"/>
              </w:rPr>
              <w:t>14,0</w:t>
            </w:r>
          </w:p>
        </w:tc>
        <w:tc>
          <w:tcPr>
            <w:tcW w:w="859" w:type="pct"/>
            <w:noWrap/>
            <w:hideMark/>
          </w:tcPr>
          <w:p w14:paraId="2A4C4526" w14:textId="77777777" w:rsidR="00091877" w:rsidRPr="00A54C03" w:rsidRDefault="00091877" w:rsidP="00A54C0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A54C03">
              <w:rPr>
                <w:rFonts w:eastAsia="Calibri" w:cs="Times New Roman"/>
                <w:szCs w:val="18"/>
              </w:rPr>
              <w:t>15,0</w:t>
            </w:r>
          </w:p>
        </w:tc>
        <w:tc>
          <w:tcPr>
            <w:tcW w:w="1043" w:type="pct"/>
            <w:noWrap/>
            <w:hideMark/>
          </w:tcPr>
          <w:p w14:paraId="4B0590BB" w14:textId="77777777" w:rsidR="00091877" w:rsidRPr="00A54C03" w:rsidRDefault="00091877" w:rsidP="00A54C0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A54C03">
              <w:rPr>
                <w:rFonts w:eastAsia="Calibri" w:cs="Times New Roman"/>
                <w:szCs w:val="18"/>
              </w:rPr>
              <w:t>1 184,5</w:t>
            </w:r>
          </w:p>
        </w:tc>
      </w:tr>
      <w:tr w:rsidR="00091877" w:rsidRPr="00A54C03" w14:paraId="4F134543" w14:textId="77777777" w:rsidTr="002D4A32">
        <w:tc>
          <w:tcPr>
            <w:cnfStyle w:val="001000000000" w:firstRow="0" w:lastRow="0" w:firstColumn="1" w:lastColumn="0" w:oddVBand="0" w:evenVBand="0" w:oddHBand="0" w:evenHBand="0" w:firstRowFirstColumn="0" w:firstRowLastColumn="0" w:lastRowFirstColumn="0" w:lastRowLastColumn="0"/>
            <w:tcW w:w="1190" w:type="pct"/>
            <w:noWrap/>
            <w:hideMark/>
          </w:tcPr>
          <w:p w14:paraId="7C4196CE" w14:textId="77777777" w:rsidR="00091877" w:rsidRPr="00A54C03" w:rsidRDefault="00091877" w:rsidP="00A54C03">
            <w:pPr>
              <w:tabs>
                <w:tab w:val="left" w:pos="1134"/>
              </w:tabs>
              <w:rPr>
                <w:rFonts w:eastAsia="Calibri" w:cs="Times New Roman"/>
                <w:szCs w:val="18"/>
              </w:rPr>
            </w:pPr>
            <w:r w:rsidRPr="00A54C03">
              <w:rPr>
                <w:rFonts w:eastAsia="Calibri" w:cs="Times New Roman"/>
                <w:szCs w:val="18"/>
              </w:rPr>
              <w:t>Ноябрь 2017</w:t>
            </w:r>
          </w:p>
        </w:tc>
        <w:tc>
          <w:tcPr>
            <w:tcW w:w="984" w:type="pct"/>
            <w:noWrap/>
            <w:hideMark/>
          </w:tcPr>
          <w:p w14:paraId="7B436294" w14:textId="77777777" w:rsidR="00091877" w:rsidRPr="00A54C03" w:rsidRDefault="00091877" w:rsidP="00A54C0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A54C03">
              <w:rPr>
                <w:rFonts w:eastAsia="Calibri" w:cs="Times New Roman"/>
                <w:szCs w:val="18"/>
              </w:rPr>
              <w:t>1 153,2</w:t>
            </w:r>
          </w:p>
        </w:tc>
        <w:tc>
          <w:tcPr>
            <w:tcW w:w="925" w:type="pct"/>
            <w:noWrap/>
            <w:hideMark/>
          </w:tcPr>
          <w:p w14:paraId="6329D0CF" w14:textId="77777777" w:rsidR="00091877" w:rsidRPr="00A54C03" w:rsidRDefault="00091877" w:rsidP="00A54C0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A54C03">
              <w:rPr>
                <w:rFonts w:eastAsia="Calibri" w:cs="Times New Roman"/>
                <w:szCs w:val="18"/>
              </w:rPr>
              <w:t>15,0</w:t>
            </w:r>
          </w:p>
        </w:tc>
        <w:tc>
          <w:tcPr>
            <w:tcW w:w="859" w:type="pct"/>
            <w:noWrap/>
            <w:hideMark/>
          </w:tcPr>
          <w:p w14:paraId="563C7794" w14:textId="77777777" w:rsidR="00091877" w:rsidRPr="00A54C03" w:rsidRDefault="00091877" w:rsidP="00A54C0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A54C03">
              <w:rPr>
                <w:rFonts w:eastAsia="Calibri" w:cs="Times New Roman"/>
                <w:szCs w:val="18"/>
              </w:rPr>
              <w:t>15,0</w:t>
            </w:r>
          </w:p>
        </w:tc>
        <w:tc>
          <w:tcPr>
            <w:tcW w:w="1043" w:type="pct"/>
            <w:noWrap/>
            <w:hideMark/>
          </w:tcPr>
          <w:p w14:paraId="68C4558F" w14:textId="77777777" w:rsidR="00091877" w:rsidRPr="00A54C03" w:rsidRDefault="00091877" w:rsidP="00A54C0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A54C03">
              <w:rPr>
                <w:rFonts w:eastAsia="Calibri" w:cs="Times New Roman"/>
                <w:szCs w:val="18"/>
              </w:rPr>
              <w:t>1 183,2</w:t>
            </w:r>
          </w:p>
        </w:tc>
      </w:tr>
      <w:tr w:rsidR="00091877" w:rsidRPr="00A54C03" w14:paraId="51955EAA" w14:textId="77777777" w:rsidTr="002D4A32">
        <w:tc>
          <w:tcPr>
            <w:cnfStyle w:val="001000000000" w:firstRow="0" w:lastRow="0" w:firstColumn="1" w:lastColumn="0" w:oddVBand="0" w:evenVBand="0" w:oddHBand="0" w:evenHBand="0" w:firstRowFirstColumn="0" w:firstRowLastColumn="0" w:lastRowFirstColumn="0" w:lastRowLastColumn="0"/>
            <w:tcW w:w="1190" w:type="pct"/>
            <w:noWrap/>
            <w:hideMark/>
          </w:tcPr>
          <w:p w14:paraId="3154EDE9" w14:textId="77777777" w:rsidR="00091877" w:rsidRPr="00A54C03" w:rsidRDefault="00091877" w:rsidP="00A54C03">
            <w:pPr>
              <w:tabs>
                <w:tab w:val="left" w:pos="1134"/>
              </w:tabs>
              <w:rPr>
                <w:rFonts w:eastAsia="Calibri" w:cs="Times New Roman"/>
                <w:szCs w:val="18"/>
              </w:rPr>
            </w:pPr>
            <w:r w:rsidRPr="00A54C03">
              <w:rPr>
                <w:rFonts w:eastAsia="Calibri" w:cs="Times New Roman"/>
                <w:szCs w:val="18"/>
              </w:rPr>
              <w:t>Декабрь 2017</w:t>
            </w:r>
          </w:p>
        </w:tc>
        <w:tc>
          <w:tcPr>
            <w:tcW w:w="984" w:type="pct"/>
            <w:noWrap/>
            <w:hideMark/>
          </w:tcPr>
          <w:p w14:paraId="2237E3EE" w14:textId="77777777" w:rsidR="00091877" w:rsidRPr="00A54C03" w:rsidRDefault="00091877" w:rsidP="00A54C0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A54C03">
              <w:rPr>
                <w:rFonts w:eastAsia="Calibri" w:cs="Times New Roman"/>
                <w:szCs w:val="18"/>
              </w:rPr>
              <w:t>1 155,4</w:t>
            </w:r>
          </w:p>
        </w:tc>
        <w:tc>
          <w:tcPr>
            <w:tcW w:w="925" w:type="pct"/>
            <w:noWrap/>
            <w:hideMark/>
          </w:tcPr>
          <w:p w14:paraId="552FE499" w14:textId="77777777" w:rsidR="00091877" w:rsidRPr="00A54C03" w:rsidRDefault="00091877" w:rsidP="00A54C0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A54C03">
              <w:rPr>
                <w:rFonts w:eastAsia="Calibri" w:cs="Times New Roman"/>
                <w:szCs w:val="18"/>
              </w:rPr>
              <w:t>15,0</w:t>
            </w:r>
          </w:p>
        </w:tc>
        <w:tc>
          <w:tcPr>
            <w:tcW w:w="859" w:type="pct"/>
            <w:noWrap/>
            <w:hideMark/>
          </w:tcPr>
          <w:p w14:paraId="296191D5" w14:textId="77777777" w:rsidR="00091877" w:rsidRPr="00A54C03" w:rsidRDefault="00091877" w:rsidP="00A54C0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A54C03">
              <w:rPr>
                <w:rFonts w:eastAsia="Calibri" w:cs="Times New Roman"/>
                <w:szCs w:val="18"/>
              </w:rPr>
              <w:t>15,0</w:t>
            </w:r>
          </w:p>
        </w:tc>
        <w:tc>
          <w:tcPr>
            <w:tcW w:w="1043" w:type="pct"/>
            <w:noWrap/>
            <w:hideMark/>
          </w:tcPr>
          <w:p w14:paraId="1F246076" w14:textId="77777777" w:rsidR="00091877" w:rsidRPr="00A54C03" w:rsidRDefault="00091877" w:rsidP="00A54C0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A54C03">
              <w:rPr>
                <w:rFonts w:eastAsia="Calibri" w:cs="Times New Roman"/>
                <w:szCs w:val="18"/>
              </w:rPr>
              <w:t>1 185,4</w:t>
            </w:r>
          </w:p>
        </w:tc>
      </w:tr>
      <w:tr w:rsidR="00091877" w:rsidRPr="00A54C03" w14:paraId="3DA9BD39" w14:textId="77777777" w:rsidTr="002D4A32">
        <w:tc>
          <w:tcPr>
            <w:cnfStyle w:val="001000000000" w:firstRow="0" w:lastRow="0" w:firstColumn="1" w:lastColumn="0" w:oddVBand="0" w:evenVBand="0" w:oddHBand="0" w:evenHBand="0" w:firstRowFirstColumn="0" w:firstRowLastColumn="0" w:lastRowFirstColumn="0" w:lastRowLastColumn="0"/>
            <w:tcW w:w="1190" w:type="pct"/>
            <w:noWrap/>
            <w:hideMark/>
          </w:tcPr>
          <w:p w14:paraId="6A5D8AC1" w14:textId="77777777" w:rsidR="00091877" w:rsidRPr="00A54C03" w:rsidRDefault="00091877" w:rsidP="00A54C03">
            <w:pPr>
              <w:tabs>
                <w:tab w:val="left" w:pos="1134"/>
              </w:tabs>
              <w:rPr>
                <w:rFonts w:eastAsia="Calibri" w:cs="Times New Roman"/>
                <w:szCs w:val="18"/>
              </w:rPr>
            </w:pPr>
            <w:r w:rsidRPr="00A54C03">
              <w:rPr>
                <w:rFonts w:eastAsia="Calibri" w:cs="Times New Roman"/>
                <w:szCs w:val="18"/>
              </w:rPr>
              <w:t>Год 2017</w:t>
            </w:r>
          </w:p>
        </w:tc>
        <w:tc>
          <w:tcPr>
            <w:tcW w:w="984" w:type="pct"/>
            <w:noWrap/>
            <w:hideMark/>
          </w:tcPr>
          <w:p w14:paraId="21A0F6A4" w14:textId="77777777" w:rsidR="00091877" w:rsidRPr="00A54C03" w:rsidRDefault="00091877" w:rsidP="00A54C0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A54C03">
              <w:rPr>
                <w:rFonts w:eastAsia="Calibri" w:cs="Times New Roman"/>
                <w:szCs w:val="18"/>
              </w:rPr>
              <w:t>1 140,9</w:t>
            </w:r>
          </w:p>
        </w:tc>
        <w:tc>
          <w:tcPr>
            <w:tcW w:w="925" w:type="pct"/>
            <w:noWrap/>
            <w:hideMark/>
          </w:tcPr>
          <w:p w14:paraId="3722B3F7" w14:textId="77777777" w:rsidR="00091877" w:rsidRPr="00A54C03" w:rsidRDefault="00091877" w:rsidP="00A54C0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A54C03">
              <w:rPr>
                <w:rFonts w:eastAsia="Calibri" w:cs="Times New Roman"/>
                <w:szCs w:val="18"/>
              </w:rPr>
              <w:t>13,9</w:t>
            </w:r>
          </w:p>
        </w:tc>
        <w:tc>
          <w:tcPr>
            <w:tcW w:w="859" w:type="pct"/>
            <w:noWrap/>
            <w:hideMark/>
          </w:tcPr>
          <w:p w14:paraId="495EE206" w14:textId="77777777" w:rsidR="00091877" w:rsidRPr="00A54C03" w:rsidRDefault="00091877" w:rsidP="00A54C0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A54C03">
              <w:rPr>
                <w:rFonts w:eastAsia="Calibri" w:cs="Times New Roman"/>
                <w:szCs w:val="18"/>
              </w:rPr>
              <w:t>14,8</w:t>
            </w:r>
          </w:p>
        </w:tc>
        <w:tc>
          <w:tcPr>
            <w:tcW w:w="1043" w:type="pct"/>
            <w:noWrap/>
            <w:hideMark/>
          </w:tcPr>
          <w:p w14:paraId="5811CB1B" w14:textId="77777777" w:rsidR="00091877" w:rsidRPr="00A54C03" w:rsidRDefault="00091877" w:rsidP="00A54C0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A54C03">
              <w:rPr>
                <w:rFonts w:eastAsia="Calibri" w:cs="Times New Roman"/>
                <w:szCs w:val="18"/>
              </w:rPr>
              <w:t>1 169,6</w:t>
            </w:r>
          </w:p>
        </w:tc>
      </w:tr>
    </w:tbl>
    <w:p w14:paraId="5EA70D59" w14:textId="7BC83416" w:rsidR="00091877" w:rsidRPr="00C04ABD" w:rsidRDefault="00091877" w:rsidP="00B860F1">
      <w:pPr>
        <w:pStyle w:val="afff7"/>
      </w:pPr>
      <w:r w:rsidRPr="00C04ABD">
        <w:t>На 2018-2019 годы фонд оплаты труда спрогнозирован в количестве 1</w:t>
      </w:r>
      <w:r w:rsidR="006037F0" w:rsidRPr="00C04ABD">
        <w:t> </w:t>
      </w:r>
      <w:r w:rsidRPr="00C04ABD">
        <w:t>182,9 человек с учетом заполнения вакантных мест производственно-промышленного персонала.</w:t>
      </w:r>
    </w:p>
    <w:p w14:paraId="49B7E559" w14:textId="77777777" w:rsidR="00091877" w:rsidRPr="00C04ABD" w:rsidRDefault="00091877"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Средняя ступень оплаты труда и средний тарифный коэффициент рассчитан по утвержденному на 01.01.2018 г. штатному расписанию филиала.</w:t>
      </w:r>
    </w:p>
    <w:p w14:paraId="1A984DC9" w14:textId="4F805DEE" w:rsidR="001B371A" w:rsidRPr="00C04ABD" w:rsidRDefault="004A69C5"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 xml:space="preserve">Для обоснования заявленной суммы расходов на оплату труда филиалом </w:t>
      </w:r>
      <w:r w:rsidR="00655FFA" w:rsidRPr="00C04ABD">
        <w:rPr>
          <w:rFonts w:ascii="Myriad Pro" w:eastAsia="Calibri" w:hAnsi="Myriad Pro" w:cs="Times New Roman"/>
          <w:sz w:val="26"/>
          <w:szCs w:val="26"/>
        </w:rPr>
        <w:t>ПАО</w:t>
      </w:r>
      <w:r w:rsidR="00996030" w:rsidRPr="00C04ABD">
        <w:rPr>
          <w:rFonts w:ascii="Myriad Pro" w:eastAsia="Calibri" w:hAnsi="Myriad Pro" w:cs="Times New Roman"/>
          <w:sz w:val="26"/>
          <w:szCs w:val="26"/>
        </w:rPr>
        <w:t> </w:t>
      </w:r>
      <w:r w:rsidR="00655FFA" w:rsidRPr="00C04ABD">
        <w:rPr>
          <w:rFonts w:ascii="Myriad Pro" w:eastAsia="Calibri" w:hAnsi="Myriad Pro" w:cs="Times New Roman"/>
          <w:sz w:val="26"/>
          <w:szCs w:val="26"/>
        </w:rPr>
        <w:t xml:space="preserve">«МРСК </w:t>
      </w:r>
      <w:r w:rsidR="00350B0A" w:rsidRPr="00C04ABD">
        <w:rPr>
          <w:rFonts w:ascii="Myriad Pro" w:eastAsia="Calibri" w:hAnsi="Myriad Pro" w:cs="Times New Roman"/>
          <w:sz w:val="26"/>
          <w:szCs w:val="26"/>
        </w:rPr>
        <w:t>Северо-Запада</w:t>
      </w:r>
      <w:r w:rsidR="00655FFA" w:rsidRPr="00C04ABD">
        <w:rPr>
          <w:rFonts w:ascii="Myriad Pro" w:eastAsia="Calibri" w:hAnsi="Myriad Pro" w:cs="Times New Roman"/>
          <w:sz w:val="26"/>
          <w:szCs w:val="26"/>
        </w:rPr>
        <w:t>»</w:t>
      </w:r>
      <w:r w:rsidR="00350B0A" w:rsidRPr="00C04ABD">
        <w:rPr>
          <w:rFonts w:ascii="Myriad Pro" w:eastAsia="Calibri" w:hAnsi="Myriad Pro" w:cs="Times New Roman"/>
          <w:sz w:val="26"/>
          <w:szCs w:val="26"/>
        </w:rPr>
        <w:t xml:space="preserve"> </w:t>
      </w:r>
      <w:r w:rsidR="00655FFA" w:rsidRPr="00C04ABD">
        <w:rPr>
          <w:rFonts w:ascii="Myriad Pro" w:eastAsia="Calibri" w:hAnsi="Myriad Pro" w:cs="Times New Roman"/>
          <w:sz w:val="26"/>
          <w:szCs w:val="26"/>
        </w:rPr>
        <w:t>«</w:t>
      </w:r>
      <w:r w:rsidR="00350B0A" w:rsidRPr="00C04ABD">
        <w:rPr>
          <w:rFonts w:ascii="Myriad Pro" w:eastAsia="Calibri" w:hAnsi="Myriad Pro" w:cs="Times New Roman"/>
          <w:sz w:val="26"/>
          <w:szCs w:val="26"/>
        </w:rPr>
        <w:t>Колэнерго</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 xml:space="preserve"> были представлены следующие документы:</w:t>
      </w:r>
    </w:p>
    <w:p w14:paraId="06E8F6C6" w14:textId="77777777" w:rsidR="00B232A6" w:rsidRPr="00C04ABD" w:rsidRDefault="00B232A6"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Расчет расходов на оплату труда с указанием плановых (утвержденных регулятором на 01.01.2017) и фактических расходов за 2017 год, плановых (утвержденных регулятором на 01.01.2018) и ожидаемых расходов за 2018 год прогнозных расходов на 2019 год;</w:t>
      </w:r>
    </w:p>
    <w:p w14:paraId="324FD0F6" w14:textId="70698BFF" w:rsidR="00B232A6" w:rsidRPr="00C04ABD" w:rsidRDefault="00B232A6"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 xml:space="preserve">Приказ от 24.01.2018 №3-ОТ об установлении размера ММТС и утверждении штатного расписания филиала ПАО </w:t>
      </w:r>
      <w:r w:rsidR="00655FFA" w:rsidRPr="00C04ABD">
        <w:rPr>
          <w:rFonts w:ascii="Myriad Pro" w:hAnsi="Myriad Pro"/>
          <w:sz w:val="26"/>
          <w:szCs w:val="26"/>
        </w:rPr>
        <w:t>«</w:t>
      </w:r>
      <w:r w:rsidR="00597FD5" w:rsidRPr="00C04ABD">
        <w:rPr>
          <w:rFonts w:ascii="Myriad Pro" w:hAnsi="Myriad Pro"/>
          <w:sz w:val="26"/>
          <w:szCs w:val="26"/>
        </w:rPr>
        <w:t>МРСК Северо-Запада</w:t>
      </w:r>
      <w:r w:rsidR="00655FFA" w:rsidRPr="00C04ABD">
        <w:rPr>
          <w:rFonts w:ascii="Myriad Pro" w:hAnsi="Myriad Pro"/>
          <w:sz w:val="26"/>
          <w:szCs w:val="26"/>
        </w:rPr>
        <w:t>»</w:t>
      </w:r>
      <w:r w:rsidR="00D076DA" w:rsidRPr="00C04ABD">
        <w:rPr>
          <w:rFonts w:ascii="Myriad Pro" w:hAnsi="Myriad Pro"/>
          <w:sz w:val="26"/>
          <w:szCs w:val="26"/>
        </w:rPr>
        <w:t xml:space="preserve"> </w:t>
      </w:r>
      <w:r w:rsidR="00655FFA" w:rsidRPr="00C04ABD">
        <w:rPr>
          <w:rFonts w:ascii="Myriad Pro" w:hAnsi="Myriad Pro"/>
          <w:sz w:val="26"/>
          <w:szCs w:val="26"/>
        </w:rPr>
        <w:t>«</w:t>
      </w:r>
      <w:r w:rsidRPr="00C04ABD">
        <w:rPr>
          <w:rFonts w:ascii="Myriad Pro" w:hAnsi="Myriad Pro"/>
          <w:sz w:val="26"/>
          <w:szCs w:val="26"/>
        </w:rPr>
        <w:t>Колэнерго</w:t>
      </w:r>
      <w:r w:rsidR="00655FFA" w:rsidRPr="00C04ABD">
        <w:rPr>
          <w:rFonts w:ascii="Myriad Pro" w:hAnsi="Myriad Pro"/>
          <w:sz w:val="26"/>
          <w:szCs w:val="26"/>
        </w:rPr>
        <w:t>»</w:t>
      </w:r>
      <w:r w:rsidRPr="00C04ABD">
        <w:rPr>
          <w:rFonts w:ascii="Myriad Pro" w:hAnsi="Myriad Pro"/>
          <w:sz w:val="26"/>
          <w:szCs w:val="26"/>
        </w:rPr>
        <w:t xml:space="preserve"> с 01.01.2018 г.;</w:t>
      </w:r>
    </w:p>
    <w:p w14:paraId="3B104EB3" w14:textId="77777777" w:rsidR="00B232A6" w:rsidRPr="00C04ABD" w:rsidRDefault="00B232A6"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 xml:space="preserve">Штатное расписание на 01.01.2018; </w:t>
      </w:r>
    </w:p>
    <w:p w14:paraId="7BA800FD" w14:textId="7E98DD77" w:rsidR="00B232A6" w:rsidRPr="00C04ABD" w:rsidRDefault="00B232A6"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 xml:space="preserve">Сведения о заработной плате и численности по филиалу ПАО </w:t>
      </w:r>
      <w:r w:rsidR="00655FFA" w:rsidRPr="00C04ABD">
        <w:rPr>
          <w:rFonts w:ascii="Myriad Pro" w:hAnsi="Myriad Pro"/>
          <w:sz w:val="26"/>
          <w:szCs w:val="26"/>
        </w:rPr>
        <w:t>«</w:t>
      </w:r>
      <w:r w:rsidR="00597FD5" w:rsidRPr="00C04ABD">
        <w:rPr>
          <w:rFonts w:ascii="Myriad Pro" w:hAnsi="Myriad Pro"/>
          <w:sz w:val="26"/>
          <w:szCs w:val="26"/>
        </w:rPr>
        <w:t>МРСК Северо-Запада</w:t>
      </w:r>
      <w:r w:rsidR="00655FFA" w:rsidRPr="00C04ABD">
        <w:rPr>
          <w:rFonts w:ascii="Myriad Pro" w:hAnsi="Myriad Pro"/>
          <w:sz w:val="26"/>
          <w:szCs w:val="26"/>
        </w:rPr>
        <w:t>»</w:t>
      </w:r>
      <w:r w:rsidR="00D076DA" w:rsidRPr="00C04ABD">
        <w:rPr>
          <w:rFonts w:ascii="Myriad Pro" w:hAnsi="Myriad Pro"/>
          <w:sz w:val="26"/>
          <w:szCs w:val="26"/>
        </w:rPr>
        <w:t xml:space="preserve"> </w:t>
      </w:r>
      <w:r w:rsidR="00655FFA" w:rsidRPr="00C04ABD">
        <w:rPr>
          <w:rFonts w:ascii="Myriad Pro" w:hAnsi="Myriad Pro"/>
          <w:sz w:val="26"/>
          <w:szCs w:val="26"/>
        </w:rPr>
        <w:t>«</w:t>
      </w:r>
      <w:r w:rsidR="00D076DA" w:rsidRPr="00C04ABD">
        <w:rPr>
          <w:rFonts w:ascii="Myriad Pro" w:hAnsi="Myriad Pro"/>
          <w:sz w:val="26"/>
          <w:szCs w:val="26"/>
        </w:rPr>
        <w:t>Колэнерго</w:t>
      </w:r>
      <w:r w:rsidR="00655FFA" w:rsidRPr="00C04ABD">
        <w:rPr>
          <w:rFonts w:ascii="Myriad Pro" w:hAnsi="Myriad Pro"/>
          <w:sz w:val="26"/>
          <w:szCs w:val="26"/>
        </w:rPr>
        <w:t>»</w:t>
      </w:r>
      <w:r w:rsidRPr="00C04ABD">
        <w:rPr>
          <w:rFonts w:ascii="Myriad Pro" w:hAnsi="Myriad Pro"/>
          <w:sz w:val="26"/>
          <w:szCs w:val="26"/>
        </w:rPr>
        <w:t xml:space="preserve"> за 2017 год;</w:t>
      </w:r>
    </w:p>
    <w:p w14:paraId="773AF38D" w14:textId="77777777" w:rsidR="00B232A6" w:rsidRPr="00C04ABD" w:rsidRDefault="00B232A6"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Свод начислений и удержаний по организации;</w:t>
      </w:r>
    </w:p>
    <w:p w14:paraId="2B9E5BFD" w14:textId="77777777" w:rsidR="00B232A6" w:rsidRPr="00C04ABD" w:rsidRDefault="00B232A6"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lastRenderedPageBreak/>
        <w:t>Перечень вакансий, используемых для расчета прогнозного фонда оплаты труда на 2019 год;</w:t>
      </w:r>
    </w:p>
    <w:p w14:paraId="753BC4CF" w14:textId="77777777" w:rsidR="00B232A6" w:rsidRPr="00C04ABD" w:rsidRDefault="00B232A6"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Расчет средней ступени по оплате труда и среднего тарифного коэффициента;</w:t>
      </w:r>
    </w:p>
    <w:p w14:paraId="10FA397B" w14:textId="77777777" w:rsidR="00B232A6" w:rsidRPr="00C04ABD" w:rsidRDefault="00B232A6"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Расчет процента выплат, связанных с условиями труда;</w:t>
      </w:r>
    </w:p>
    <w:p w14:paraId="6A7BD5F5" w14:textId="77777777" w:rsidR="00B232A6" w:rsidRPr="00C04ABD" w:rsidRDefault="00B232A6"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Расчет среднего процента премии на 2018-2019 гг.;</w:t>
      </w:r>
    </w:p>
    <w:p w14:paraId="2BCC13A3" w14:textId="40019220" w:rsidR="00B232A6" w:rsidRPr="00C04ABD" w:rsidRDefault="00B232A6"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 xml:space="preserve">Расшифровка затрат на компенсацию расходов на оплату стоимости проезда и провоза багажа к месту использования отпуска и обратно работников филиала ПАО </w:t>
      </w:r>
      <w:r w:rsidR="00655FFA" w:rsidRPr="00C04ABD">
        <w:rPr>
          <w:rFonts w:ascii="Myriad Pro" w:hAnsi="Myriad Pro"/>
          <w:sz w:val="26"/>
          <w:szCs w:val="26"/>
        </w:rPr>
        <w:t>«</w:t>
      </w:r>
      <w:r w:rsidR="00597FD5" w:rsidRPr="00C04ABD">
        <w:rPr>
          <w:rFonts w:ascii="Myriad Pro" w:hAnsi="Myriad Pro"/>
          <w:sz w:val="26"/>
          <w:szCs w:val="26"/>
        </w:rPr>
        <w:t>МРСК Северо-Запада</w:t>
      </w:r>
      <w:r w:rsidR="00655FFA" w:rsidRPr="00C04ABD">
        <w:rPr>
          <w:rFonts w:ascii="Myriad Pro" w:hAnsi="Myriad Pro"/>
          <w:sz w:val="26"/>
          <w:szCs w:val="26"/>
        </w:rPr>
        <w:t>»</w:t>
      </w:r>
      <w:r w:rsidR="00D076DA" w:rsidRPr="00C04ABD">
        <w:rPr>
          <w:rFonts w:ascii="Myriad Pro" w:hAnsi="Myriad Pro"/>
          <w:sz w:val="26"/>
          <w:szCs w:val="26"/>
        </w:rPr>
        <w:t xml:space="preserve"> </w:t>
      </w:r>
      <w:r w:rsidR="00655FFA" w:rsidRPr="00C04ABD">
        <w:rPr>
          <w:rFonts w:ascii="Myriad Pro" w:hAnsi="Myriad Pro"/>
          <w:sz w:val="26"/>
          <w:szCs w:val="26"/>
        </w:rPr>
        <w:t>«</w:t>
      </w:r>
      <w:r w:rsidR="00D076DA" w:rsidRPr="00C04ABD">
        <w:rPr>
          <w:rFonts w:ascii="Myriad Pro" w:hAnsi="Myriad Pro"/>
          <w:sz w:val="26"/>
          <w:szCs w:val="26"/>
        </w:rPr>
        <w:t>Колэнерго</w:t>
      </w:r>
      <w:r w:rsidR="00655FFA" w:rsidRPr="00C04ABD">
        <w:rPr>
          <w:rFonts w:ascii="Myriad Pro" w:hAnsi="Myriad Pro"/>
          <w:sz w:val="26"/>
          <w:szCs w:val="26"/>
        </w:rPr>
        <w:t>»</w:t>
      </w:r>
      <w:r w:rsidRPr="00C04ABD">
        <w:rPr>
          <w:rFonts w:ascii="Myriad Pro" w:hAnsi="Myriad Pro"/>
          <w:sz w:val="26"/>
          <w:szCs w:val="26"/>
        </w:rPr>
        <w:t xml:space="preserve"> и находящихся у этих работников на содержании лиц за 2017 г.;</w:t>
      </w:r>
    </w:p>
    <w:p w14:paraId="4F1A22D0" w14:textId="6EB65D02" w:rsidR="00B232A6" w:rsidRPr="00C04ABD" w:rsidRDefault="00B232A6"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 xml:space="preserve">Динамика фактической численности работников филиала ПАО </w:t>
      </w:r>
      <w:r w:rsidR="00655FFA" w:rsidRPr="00C04ABD">
        <w:rPr>
          <w:rFonts w:ascii="Myriad Pro" w:hAnsi="Myriad Pro"/>
          <w:sz w:val="26"/>
          <w:szCs w:val="26"/>
        </w:rPr>
        <w:t>«</w:t>
      </w:r>
      <w:r w:rsidR="00597FD5" w:rsidRPr="00C04ABD">
        <w:rPr>
          <w:rFonts w:ascii="Myriad Pro" w:hAnsi="Myriad Pro"/>
          <w:sz w:val="26"/>
          <w:szCs w:val="26"/>
        </w:rPr>
        <w:t>МРСК Северо-Запада</w:t>
      </w:r>
      <w:r w:rsidR="00655FFA" w:rsidRPr="00C04ABD">
        <w:rPr>
          <w:rFonts w:ascii="Myriad Pro" w:hAnsi="Myriad Pro"/>
          <w:sz w:val="26"/>
          <w:szCs w:val="26"/>
        </w:rPr>
        <w:t>»</w:t>
      </w:r>
      <w:r w:rsidR="00D076DA" w:rsidRPr="00C04ABD">
        <w:rPr>
          <w:rFonts w:ascii="Myriad Pro" w:hAnsi="Myriad Pro"/>
          <w:sz w:val="26"/>
          <w:szCs w:val="26"/>
        </w:rPr>
        <w:t xml:space="preserve"> </w:t>
      </w:r>
      <w:r w:rsidR="00655FFA" w:rsidRPr="00C04ABD">
        <w:rPr>
          <w:rFonts w:ascii="Myriad Pro" w:hAnsi="Myriad Pro"/>
          <w:sz w:val="26"/>
          <w:szCs w:val="26"/>
        </w:rPr>
        <w:t>«</w:t>
      </w:r>
      <w:r w:rsidR="00D076DA" w:rsidRPr="00C04ABD">
        <w:rPr>
          <w:rFonts w:ascii="Myriad Pro" w:hAnsi="Myriad Pro"/>
          <w:sz w:val="26"/>
          <w:szCs w:val="26"/>
        </w:rPr>
        <w:t>Колэнерго</w:t>
      </w:r>
      <w:r w:rsidR="00655FFA" w:rsidRPr="00C04ABD">
        <w:rPr>
          <w:rFonts w:ascii="Myriad Pro" w:hAnsi="Myriad Pro"/>
          <w:sz w:val="26"/>
          <w:szCs w:val="26"/>
        </w:rPr>
        <w:t>»</w:t>
      </w:r>
      <w:r w:rsidRPr="00C04ABD">
        <w:rPr>
          <w:rFonts w:ascii="Myriad Pro" w:hAnsi="Myriad Pro"/>
          <w:sz w:val="26"/>
          <w:szCs w:val="26"/>
        </w:rPr>
        <w:t xml:space="preserve"> за 2017 год;</w:t>
      </w:r>
    </w:p>
    <w:p w14:paraId="38B67428" w14:textId="06C90E5C" w:rsidR="00B232A6" w:rsidRPr="00C04ABD" w:rsidRDefault="00B232A6"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 xml:space="preserve">Положение </w:t>
      </w:r>
      <w:r w:rsidR="0025782C" w:rsidRPr="00C04ABD">
        <w:rPr>
          <w:rFonts w:ascii="Myriad Pro" w:hAnsi="Myriad Pro"/>
          <w:sz w:val="26"/>
          <w:szCs w:val="26"/>
        </w:rPr>
        <w:t>ПАО «МРСК</w:t>
      </w:r>
      <w:r w:rsidR="00597FD5" w:rsidRPr="00C04ABD">
        <w:rPr>
          <w:rFonts w:ascii="Myriad Pro" w:hAnsi="Myriad Pro"/>
          <w:sz w:val="26"/>
          <w:szCs w:val="26"/>
        </w:rPr>
        <w:t xml:space="preserve"> Северо-Запада</w:t>
      </w:r>
      <w:r w:rsidR="00655FFA" w:rsidRPr="00C04ABD">
        <w:rPr>
          <w:rFonts w:ascii="Myriad Pro" w:hAnsi="Myriad Pro"/>
          <w:sz w:val="26"/>
          <w:szCs w:val="26"/>
        </w:rPr>
        <w:t>»</w:t>
      </w:r>
      <w:r w:rsidRPr="00C04ABD">
        <w:rPr>
          <w:rFonts w:ascii="Myriad Pro" w:hAnsi="Myriad Pro"/>
          <w:sz w:val="26"/>
          <w:szCs w:val="26"/>
        </w:rPr>
        <w:t xml:space="preserve"> от 25.02.2009 №77 </w:t>
      </w:r>
      <w:r w:rsidR="00655FFA" w:rsidRPr="00C04ABD">
        <w:rPr>
          <w:rFonts w:ascii="Myriad Pro" w:hAnsi="Myriad Pro"/>
          <w:sz w:val="26"/>
          <w:szCs w:val="26"/>
        </w:rPr>
        <w:t>«</w:t>
      </w:r>
      <w:r w:rsidRPr="00C04ABD">
        <w:rPr>
          <w:rFonts w:ascii="Myriad Pro" w:hAnsi="Myriad Pro"/>
          <w:sz w:val="26"/>
          <w:szCs w:val="26"/>
        </w:rPr>
        <w:t>О введении в действие Положения об оплате труда работников</w:t>
      </w:r>
      <w:r w:rsidR="00655FFA" w:rsidRPr="00C04ABD">
        <w:rPr>
          <w:rFonts w:ascii="Myriad Pro" w:hAnsi="Myriad Pro"/>
          <w:sz w:val="26"/>
          <w:szCs w:val="26"/>
        </w:rPr>
        <w:t>»</w:t>
      </w:r>
      <w:r w:rsidRPr="00C04ABD">
        <w:rPr>
          <w:rFonts w:ascii="Myriad Pro" w:hAnsi="Myriad Pro"/>
          <w:sz w:val="26"/>
          <w:szCs w:val="26"/>
        </w:rPr>
        <w:t>;</w:t>
      </w:r>
    </w:p>
    <w:p w14:paraId="4A930044" w14:textId="24DFB9FB" w:rsidR="00B232A6" w:rsidRPr="00C04ABD" w:rsidRDefault="00B232A6"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 xml:space="preserve">Закон РФ от 19 февраля 1993 г. №4520-1 </w:t>
      </w:r>
      <w:r w:rsidR="00655FFA" w:rsidRPr="00C04ABD">
        <w:rPr>
          <w:rFonts w:ascii="Myriad Pro" w:hAnsi="Myriad Pro"/>
          <w:sz w:val="26"/>
          <w:szCs w:val="26"/>
        </w:rPr>
        <w:t>«</w:t>
      </w:r>
      <w:r w:rsidRPr="00C04ABD">
        <w:rPr>
          <w:rFonts w:ascii="Myriad Pro" w:hAnsi="Myriad Pro"/>
          <w:sz w:val="26"/>
          <w:szCs w:val="26"/>
        </w:rPr>
        <w:t>О государственных гарантиях и компенсациях для лиц, работающих и проживающих в районах Крайнего Севера и приравненных к ним местностях</w:t>
      </w:r>
      <w:r w:rsidR="00655FFA" w:rsidRPr="00C04ABD">
        <w:rPr>
          <w:rFonts w:ascii="Myriad Pro" w:hAnsi="Myriad Pro"/>
          <w:sz w:val="26"/>
          <w:szCs w:val="26"/>
        </w:rPr>
        <w:t>»</w:t>
      </w:r>
      <w:r w:rsidRPr="00C04ABD">
        <w:rPr>
          <w:rFonts w:ascii="Myriad Pro" w:hAnsi="Myriad Pro"/>
          <w:sz w:val="26"/>
          <w:szCs w:val="26"/>
        </w:rPr>
        <w:t>;</w:t>
      </w:r>
    </w:p>
    <w:p w14:paraId="047E1376" w14:textId="4D7E75E4" w:rsidR="00B232A6" w:rsidRPr="00C04ABD" w:rsidRDefault="00B232A6"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Постановление Государственного комитета Совета Министров СССР</w:t>
      </w:r>
      <w:r w:rsidR="00091877" w:rsidRPr="00C04ABD">
        <w:rPr>
          <w:rFonts w:ascii="Myriad Pro" w:hAnsi="Myriad Pro"/>
          <w:sz w:val="26"/>
          <w:szCs w:val="26"/>
        </w:rPr>
        <w:t xml:space="preserve"> по вопросам труда и заработной</w:t>
      </w:r>
      <w:r w:rsidR="00D47606" w:rsidRPr="00C04ABD">
        <w:rPr>
          <w:rFonts w:ascii="Myriad Pro" w:hAnsi="Myriad Pro"/>
          <w:sz w:val="26"/>
          <w:szCs w:val="26"/>
        </w:rPr>
        <w:t xml:space="preserve"> </w:t>
      </w:r>
      <w:r w:rsidRPr="00C04ABD">
        <w:rPr>
          <w:rFonts w:ascii="Myriad Pro" w:hAnsi="Myriad Pro"/>
          <w:sz w:val="26"/>
          <w:szCs w:val="26"/>
        </w:rPr>
        <w:t>платы</w:t>
      </w:r>
      <w:r w:rsidR="00D47606" w:rsidRPr="00C04ABD">
        <w:rPr>
          <w:rFonts w:ascii="Myriad Pro" w:hAnsi="Myriad Pro"/>
          <w:sz w:val="26"/>
          <w:szCs w:val="26"/>
        </w:rPr>
        <w:t>,</w:t>
      </w:r>
      <w:r w:rsidRPr="00C04ABD">
        <w:rPr>
          <w:rFonts w:ascii="Myriad Pro" w:hAnsi="Myriad Pro"/>
          <w:sz w:val="26"/>
          <w:szCs w:val="26"/>
        </w:rPr>
        <w:t xml:space="preserve"> и Президиума ВЦСПС от 4 сентября 1964 г. №380-П-18 </w:t>
      </w:r>
      <w:r w:rsidR="00655FFA" w:rsidRPr="00C04ABD">
        <w:rPr>
          <w:rFonts w:ascii="Myriad Pro" w:hAnsi="Myriad Pro"/>
          <w:sz w:val="26"/>
          <w:szCs w:val="26"/>
        </w:rPr>
        <w:t>«</w:t>
      </w:r>
      <w:r w:rsidRPr="00C04ABD">
        <w:rPr>
          <w:rFonts w:ascii="Myriad Pro" w:hAnsi="Myriad Pro"/>
          <w:sz w:val="26"/>
          <w:szCs w:val="26"/>
        </w:rPr>
        <w:t>об утверждении районных коэффициентов к заработной плате работников просвещения, здравоохранения, жилищно-коммунального хозяйства, торговли и общественного питания</w:t>
      </w:r>
      <w:r w:rsidR="00D47606" w:rsidRPr="00C04ABD">
        <w:rPr>
          <w:rFonts w:ascii="Myriad Pro" w:hAnsi="Myriad Pro"/>
          <w:sz w:val="26"/>
          <w:szCs w:val="26"/>
        </w:rPr>
        <w:t>,</w:t>
      </w:r>
      <w:r w:rsidRPr="00C04ABD">
        <w:rPr>
          <w:rFonts w:ascii="Myriad Pro" w:hAnsi="Myriad Pro"/>
          <w:sz w:val="26"/>
          <w:szCs w:val="26"/>
        </w:rPr>
        <w:t xml:space="preserve"> и других отраслей народного хозяйства, непосредственно обслуживающих население, занятых в районах Крайнего Севера и местностях, приравненных к районам Крайнего Севера</w:t>
      </w:r>
      <w:r w:rsidR="00655FFA" w:rsidRPr="00C04ABD">
        <w:rPr>
          <w:rFonts w:ascii="Myriad Pro" w:hAnsi="Myriad Pro"/>
          <w:sz w:val="26"/>
          <w:szCs w:val="26"/>
        </w:rPr>
        <w:t>»</w:t>
      </w:r>
      <w:r w:rsidRPr="00C04ABD">
        <w:rPr>
          <w:rFonts w:ascii="Myriad Pro" w:hAnsi="Myriad Pro"/>
          <w:sz w:val="26"/>
          <w:szCs w:val="26"/>
        </w:rPr>
        <w:t>;</w:t>
      </w:r>
    </w:p>
    <w:p w14:paraId="73BD58C6" w14:textId="6C80601F" w:rsidR="00B232A6" w:rsidRPr="00C04ABD" w:rsidRDefault="00B232A6"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 xml:space="preserve">Постановление Совета Министров СССР от 10 ноября 1967 г. №1029 </w:t>
      </w:r>
      <w:r w:rsidR="00655FFA" w:rsidRPr="00C04ABD">
        <w:rPr>
          <w:rFonts w:ascii="Myriad Pro" w:hAnsi="Myriad Pro"/>
          <w:sz w:val="26"/>
          <w:szCs w:val="26"/>
        </w:rPr>
        <w:t>«</w:t>
      </w:r>
      <w:r w:rsidRPr="00C04ABD">
        <w:rPr>
          <w:rFonts w:ascii="Myriad Pro" w:hAnsi="Myriad Pro"/>
          <w:sz w:val="26"/>
          <w:szCs w:val="26"/>
        </w:rPr>
        <w:t xml:space="preserve">О порядке применения Указа Президиума Верховного Совета СССР от 26 сентября 1967 г. </w:t>
      </w:r>
      <w:r w:rsidR="00655FFA" w:rsidRPr="00C04ABD">
        <w:rPr>
          <w:rFonts w:ascii="Myriad Pro" w:hAnsi="Myriad Pro"/>
          <w:sz w:val="26"/>
          <w:szCs w:val="26"/>
        </w:rPr>
        <w:t>«</w:t>
      </w:r>
      <w:r w:rsidRPr="00C04ABD">
        <w:rPr>
          <w:rFonts w:ascii="Myriad Pro" w:hAnsi="Myriad Pro"/>
          <w:sz w:val="26"/>
          <w:szCs w:val="26"/>
        </w:rPr>
        <w:t>О расширении льгот для лиц, работающих в районах Крайнего Севера и местностях, приравненных к районам Крайнего Севера</w:t>
      </w:r>
      <w:r w:rsidR="00655FFA" w:rsidRPr="00C04ABD">
        <w:rPr>
          <w:rFonts w:ascii="Myriad Pro" w:hAnsi="Myriad Pro"/>
          <w:sz w:val="26"/>
          <w:szCs w:val="26"/>
        </w:rPr>
        <w:t>»</w:t>
      </w:r>
      <w:r w:rsidRPr="00C04ABD">
        <w:rPr>
          <w:rFonts w:ascii="Myriad Pro" w:hAnsi="Myriad Pro"/>
          <w:sz w:val="26"/>
          <w:szCs w:val="26"/>
        </w:rPr>
        <w:t xml:space="preserve">; </w:t>
      </w:r>
    </w:p>
    <w:p w14:paraId="4203AC00" w14:textId="6AA71B9D" w:rsidR="00B232A6" w:rsidRPr="00C04ABD" w:rsidRDefault="00B232A6"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 xml:space="preserve">Коллективный договор ПАО </w:t>
      </w:r>
      <w:r w:rsidR="00655FFA" w:rsidRPr="00C04ABD">
        <w:rPr>
          <w:rFonts w:ascii="Myriad Pro" w:hAnsi="Myriad Pro"/>
          <w:sz w:val="26"/>
          <w:szCs w:val="26"/>
        </w:rPr>
        <w:t>«</w:t>
      </w:r>
      <w:r w:rsidR="00597FD5" w:rsidRPr="00C04ABD">
        <w:rPr>
          <w:rFonts w:ascii="Myriad Pro" w:hAnsi="Myriad Pro"/>
          <w:sz w:val="26"/>
          <w:szCs w:val="26"/>
        </w:rPr>
        <w:t>МРСК Северо-Запада</w:t>
      </w:r>
      <w:r w:rsidR="00655FFA" w:rsidRPr="00C04ABD">
        <w:rPr>
          <w:rFonts w:ascii="Myriad Pro" w:hAnsi="Myriad Pro"/>
          <w:sz w:val="26"/>
          <w:szCs w:val="26"/>
        </w:rPr>
        <w:t>»</w:t>
      </w:r>
      <w:r w:rsidRPr="00C04ABD">
        <w:rPr>
          <w:rFonts w:ascii="Myriad Pro" w:hAnsi="Myriad Pro"/>
          <w:sz w:val="26"/>
          <w:szCs w:val="26"/>
        </w:rPr>
        <w:t xml:space="preserve"> на 2017 год;</w:t>
      </w:r>
    </w:p>
    <w:p w14:paraId="21EA5072" w14:textId="5587B3C4" w:rsidR="00B232A6" w:rsidRPr="00C04ABD" w:rsidRDefault="00B232A6"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 xml:space="preserve">Соглашение о внесении изменений в коллективный договор </w:t>
      </w:r>
      <w:r w:rsidR="00655FFA" w:rsidRPr="00C04ABD">
        <w:rPr>
          <w:rFonts w:ascii="Myriad Pro" w:hAnsi="Myriad Pro"/>
          <w:sz w:val="26"/>
          <w:szCs w:val="26"/>
        </w:rPr>
        <w:t xml:space="preserve">ПАО «МРСК </w:t>
      </w:r>
      <w:r w:rsidR="00597FD5" w:rsidRPr="00C04ABD">
        <w:rPr>
          <w:rFonts w:ascii="Myriad Pro" w:hAnsi="Myriad Pro"/>
          <w:sz w:val="26"/>
          <w:szCs w:val="26"/>
        </w:rPr>
        <w:t>Северо-Запада</w:t>
      </w:r>
      <w:r w:rsidR="00655FFA" w:rsidRPr="00C04ABD">
        <w:rPr>
          <w:rFonts w:ascii="Myriad Pro" w:hAnsi="Myriad Pro"/>
          <w:sz w:val="26"/>
          <w:szCs w:val="26"/>
        </w:rPr>
        <w:t>»</w:t>
      </w:r>
      <w:r w:rsidRPr="00C04ABD">
        <w:rPr>
          <w:rFonts w:ascii="Myriad Pro" w:hAnsi="Myriad Pro"/>
          <w:sz w:val="26"/>
          <w:szCs w:val="26"/>
        </w:rPr>
        <w:t xml:space="preserve"> и продление срока его действия на 2018 год;</w:t>
      </w:r>
    </w:p>
    <w:p w14:paraId="351CF417" w14:textId="192C644C" w:rsidR="00B232A6" w:rsidRPr="00C04ABD" w:rsidRDefault="00B232A6"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lastRenderedPageBreak/>
        <w:t xml:space="preserve">Положение о премировании работников производственного отделения </w:t>
      </w:r>
      <w:r w:rsidR="00655FFA" w:rsidRPr="00C04ABD">
        <w:rPr>
          <w:rFonts w:ascii="Myriad Pro" w:hAnsi="Myriad Pro"/>
          <w:sz w:val="26"/>
          <w:szCs w:val="26"/>
        </w:rPr>
        <w:t>«</w:t>
      </w:r>
      <w:r w:rsidRPr="00C04ABD">
        <w:rPr>
          <w:rFonts w:ascii="Myriad Pro" w:hAnsi="Myriad Pro"/>
          <w:sz w:val="26"/>
          <w:szCs w:val="26"/>
        </w:rPr>
        <w:t>Северные электрические сети</w:t>
      </w:r>
      <w:r w:rsidR="00655FFA" w:rsidRPr="00C04ABD">
        <w:rPr>
          <w:rFonts w:ascii="Myriad Pro" w:hAnsi="Myriad Pro"/>
          <w:sz w:val="26"/>
          <w:szCs w:val="26"/>
        </w:rPr>
        <w:t>»</w:t>
      </w:r>
      <w:r w:rsidRPr="00C04ABD">
        <w:rPr>
          <w:rFonts w:ascii="Myriad Pro" w:hAnsi="Myriad Pro"/>
          <w:sz w:val="26"/>
          <w:szCs w:val="26"/>
        </w:rPr>
        <w:t xml:space="preserve"> филиала ПАО </w:t>
      </w:r>
      <w:r w:rsidR="00655FFA" w:rsidRPr="00C04ABD">
        <w:rPr>
          <w:rFonts w:ascii="Myriad Pro" w:hAnsi="Myriad Pro"/>
          <w:sz w:val="26"/>
          <w:szCs w:val="26"/>
        </w:rPr>
        <w:t>«</w:t>
      </w:r>
      <w:r w:rsidR="00597FD5" w:rsidRPr="00C04ABD">
        <w:rPr>
          <w:rFonts w:ascii="Myriad Pro" w:hAnsi="Myriad Pro"/>
          <w:sz w:val="26"/>
          <w:szCs w:val="26"/>
        </w:rPr>
        <w:t>МРСК Северо-Запада</w:t>
      </w:r>
      <w:r w:rsidR="00655FFA" w:rsidRPr="00C04ABD">
        <w:rPr>
          <w:rFonts w:ascii="Myriad Pro" w:hAnsi="Myriad Pro"/>
          <w:sz w:val="26"/>
          <w:szCs w:val="26"/>
        </w:rPr>
        <w:t>»</w:t>
      </w:r>
      <w:r w:rsidRPr="00C04ABD">
        <w:rPr>
          <w:rFonts w:ascii="Myriad Pro" w:hAnsi="Myriad Pro"/>
          <w:sz w:val="26"/>
          <w:szCs w:val="26"/>
        </w:rPr>
        <w:t xml:space="preserve"> </w:t>
      </w:r>
      <w:r w:rsidR="00655FFA" w:rsidRPr="00C04ABD">
        <w:rPr>
          <w:rFonts w:ascii="Myriad Pro" w:hAnsi="Myriad Pro"/>
          <w:sz w:val="26"/>
          <w:szCs w:val="26"/>
        </w:rPr>
        <w:t>«</w:t>
      </w:r>
      <w:r w:rsidRPr="00C04ABD">
        <w:rPr>
          <w:rFonts w:ascii="Myriad Pro" w:hAnsi="Myriad Pro"/>
          <w:sz w:val="26"/>
          <w:szCs w:val="26"/>
        </w:rPr>
        <w:t>Колэнерго</w:t>
      </w:r>
      <w:r w:rsidR="00655FFA" w:rsidRPr="00C04ABD">
        <w:rPr>
          <w:rFonts w:ascii="Myriad Pro" w:hAnsi="Myriad Pro"/>
          <w:sz w:val="26"/>
          <w:szCs w:val="26"/>
        </w:rPr>
        <w:t>»</w:t>
      </w:r>
      <w:r w:rsidRPr="00C04ABD">
        <w:rPr>
          <w:rFonts w:ascii="Myriad Pro" w:hAnsi="Myriad Pro"/>
          <w:sz w:val="26"/>
          <w:szCs w:val="26"/>
        </w:rPr>
        <w:t xml:space="preserve"> от 05.12.2017;</w:t>
      </w:r>
    </w:p>
    <w:p w14:paraId="32CCE58E" w14:textId="74FD2AB7" w:rsidR="00B232A6" w:rsidRPr="00C04ABD" w:rsidRDefault="00B232A6"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 xml:space="preserve">Положение о премировании работников производственного отделения </w:t>
      </w:r>
      <w:r w:rsidR="00655FFA" w:rsidRPr="00C04ABD">
        <w:rPr>
          <w:rFonts w:ascii="Myriad Pro" w:hAnsi="Myriad Pro"/>
          <w:sz w:val="26"/>
          <w:szCs w:val="26"/>
        </w:rPr>
        <w:t>«</w:t>
      </w:r>
      <w:r w:rsidRPr="00C04ABD">
        <w:rPr>
          <w:rFonts w:ascii="Myriad Pro" w:hAnsi="Myriad Pro"/>
          <w:sz w:val="26"/>
          <w:szCs w:val="26"/>
        </w:rPr>
        <w:t>Центральные электрические сети</w:t>
      </w:r>
      <w:r w:rsidR="00655FFA" w:rsidRPr="00C04ABD">
        <w:rPr>
          <w:rFonts w:ascii="Myriad Pro" w:hAnsi="Myriad Pro"/>
          <w:sz w:val="26"/>
          <w:szCs w:val="26"/>
        </w:rPr>
        <w:t>»</w:t>
      </w:r>
      <w:r w:rsidRPr="00C04ABD">
        <w:rPr>
          <w:rFonts w:ascii="Myriad Pro" w:hAnsi="Myriad Pro"/>
          <w:sz w:val="26"/>
          <w:szCs w:val="26"/>
        </w:rPr>
        <w:t xml:space="preserve"> филиала ПАО </w:t>
      </w:r>
      <w:r w:rsidR="00655FFA" w:rsidRPr="00C04ABD">
        <w:rPr>
          <w:rFonts w:ascii="Myriad Pro" w:hAnsi="Myriad Pro"/>
          <w:sz w:val="26"/>
          <w:szCs w:val="26"/>
        </w:rPr>
        <w:t>«</w:t>
      </w:r>
      <w:r w:rsidR="00597FD5" w:rsidRPr="00C04ABD">
        <w:rPr>
          <w:rFonts w:ascii="Myriad Pro" w:hAnsi="Myriad Pro"/>
          <w:sz w:val="26"/>
          <w:szCs w:val="26"/>
        </w:rPr>
        <w:t>МРСК Северо-Запада</w:t>
      </w:r>
      <w:r w:rsidR="00655FFA" w:rsidRPr="00C04ABD">
        <w:rPr>
          <w:rFonts w:ascii="Myriad Pro" w:hAnsi="Myriad Pro"/>
          <w:sz w:val="26"/>
          <w:szCs w:val="26"/>
        </w:rPr>
        <w:t>»</w:t>
      </w:r>
      <w:r w:rsidRPr="00C04ABD">
        <w:rPr>
          <w:rFonts w:ascii="Myriad Pro" w:hAnsi="Myriad Pro"/>
          <w:sz w:val="26"/>
          <w:szCs w:val="26"/>
        </w:rPr>
        <w:t xml:space="preserve"> </w:t>
      </w:r>
      <w:r w:rsidR="00655FFA" w:rsidRPr="00C04ABD">
        <w:rPr>
          <w:rFonts w:ascii="Myriad Pro" w:hAnsi="Myriad Pro"/>
          <w:sz w:val="26"/>
          <w:szCs w:val="26"/>
        </w:rPr>
        <w:t>«</w:t>
      </w:r>
      <w:r w:rsidRPr="00C04ABD">
        <w:rPr>
          <w:rFonts w:ascii="Myriad Pro" w:hAnsi="Myriad Pro"/>
          <w:sz w:val="26"/>
          <w:szCs w:val="26"/>
        </w:rPr>
        <w:t>Колэнерго</w:t>
      </w:r>
      <w:r w:rsidR="00655FFA" w:rsidRPr="00C04ABD">
        <w:rPr>
          <w:rFonts w:ascii="Myriad Pro" w:hAnsi="Myriad Pro"/>
          <w:sz w:val="26"/>
          <w:szCs w:val="26"/>
        </w:rPr>
        <w:t>»</w:t>
      </w:r>
      <w:r w:rsidRPr="00C04ABD">
        <w:rPr>
          <w:rFonts w:ascii="Myriad Pro" w:hAnsi="Myriad Pro"/>
          <w:sz w:val="26"/>
          <w:szCs w:val="26"/>
        </w:rPr>
        <w:t xml:space="preserve"> от 05.12.2017;</w:t>
      </w:r>
    </w:p>
    <w:p w14:paraId="798F5232" w14:textId="3735DA09" w:rsidR="00B232A6" w:rsidRPr="00C04ABD" w:rsidRDefault="00B232A6"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 xml:space="preserve">Положение о премировании работников аппарата управления филиалов ПАО </w:t>
      </w:r>
      <w:r w:rsidR="00655FFA" w:rsidRPr="00C04ABD">
        <w:rPr>
          <w:rFonts w:ascii="Myriad Pro" w:hAnsi="Myriad Pro"/>
          <w:sz w:val="26"/>
          <w:szCs w:val="26"/>
        </w:rPr>
        <w:t>«</w:t>
      </w:r>
      <w:r w:rsidR="00597FD5" w:rsidRPr="00C04ABD">
        <w:rPr>
          <w:rFonts w:ascii="Myriad Pro" w:hAnsi="Myriad Pro"/>
          <w:sz w:val="26"/>
          <w:szCs w:val="26"/>
        </w:rPr>
        <w:t>МРСК Северо-Запада</w:t>
      </w:r>
      <w:r w:rsidR="00655FFA" w:rsidRPr="00C04ABD">
        <w:rPr>
          <w:rFonts w:ascii="Myriad Pro" w:hAnsi="Myriad Pro"/>
          <w:sz w:val="26"/>
          <w:szCs w:val="26"/>
        </w:rPr>
        <w:t>»</w:t>
      </w:r>
      <w:r w:rsidRPr="00C04ABD">
        <w:rPr>
          <w:rFonts w:ascii="Myriad Pro" w:hAnsi="Myriad Pro"/>
          <w:sz w:val="26"/>
          <w:szCs w:val="26"/>
        </w:rPr>
        <w:t xml:space="preserve"> за выполнение показателей производственной и финансово-экономической деятельности от 28.11.2016;</w:t>
      </w:r>
    </w:p>
    <w:p w14:paraId="0A5151A9" w14:textId="21FDD2A0" w:rsidR="00B232A6" w:rsidRPr="00C04ABD" w:rsidRDefault="00B232A6"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 xml:space="preserve">Приказы по ежемесячному премированию работников аппарата управления, производственных отделений </w:t>
      </w:r>
      <w:r w:rsidR="00655FFA" w:rsidRPr="00C04ABD">
        <w:rPr>
          <w:rFonts w:ascii="Myriad Pro" w:hAnsi="Myriad Pro"/>
          <w:sz w:val="26"/>
          <w:szCs w:val="26"/>
        </w:rPr>
        <w:t>«</w:t>
      </w:r>
      <w:r w:rsidRPr="00C04ABD">
        <w:rPr>
          <w:rFonts w:ascii="Myriad Pro" w:hAnsi="Myriad Pro"/>
          <w:sz w:val="26"/>
          <w:szCs w:val="26"/>
        </w:rPr>
        <w:t>СЭС</w:t>
      </w:r>
      <w:r w:rsidR="00655FFA" w:rsidRPr="00C04ABD">
        <w:rPr>
          <w:rFonts w:ascii="Myriad Pro" w:hAnsi="Myriad Pro"/>
          <w:sz w:val="26"/>
          <w:szCs w:val="26"/>
        </w:rPr>
        <w:t>»</w:t>
      </w:r>
      <w:r w:rsidRPr="00C04ABD">
        <w:rPr>
          <w:rFonts w:ascii="Myriad Pro" w:hAnsi="Myriad Pro"/>
          <w:sz w:val="26"/>
          <w:szCs w:val="26"/>
        </w:rPr>
        <w:t xml:space="preserve"> и </w:t>
      </w:r>
      <w:r w:rsidR="00655FFA" w:rsidRPr="00C04ABD">
        <w:rPr>
          <w:rFonts w:ascii="Myriad Pro" w:hAnsi="Myriad Pro"/>
          <w:sz w:val="26"/>
          <w:szCs w:val="26"/>
        </w:rPr>
        <w:t>«</w:t>
      </w:r>
      <w:r w:rsidRPr="00C04ABD">
        <w:rPr>
          <w:rFonts w:ascii="Myriad Pro" w:hAnsi="Myriad Pro"/>
          <w:sz w:val="26"/>
          <w:szCs w:val="26"/>
        </w:rPr>
        <w:t>ЦЭС</w:t>
      </w:r>
      <w:r w:rsidR="00655FFA" w:rsidRPr="00C04ABD">
        <w:rPr>
          <w:rFonts w:ascii="Myriad Pro" w:hAnsi="Myriad Pro"/>
          <w:sz w:val="26"/>
          <w:szCs w:val="26"/>
        </w:rPr>
        <w:t>»</w:t>
      </w:r>
      <w:r w:rsidRPr="00C04ABD">
        <w:rPr>
          <w:rFonts w:ascii="Myriad Pro" w:hAnsi="Myriad Pro"/>
          <w:sz w:val="26"/>
          <w:szCs w:val="26"/>
        </w:rPr>
        <w:t xml:space="preserve"> филиала </w:t>
      </w:r>
      <w:r w:rsidR="00655FFA" w:rsidRPr="00C04ABD">
        <w:rPr>
          <w:rFonts w:ascii="Myriad Pro" w:hAnsi="Myriad Pro"/>
          <w:sz w:val="26"/>
          <w:szCs w:val="26"/>
        </w:rPr>
        <w:t xml:space="preserve">ПАО «МРСК </w:t>
      </w:r>
      <w:r w:rsidR="00597FD5" w:rsidRPr="00C04ABD">
        <w:rPr>
          <w:rFonts w:ascii="Myriad Pro" w:hAnsi="Myriad Pro"/>
          <w:sz w:val="26"/>
          <w:szCs w:val="26"/>
        </w:rPr>
        <w:t>Северо-Запада</w:t>
      </w:r>
      <w:r w:rsidR="00655FFA" w:rsidRPr="00C04ABD">
        <w:rPr>
          <w:rFonts w:ascii="Myriad Pro" w:hAnsi="Myriad Pro"/>
          <w:sz w:val="26"/>
          <w:szCs w:val="26"/>
        </w:rPr>
        <w:t>»</w:t>
      </w:r>
      <w:r w:rsidRPr="00C04ABD">
        <w:rPr>
          <w:rFonts w:ascii="Myriad Pro" w:hAnsi="Myriad Pro"/>
          <w:sz w:val="26"/>
          <w:szCs w:val="26"/>
        </w:rPr>
        <w:t xml:space="preserve"> </w:t>
      </w:r>
      <w:r w:rsidR="00655FFA" w:rsidRPr="00C04ABD">
        <w:rPr>
          <w:rFonts w:ascii="Myriad Pro" w:hAnsi="Myriad Pro"/>
          <w:sz w:val="26"/>
          <w:szCs w:val="26"/>
        </w:rPr>
        <w:t>«</w:t>
      </w:r>
      <w:r w:rsidRPr="00C04ABD">
        <w:rPr>
          <w:rFonts w:ascii="Myriad Pro" w:hAnsi="Myriad Pro"/>
          <w:sz w:val="26"/>
          <w:szCs w:val="26"/>
        </w:rPr>
        <w:t>Колэнерго</w:t>
      </w:r>
      <w:r w:rsidR="00655FFA" w:rsidRPr="00C04ABD">
        <w:rPr>
          <w:rFonts w:ascii="Myriad Pro" w:hAnsi="Myriad Pro"/>
          <w:sz w:val="26"/>
          <w:szCs w:val="26"/>
        </w:rPr>
        <w:t>»</w:t>
      </w:r>
      <w:r w:rsidRPr="00C04ABD">
        <w:rPr>
          <w:rFonts w:ascii="Myriad Pro" w:hAnsi="Myriad Pro"/>
          <w:sz w:val="26"/>
          <w:szCs w:val="26"/>
        </w:rPr>
        <w:t>;</w:t>
      </w:r>
    </w:p>
    <w:p w14:paraId="6CB67FDB" w14:textId="77777777" w:rsidR="00B232A6" w:rsidRPr="00C04ABD" w:rsidRDefault="00B232A6"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Приказы о премировании персонала филиалов за выявление безучетного и бездоговорного потребления электроэнергии;</w:t>
      </w:r>
    </w:p>
    <w:p w14:paraId="3053EEFE" w14:textId="77777777" w:rsidR="00B232A6" w:rsidRPr="00C04ABD" w:rsidRDefault="00B232A6"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Приказы о премировании за выполнение особо важных заданий;</w:t>
      </w:r>
    </w:p>
    <w:p w14:paraId="1F04589F" w14:textId="77777777" w:rsidR="00B232A6" w:rsidRPr="00C04ABD" w:rsidRDefault="00B232A6"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Приказы об оплате работ в ночное и сверхурочное время;</w:t>
      </w:r>
    </w:p>
    <w:p w14:paraId="04C89725" w14:textId="77777777" w:rsidR="00B232A6" w:rsidRPr="00C04ABD" w:rsidRDefault="00B232A6"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Приказы о выплате надбавок за совмещение профессий;</w:t>
      </w:r>
    </w:p>
    <w:p w14:paraId="1E5B0F94" w14:textId="0D9613D6" w:rsidR="00B232A6" w:rsidRPr="00C04ABD" w:rsidRDefault="00B232A6"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 xml:space="preserve">Приказы по прочим выплатам в соответствии с Положением об оплате труда об оплате труда работников ПАО </w:t>
      </w:r>
      <w:r w:rsidR="00655FFA" w:rsidRPr="00C04ABD">
        <w:rPr>
          <w:rFonts w:ascii="Myriad Pro" w:hAnsi="Myriad Pro"/>
          <w:sz w:val="26"/>
          <w:szCs w:val="26"/>
        </w:rPr>
        <w:t>«</w:t>
      </w:r>
      <w:r w:rsidR="00597FD5" w:rsidRPr="00C04ABD">
        <w:rPr>
          <w:rFonts w:ascii="Myriad Pro" w:hAnsi="Myriad Pro"/>
          <w:sz w:val="26"/>
          <w:szCs w:val="26"/>
        </w:rPr>
        <w:t>МРСК Северо-Запада</w:t>
      </w:r>
      <w:r w:rsidR="00655FFA" w:rsidRPr="00C04ABD">
        <w:rPr>
          <w:rFonts w:ascii="Myriad Pro" w:hAnsi="Myriad Pro"/>
          <w:sz w:val="26"/>
          <w:szCs w:val="26"/>
        </w:rPr>
        <w:t>»</w:t>
      </w:r>
      <w:r w:rsidRPr="00C04ABD">
        <w:rPr>
          <w:rFonts w:ascii="Myriad Pro" w:hAnsi="Myriad Pro"/>
          <w:sz w:val="26"/>
          <w:szCs w:val="26"/>
        </w:rPr>
        <w:t>;</w:t>
      </w:r>
    </w:p>
    <w:p w14:paraId="26716FE4" w14:textId="77777777" w:rsidR="00B232A6" w:rsidRPr="00C04ABD" w:rsidRDefault="00B232A6"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Отраслевое тарифное соглашение в электроэнергетике РФ на 2013-2015 годы от 18.03.2013;</w:t>
      </w:r>
    </w:p>
    <w:p w14:paraId="68DE5079" w14:textId="77777777" w:rsidR="00B232A6" w:rsidRPr="00C04ABD" w:rsidRDefault="00B232A6"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Соглашение о порядке, условиях и продлении срока действия Отраслевого тарифного соглашения в электроэнергетике РФ на 2013-2015 годы на период 2016-2018 годов от 22.12.2014;</w:t>
      </w:r>
    </w:p>
    <w:p w14:paraId="33C21936" w14:textId="418FF771" w:rsidR="00B232A6" w:rsidRPr="00C04ABD" w:rsidRDefault="00B232A6"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 xml:space="preserve">Статистическая отчетность по форме № П-4 </w:t>
      </w:r>
      <w:r w:rsidR="00655FFA" w:rsidRPr="00C04ABD">
        <w:rPr>
          <w:rFonts w:ascii="Myriad Pro" w:hAnsi="Myriad Pro"/>
          <w:sz w:val="26"/>
          <w:szCs w:val="26"/>
        </w:rPr>
        <w:t>«</w:t>
      </w:r>
      <w:r w:rsidRPr="00C04ABD">
        <w:rPr>
          <w:rFonts w:ascii="Myriad Pro" w:hAnsi="Myriad Pro"/>
          <w:sz w:val="26"/>
          <w:szCs w:val="26"/>
        </w:rPr>
        <w:t>Сведения о численности и заработной плате работников</w:t>
      </w:r>
      <w:r w:rsidR="00655FFA" w:rsidRPr="00C04ABD">
        <w:rPr>
          <w:rFonts w:ascii="Myriad Pro" w:hAnsi="Myriad Pro"/>
          <w:sz w:val="26"/>
          <w:szCs w:val="26"/>
        </w:rPr>
        <w:t>»</w:t>
      </w:r>
      <w:r w:rsidRPr="00C04ABD">
        <w:rPr>
          <w:rFonts w:ascii="Myriad Pro" w:hAnsi="Myriad Pro"/>
          <w:sz w:val="26"/>
          <w:szCs w:val="26"/>
        </w:rPr>
        <w:t xml:space="preserve"> помесячно за истекший год;</w:t>
      </w:r>
    </w:p>
    <w:p w14:paraId="384DEBA2" w14:textId="465A2B43" w:rsidR="00B232A6" w:rsidRPr="00C04ABD" w:rsidRDefault="00B232A6"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 xml:space="preserve">Бухгалтерская отчетность: обороты по счету 20, 23,25 за 2017 год по деятельности </w:t>
      </w:r>
      <w:r w:rsidR="00655FFA" w:rsidRPr="00C04ABD">
        <w:rPr>
          <w:rFonts w:ascii="Myriad Pro" w:hAnsi="Myriad Pro"/>
          <w:sz w:val="26"/>
          <w:szCs w:val="26"/>
        </w:rPr>
        <w:t>«</w:t>
      </w:r>
      <w:r w:rsidRPr="00C04ABD">
        <w:rPr>
          <w:rFonts w:ascii="Myriad Pro" w:hAnsi="Myriad Pro"/>
          <w:sz w:val="26"/>
          <w:szCs w:val="26"/>
        </w:rPr>
        <w:t>услуги по передачи электрической энергии</w:t>
      </w:r>
      <w:r w:rsidR="00655FFA" w:rsidRPr="00C04ABD">
        <w:rPr>
          <w:rFonts w:ascii="Myriad Pro" w:hAnsi="Myriad Pro"/>
          <w:sz w:val="26"/>
          <w:szCs w:val="26"/>
        </w:rPr>
        <w:t>»</w:t>
      </w:r>
      <w:r w:rsidRPr="00C04ABD">
        <w:rPr>
          <w:rFonts w:ascii="Myriad Pro" w:hAnsi="Myriad Pro"/>
          <w:sz w:val="26"/>
          <w:szCs w:val="26"/>
        </w:rPr>
        <w:t xml:space="preserve"> по филиалу ПАО</w:t>
      </w:r>
      <w:r w:rsidR="00996030" w:rsidRPr="00C04ABD">
        <w:rPr>
          <w:rFonts w:ascii="Myriad Pro" w:hAnsi="Myriad Pro"/>
          <w:sz w:val="26"/>
          <w:szCs w:val="26"/>
        </w:rPr>
        <w:t> </w:t>
      </w:r>
      <w:r w:rsidR="00655FFA" w:rsidRPr="00C04ABD">
        <w:rPr>
          <w:rFonts w:ascii="Myriad Pro" w:hAnsi="Myriad Pro"/>
          <w:sz w:val="26"/>
          <w:szCs w:val="26"/>
        </w:rPr>
        <w:t>«</w:t>
      </w:r>
      <w:r w:rsidRPr="00C04ABD">
        <w:rPr>
          <w:rFonts w:ascii="Myriad Pro" w:hAnsi="Myriad Pro"/>
          <w:sz w:val="26"/>
          <w:szCs w:val="26"/>
        </w:rPr>
        <w:t xml:space="preserve">МРСК </w:t>
      </w:r>
      <w:r w:rsidR="0025782C" w:rsidRPr="00C04ABD">
        <w:rPr>
          <w:rFonts w:ascii="Myriad Pro" w:hAnsi="Myriad Pro"/>
          <w:sz w:val="26"/>
          <w:szCs w:val="26"/>
        </w:rPr>
        <w:t>Северо-Запада</w:t>
      </w:r>
      <w:r w:rsidR="00655FFA" w:rsidRPr="00C04ABD">
        <w:rPr>
          <w:rFonts w:ascii="Myriad Pro" w:hAnsi="Myriad Pro"/>
          <w:sz w:val="26"/>
          <w:szCs w:val="26"/>
        </w:rPr>
        <w:t>»</w:t>
      </w:r>
      <w:r w:rsidRPr="00C04ABD">
        <w:rPr>
          <w:rFonts w:ascii="Myriad Pro" w:hAnsi="Myriad Pro"/>
          <w:sz w:val="26"/>
          <w:szCs w:val="26"/>
        </w:rPr>
        <w:t xml:space="preserve"> </w:t>
      </w:r>
      <w:r w:rsidR="00655FFA" w:rsidRPr="00C04ABD">
        <w:rPr>
          <w:rFonts w:ascii="Myriad Pro" w:hAnsi="Myriad Pro"/>
          <w:sz w:val="26"/>
          <w:szCs w:val="26"/>
        </w:rPr>
        <w:t>«</w:t>
      </w:r>
      <w:r w:rsidRPr="00C04ABD">
        <w:rPr>
          <w:rFonts w:ascii="Myriad Pro" w:hAnsi="Myriad Pro"/>
          <w:sz w:val="26"/>
          <w:szCs w:val="26"/>
        </w:rPr>
        <w:t>Колэнерго</w:t>
      </w:r>
      <w:r w:rsidR="00655FFA" w:rsidRPr="00C04ABD">
        <w:rPr>
          <w:rFonts w:ascii="Myriad Pro" w:hAnsi="Myriad Pro"/>
          <w:sz w:val="26"/>
          <w:szCs w:val="26"/>
        </w:rPr>
        <w:t>»</w:t>
      </w:r>
      <w:r w:rsidRPr="00C04ABD">
        <w:rPr>
          <w:rFonts w:ascii="Myriad Pro" w:hAnsi="Myriad Pro"/>
          <w:sz w:val="26"/>
          <w:szCs w:val="26"/>
        </w:rPr>
        <w:t>.</w:t>
      </w:r>
    </w:p>
    <w:p w14:paraId="10BA13BD" w14:textId="577EA064" w:rsidR="004A69C5" w:rsidRPr="00C04ABD" w:rsidRDefault="004A69C5"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 xml:space="preserve">Расходы на оплату труда на 2018 год определены филиалом </w:t>
      </w:r>
      <w:r w:rsidR="00350B0A" w:rsidRPr="00C04ABD">
        <w:rPr>
          <w:rFonts w:ascii="Myriad Pro" w:eastAsia="Calibri" w:hAnsi="Myriad Pro" w:cs="Times New Roman"/>
          <w:sz w:val="26"/>
          <w:szCs w:val="26"/>
        </w:rPr>
        <w:t xml:space="preserve">ПАО </w:t>
      </w:r>
      <w:r w:rsidR="00655FFA" w:rsidRPr="00C04ABD">
        <w:rPr>
          <w:rFonts w:ascii="Myriad Pro" w:eastAsia="Calibri" w:hAnsi="Myriad Pro" w:cs="Times New Roman"/>
          <w:sz w:val="26"/>
          <w:szCs w:val="26"/>
        </w:rPr>
        <w:t>«</w:t>
      </w:r>
      <w:r w:rsidR="00350B0A" w:rsidRPr="00C04ABD">
        <w:rPr>
          <w:rFonts w:ascii="Myriad Pro" w:eastAsia="Calibri" w:hAnsi="Myriad Pro" w:cs="Times New Roman"/>
          <w:sz w:val="26"/>
          <w:szCs w:val="26"/>
        </w:rPr>
        <w:t>МРСК Северо-Запада</w:t>
      </w:r>
      <w:r w:rsidR="00655FFA" w:rsidRPr="00C04ABD">
        <w:rPr>
          <w:rFonts w:ascii="Myriad Pro" w:eastAsia="Calibri" w:hAnsi="Myriad Pro" w:cs="Times New Roman"/>
          <w:sz w:val="26"/>
          <w:szCs w:val="26"/>
        </w:rPr>
        <w:t>»</w:t>
      </w:r>
      <w:r w:rsidR="00350B0A" w:rsidRPr="00C04ABD">
        <w:rPr>
          <w:rFonts w:ascii="Myriad Pro" w:eastAsia="Calibri" w:hAnsi="Myriad Pro" w:cs="Times New Roman"/>
          <w:sz w:val="26"/>
          <w:szCs w:val="26"/>
        </w:rPr>
        <w:t xml:space="preserve"> </w:t>
      </w:r>
      <w:r w:rsidR="00655FFA" w:rsidRPr="00C04ABD">
        <w:rPr>
          <w:rFonts w:ascii="Myriad Pro" w:eastAsia="Calibri" w:hAnsi="Myriad Pro" w:cs="Times New Roman"/>
          <w:sz w:val="26"/>
          <w:szCs w:val="26"/>
        </w:rPr>
        <w:t>«</w:t>
      </w:r>
      <w:r w:rsidR="00350B0A" w:rsidRPr="00C04ABD">
        <w:rPr>
          <w:rFonts w:ascii="Myriad Pro" w:eastAsia="Calibri" w:hAnsi="Myriad Pro" w:cs="Times New Roman"/>
          <w:sz w:val="26"/>
          <w:szCs w:val="26"/>
        </w:rPr>
        <w:t>Колэнерго</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 xml:space="preserve"> исходя из следующего:</w:t>
      </w:r>
    </w:p>
    <w:p w14:paraId="4F1D5054" w14:textId="034F1A55" w:rsidR="004A69C5" w:rsidRPr="00C04ABD" w:rsidRDefault="004A69C5" w:rsidP="009B0BC1">
      <w:pPr>
        <w:pStyle w:val="a4"/>
        <w:numPr>
          <w:ilvl w:val="0"/>
          <w:numId w:val="1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lastRenderedPageBreak/>
        <w:t xml:space="preserve">ПАО </w:t>
      </w:r>
      <w:r w:rsidR="00655FFA" w:rsidRPr="00C04ABD">
        <w:rPr>
          <w:rFonts w:ascii="Myriad Pro" w:hAnsi="Myriad Pro"/>
          <w:sz w:val="26"/>
          <w:szCs w:val="26"/>
        </w:rPr>
        <w:t>«</w:t>
      </w:r>
      <w:r w:rsidR="00597FD5" w:rsidRPr="00C04ABD">
        <w:rPr>
          <w:rFonts w:ascii="Myriad Pro" w:hAnsi="Myriad Pro"/>
          <w:sz w:val="26"/>
          <w:szCs w:val="26"/>
        </w:rPr>
        <w:t>МРСК Северо-Запада</w:t>
      </w:r>
      <w:r w:rsidR="00655FFA" w:rsidRPr="00C04ABD">
        <w:rPr>
          <w:rFonts w:ascii="Myriad Pro" w:hAnsi="Myriad Pro"/>
          <w:sz w:val="26"/>
          <w:szCs w:val="26"/>
        </w:rPr>
        <w:t>»</w:t>
      </w:r>
      <w:r w:rsidRPr="00C04ABD">
        <w:rPr>
          <w:rFonts w:ascii="Myriad Pro" w:hAnsi="Myriad Pro"/>
          <w:sz w:val="26"/>
          <w:szCs w:val="26"/>
        </w:rPr>
        <w:t xml:space="preserve"> является членом объединения р</w:t>
      </w:r>
      <w:r w:rsidR="00274415" w:rsidRPr="00C04ABD">
        <w:rPr>
          <w:rFonts w:ascii="Myriad Pro" w:hAnsi="Myriad Pro"/>
          <w:sz w:val="26"/>
          <w:szCs w:val="26"/>
        </w:rPr>
        <w:t>аботодателей электроэнергетики;</w:t>
      </w:r>
    </w:p>
    <w:p w14:paraId="329F72F2" w14:textId="6971BB54" w:rsidR="004A69C5" w:rsidRPr="00C04ABD" w:rsidRDefault="000710FB" w:rsidP="009B0BC1">
      <w:pPr>
        <w:pStyle w:val="a4"/>
        <w:numPr>
          <w:ilvl w:val="0"/>
          <w:numId w:val="1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Д</w:t>
      </w:r>
      <w:r w:rsidR="004A69C5" w:rsidRPr="00C04ABD">
        <w:rPr>
          <w:rFonts w:ascii="Myriad Pro" w:hAnsi="Myriad Pro"/>
          <w:sz w:val="26"/>
          <w:szCs w:val="26"/>
        </w:rPr>
        <w:t>оплаты стимулирующего и компенсационного характера для расчета затрат по заработной плате взяты на основе Коллективного договора</w:t>
      </w:r>
      <w:r w:rsidR="00B232A6" w:rsidRPr="00C04ABD">
        <w:rPr>
          <w:rFonts w:ascii="Myriad Pro" w:hAnsi="Myriad Pro"/>
          <w:sz w:val="26"/>
          <w:szCs w:val="26"/>
        </w:rPr>
        <w:t xml:space="preserve"> на 2017 год</w:t>
      </w:r>
      <w:r w:rsidR="008A2848" w:rsidRPr="00C04ABD">
        <w:rPr>
          <w:rFonts w:ascii="Myriad Pro" w:hAnsi="Myriad Pro"/>
          <w:sz w:val="26"/>
          <w:szCs w:val="26"/>
        </w:rPr>
        <w:t xml:space="preserve"> </w:t>
      </w:r>
      <w:r w:rsidR="00C135F4" w:rsidRPr="00C04ABD">
        <w:rPr>
          <w:rFonts w:ascii="Myriad Pro" w:hAnsi="Myriad Pro"/>
          <w:sz w:val="26"/>
          <w:szCs w:val="26"/>
        </w:rPr>
        <w:t xml:space="preserve">(с учетом соглашения о внесении изменений в коллективный договор ПАО </w:t>
      </w:r>
      <w:r w:rsidR="00655FFA" w:rsidRPr="00C04ABD">
        <w:rPr>
          <w:rFonts w:ascii="Myriad Pro" w:hAnsi="Myriad Pro"/>
          <w:sz w:val="26"/>
          <w:szCs w:val="26"/>
        </w:rPr>
        <w:t>«</w:t>
      </w:r>
      <w:r w:rsidR="00597FD5" w:rsidRPr="00C04ABD">
        <w:rPr>
          <w:rFonts w:ascii="Myriad Pro" w:hAnsi="Myriad Pro"/>
          <w:sz w:val="26"/>
          <w:szCs w:val="26"/>
        </w:rPr>
        <w:t>МРСК Северо-Запада</w:t>
      </w:r>
      <w:r w:rsidR="00655FFA" w:rsidRPr="00C04ABD">
        <w:rPr>
          <w:rFonts w:ascii="Myriad Pro" w:hAnsi="Myriad Pro"/>
          <w:sz w:val="26"/>
          <w:szCs w:val="26"/>
        </w:rPr>
        <w:t>»</w:t>
      </w:r>
      <w:r w:rsidR="00C135F4" w:rsidRPr="00C04ABD">
        <w:rPr>
          <w:rFonts w:ascii="Myriad Pro" w:hAnsi="Myriad Pro"/>
          <w:sz w:val="26"/>
          <w:szCs w:val="26"/>
        </w:rPr>
        <w:t xml:space="preserve"> и продление срока его действия на 2018 год)</w:t>
      </w:r>
      <w:r w:rsidR="004A69C5" w:rsidRPr="00C04ABD">
        <w:rPr>
          <w:rFonts w:ascii="Myriad Pro" w:hAnsi="Myriad Pro"/>
          <w:sz w:val="26"/>
          <w:szCs w:val="26"/>
        </w:rPr>
        <w:t>:</w:t>
      </w:r>
    </w:p>
    <w:p w14:paraId="2A096BE2" w14:textId="33F33828" w:rsidR="004A69C5" w:rsidRPr="00C04ABD" w:rsidRDefault="004A69C5" w:rsidP="009B0BC1">
      <w:pPr>
        <w:pStyle w:val="a4"/>
        <w:numPr>
          <w:ilvl w:val="0"/>
          <w:numId w:val="17"/>
        </w:numPr>
        <w:tabs>
          <w:tab w:val="left" w:pos="1701"/>
        </w:tabs>
        <w:spacing w:after="0" w:line="360" w:lineRule="auto"/>
        <w:ind w:left="567" w:firstLine="567"/>
        <w:jc w:val="both"/>
        <w:rPr>
          <w:rFonts w:ascii="Myriad Pro" w:hAnsi="Myriad Pro"/>
          <w:sz w:val="26"/>
          <w:szCs w:val="26"/>
        </w:rPr>
      </w:pPr>
      <w:r w:rsidRPr="00C04ABD">
        <w:rPr>
          <w:rFonts w:ascii="Myriad Pro" w:hAnsi="Myriad Pro"/>
          <w:sz w:val="26"/>
          <w:szCs w:val="26"/>
        </w:rPr>
        <w:t>процент выплат, связанных с режимом работы – 12,5%;</w:t>
      </w:r>
    </w:p>
    <w:p w14:paraId="467C78E5" w14:textId="7B0C19B7" w:rsidR="004A69C5" w:rsidRPr="00C04ABD" w:rsidRDefault="004A69C5" w:rsidP="009B0BC1">
      <w:pPr>
        <w:pStyle w:val="a4"/>
        <w:numPr>
          <w:ilvl w:val="0"/>
          <w:numId w:val="17"/>
        </w:numPr>
        <w:tabs>
          <w:tab w:val="left" w:pos="1701"/>
        </w:tabs>
        <w:spacing w:after="0" w:line="360" w:lineRule="auto"/>
        <w:ind w:left="567" w:firstLine="567"/>
        <w:jc w:val="both"/>
        <w:rPr>
          <w:rFonts w:ascii="Myriad Pro" w:hAnsi="Myriad Pro"/>
          <w:sz w:val="26"/>
          <w:szCs w:val="26"/>
        </w:rPr>
      </w:pPr>
      <w:r w:rsidRPr="00C04ABD">
        <w:rPr>
          <w:rFonts w:ascii="Myriad Pro" w:hAnsi="Myriad Pro"/>
          <w:sz w:val="26"/>
          <w:szCs w:val="26"/>
        </w:rPr>
        <w:t>тек</w:t>
      </w:r>
      <w:r w:rsidR="00C135F4" w:rsidRPr="00C04ABD">
        <w:rPr>
          <w:rFonts w:ascii="Myriad Pro" w:hAnsi="Myriad Pro"/>
          <w:sz w:val="26"/>
          <w:szCs w:val="26"/>
        </w:rPr>
        <w:t>ущее премирование в размере – 47</w:t>
      </w:r>
      <w:r w:rsidRPr="00C04ABD">
        <w:rPr>
          <w:rFonts w:ascii="Myriad Pro" w:hAnsi="Myriad Pro"/>
          <w:sz w:val="26"/>
          <w:szCs w:val="26"/>
        </w:rPr>
        <w:t>%;</w:t>
      </w:r>
    </w:p>
    <w:p w14:paraId="3036C115" w14:textId="6A3ADE2F" w:rsidR="004A69C5" w:rsidRPr="00C04ABD" w:rsidRDefault="004A69C5" w:rsidP="009B0BC1">
      <w:pPr>
        <w:pStyle w:val="a4"/>
        <w:numPr>
          <w:ilvl w:val="0"/>
          <w:numId w:val="17"/>
        </w:numPr>
        <w:tabs>
          <w:tab w:val="left" w:pos="1701"/>
        </w:tabs>
        <w:spacing w:after="0" w:line="360" w:lineRule="auto"/>
        <w:ind w:left="567" w:firstLine="567"/>
        <w:jc w:val="both"/>
        <w:rPr>
          <w:rFonts w:ascii="Myriad Pro" w:hAnsi="Myriad Pro"/>
          <w:sz w:val="26"/>
          <w:szCs w:val="26"/>
        </w:rPr>
      </w:pPr>
      <w:r w:rsidRPr="00C04ABD">
        <w:rPr>
          <w:rFonts w:ascii="Myriad Pro" w:hAnsi="Myriad Pro"/>
          <w:sz w:val="26"/>
          <w:szCs w:val="26"/>
        </w:rPr>
        <w:t>вознаграждений за выслугу лет – 15%;</w:t>
      </w:r>
    </w:p>
    <w:p w14:paraId="3F9A1EF1" w14:textId="4D6ED43B" w:rsidR="004A69C5" w:rsidRPr="00C04ABD" w:rsidRDefault="004A69C5" w:rsidP="009B0BC1">
      <w:pPr>
        <w:pStyle w:val="a4"/>
        <w:numPr>
          <w:ilvl w:val="0"/>
          <w:numId w:val="17"/>
        </w:numPr>
        <w:tabs>
          <w:tab w:val="left" w:pos="1701"/>
        </w:tabs>
        <w:spacing w:after="0" w:line="360" w:lineRule="auto"/>
        <w:ind w:left="567" w:firstLine="567"/>
        <w:jc w:val="both"/>
        <w:rPr>
          <w:rFonts w:ascii="Myriad Pro" w:hAnsi="Myriad Pro"/>
          <w:sz w:val="26"/>
          <w:szCs w:val="26"/>
        </w:rPr>
      </w:pPr>
      <w:r w:rsidRPr="00C04ABD">
        <w:rPr>
          <w:rFonts w:ascii="Myriad Pro" w:hAnsi="Myriad Pro"/>
          <w:sz w:val="26"/>
          <w:szCs w:val="26"/>
        </w:rPr>
        <w:t>вознаграждени</w:t>
      </w:r>
      <w:r w:rsidR="00C135F4" w:rsidRPr="00C04ABD">
        <w:rPr>
          <w:rFonts w:ascii="Myriad Pro" w:hAnsi="Myriad Pro"/>
          <w:sz w:val="26"/>
          <w:szCs w:val="26"/>
        </w:rPr>
        <w:t>й по итогам работы за год – 33%;</w:t>
      </w:r>
    </w:p>
    <w:p w14:paraId="2FD0BC64" w14:textId="088DF383" w:rsidR="00C135F4" w:rsidRPr="00C04ABD" w:rsidRDefault="00C135F4" w:rsidP="009B0BC1">
      <w:pPr>
        <w:pStyle w:val="a4"/>
        <w:numPr>
          <w:ilvl w:val="0"/>
          <w:numId w:val="17"/>
        </w:numPr>
        <w:tabs>
          <w:tab w:val="left" w:pos="1701"/>
        </w:tabs>
        <w:spacing w:after="0" w:line="360" w:lineRule="auto"/>
        <w:ind w:left="567" w:firstLine="567"/>
        <w:jc w:val="both"/>
        <w:rPr>
          <w:rFonts w:ascii="Myriad Pro" w:hAnsi="Myriad Pro"/>
          <w:sz w:val="26"/>
          <w:szCs w:val="26"/>
        </w:rPr>
      </w:pPr>
      <w:r w:rsidRPr="00C04ABD">
        <w:rPr>
          <w:rFonts w:ascii="Myriad Pro" w:hAnsi="Myriad Pro"/>
          <w:sz w:val="26"/>
          <w:szCs w:val="26"/>
        </w:rPr>
        <w:t>выплаты по районному коэффициенту и северные надбавки -130%</w:t>
      </w:r>
    </w:p>
    <w:p w14:paraId="228E7792" w14:textId="7954E5BB" w:rsidR="00D47606" w:rsidRPr="00C04ABD" w:rsidRDefault="000710FB" w:rsidP="009B0BC1">
      <w:pPr>
        <w:pStyle w:val="a4"/>
        <w:numPr>
          <w:ilvl w:val="0"/>
          <w:numId w:val="1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Н</w:t>
      </w:r>
      <w:r w:rsidR="004A69C5" w:rsidRPr="00C04ABD">
        <w:rPr>
          <w:rFonts w:ascii="Myriad Pro" w:hAnsi="Myriad Pro"/>
          <w:sz w:val="26"/>
          <w:szCs w:val="26"/>
        </w:rPr>
        <w:t xml:space="preserve">ормативной численности </w:t>
      </w:r>
      <w:r w:rsidR="00CC7CDB" w:rsidRPr="00C04ABD">
        <w:rPr>
          <w:rFonts w:ascii="Myriad Pro" w:hAnsi="Myriad Pro"/>
          <w:sz w:val="26"/>
          <w:szCs w:val="26"/>
        </w:rPr>
        <w:t>1</w:t>
      </w:r>
      <w:r w:rsidR="00D57B12" w:rsidRPr="00C04ABD">
        <w:rPr>
          <w:rFonts w:ascii="Myriad Pro" w:hAnsi="Myriad Pro"/>
          <w:sz w:val="26"/>
          <w:szCs w:val="26"/>
        </w:rPr>
        <w:t xml:space="preserve"> </w:t>
      </w:r>
      <w:r w:rsidR="00CC7CDB" w:rsidRPr="00C04ABD">
        <w:rPr>
          <w:rFonts w:ascii="Myriad Pro" w:hAnsi="Myriad Pro"/>
          <w:sz w:val="26"/>
          <w:szCs w:val="26"/>
        </w:rPr>
        <w:t xml:space="preserve">183 </w:t>
      </w:r>
      <w:r w:rsidR="00211159" w:rsidRPr="00C04ABD">
        <w:rPr>
          <w:rFonts w:ascii="Myriad Pro" w:hAnsi="Myriad Pro"/>
          <w:sz w:val="26"/>
          <w:szCs w:val="26"/>
        </w:rPr>
        <w:t>чел.;</w:t>
      </w:r>
    </w:p>
    <w:p w14:paraId="5975257C" w14:textId="5D434CB9" w:rsidR="004A69C5" w:rsidRPr="00C04ABD" w:rsidRDefault="000710FB" w:rsidP="009B0BC1">
      <w:pPr>
        <w:pStyle w:val="a4"/>
        <w:numPr>
          <w:ilvl w:val="0"/>
          <w:numId w:val="1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У</w:t>
      </w:r>
      <w:r w:rsidR="004A69C5" w:rsidRPr="00C04ABD">
        <w:rPr>
          <w:rFonts w:ascii="Myriad Pro" w:hAnsi="Myriad Pro"/>
          <w:sz w:val="26"/>
          <w:szCs w:val="26"/>
        </w:rPr>
        <w:t>твержденного штатного распи</w:t>
      </w:r>
      <w:r w:rsidR="00211159" w:rsidRPr="00C04ABD">
        <w:rPr>
          <w:rFonts w:ascii="Myriad Pro" w:hAnsi="Myriad Pro"/>
          <w:sz w:val="26"/>
          <w:szCs w:val="26"/>
        </w:rPr>
        <w:t>сания, действующего с 01.01.20</w:t>
      </w:r>
      <w:r w:rsidR="00C135F4" w:rsidRPr="00C04ABD">
        <w:rPr>
          <w:rFonts w:ascii="Myriad Pro" w:hAnsi="Myriad Pro"/>
          <w:sz w:val="26"/>
          <w:szCs w:val="26"/>
        </w:rPr>
        <w:t>18 г. (</w:t>
      </w:r>
      <w:r w:rsidR="004A69C5" w:rsidRPr="00C04ABD">
        <w:rPr>
          <w:rFonts w:ascii="Myriad Pro" w:hAnsi="Myriad Pro"/>
          <w:sz w:val="26"/>
          <w:szCs w:val="26"/>
        </w:rPr>
        <w:t xml:space="preserve">в т. ч. </w:t>
      </w:r>
      <w:r w:rsidR="00C135F4" w:rsidRPr="00C04ABD">
        <w:rPr>
          <w:rFonts w:ascii="Myriad Pro" w:hAnsi="Myriad Pro"/>
          <w:sz w:val="26"/>
          <w:szCs w:val="26"/>
        </w:rPr>
        <w:t>1</w:t>
      </w:r>
      <w:r w:rsidR="00D57B12" w:rsidRPr="00C04ABD">
        <w:rPr>
          <w:rFonts w:ascii="Myriad Pro" w:hAnsi="Myriad Pro"/>
          <w:sz w:val="26"/>
          <w:szCs w:val="26"/>
        </w:rPr>
        <w:t xml:space="preserve"> </w:t>
      </w:r>
      <w:r w:rsidR="00C135F4" w:rsidRPr="00C04ABD">
        <w:rPr>
          <w:rFonts w:ascii="Myriad Pro" w:hAnsi="Myriad Pro"/>
          <w:sz w:val="26"/>
          <w:szCs w:val="26"/>
        </w:rPr>
        <w:t>183</w:t>
      </w:r>
      <w:r w:rsidR="00211159" w:rsidRPr="00C04ABD">
        <w:rPr>
          <w:rFonts w:ascii="Myriad Pro" w:hAnsi="Myriad Pro"/>
          <w:sz w:val="26"/>
          <w:szCs w:val="26"/>
        </w:rPr>
        <w:t xml:space="preserve"> </w:t>
      </w:r>
      <w:r w:rsidR="004A69C5" w:rsidRPr="00C04ABD">
        <w:rPr>
          <w:rFonts w:ascii="Myriad Pro" w:hAnsi="Myriad Pro"/>
          <w:sz w:val="26"/>
          <w:szCs w:val="26"/>
        </w:rPr>
        <w:t>ед. на услуги по передаче</w:t>
      </w:r>
      <w:r w:rsidR="00EC1C01" w:rsidRPr="00C04ABD">
        <w:rPr>
          <w:rFonts w:ascii="Myriad Pro" w:hAnsi="Myriad Pro"/>
          <w:sz w:val="26"/>
          <w:szCs w:val="26"/>
        </w:rPr>
        <w:t xml:space="preserve"> электрической энергии</w:t>
      </w:r>
      <w:r w:rsidR="004A69C5" w:rsidRPr="00C04ABD">
        <w:rPr>
          <w:rFonts w:ascii="Myriad Pro" w:hAnsi="Myriad Pro"/>
          <w:sz w:val="26"/>
          <w:szCs w:val="26"/>
        </w:rPr>
        <w:t>)</w:t>
      </w:r>
      <w:r w:rsidR="00D47606" w:rsidRPr="00C04ABD">
        <w:rPr>
          <w:rFonts w:ascii="Myriad Pro" w:hAnsi="Myriad Pro"/>
          <w:sz w:val="26"/>
          <w:szCs w:val="26"/>
        </w:rPr>
        <w:t>;</w:t>
      </w:r>
    </w:p>
    <w:p w14:paraId="7E2BE0A2" w14:textId="6ADF6A1B" w:rsidR="004A69C5" w:rsidRPr="00C04ABD" w:rsidRDefault="00211159" w:rsidP="009B0BC1">
      <w:pPr>
        <w:pStyle w:val="a4"/>
        <w:numPr>
          <w:ilvl w:val="0"/>
          <w:numId w:val="1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ММТС на 2018</w:t>
      </w:r>
      <w:r w:rsidR="004A69C5" w:rsidRPr="00C04ABD">
        <w:rPr>
          <w:rFonts w:ascii="Myriad Pro" w:hAnsi="Myriad Pro"/>
          <w:sz w:val="26"/>
          <w:szCs w:val="26"/>
        </w:rPr>
        <w:t xml:space="preserve"> год в размере </w:t>
      </w:r>
      <w:r w:rsidR="002119AC" w:rsidRPr="00C04ABD">
        <w:rPr>
          <w:rFonts w:ascii="Myriad Pro" w:hAnsi="Myriad Pro"/>
          <w:sz w:val="26"/>
          <w:szCs w:val="26"/>
        </w:rPr>
        <w:t xml:space="preserve">7 772 </w:t>
      </w:r>
      <w:r w:rsidR="004A69C5" w:rsidRPr="00C04ABD">
        <w:rPr>
          <w:rFonts w:ascii="Myriad Pro" w:hAnsi="Myriad Pro"/>
          <w:sz w:val="26"/>
          <w:szCs w:val="26"/>
        </w:rPr>
        <w:t xml:space="preserve">руб. </w:t>
      </w:r>
      <w:r w:rsidR="00081C16" w:rsidRPr="00C04ABD">
        <w:rPr>
          <w:rFonts w:ascii="Myriad Pro" w:hAnsi="Myriad Pro"/>
          <w:sz w:val="26"/>
          <w:szCs w:val="26"/>
        </w:rPr>
        <w:t xml:space="preserve"> (приказ филиала </w:t>
      </w:r>
      <w:r w:rsidR="00350B0A" w:rsidRPr="00C04ABD">
        <w:rPr>
          <w:rFonts w:ascii="Myriad Pro" w:hAnsi="Myriad Pro"/>
          <w:sz w:val="26"/>
          <w:szCs w:val="26"/>
        </w:rPr>
        <w:t xml:space="preserve">ПАО </w:t>
      </w:r>
      <w:r w:rsidR="00655FFA" w:rsidRPr="00C04ABD">
        <w:rPr>
          <w:rFonts w:ascii="Myriad Pro" w:hAnsi="Myriad Pro"/>
          <w:sz w:val="26"/>
          <w:szCs w:val="26"/>
        </w:rPr>
        <w:t>«</w:t>
      </w:r>
      <w:r w:rsidR="00350B0A" w:rsidRPr="00C04ABD">
        <w:rPr>
          <w:rFonts w:ascii="Myriad Pro" w:hAnsi="Myriad Pro"/>
          <w:sz w:val="26"/>
          <w:szCs w:val="26"/>
        </w:rPr>
        <w:t>МРСК Северо-Запада</w:t>
      </w:r>
      <w:r w:rsidR="00655FFA" w:rsidRPr="00C04ABD">
        <w:rPr>
          <w:rFonts w:ascii="Myriad Pro" w:hAnsi="Myriad Pro"/>
          <w:sz w:val="26"/>
          <w:szCs w:val="26"/>
        </w:rPr>
        <w:t>»</w:t>
      </w:r>
      <w:r w:rsidR="00350B0A" w:rsidRPr="00C04ABD">
        <w:rPr>
          <w:rFonts w:ascii="Myriad Pro" w:hAnsi="Myriad Pro"/>
          <w:sz w:val="26"/>
          <w:szCs w:val="26"/>
        </w:rPr>
        <w:t xml:space="preserve"> </w:t>
      </w:r>
      <w:r w:rsidR="00655FFA" w:rsidRPr="00C04ABD">
        <w:rPr>
          <w:rFonts w:ascii="Myriad Pro" w:hAnsi="Myriad Pro"/>
          <w:sz w:val="26"/>
          <w:szCs w:val="26"/>
        </w:rPr>
        <w:t>«</w:t>
      </w:r>
      <w:r w:rsidR="00350B0A" w:rsidRPr="00C04ABD">
        <w:rPr>
          <w:rFonts w:ascii="Myriad Pro" w:hAnsi="Myriad Pro"/>
          <w:sz w:val="26"/>
          <w:szCs w:val="26"/>
        </w:rPr>
        <w:t>Колэнерго</w:t>
      </w:r>
      <w:r w:rsidR="00655FFA" w:rsidRPr="00C04ABD">
        <w:rPr>
          <w:rFonts w:ascii="Myriad Pro" w:hAnsi="Myriad Pro"/>
          <w:sz w:val="26"/>
          <w:szCs w:val="26"/>
        </w:rPr>
        <w:t>»</w:t>
      </w:r>
      <w:r w:rsidR="00081C16" w:rsidRPr="00C04ABD">
        <w:rPr>
          <w:rFonts w:ascii="Myriad Pro" w:hAnsi="Myriad Pro"/>
          <w:sz w:val="26"/>
          <w:szCs w:val="26"/>
        </w:rPr>
        <w:t xml:space="preserve"> от 24.01.2018 №3-ОТ). </w:t>
      </w:r>
      <w:r w:rsidR="004A69C5" w:rsidRPr="00C04ABD">
        <w:rPr>
          <w:rFonts w:ascii="Myriad Pro" w:hAnsi="Myriad Pro"/>
          <w:sz w:val="26"/>
          <w:szCs w:val="26"/>
        </w:rPr>
        <w:t xml:space="preserve">Минимальная </w:t>
      </w:r>
      <w:r w:rsidR="002119AC" w:rsidRPr="00C04ABD">
        <w:rPr>
          <w:rFonts w:ascii="Myriad Pro" w:hAnsi="Myriad Pro"/>
          <w:sz w:val="26"/>
          <w:szCs w:val="26"/>
        </w:rPr>
        <w:t>месячная тарифная ставка на 2019</w:t>
      </w:r>
      <w:r w:rsidR="004A69C5" w:rsidRPr="00C04ABD">
        <w:rPr>
          <w:rFonts w:ascii="Myriad Pro" w:hAnsi="Myriad Pro"/>
          <w:sz w:val="26"/>
          <w:szCs w:val="26"/>
        </w:rPr>
        <w:t xml:space="preserve"> год </w:t>
      </w:r>
      <w:r w:rsidR="002119AC" w:rsidRPr="00C04ABD">
        <w:rPr>
          <w:rFonts w:ascii="Myriad Pro" w:hAnsi="Myriad Pro"/>
          <w:sz w:val="26"/>
          <w:szCs w:val="26"/>
        </w:rPr>
        <w:t xml:space="preserve">в размере 8 382 </w:t>
      </w:r>
      <w:r w:rsidR="004A69C5" w:rsidRPr="00C04ABD">
        <w:rPr>
          <w:rFonts w:ascii="Myriad Pro" w:hAnsi="Myriad Pro"/>
          <w:sz w:val="26"/>
          <w:szCs w:val="26"/>
        </w:rPr>
        <w:t xml:space="preserve">получена </w:t>
      </w:r>
      <w:r w:rsidRPr="00C04ABD">
        <w:rPr>
          <w:rFonts w:ascii="Myriad Pro" w:hAnsi="Myriad Pro"/>
          <w:sz w:val="26"/>
          <w:szCs w:val="26"/>
        </w:rPr>
        <w:t xml:space="preserve">филиалом </w:t>
      </w:r>
      <w:r w:rsidR="00350B0A" w:rsidRPr="00C04ABD">
        <w:rPr>
          <w:rFonts w:ascii="Myriad Pro" w:hAnsi="Myriad Pro"/>
          <w:sz w:val="26"/>
          <w:szCs w:val="26"/>
        </w:rPr>
        <w:t xml:space="preserve">ПАО </w:t>
      </w:r>
      <w:r w:rsidR="00655FFA" w:rsidRPr="00C04ABD">
        <w:rPr>
          <w:rFonts w:ascii="Myriad Pro" w:hAnsi="Myriad Pro"/>
          <w:sz w:val="26"/>
          <w:szCs w:val="26"/>
        </w:rPr>
        <w:t>«</w:t>
      </w:r>
      <w:r w:rsidR="00350B0A" w:rsidRPr="00C04ABD">
        <w:rPr>
          <w:rFonts w:ascii="Myriad Pro" w:hAnsi="Myriad Pro"/>
          <w:sz w:val="26"/>
          <w:szCs w:val="26"/>
        </w:rPr>
        <w:t>МРСК Северо-Запада</w:t>
      </w:r>
      <w:r w:rsidR="00655FFA" w:rsidRPr="00C04ABD">
        <w:rPr>
          <w:rFonts w:ascii="Myriad Pro" w:hAnsi="Myriad Pro"/>
          <w:sz w:val="26"/>
          <w:szCs w:val="26"/>
        </w:rPr>
        <w:t>»</w:t>
      </w:r>
      <w:r w:rsidR="00350B0A" w:rsidRPr="00C04ABD">
        <w:rPr>
          <w:rFonts w:ascii="Myriad Pro" w:hAnsi="Myriad Pro"/>
          <w:sz w:val="26"/>
          <w:szCs w:val="26"/>
        </w:rPr>
        <w:t xml:space="preserve"> </w:t>
      </w:r>
      <w:r w:rsidR="00655FFA" w:rsidRPr="00C04ABD">
        <w:rPr>
          <w:rFonts w:ascii="Myriad Pro" w:hAnsi="Myriad Pro"/>
          <w:sz w:val="26"/>
          <w:szCs w:val="26"/>
        </w:rPr>
        <w:t>«</w:t>
      </w:r>
      <w:r w:rsidR="00350B0A" w:rsidRPr="00C04ABD">
        <w:rPr>
          <w:rFonts w:ascii="Myriad Pro" w:hAnsi="Myriad Pro"/>
          <w:sz w:val="26"/>
          <w:szCs w:val="26"/>
        </w:rPr>
        <w:t>Колэнерго</w:t>
      </w:r>
      <w:r w:rsidR="00655FFA" w:rsidRPr="00C04ABD">
        <w:rPr>
          <w:rFonts w:ascii="Myriad Pro" w:hAnsi="Myriad Pro"/>
          <w:sz w:val="26"/>
          <w:szCs w:val="26"/>
        </w:rPr>
        <w:t>»</w:t>
      </w:r>
      <w:r w:rsidRPr="00C04ABD">
        <w:rPr>
          <w:rFonts w:ascii="Myriad Pro" w:hAnsi="Myriad Pro"/>
          <w:sz w:val="26"/>
          <w:szCs w:val="26"/>
        </w:rPr>
        <w:t xml:space="preserve"> </w:t>
      </w:r>
      <w:r w:rsidR="004A69C5" w:rsidRPr="00C04ABD">
        <w:rPr>
          <w:rFonts w:ascii="Myriad Pro" w:hAnsi="Myriad Pro"/>
          <w:sz w:val="26"/>
          <w:szCs w:val="26"/>
        </w:rPr>
        <w:t xml:space="preserve">путем </w:t>
      </w:r>
      <w:r w:rsidR="002119AC" w:rsidRPr="00C04ABD">
        <w:rPr>
          <w:rFonts w:ascii="Myriad Pro" w:hAnsi="Myriad Pro"/>
          <w:sz w:val="26"/>
          <w:szCs w:val="26"/>
        </w:rPr>
        <w:t xml:space="preserve">применения индексов ИПЦ 2018 года – 1,037, 2019 г. – 1,04 (в соответствии с </w:t>
      </w:r>
      <w:r w:rsidR="00366C29" w:rsidRPr="00C04ABD">
        <w:rPr>
          <w:rFonts w:ascii="Myriad Pro" w:hAnsi="Myriad Pro"/>
          <w:sz w:val="26"/>
          <w:szCs w:val="26"/>
        </w:rPr>
        <w:t>прогнозом социально-экономического развития Российской Федерации на 2016-2020 гг. от 27.10.2017 г.)</w:t>
      </w:r>
      <w:r w:rsidR="002119AC" w:rsidRPr="00C04ABD">
        <w:rPr>
          <w:rFonts w:ascii="Myriad Pro" w:hAnsi="Myriad Pro"/>
          <w:sz w:val="26"/>
          <w:szCs w:val="26"/>
        </w:rPr>
        <w:t>.</w:t>
      </w:r>
    </w:p>
    <w:p w14:paraId="4D93FB39" w14:textId="09C93C3B" w:rsidR="004A69C5" w:rsidRPr="00C04ABD" w:rsidRDefault="000710FB" w:rsidP="009B0BC1">
      <w:pPr>
        <w:pStyle w:val="a4"/>
        <w:numPr>
          <w:ilvl w:val="0"/>
          <w:numId w:val="1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Т</w:t>
      </w:r>
      <w:r w:rsidR="00211159" w:rsidRPr="00C04ABD">
        <w:rPr>
          <w:rFonts w:ascii="Myriad Pro" w:hAnsi="Myriad Pro"/>
          <w:sz w:val="26"/>
          <w:szCs w:val="26"/>
        </w:rPr>
        <w:t>арифного коэффициента (</w:t>
      </w:r>
      <w:r w:rsidR="008B0B2C" w:rsidRPr="00C04ABD">
        <w:rPr>
          <w:rFonts w:ascii="Myriad Pro" w:hAnsi="Myriad Pro"/>
          <w:sz w:val="26"/>
          <w:szCs w:val="26"/>
        </w:rPr>
        <w:t>2,09</w:t>
      </w:r>
      <w:r w:rsidR="004A69C5" w:rsidRPr="00C04ABD">
        <w:rPr>
          <w:rFonts w:ascii="Myriad Pro" w:hAnsi="Myriad Pro"/>
          <w:sz w:val="26"/>
          <w:szCs w:val="26"/>
        </w:rPr>
        <w:t>), соответствующ</w:t>
      </w:r>
      <w:r w:rsidR="00274415" w:rsidRPr="00C04ABD">
        <w:rPr>
          <w:rFonts w:ascii="Myriad Pro" w:hAnsi="Myriad Pro"/>
          <w:sz w:val="26"/>
          <w:szCs w:val="26"/>
        </w:rPr>
        <w:t>его ступени по оплате труда (7</w:t>
      </w:r>
      <w:r w:rsidR="008560CD" w:rsidRPr="00C04ABD">
        <w:rPr>
          <w:rFonts w:ascii="Myriad Pro" w:hAnsi="Myriad Pro"/>
          <w:sz w:val="26"/>
          <w:szCs w:val="26"/>
        </w:rPr>
        <w:t>,1</w:t>
      </w:r>
      <w:r w:rsidR="004A69C5" w:rsidRPr="00C04ABD">
        <w:rPr>
          <w:rFonts w:ascii="Myriad Pro" w:hAnsi="Myriad Pro"/>
          <w:sz w:val="26"/>
          <w:szCs w:val="26"/>
        </w:rPr>
        <w:t>), слож</w:t>
      </w:r>
      <w:r w:rsidR="008B0B2C" w:rsidRPr="00C04ABD">
        <w:rPr>
          <w:rFonts w:ascii="Myriad Pro" w:hAnsi="Myriad Pro"/>
          <w:sz w:val="26"/>
          <w:szCs w:val="26"/>
        </w:rPr>
        <w:t>ившегося по штатному расписанию.</w:t>
      </w:r>
    </w:p>
    <w:p w14:paraId="6B50BAAC" w14:textId="77777777" w:rsidR="004A69C5" w:rsidRPr="00C04ABD" w:rsidRDefault="004A69C5" w:rsidP="00A31747">
      <w:pPr>
        <w:tabs>
          <w:tab w:val="left" w:pos="1134"/>
        </w:tabs>
        <w:spacing w:after="0" w:line="360" w:lineRule="auto"/>
        <w:ind w:firstLine="567"/>
        <w:contextualSpacing/>
        <w:jc w:val="both"/>
        <w:rPr>
          <w:rFonts w:ascii="Myriad Pro" w:eastAsia="Calibri" w:hAnsi="Myriad Pro" w:cs="Times New Roman"/>
          <w:sz w:val="26"/>
          <w:szCs w:val="26"/>
        </w:rPr>
      </w:pPr>
    </w:p>
    <w:p w14:paraId="4D40C197" w14:textId="0FDDFF95" w:rsidR="001B371A" w:rsidRPr="00C04ABD" w:rsidRDefault="001B371A" w:rsidP="00B860F1">
      <w:pPr>
        <w:tabs>
          <w:tab w:val="left" w:pos="1134"/>
        </w:tabs>
        <w:spacing w:after="0" w:line="360" w:lineRule="auto"/>
        <w:contextualSpacing/>
        <w:jc w:val="both"/>
        <w:rPr>
          <w:rFonts w:ascii="Myriad Pro" w:eastAsia="Calibri" w:hAnsi="Myriad Pro" w:cs="Times New Roman"/>
          <w:b/>
          <w:sz w:val="26"/>
          <w:szCs w:val="26"/>
        </w:rPr>
      </w:pPr>
      <w:r w:rsidRPr="00C04ABD">
        <w:rPr>
          <w:rFonts w:ascii="Myriad Pro" w:eastAsia="Calibri" w:hAnsi="Myriad Pro" w:cs="Times New Roman"/>
          <w:b/>
          <w:sz w:val="26"/>
          <w:szCs w:val="26"/>
        </w:rPr>
        <w:t>ПОЗИЦИЯ ОРГАНА РЕГУЛИРОВАНИЯ</w:t>
      </w:r>
    </w:p>
    <w:p w14:paraId="7A4F9A05" w14:textId="0A3E20F9" w:rsidR="008B0B2C" w:rsidRPr="00C04ABD" w:rsidRDefault="008B0B2C" w:rsidP="00A31747">
      <w:pPr>
        <w:tabs>
          <w:tab w:val="left" w:pos="1134"/>
        </w:tabs>
        <w:autoSpaceDE w:val="0"/>
        <w:autoSpaceDN w:val="0"/>
        <w:adjustRightInd w:val="0"/>
        <w:spacing w:after="0" w:line="360" w:lineRule="auto"/>
        <w:ind w:firstLine="567"/>
        <w:jc w:val="both"/>
        <w:rPr>
          <w:rFonts w:ascii="Myriad Pro" w:eastAsia="Calibri" w:hAnsi="Myriad Pro" w:cs="Times New Roman"/>
          <w:sz w:val="26"/>
          <w:szCs w:val="26"/>
        </w:rPr>
      </w:pPr>
      <w:r w:rsidRPr="00C04ABD">
        <w:rPr>
          <w:rFonts w:ascii="Myriad Pro" w:eastAsia="Calibri" w:hAnsi="Myriad Pro" w:cs="Times New Roman"/>
          <w:sz w:val="26"/>
          <w:szCs w:val="26"/>
        </w:rPr>
        <w:t xml:space="preserve">В соответствии с пунктом 26 Основ ценообразования регулирующим органом проведен анализ экономической обоснованности фактических и плановых расходов на оплату труда.  </w:t>
      </w:r>
    </w:p>
    <w:p w14:paraId="5FACE559" w14:textId="398E26FD" w:rsidR="008B0B2C" w:rsidRPr="00C04ABD" w:rsidRDefault="008B0B2C" w:rsidP="00A31747">
      <w:pPr>
        <w:tabs>
          <w:tab w:val="left" w:pos="1134"/>
        </w:tabs>
        <w:autoSpaceDE w:val="0"/>
        <w:autoSpaceDN w:val="0"/>
        <w:adjustRightInd w:val="0"/>
        <w:spacing w:after="0" w:line="360" w:lineRule="auto"/>
        <w:ind w:firstLine="567"/>
        <w:jc w:val="both"/>
        <w:rPr>
          <w:rFonts w:ascii="Myriad Pro" w:eastAsia="Calibri" w:hAnsi="Myriad Pro" w:cs="Times New Roman"/>
          <w:sz w:val="26"/>
          <w:szCs w:val="26"/>
        </w:rPr>
      </w:pPr>
      <w:r w:rsidRPr="00C04ABD">
        <w:rPr>
          <w:rFonts w:ascii="Myriad Pro" w:eastAsia="Calibri" w:hAnsi="Myriad Pro" w:cs="Times New Roman"/>
          <w:sz w:val="26"/>
          <w:szCs w:val="26"/>
        </w:rPr>
        <w:t xml:space="preserve">По запросу Комитета Филиалом представлена информация о фактической заработной плате за 2017 год по виду деятельности </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передача электрической энергии</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 xml:space="preserve">, а также копия письма </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О нормативной численности промышленно-производственного персонала</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 xml:space="preserve">, рассчитанная Российским </w:t>
      </w:r>
      <w:r w:rsidR="00375FAD" w:rsidRPr="00C04ABD">
        <w:rPr>
          <w:rFonts w:ascii="Myriad Pro" w:eastAsia="Calibri" w:hAnsi="Myriad Pro" w:cs="Myriad Pro"/>
          <w:sz w:val="26"/>
          <w:szCs w:val="26"/>
        </w:rPr>
        <w:t xml:space="preserve">открытым </w:t>
      </w:r>
      <w:r w:rsidR="00375FAD" w:rsidRPr="00C04ABD">
        <w:rPr>
          <w:rFonts w:ascii="Myriad Pro" w:eastAsia="Calibri" w:hAnsi="Myriad Pro" w:cs="Myriad Pro"/>
          <w:sz w:val="26"/>
          <w:szCs w:val="26"/>
        </w:rPr>
        <w:lastRenderedPageBreak/>
        <w:t xml:space="preserve">акционерным обществом </w:t>
      </w:r>
      <w:r w:rsidR="00375FAD" w:rsidRPr="00C04ABD">
        <w:rPr>
          <w:rFonts w:ascii="Myriad Pro" w:eastAsia="Calibri" w:hAnsi="Myriad Pro" w:cs="Times New Roman"/>
          <w:sz w:val="26"/>
          <w:szCs w:val="26"/>
        </w:rPr>
        <w:t>э</w:t>
      </w:r>
      <w:r w:rsidRPr="00C04ABD">
        <w:rPr>
          <w:rFonts w:ascii="Myriad Pro" w:eastAsia="Calibri" w:hAnsi="Myriad Pro" w:cs="Times New Roman"/>
          <w:sz w:val="26"/>
          <w:szCs w:val="26"/>
        </w:rPr>
        <w:t xml:space="preserve">нергетики и </w:t>
      </w:r>
      <w:r w:rsidR="00375FAD" w:rsidRPr="00C04ABD">
        <w:rPr>
          <w:rFonts w:ascii="Myriad Pro" w:eastAsia="Calibri" w:hAnsi="Myriad Pro" w:cs="Times New Roman"/>
          <w:sz w:val="26"/>
          <w:szCs w:val="26"/>
        </w:rPr>
        <w:t>электрификации</w:t>
      </w:r>
      <w:r w:rsidRPr="00C04ABD">
        <w:rPr>
          <w:rFonts w:ascii="Myriad Pro" w:eastAsia="Calibri" w:hAnsi="Myriad Pro" w:cs="Times New Roman"/>
          <w:sz w:val="26"/>
          <w:szCs w:val="26"/>
        </w:rPr>
        <w:t xml:space="preserve"> </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ЕЭС России</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 xml:space="preserve"> ОАО</w:t>
      </w:r>
      <w:r w:rsidR="00996030" w:rsidRPr="00C04ABD">
        <w:rPr>
          <w:rFonts w:ascii="Myriad Pro" w:eastAsia="Calibri" w:hAnsi="Myriad Pro" w:cs="Times New Roman"/>
          <w:sz w:val="26"/>
          <w:szCs w:val="26"/>
        </w:rPr>
        <w:t> </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ЦОТ</w:t>
      </w:r>
      <w:r w:rsidR="005E7952" w:rsidRPr="00C04ABD">
        <w:rPr>
          <w:rFonts w:ascii="Myriad Pro" w:eastAsia="Calibri" w:hAnsi="Myriad Pro" w:cs="Times New Roman"/>
          <w:sz w:val="26"/>
          <w:szCs w:val="26"/>
        </w:rPr>
        <w:t>энерго</w:t>
      </w:r>
      <w:r w:rsidR="00655FFA" w:rsidRPr="00C04ABD">
        <w:rPr>
          <w:rFonts w:ascii="Myriad Pro" w:eastAsia="Calibri" w:hAnsi="Myriad Pro" w:cs="Times New Roman"/>
          <w:sz w:val="26"/>
          <w:szCs w:val="26"/>
        </w:rPr>
        <w:t>»</w:t>
      </w:r>
      <w:r w:rsidR="001300B5" w:rsidRPr="00C04ABD">
        <w:rPr>
          <w:rFonts w:ascii="Myriad Pro" w:eastAsia="Calibri" w:hAnsi="Myriad Pro" w:cs="Times New Roman"/>
          <w:sz w:val="26"/>
          <w:szCs w:val="26"/>
        </w:rPr>
        <w:t xml:space="preserve"> (нормативная численность ППП 1</w:t>
      </w:r>
      <w:r w:rsidR="00B85351" w:rsidRPr="00C04ABD">
        <w:rPr>
          <w:rFonts w:ascii="Myriad Pro" w:eastAsia="Calibri" w:hAnsi="Myriad Pro" w:cs="Times New Roman"/>
          <w:sz w:val="26"/>
          <w:szCs w:val="26"/>
        </w:rPr>
        <w:t xml:space="preserve"> </w:t>
      </w:r>
      <w:r w:rsidR="001300B5" w:rsidRPr="00C04ABD">
        <w:rPr>
          <w:rFonts w:ascii="Myriad Pro" w:eastAsia="Calibri" w:hAnsi="Myriad Pro" w:cs="Times New Roman"/>
          <w:sz w:val="26"/>
          <w:szCs w:val="26"/>
        </w:rPr>
        <w:t>314 чел</w:t>
      </w:r>
      <w:r w:rsidR="00A87BCB" w:rsidRPr="00C04ABD">
        <w:rPr>
          <w:rFonts w:ascii="Myriad Pro" w:eastAsia="Calibri" w:hAnsi="Myriad Pro" w:cs="Times New Roman"/>
          <w:sz w:val="26"/>
          <w:szCs w:val="26"/>
        </w:rPr>
        <w:t>.</w:t>
      </w:r>
      <w:r w:rsidR="001300B5" w:rsidRPr="00C04ABD">
        <w:rPr>
          <w:rFonts w:ascii="Myriad Pro" w:eastAsia="Calibri" w:hAnsi="Myriad Pro" w:cs="Times New Roman"/>
          <w:sz w:val="26"/>
          <w:szCs w:val="26"/>
        </w:rPr>
        <w:t>).</w:t>
      </w:r>
    </w:p>
    <w:p w14:paraId="5AD49B04" w14:textId="77777777" w:rsidR="008B0B2C" w:rsidRPr="00C04ABD" w:rsidRDefault="008B0B2C" w:rsidP="00B860F1">
      <w:pPr>
        <w:tabs>
          <w:tab w:val="left" w:pos="1134"/>
        </w:tabs>
        <w:spacing w:after="0" w:line="360" w:lineRule="auto"/>
        <w:ind w:firstLine="567"/>
        <w:jc w:val="both"/>
        <w:rPr>
          <w:rFonts w:ascii="Myriad Pro" w:eastAsia="Calibri" w:hAnsi="Myriad Pro" w:cs="Times New Roman"/>
          <w:sz w:val="26"/>
          <w:szCs w:val="26"/>
        </w:rPr>
      </w:pPr>
      <w:r w:rsidRPr="00C04ABD">
        <w:rPr>
          <w:rFonts w:ascii="Myriad Pro" w:eastAsia="Calibri" w:hAnsi="Myriad Pro" w:cs="Times New Roman"/>
          <w:sz w:val="26"/>
          <w:szCs w:val="26"/>
        </w:rPr>
        <w:t>При определении экономически обоснованного уровня расходов на оплату труда на 2019 год органом регулирования учтено следующее:</w:t>
      </w:r>
    </w:p>
    <w:p w14:paraId="1C5BA0BB" w14:textId="0C00A4C4" w:rsidR="001300B5" w:rsidRPr="00C04ABD" w:rsidRDefault="001300B5" w:rsidP="009B0BC1">
      <w:pPr>
        <w:pStyle w:val="a4"/>
        <w:numPr>
          <w:ilvl w:val="0"/>
          <w:numId w:val="17"/>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Штатное расписание, действующее с 01.01.2018;</w:t>
      </w:r>
    </w:p>
    <w:p w14:paraId="0FBDB9DD" w14:textId="7F22A4B8" w:rsidR="001300B5" w:rsidRPr="00C04ABD" w:rsidRDefault="001300B5" w:rsidP="009B0BC1">
      <w:pPr>
        <w:pStyle w:val="a4"/>
        <w:numPr>
          <w:ilvl w:val="0"/>
          <w:numId w:val="17"/>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Данные раздельного учета за 2017 год (в части расходов на оплату труда);</w:t>
      </w:r>
    </w:p>
    <w:p w14:paraId="6F162372" w14:textId="39C7E734" w:rsidR="001300B5" w:rsidRPr="00C04ABD" w:rsidRDefault="001300B5" w:rsidP="009B0BC1">
      <w:pPr>
        <w:pStyle w:val="a4"/>
        <w:numPr>
          <w:ilvl w:val="0"/>
          <w:numId w:val="17"/>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Информация о фактических расходах Филиала н</w:t>
      </w:r>
      <w:r w:rsidR="007A3836" w:rsidRPr="00C04ABD">
        <w:rPr>
          <w:rFonts w:ascii="Myriad Pro" w:hAnsi="Myriad Pro"/>
          <w:sz w:val="26"/>
          <w:szCs w:val="26"/>
        </w:rPr>
        <w:t>а</w:t>
      </w:r>
      <w:r w:rsidRPr="00C04ABD">
        <w:rPr>
          <w:rFonts w:ascii="Myriad Pro" w:hAnsi="Myriad Pro"/>
          <w:sz w:val="26"/>
          <w:szCs w:val="26"/>
        </w:rPr>
        <w:t xml:space="preserve"> заработную плату за 2014-2017 гг.;</w:t>
      </w:r>
    </w:p>
    <w:p w14:paraId="16B7B95D" w14:textId="44FD817E" w:rsidR="00C263AD" w:rsidRPr="00C04ABD" w:rsidRDefault="00C263AD" w:rsidP="009B0BC1">
      <w:pPr>
        <w:pStyle w:val="a4"/>
        <w:numPr>
          <w:ilvl w:val="0"/>
          <w:numId w:val="17"/>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Численность работников в количестве 1</w:t>
      </w:r>
      <w:r w:rsidR="007A3836" w:rsidRPr="00C04ABD">
        <w:rPr>
          <w:rFonts w:ascii="Myriad Pro" w:hAnsi="Myriad Pro"/>
          <w:sz w:val="26"/>
          <w:szCs w:val="26"/>
        </w:rPr>
        <w:t> </w:t>
      </w:r>
      <w:r w:rsidRPr="00C04ABD">
        <w:rPr>
          <w:rFonts w:ascii="Myriad Pro" w:hAnsi="Myriad Pro"/>
          <w:sz w:val="26"/>
          <w:szCs w:val="26"/>
        </w:rPr>
        <w:t>183 чел., определенная как среднегодовое значение фактической среднесписочной численности персонала, занятого деятельностью по передаче электрической энергии за 2017 год в количестве 1</w:t>
      </w:r>
      <w:r w:rsidR="007A3836" w:rsidRPr="00C04ABD">
        <w:rPr>
          <w:rFonts w:ascii="Myriad Pro" w:hAnsi="Myriad Pro"/>
          <w:sz w:val="26"/>
          <w:szCs w:val="26"/>
        </w:rPr>
        <w:t> </w:t>
      </w:r>
      <w:r w:rsidRPr="00C04ABD">
        <w:rPr>
          <w:rFonts w:ascii="Myriad Pro" w:hAnsi="Myriad Pro"/>
          <w:sz w:val="26"/>
          <w:szCs w:val="26"/>
        </w:rPr>
        <w:t>140,9 человек и дополнительной численности 42 чел. с учетом перечня вакансий и принимаемого с 2019 года персонала для обслуживания новых участков электроснабжения;</w:t>
      </w:r>
    </w:p>
    <w:p w14:paraId="5A8C075D" w14:textId="3619C0F4" w:rsidR="008B0B2C" w:rsidRPr="00C04ABD" w:rsidRDefault="008B0B2C" w:rsidP="009B0BC1">
      <w:pPr>
        <w:pStyle w:val="a4"/>
        <w:numPr>
          <w:ilvl w:val="0"/>
          <w:numId w:val="17"/>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Минимальная тарифная ставка рабочего первого разряда учтена в соответствии с Коллективным договором и Отраслевым тарифным соглашением (в расчете с 01.01.2018) с учетом ИПЦ на 2019 год</w:t>
      </w:r>
      <w:r w:rsidR="001300B5" w:rsidRPr="00C04ABD">
        <w:rPr>
          <w:rFonts w:ascii="Myriad Pro" w:hAnsi="Myriad Pro"/>
          <w:sz w:val="26"/>
          <w:szCs w:val="26"/>
        </w:rPr>
        <w:t>;</w:t>
      </w:r>
    </w:p>
    <w:p w14:paraId="49036F73" w14:textId="77777777" w:rsidR="008B0B2C" w:rsidRPr="00C04ABD" w:rsidRDefault="008B0B2C" w:rsidP="009B0BC1">
      <w:pPr>
        <w:pStyle w:val="a4"/>
        <w:numPr>
          <w:ilvl w:val="0"/>
          <w:numId w:val="17"/>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Средняя ступень оплаты труда, процент выплат, связанных с режимом работы, процент выплат по текущему премированию, процент вознаграждения за выслугу лет, процент выплат по итогам года приняты в размере фактических 2017 года (пункт 26 Основ ценообразования);</w:t>
      </w:r>
    </w:p>
    <w:p w14:paraId="23D76180" w14:textId="77777777" w:rsidR="008B0B2C" w:rsidRPr="00C04ABD" w:rsidRDefault="008B0B2C" w:rsidP="009B0BC1">
      <w:pPr>
        <w:pStyle w:val="a4"/>
        <w:numPr>
          <w:ilvl w:val="0"/>
          <w:numId w:val="17"/>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Выплаты по районному коэффициенту и полярным надбавкам установлены в соответствии с действующим законодательством в размере 130% с учетом фактических данных за 2017 год;</w:t>
      </w:r>
    </w:p>
    <w:p w14:paraId="18C4335C" w14:textId="77777777" w:rsidR="008B0B2C" w:rsidRPr="00C04ABD" w:rsidRDefault="008B0B2C" w:rsidP="009B0BC1">
      <w:pPr>
        <w:pStyle w:val="a4"/>
        <w:numPr>
          <w:ilvl w:val="0"/>
          <w:numId w:val="17"/>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Количество работников, у которых в 2019 году наступает право на использование компенсации проезда, определено исходя из принятой численности персонала за исключением персонала, у которого наступило право в предшествующем году.</w:t>
      </w:r>
    </w:p>
    <w:p w14:paraId="6C811152" w14:textId="77777777" w:rsidR="002D6F57" w:rsidRPr="00C04ABD" w:rsidRDefault="002D6F57" w:rsidP="00A31747">
      <w:pPr>
        <w:tabs>
          <w:tab w:val="left" w:pos="1134"/>
        </w:tabs>
        <w:autoSpaceDE w:val="0"/>
        <w:autoSpaceDN w:val="0"/>
        <w:adjustRightInd w:val="0"/>
        <w:spacing w:after="0" w:line="360" w:lineRule="auto"/>
        <w:ind w:firstLine="567"/>
        <w:jc w:val="both"/>
        <w:rPr>
          <w:rFonts w:ascii="Myriad Pro" w:hAnsi="Myriad Pro"/>
          <w:sz w:val="26"/>
          <w:szCs w:val="26"/>
        </w:rPr>
      </w:pPr>
      <w:r w:rsidRPr="00C04ABD">
        <w:rPr>
          <w:rFonts w:ascii="Myriad Pro" w:hAnsi="Myriad Pro"/>
          <w:sz w:val="26"/>
          <w:szCs w:val="26"/>
        </w:rPr>
        <w:t>Согласно Протоколу от 28.12.2018 общие расходы на оплату труда в 2019 году по расчету Комитета составят 980 404,03 тыс. руб.</w:t>
      </w:r>
    </w:p>
    <w:p w14:paraId="13D0862E" w14:textId="1EF22594" w:rsidR="007C3060" w:rsidRPr="00C04ABD" w:rsidRDefault="007C3060" w:rsidP="00A31747">
      <w:pPr>
        <w:tabs>
          <w:tab w:val="left" w:pos="1134"/>
        </w:tabs>
        <w:spacing w:after="0" w:line="360" w:lineRule="auto"/>
        <w:ind w:firstLine="567"/>
        <w:jc w:val="both"/>
        <w:rPr>
          <w:rFonts w:ascii="Myriad Pro" w:hAnsi="Myriad Pro"/>
          <w:sz w:val="26"/>
          <w:szCs w:val="26"/>
        </w:rPr>
      </w:pPr>
      <w:r w:rsidRPr="00C04ABD">
        <w:rPr>
          <w:rFonts w:ascii="Myriad Pro" w:hAnsi="Myriad Pro"/>
          <w:sz w:val="26"/>
          <w:szCs w:val="26"/>
        </w:rPr>
        <w:lastRenderedPageBreak/>
        <w:t>Согласно Протоколу от 29.12.2018 Комитетом по итогам изучения особого мнения и дополнительных материалов, представленных Филиалом, экспертной группой Комитета в состав НВВ на 2019 год включены (скорректированы)</w:t>
      </w:r>
      <w:r w:rsidR="00705170" w:rsidRPr="00C04ABD">
        <w:rPr>
          <w:rFonts w:ascii="Myriad Pro" w:hAnsi="Myriad Pro"/>
          <w:sz w:val="26"/>
          <w:szCs w:val="26"/>
        </w:rPr>
        <w:t>,</w:t>
      </w:r>
      <w:r w:rsidRPr="00C04ABD">
        <w:rPr>
          <w:rFonts w:ascii="Myriad Pro" w:hAnsi="Myriad Pro"/>
          <w:sz w:val="26"/>
          <w:szCs w:val="26"/>
        </w:rPr>
        <w:t xml:space="preserve"> в том числе статья подконтрольных расходов </w:t>
      </w:r>
      <w:r w:rsidR="00655FFA" w:rsidRPr="00C04ABD">
        <w:rPr>
          <w:rFonts w:ascii="Myriad Pro" w:hAnsi="Myriad Pro"/>
          <w:sz w:val="26"/>
          <w:szCs w:val="26"/>
        </w:rPr>
        <w:t>«</w:t>
      </w:r>
      <w:r w:rsidRPr="00C04ABD">
        <w:rPr>
          <w:rFonts w:ascii="Myriad Pro" w:hAnsi="Myriad Pro"/>
          <w:sz w:val="26"/>
          <w:szCs w:val="26"/>
        </w:rPr>
        <w:t>Расходы на оплату труда</w:t>
      </w:r>
      <w:r w:rsidR="00655FFA" w:rsidRPr="00C04ABD">
        <w:rPr>
          <w:rFonts w:ascii="Myriad Pro" w:hAnsi="Myriad Pro"/>
          <w:sz w:val="26"/>
          <w:szCs w:val="26"/>
        </w:rPr>
        <w:t>»</w:t>
      </w:r>
      <w:r w:rsidRPr="00C04ABD">
        <w:rPr>
          <w:rFonts w:ascii="Myriad Pro" w:hAnsi="Myriad Pro"/>
          <w:sz w:val="26"/>
          <w:szCs w:val="26"/>
        </w:rPr>
        <w:t xml:space="preserve"> в размере 1 031 111,20 тыс. руб. методом экономически обоснованных</w:t>
      </w:r>
      <w:r w:rsidR="00705170" w:rsidRPr="00C04ABD">
        <w:rPr>
          <w:rFonts w:ascii="Myriad Pro" w:hAnsi="Myriad Pro"/>
          <w:sz w:val="26"/>
          <w:szCs w:val="26"/>
        </w:rPr>
        <w:t xml:space="preserve"> расходов</w:t>
      </w:r>
      <w:r w:rsidRPr="00C04ABD">
        <w:rPr>
          <w:rFonts w:ascii="Myriad Pro" w:hAnsi="Myriad Pro"/>
          <w:sz w:val="26"/>
          <w:szCs w:val="26"/>
        </w:rPr>
        <w:t xml:space="preserve">, включено в НВВ </w:t>
      </w:r>
      <w:r w:rsidRPr="00C04ABD">
        <w:rPr>
          <w:rFonts w:ascii="Myriad Pro" w:eastAsia="Calibri" w:hAnsi="Myriad Pro" w:cs="Times New Roman"/>
          <w:sz w:val="26"/>
          <w:szCs w:val="26"/>
        </w:rPr>
        <w:t>992 705 тыс</w:t>
      </w:r>
      <w:r w:rsidRPr="00C04ABD">
        <w:rPr>
          <w:rFonts w:ascii="Myriad Pro" w:hAnsi="Myriad Pro"/>
          <w:sz w:val="26"/>
          <w:szCs w:val="26"/>
        </w:rPr>
        <w:t>.</w:t>
      </w:r>
      <w:r w:rsidR="003C3007" w:rsidRPr="00C04ABD">
        <w:rPr>
          <w:rFonts w:ascii="Myriad Pro" w:hAnsi="Myriad Pro"/>
          <w:sz w:val="26"/>
          <w:szCs w:val="26"/>
        </w:rPr>
        <w:t xml:space="preserve"> </w:t>
      </w:r>
      <w:r w:rsidRPr="00C04ABD">
        <w:rPr>
          <w:rFonts w:ascii="Myriad Pro" w:hAnsi="Myriad Pro"/>
          <w:sz w:val="26"/>
          <w:szCs w:val="26"/>
        </w:rPr>
        <w:t>руб. (0,7*ЭОУ+0,3*МА)</w:t>
      </w:r>
    </w:p>
    <w:p w14:paraId="51BEBBD4" w14:textId="77777777" w:rsidR="00927E4E" w:rsidRPr="00C04ABD" w:rsidRDefault="00927E4E" w:rsidP="00A31747">
      <w:pPr>
        <w:tabs>
          <w:tab w:val="left" w:pos="1134"/>
        </w:tabs>
        <w:spacing w:after="0" w:line="360" w:lineRule="auto"/>
        <w:ind w:firstLine="567"/>
        <w:contextualSpacing/>
        <w:jc w:val="both"/>
        <w:rPr>
          <w:rFonts w:ascii="Myriad Pro" w:eastAsia="Calibri" w:hAnsi="Myriad Pro" w:cs="Times New Roman"/>
          <w:sz w:val="26"/>
          <w:szCs w:val="26"/>
        </w:rPr>
      </w:pPr>
    </w:p>
    <w:p w14:paraId="52A2B8D7" w14:textId="4799F569" w:rsidR="001B371A" w:rsidRPr="00C04ABD" w:rsidRDefault="001B371A" w:rsidP="00B860F1">
      <w:pPr>
        <w:tabs>
          <w:tab w:val="left" w:pos="1134"/>
        </w:tabs>
        <w:spacing w:after="0" w:line="360" w:lineRule="auto"/>
        <w:contextualSpacing/>
        <w:jc w:val="both"/>
        <w:rPr>
          <w:rFonts w:ascii="Myriad Pro" w:eastAsia="Calibri" w:hAnsi="Myriad Pro" w:cs="Times New Roman"/>
          <w:b/>
          <w:sz w:val="26"/>
          <w:szCs w:val="26"/>
        </w:rPr>
      </w:pPr>
      <w:r w:rsidRPr="00C04ABD">
        <w:rPr>
          <w:rFonts w:ascii="Myriad Pro" w:eastAsia="Calibri" w:hAnsi="Myriad Pro" w:cs="Times New Roman"/>
          <w:b/>
          <w:sz w:val="26"/>
          <w:szCs w:val="26"/>
        </w:rPr>
        <w:t>ПОЗИЦИЯ ИСПОЛНИТЕЛЯ</w:t>
      </w:r>
    </w:p>
    <w:p w14:paraId="703D867A" w14:textId="290BFAA2" w:rsidR="001300B5" w:rsidRPr="00C04ABD" w:rsidRDefault="001300B5"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В пояснительной записке по корректировке и определению НВВ к расчету тарифов на услуги по передаче электрической энергии на период 2019-2023 гг., представленной в материалах тарифного дела даны пояснения по формированию расходов на оплату труда в части численности персонала использованной в расчетах, применении выплат, связанных с режимом работы и условиями труда, текущего премирования, вознаграждений по итогам работы за год, вознаграждений за выслугу лет.</w:t>
      </w:r>
      <w:r w:rsidR="00A87BCB" w:rsidRPr="00C04ABD">
        <w:rPr>
          <w:rFonts w:ascii="Myriad Pro" w:eastAsia="Calibri" w:hAnsi="Myriad Pro" w:cs="Times New Roman"/>
          <w:sz w:val="26"/>
          <w:szCs w:val="26"/>
        </w:rPr>
        <w:t xml:space="preserve"> Процент выплат в расчете на плановый период учтен в соответствии с отраслевым тарифным соглашением.</w:t>
      </w:r>
    </w:p>
    <w:p w14:paraId="5D00E0E5" w14:textId="38450E5C" w:rsidR="001300B5" w:rsidRPr="00C04ABD" w:rsidRDefault="001300B5" w:rsidP="00A31747">
      <w:pPr>
        <w:tabs>
          <w:tab w:val="left" w:pos="1134"/>
        </w:tabs>
        <w:spacing w:after="0" w:line="360" w:lineRule="auto"/>
        <w:ind w:firstLine="567"/>
        <w:jc w:val="both"/>
        <w:rPr>
          <w:rFonts w:ascii="Myriad Pro" w:eastAsia="Calibri" w:hAnsi="Myriad Pro" w:cs="Times New Roman"/>
          <w:sz w:val="26"/>
          <w:szCs w:val="26"/>
        </w:rPr>
      </w:pPr>
      <w:r w:rsidRPr="00C04ABD">
        <w:rPr>
          <w:rFonts w:ascii="Myriad Pro" w:eastAsia="Calibri" w:hAnsi="Myriad Pro" w:cs="Times New Roman"/>
          <w:sz w:val="26"/>
          <w:szCs w:val="26"/>
        </w:rPr>
        <w:t>Фактические расходы на оплату труда за 2017 год составили 886 240,34 тыс. руб.  (подтверждено оборотом счета 20).</w:t>
      </w:r>
      <w:r w:rsidR="000B067A" w:rsidRPr="00C04ABD">
        <w:rPr>
          <w:rFonts w:ascii="Myriad Pro" w:eastAsia="Calibri" w:hAnsi="Myriad Pro" w:cs="Times New Roman"/>
          <w:sz w:val="26"/>
          <w:szCs w:val="26"/>
        </w:rPr>
        <w:t xml:space="preserve"> Плановые расходы на 2019 год заявлены </w:t>
      </w:r>
      <w:r w:rsidR="009972EB" w:rsidRPr="00C04ABD">
        <w:rPr>
          <w:rFonts w:ascii="Myriad Pro" w:eastAsia="Calibri" w:hAnsi="Myriad Pro" w:cs="Times New Roman"/>
          <w:sz w:val="26"/>
          <w:szCs w:val="26"/>
        </w:rPr>
        <w:t xml:space="preserve">в размере 1 265 486,04 тыс. руб. </w:t>
      </w:r>
      <w:r w:rsidR="000B067A" w:rsidRPr="00C04ABD">
        <w:rPr>
          <w:rFonts w:ascii="Myriad Pro" w:eastAsia="Calibri" w:hAnsi="Myriad Pro" w:cs="Times New Roman"/>
          <w:sz w:val="26"/>
          <w:szCs w:val="26"/>
        </w:rPr>
        <w:t>с ростом в 1,4 раза от фактических расходов 2017 года.</w:t>
      </w:r>
    </w:p>
    <w:p w14:paraId="05C0ABC7" w14:textId="6BAB7623" w:rsidR="001300B5" w:rsidRPr="00C04ABD" w:rsidRDefault="001300B5" w:rsidP="00A31747">
      <w:pPr>
        <w:tabs>
          <w:tab w:val="left" w:pos="1134"/>
        </w:tabs>
        <w:spacing w:after="0" w:line="360" w:lineRule="auto"/>
        <w:ind w:firstLine="567"/>
        <w:jc w:val="both"/>
        <w:rPr>
          <w:rFonts w:ascii="Myriad Pro" w:eastAsia="Calibri" w:hAnsi="Myriad Pro" w:cs="Times New Roman"/>
          <w:sz w:val="26"/>
          <w:szCs w:val="26"/>
        </w:rPr>
      </w:pPr>
      <w:r w:rsidRPr="00C04ABD">
        <w:rPr>
          <w:rFonts w:ascii="Myriad Pro" w:eastAsia="Calibri" w:hAnsi="Myriad Pro" w:cs="Times New Roman"/>
          <w:sz w:val="26"/>
          <w:szCs w:val="26"/>
        </w:rPr>
        <w:t>Соответствующие расходы за 2018 год: учтенные регулирующим органом – 874 246,5 т</w:t>
      </w:r>
      <w:r w:rsidR="00F90FA5" w:rsidRPr="00C04ABD">
        <w:rPr>
          <w:rFonts w:ascii="Myriad Pro" w:eastAsia="Calibri" w:hAnsi="Myriad Pro" w:cs="Times New Roman"/>
          <w:sz w:val="26"/>
          <w:szCs w:val="26"/>
        </w:rPr>
        <w:t>ыс. руб., ожидаемые – 1 216 813,5</w:t>
      </w:r>
      <w:r w:rsidRPr="00C04ABD">
        <w:rPr>
          <w:rFonts w:ascii="Myriad Pro" w:eastAsia="Calibri" w:hAnsi="Myriad Pro" w:cs="Times New Roman"/>
          <w:sz w:val="26"/>
          <w:szCs w:val="26"/>
        </w:rPr>
        <w:t xml:space="preserve"> тыс. руб.</w:t>
      </w:r>
    </w:p>
    <w:p w14:paraId="1C49E56F" w14:textId="61FBA3A5" w:rsidR="00C263AD" w:rsidRPr="00C04ABD" w:rsidRDefault="00C263AD" w:rsidP="00A31747">
      <w:pPr>
        <w:tabs>
          <w:tab w:val="left" w:pos="1134"/>
        </w:tabs>
        <w:spacing w:after="0" w:line="360" w:lineRule="auto"/>
        <w:ind w:firstLine="567"/>
        <w:jc w:val="both"/>
        <w:rPr>
          <w:rFonts w:ascii="Myriad Pro" w:eastAsia="Calibri" w:hAnsi="Myriad Pro" w:cs="Times New Roman"/>
          <w:sz w:val="26"/>
          <w:szCs w:val="26"/>
        </w:rPr>
      </w:pPr>
      <w:r w:rsidRPr="00C04ABD">
        <w:rPr>
          <w:rFonts w:ascii="Myriad Pro" w:eastAsia="Calibri" w:hAnsi="Myriad Pro" w:cs="Times New Roman"/>
          <w:sz w:val="26"/>
          <w:szCs w:val="26"/>
        </w:rPr>
        <w:t>Данные в расчетных таблицах по факту 2017 году соответствуют данным</w:t>
      </w:r>
      <w:r w:rsidR="007A0ABA" w:rsidRPr="00C04ABD">
        <w:rPr>
          <w:rFonts w:ascii="Myriad Pro" w:eastAsia="Calibri" w:hAnsi="Myriad Pro" w:cs="Times New Roman"/>
          <w:sz w:val="26"/>
          <w:szCs w:val="26"/>
        </w:rPr>
        <w:t>,</w:t>
      </w:r>
      <w:r w:rsidRPr="00C04ABD">
        <w:rPr>
          <w:rFonts w:ascii="Myriad Pro" w:eastAsia="Calibri" w:hAnsi="Myriad Pro" w:cs="Times New Roman"/>
          <w:sz w:val="26"/>
          <w:szCs w:val="26"/>
        </w:rPr>
        <w:t xml:space="preserve"> представленн</w:t>
      </w:r>
      <w:r w:rsidR="00F90FA5" w:rsidRPr="00C04ABD">
        <w:rPr>
          <w:rFonts w:ascii="Myriad Pro" w:eastAsia="Calibri" w:hAnsi="Myriad Pro" w:cs="Times New Roman"/>
          <w:sz w:val="26"/>
          <w:szCs w:val="26"/>
        </w:rPr>
        <w:t>ым в бухгалтерской отчетности (о</w:t>
      </w:r>
      <w:r w:rsidRPr="00C04ABD">
        <w:rPr>
          <w:rFonts w:ascii="Myriad Pro" w:eastAsia="Calibri" w:hAnsi="Myriad Pro" w:cs="Times New Roman"/>
          <w:sz w:val="26"/>
          <w:szCs w:val="26"/>
        </w:rPr>
        <w:t>бороту по счету 20, 23,25).</w:t>
      </w:r>
    </w:p>
    <w:p w14:paraId="1DBA42EA" w14:textId="189CFE44" w:rsidR="009972EB" w:rsidRPr="00C04ABD" w:rsidRDefault="00211159"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Исполнитель, определяя расходы на оплату труда на 2018 год, исходил из следующих параметров:</w:t>
      </w:r>
    </w:p>
    <w:p w14:paraId="5F23D3AE" w14:textId="7B9DCF57" w:rsidR="009972EB" w:rsidRPr="00C04ABD" w:rsidRDefault="009972EB" w:rsidP="009B0BC1">
      <w:pPr>
        <w:pStyle w:val="a4"/>
        <w:numPr>
          <w:ilvl w:val="0"/>
          <w:numId w:val="17"/>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 xml:space="preserve">Приказ от 24.01.2018 №3-ОТ об установлении размера ММТС в размере 7 772 руб. и утверждении штатного расписания филиала ПАО </w:t>
      </w:r>
      <w:r w:rsidR="00655FFA" w:rsidRPr="00C04ABD">
        <w:rPr>
          <w:rFonts w:ascii="Myriad Pro" w:hAnsi="Myriad Pro"/>
          <w:sz w:val="26"/>
          <w:szCs w:val="26"/>
        </w:rPr>
        <w:t>«</w:t>
      </w:r>
      <w:r w:rsidRPr="00C04ABD">
        <w:rPr>
          <w:rFonts w:ascii="Myriad Pro" w:hAnsi="Myriad Pro"/>
          <w:sz w:val="26"/>
          <w:szCs w:val="26"/>
        </w:rPr>
        <w:t>МРСК Северо-Запада</w:t>
      </w:r>
      <w:r w:rsidR="00655FFA" w:rsidRPr="00C04ABD">
        <w:rPr>
          <w:rFonts w:ascii="Myriad Pro" w:hAnsi="Myriad Pro"/>
          <w:sz w:val="26"/>
          <w:szCs w:val="26"/>
        </w:rPr>
        <w:t>»</w:t>
      </w:r>
      <w:r w:rsidRPr="00C04ABD">
        <w:rPr>
          <w:rFonts w:ascii="Myriad Pro" w:hAnsi="Myriad Pro"/>
          <w:sz w:val="26"/>
          <w:szCs w:val="26"/>
        </w:rPr>
        <w:t xml:space="preserve"> </w:t>
      </w:r>
      <w:r w:rsidR="00655FFA" w:rsidRPr="00C04ABD">
        <w:rPr>
          <w:rFonts w:ascii="Myriad Pro" w:hAnsi="Myriad Pro"/>
          <w:sz w:val="26"/>
          <w:szCs w:val="26"/>
        </w:rPr>
        <w:t>«</w:t>
      </w:r>
      <w:r w:rsidRPr="00C04ABD">
        <w:rPr>
          <w:rFonts w:ascii="Myriad Pro" w:hAnsi="Myriad Pro"/>
          <w:sz w:val="26"/>
          <w:szCs w:val="26"/>
        </w:rPr>
        <w:t>Колэнерго</w:t>
      </w:r>
      <w:r w:rsidR="00655FFA" w:rsidRPr="00C04ABD">
        <w:rPr>
          <w:rFonts w:ascii="Myriad Pro" w:hAnsi="Myriad Pro"/>
          <w:sz w:val="26"/>
          <w:szCs w:val="26"/>
        </w:rPr>
        <w:t>»</w:t>
      </w:r>
      <w:r w:rsidRPr="00C04ABD">
        <w:rPr>
          <w:rFonts w:ascii="Myriad Pro" w:hAnsi="Myriad Pro"/>
          <w:sz w:val="26"/>
          <w:szCs w:val="26"/>
        </w:rPr>
        <w:t xml:space="preserve"> с 01.01.2018 г.</w:t>
      </w:r>
    </w:p>
    <w:p w14:paraId="4850B60E" w14:textId="1CF78111" w:rsidR="009972EB" w:rsidRPr="00C04ABD" w:rsidRDefault="009972EB" w:rsidP="009B0BC1">
      <w:pPr>
        <w:pStyle w:val="a4"/>
        <w:numPr>
          <w:ilvl w:val="0"/>
          <w:numId w:val="17"/>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lastRenderedPageBreak/>
        <w:t xml:space="preserve">Информационное письмо Общественной организации </w:t>
      </w:r>
      <w:r w:rsidR="00655FFA" w:rsidRPr="00C04ABD">
        <w:rPr>
          <w:rFonts w:ascii="Myriad Pro" w:hAnsi="Myriad Pro"/>
          <w:sz w:val="26"/>
          <w:szCs w:val="26"/>
        </w:rPr>
        <w:t>«</w:t>
      </w:r>
      <w:r w:rsidRPr="00C04ABD">
        <w:rPr>
          <w:rFonts w:ascii="Myriad Pro" w:hAnsi="Myriad Pro"/>
          <w:sz w:val="26"/>
          <w:szCs w:val="26"/>
        </w:rPr>
        <w:t>Всероссийский электропрофсоюз</w:t>
      </w:r>
      <w:r w:rsidR="00655FFA" w:rsidRPr="00C04ABD">
        <w:rPr>
          <w:rFonts w:ascii="Myriad Pro" w:hAnsi="Myriad Pro"/>
          <w:sz w:val="26"/>
          <w:szCs w:val="26"/>
        </w:rPr>
        <w:t>»</w:t>
      </w:r>
      <w:r w:rsidRPr="00C04ABD">
        <w:rPr>
          <w:rFonts w:ascii="Myriad Pro" w:hAnsi="Myriad Pro"/>
          <w:sz w:val="26"/>
          <w:szCs w:val="26"/>
        </w:rPr>
        <w:t xml:space="preserve"> от 13.07.2018 №03/247 об установлении с 01 июля 2018 года ММТС в размере 7 935 руб. </w:t>
      </w:r>
    </w:p>
    <w:p w14:paraId="2F6FCF29" w14:textId="03299E09" w:rsidR="000302C7" w:rsidRPr="00C04ABD" w:rsidRDefault="00E037B3" w:rsidP="009B0BC1">
      <w:pPr>
        <w:pStyle w:val="a4"/>
        <w:numPr>
          <w:ilvl w:val="0"/>
          <w:numId w:val="17"/>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 xml:space="preserve">Минимальная месячная тарифная ставка на 2019 год </w:t>
      </w:r>
      <w:r w:rsidR="00D57B12" w:rsidRPr="00C04ABD">
        <w:rPr>
          <w:rFonts w:ascii="Myriad Pro" w:hAnsi="Myriad Pro"/>
          <w:sz w:val="26"/>
          <w:szCs w:val="26"/>
        </w:rPr>
        <w:t xml:space="preserve">принята </w:t>
      </w:r>
      <w:r w:rsidRPr="00C04ABD">
        <w:rPr>
          <w:rFonts w:ascii="Myriad Pro" w:hAnsi="Myriad Pro"/>
          <w:sz w:val="26"/>
          <w:szCs w:val="26"/>
        </w:rPr>
        <w:t>в размер</w:t>
      </w:r>
      <w:r w:rsidR="00A40421" w:rsidRPr="00C04ABD">
        <w:rPr>
          <w:rFonts w:ascii="Myriad Pro" w:hAnsi="Myriad Pro"/>
          <w:sz w:val="26"/>
          <w:szCs w:val="26"/>
        </w:rPr>
        <w:t xml:space="preserve">е </w:t>
      </w:r>
      <w:r w:rsidR="000239A9" w:rsidRPr="00C04ABD">
        <w:rPr>
          <w:rFonts w:ascii="Myriad Pro" w:hAnsi="Myriad Pro"/>
          <w:sz w:val="26"/>
          <w:szCs w:val="26"/>
        </w:rPr>
        <w:t>8 218,7</w:t>
      </w:r>
      <w:r w:rsidRPr="00C04ABD">
        <w:rPr>
          <w:rFonts w:ascii="Myriad Pro" w:hAnsi="Myriad Pro"/>
          <w:sz w:val="26"/>
          <w:szCs w:val="26"/>
        </w:rPr>
        <w:t xml:space="preserve"> руб.</w:t>
      </w:r>
      <w:r w:rsidR="002C6831" w:rsidRPr="00C04ABD">
        <w:rPr>
          <w:rFonts w:ascii="Myriad Pro" w:hAnsi="Myriad Pro"/>
          <w:sz w:val="26"/>
          <w:szCs w:val="26"/>
        </w:rPr>
        <w:t xml:space="preserve"> </w:t>
      </w:r>
      <w:r w:rsidR="000302C7" w:rsidRPr="00C04ABD">
        <w:rPr>
          <w:rFonts w:ascii="Myriad Pro" w:hAnsi="Myriad Pro"/>
          <w:sz w:val="26"/>
          <w:szCs w:val="26"/>
        </w:rPr>
        <w:t>(</w:t>
      </w:r>
      <w:r w:rsidR="009972EB" w:rsidRPr="00C04ABD">
        <w:rPr>
          <w:rFonts w:ascii="Myriad Pro" w:hAnsi="Myriad Pro"/>
          <w:sz w:val="26"/>
          <w:szCs w:val="26"/>
        </w:rPr>
        <w:t>(7 772 + 7935)/2 * 1,0465</w:t>
      </w:r>
      <w:r w:rsidR="000302C7" w:rsidRPr="00C04ABD">
        <w:rPr>
          <w:rFonts w:ascii="Myriad Pro" w:hAnsi="Myriad Pro"/>
          <w:sz w:val="26"/>
          <w:szCs w:val="26"/>
        </w:rPr>
        <w:t>).</w:t>
      </w:r>
      <w:r w:rsidR="000239A9" w:rsidRPr="00C04ABD">
        <w:rPr>
          <w:rFonts w:ascii="Myriad Pro" w:hAnsi="Myriad Pro"/>
          <w:sz w:val="26"/>
          <w:szCs w:val="26"/>
        </w:rPr>
        <w:t xml:space="preserve"> </w:t>
      </w:r>
    </w:p>
    <w:p w14:paraId="46BF3C48" w14:textId="4F35E3A5" w:rsidR="0065728A" w:rsidRPr="00C04ABD" w:rsidRDefault="002C6831" w:rsidP="00A31747">
      <w:pPr>
        <w:pStyle w:val="a4"/>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 xml:space="preserve">Общероссийским отраслевым объединением работодателей электроэнергетики </w:t>
      </w:r>
      <w:r w:rsidR="00655FFA" w:rsidRPr="00C04ABD">
        <w:rPr>
          <w:rFonts w:ascii="Myriad Pro" w:hAnsi="Myriad Pro"/>
          <w:sz w:val="26"/>
          <w:szCs w:val="26"/>
        </w:rPr>
        <w:t>«</w:t>
      </w:r>
      <w:r w:rsidRPr="00C04ABD">
        <w:rPr>
          <w:rFonts w:ascii="Myriad Pro" w:hAnsi="Myriad Pro"/>
          <w:sz w:val="26"/>
          <w:szCs w:val="26"/>
        </w:rPr>
        <w:t>Энергетическая работодательская ассоциация России</w:t>
      </w:r>
      <w:r w:rsidR="00655FFA" w:rsidRPr="00C04ABD">
        <w:rPr>
          <w:rFonts w:ascii="Myriad Pro" w:hAnsi="Myriad Pro"/>
          <w:sz w:val="26"/>
          <w:szCs w:val="26"/>
        </w:rPr>
        <w:t>»</w:t>
      </w:r>
      <w:r w:rsidRPr="00C04ABD">
        <w:rPr>
          <w:rFonts w:ascii="Myriad Pro" w:hAnsi="Myriad Pro"/>
          <w:sz w:val="26"/>
          <w:szCs w:val="26"/>
        </w:rPr>
        <w:t xml:space="preserve">, Общественной организацией </w:t>
      </w:r>
      <w:r w:rsidR="00655FFA" w:rsidRPr="00C04ABD">
        <w:rPr>
          <w:rFonts w:ascii="Myriad Pro" w:hAnsi="Myriad Pro"/>
          <w:sz w:val="26"/>
          <w:szCs w:val="26"/>
        </w:rPr>
        <w:t>«</w:t>
      </w:r>
      <w:r w:rsidRPr="00C04ABD">
        <w:rPr>
          <w:rFonts w:ascii="Myriad Pro" w:hAnsi="Myriad Pro"/>
          <w:sz w:val="26"/>
          <w:szCs w:val="26"/>
        </w:rPr>
        <w:t>Всероссийский Электропрофсоюз</w:t>
      </w:r>
      <w:r w:rsidR="00655FFA" w:rsidRPr="00C04ABD">
        <w:rPr>
          <w:rFonts w:ascii="Myriad Pro" w:hAnsi="Myriad Pro"/>
          <w:sz w:val="26"/>
          <w:szCs w:val="26"/>
        </w:rPr>
        <w:t>»</w:t>
      </w:r>
      <w:r w:rsidRPr="00C04ABD">
        <w:rPr>
          <w:rFonts w:ascii="Myriad Pro" w:hAnsi="Myriad Pro"/>
          <w:sz w:val="26"/>
          <w:szCs w:val="26"/>
        </w:rPr>
        <w:t xml:space="preserve"> 21 декабря 2018 года было утверждено Отраслевое тарифное соглашение в электроэнергетике РФ на 2019-2021 годы. Данное соглашение было зарегистрировано в Роструде 22.01.2019 (письмо Роструда от 22.01.2019 N 191-ТЗ), а опубликовано на официальном сайте Минтруда России 12.02.2019 года. Принимая во внимание даты регистрации и публикации, данное соглашение не могло быть использовано при определении на 2019 год расходов на оплату труда филиала ПАО </w:t>
      </w:r>
      <w:r w:rsidR="00655FFA" w:rsidRPr="00C04ABD">
        <w:rPr>
          <w:rFonts w:ascii="Myriad Pro" w:hAnsi="Myriad Pro"/>
          <w:sz w:val="26"/>
          <w:szCs w:val="26"/>
        </w:rPr>
        <w:t>«</w:t>
      </w:r>
      <w:r w:rsidRPr="00C04ABD">
        <w:rPr>
          <w:rFonts w:ascii="Myriad Pro" w:hAnsi="Myriad Pro"/>
          <w:sz w:val="26"/>
          <w:szCs w:val="26"/>
        </w:rPr>
        <w:t>МРСК Северо-Запада</w:t>
      </w:r>
      <w:r w:rsidR="00655FFA" w:rsidRPr="00C04ABD">
        <w:rPr>
          <w:rFonts w:ascii="Myriad Pro" w:hAnsi="Myriad Pro"/>
          <w:sz w:val="26"/>
          <w:szCs w:val="26"/>
        </w:rPr>
        <w:t>»</w:t>
      </w:r>
      <w:r w:rsidRPr="00C04ABD">
        <w:rPr>
          <w:rFonts w:ascii="Myriad Pro" w:hAnsi="Myriad Pro"/>
          <w:sz w:val="26"/>
          <w:szCs w:val="26"/>
        </w:rPr>
        <w:t xml:space="preserve"> </w:t>
      </w:r>
      <w:r w:rsidR="00655FFA" w:rsidRPr="00C04ABD">
        <w:rPr>
          <w:rFonts w:ascii="Myriad Pro" w:hAnsi="Myriad Pro"/>
          <w:sz w:val="26"/>
          <w:szCs w:val="26"/>
        </w:rPr>
        <w:t>«</w:t>
      </w:r>
      <w:r w:rsidRPr="00C04ABD">
        <w:rPr>
          <w:rFonts w:ascii="Myriad Pro" w:hAnsi="Myriad Pro"/>
          <w:sz w:val="26"/>
          <w:szCs w:val="26"/>
        </w:rPr>
        <w:t>Колэнерго</w:t>
      </w:r>
      <w:r w:rsidR="00655FFA" w:rsidRPr="00C04ABD">
        <w:rPr>
          <w:rFonts w:ascii="Myriad Pro" w:hAnsi="Myriad Pro"/>
          <w:sz w:val="26"/>
          <w:szCs w:val="26"/>
        </w:rPr>
        <w:t>»</w:t>
      </w:r>
      <w:r w:rsidRPr="00C04ABD">
        <w:rPr>
          <w:rFonts w:ascii="Myriad Pro" w:hAnsi="Myriad Pro"/>
          <w:sz w:val="26"/>
          <w:szCs w:val="26"/>
        </w:rPr>
        <w:t>.</w:t>
      </w:r>
    </w:p>
    <w:p w14:paraId="6095D59C" w14:textId="65A00D19" w:rsidR="0065728A" w:rsidRPr="00C04ABD" w:rsidRDefault="0065728A" w:rsidP="009B0BC1">
      <w:pPr>
        <w:pStyle w:val="a4"/>
        <w:numPr>
          <w:ilvl w:val="0"/>
          <w:numId w:val="17"/>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 xml:space="preserve">Официальная статистическая информация, опубликованная на сайте </w:t>
      </w:r>
      <w:r w:rsidR="00D57B12" w:rsidRPr="00C04ABD">
        <w:rPr>
          <w:rFonts w:ascii="Myriad Pro" w:hAnsi="Myriad Pro"/>
          <w:sz w:val="26"/>
          <w:szCs w:val="26"/>
        </w:rPr>
        <w:t>территориального органа Федеральной службы государственной статистики по Мурманской области (Главная страница/ Статистика/ Официальная статистика/ Рынок труда и занятость населения/</w:t>
      </w:r>
      <w:r w:rsidRPr="00C04ABD">
        <w:rPr>
          <w:rFonts w:ascii="Myriad Pro" w:hAnsi="Myriad Pro"/>
          <w:sz w:val="26"/>
          <w:szCs w:val="26"/>
        </w:rPr>
        <w:t xml:space="preserve"> годовые показатели - </w:t>
      </w:r>
      <w:hyperlink r:id="rId33" w:history="1">
        <w:r w:rsidRPr="00C04ABD">
          <w:rPr>
            <w:rFonts w:ascii="Myriad Pro" w:hAnsi="Myriad Pro"/>
            <w:sz w:val="26"/>
            <w:szCs w:val="26"/>
          </w:rPr>
          <w:t>https://murmanskstat.gks.ru/folder/72803</w:t>
        </w:r>
      </w:hyperlink>
      <w:r w:rsidRPr="00C04ABD">
        <w:rPr>
          <w:rFonts w:ascii="Myriad Pro" w:hAnsi="Myriad Pro"/>
          <w:sz w:val="26"/>
          <w:szCs w:val="26"/>
        </w:rPr>
        <w:t xml:space="preserve">) о среднемесячной заработной плате в расчёте на одного работника по виду экономической деятельности: </w:t>
      </w:r>
      <w:r w:rsidR="00655FFA" w:rsidRPr="00C04ABD">
        <w:rPr>
          <w:rFonts w:ascii="Myriad Pro" w:hAnsi="Myriad Pro"/>
          <w:sz w:val="26"/>
          <w:szCs w:val="26"/>
        </w:rPr>
        <w:t>«</w:t>
      </w:r>
      <w:r w:rsidRPr="00C04ABD">
        <w:rPr>
          <w:rFonts w:ascii="Myriad Pro" w:hAnsi="Myriad Pro"/>
          <w:sz w:val="26"/>
          <w:szCs w:val="26"/>
        </w:rPr>
        <w:t>Обеспечение электрической энергией, газом и паром; кондиционирование воздуха</w:t>
      </w:r>
      <w:r w:rsidR="00655FFA" w:rsidRPr="00C04ABD">
        <w:rPr>
          <w:rFonts w:ascii="Myriad Pro" w:hAnsi="Myriad Pro"/>
          <w:sz w:val="26"/>
          <w:szCs w:val="26"/>
        </w:rPr>
        <w:t>»</w:t>
      </w:r>
      <w:r w:rsidRPr="00C04ABD">
        <w:rPr>
          <w:rFonts w:ascii="Myriad Pro" w:hAnsi="Myriad Pro"/>
          <w:sz w:val="26"/>
          <w:szCs w:val="26"/>
        </w:rPr>
        <w:t xml:space="preserve"> по Мурманской области за 2017 год – 66 741,9 руб.;</w:t>
      </w:r>
    </w:p>
    <w:p w14:paraId="4DB2915C" w14:textId="71BF0DAA" w:rsidR="001300B5" w:rsidRPr="00C04ABD" w:rsidRDefault="00E037B3" w:rsidP="009B0BC1">
      <w:pPr>
        <w:pStyle w:val="a4"/>
        <w:numPr>
          <w:ilvl w:val="0"/>
          <w:numId w:val="17"/>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Ч</w:t>
      </w:r>
      <w:r w:rsidR="001300B5" w:rsidRPr="00C04ABD">
        <w:rPr>
          <w:rFonts w:ascii="Myriad Pro" w:hAnsi="Myriad Pro"/>
          <w:sz w:val="26"/>
          <w:szCs w:val="26"/>
        </w:rPr>
        <w:t>исленность работников</w:t>
      </w:r>
      <w:r w:rsidR="00C263AD" w:rsidRPr="00C04ABD">
        <w:rPr>
          <w:rFonts w:ascii="Myriad Pro" w:hAnsi="Myriad Pro"/>
          <w:sz w:val="26"/>
          <w:szCs w:val="26"/>
        </w:rPr>
        <w:t xml:space="preserve"> в количестве 1183 чел.</w:t>
      </w:r>
      <w:r w:rsidR="001300B5" w:rsidRPr="00C04ABD">
        <w:rPr>
          <w:rFonts w:ascii="Myriad Pro" w:hAnsi="Myriad Pro"/>
          <w:sz w:val="26"/>
          <w:szCs w:val="26"/>
        </w:rPr>
        <w:t>, определенная как среднегодовое значение фактической среднесписочной численности персонала, занятого деятельностью по передаче электрической энергии за 2017 год в количестве 1140,9 человек</w:t>
      </w:r>
      <w:r w:rsidR="00C263AD" w:rsidRPr="00C04ABD">
        <w:rPr>
          <w:rFonts w:ascii="Myriad Pro" w:hAnsi="Myriad Pro"/>
          <w:sz w:val="26"/>
          <w:szCs w:val="26"/>
        </w:rPr>
        <w:t xml:space="preserve"> и дополнительной численности 42 чел. с учетом перечня вакансий и принимаемого с 2019 года персонала для обслуживания новых участков электроснабжения;</w:t>
      </w:r>
    </w:p>
    <w:p w14:paraId="19C808C7" w14:textId="27BDCCF6" w:rsidR="00C263AD" w:rsidRPr="00C04ABD" w:rsidRDefault="00C263AD" w:rsidP="009B0BC1">
      <w:pPr>
        <w:pStyle w:val="a4"/>
        <w:numPr>
          <w:ilvl w:val="0"/>
          <w:numId w:val="17"/>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Доплаты стимулирующего и компенсационного характера для расчета затрат:</w:t>
      </w:r>
    </w:p>
    <w:p w14:paraId="2A056B00" w14:textId="6C321B0A" w:rsidR="00C263AD" w:rsidRPr="00C04ABD" w:rsidRDefault="00C263AD" w:rsidP="009B0BC1">
      <w:pPr>
        <w:pStyle w:val="a4"/>
        <w:numPr>
          <w:ilvl w:val="1"/>
          <w:numId w:val="44"/>
        </w:numPr>
        <w:tabs>
          <w:tab w:val="left" w:pos="1701"/>
        </w:tabs>
        <w:spacing w:after="0" w:line="360" w:lineRule="auto"/>
        <w:ind w:left="567" w:firstLine="567"/>
        <w:jc w:val="both"/>
        <w:rPr>
          <w:rFonts w:ascii="Myriad Pro" w:hAnsi="Myriad Pro"/>
          <w:sz w:val="26"/>
          <w:szCs w:val="26"/>
        </w:rPr>
      </w:pPr>
      <w:r w:rsidRPr="00C04ABD">
        <w:rPr>
          <w:rFonts w:ascii="Myriad Pro" w:hAnsi="Myriad Pro"/>
          <w:sz w:val="26"/>
          <w:szCs w:val="26"/>
        </w:rPr>
        <w:lastRenderedPageBreak/>
        <w:t>процент выплат, с</w:t>
      </w:r>
      <w:r w:rsidR="00A40421" w:rsidRPr="00C04ABD">
        <w:rPr>
          <w:rFonts w:ascii="Myriad Pro" w:hAnsi="Myriad Pro"/>
          <w:sz w:val="26"/>
          <w:szCs w:val="26"/>
        </w:rPr>
        <w:t>вязанных с режимом работы – 1</w:t>
      </w:r>
      <w:r w:rsidR="00787968" w:rsidRPr="00C04ABD">
        <w:rPr>
          <w:rFonts w:ascii="Myriad Pro" w:hAnsi="Myriad Pro"/>
          <w:sz w:val="26"/>
          <w:szCs w:val="26"/>
        </w:rPr>
        <w:t>0</w:t>
      </w:r>
      <w:r w:rsidRPr="00C04ABD">
        <w:rPr>
          <w:rFonts w:ascii="Myriad Pro" w:hAnsi="Myriad Pro"/>
          <w:sz w:val="26"/>
          <w:szCs w:val="26"/>
        </w:rPr>
        <w:t>%</w:t>
      </w:r>
      <w:r w:rsidR="00787968" w:rsidRPr="00C04ABD">
        <w:rPr>
          <w:rFonts w:ascii="Myriad Pro" w:hAnsi="Myriad Pro"/>
          <w:sz w:val="26"/>
          <w:szCs w:val="26"/>
        </w:rPr>
        <w:t xml:space="preserve"> (по фактическим данным за 2017 г.)</w:t>
      </w:r>
      <w:r w:rsidRPr="00C04ABD">
        <w:rPr>
          <w:rFonts w:ascii="Myriad Pro" w:hAnsi="Myriad Pro"/>
          <w:sz w:val="26"/>
          <w:szCs w:val="26"/>
        </w:rPr>
        <w:t>;</w:t>
      </w:r>
    </w:p>
    <w:p w14:paraId="57BD22A2" w14:textId="5985536C" w:rsidR="00787968" w:rsidRPr="00C04ABD" w:rsidRDefault="00C263AD" w:rsidP="009B0BC1">
      <w:pPr>
        <w:pStyle w:val="a4"/>
        <w:numPr>
          <w:ilvl w:val="1"/>
          <w:numId w:val="44"/>
        </w:numPr>
        <w:tabs>
          <w:tab w:val="left" w:pos="1701"/>
        </w:tabs>
        <w:spacing w:after="0" w:line="360" w:lineRule="auto"/>
        <w:ind w:left="567" w:firstLine="567"/>
        <w:jc w:val="both"/>
        <w:rPr>
          <w:rFonts w:ascii="Myriad Pro" w:hAnsi="Myriad Pro"/>
          <w:sz w:val="26"/>
          <w:szCs w:val="26"/>
        </w:rPr>
      </w:pPr>
      <w:r w:rsidRPr="00C04ABD">
        <w:rPr>
          <w:rFonts w:ascii="Myriad Pro" w:hAnsi="Myriad Pro"/>
          <w:sz w:val="26"/>
          <w:szCs w:val="26"/>
        </w:rPr>
        <w:t>текущее премирование в размере – 45,5%</w:t>
      </w:r>
      <w:r w:rsidR="00787968" w:rsidRPr="00C04ABD">
        <w:rPr>
          <w:rFonts w:ascii="Myriad Pro" w:hAnsi="Myriad Pro"/>
          <w:sz w:val="26"/>
          <w:szCs w:val="26"/>
        </w:rPr>
        <w:t xml:space="preserve"> </w:t>
      </w:r>
      <w:r w:rsidR="000D6259" w:rsidRPr="00C04ABD">
        <w:rPr>
          <w:rFonts w:ascii="Myriad Pro" w:hAnsi="Myriad Pro"/>
          <w:sz w:val="26"/>
          <w:szCs w:val="26"/>
        </w:rPr>
        <w:t>(</w:t>
      </w:r>
      <w:r w:rsidR="00787968" w:rsidRPr="00C04ABD">
        <w:rPr>
          <w:rFonts w:ascii="Myriad Pro" w:hAnsi="Myriad Pro"/>
          <w:sz w:val="26"/>
          <w:szCs w:val="26"/>
        </w:rPr>
        <w:t>по фактическим данным за 2017 г.);</w:t>
      </w:r>
    </w:p>
    <w:p w14:paraId="2C651656" w14:textId="644F9DA5" w:rsidR="00787968" w:rsidRPr="00C04ABD" w:rsidRDefault="00C263AD" w:rsidP="009B0BC1">
      <w:pPr>
        <w:pStyle w:val="a4"/>
        <w:numPr>
          <w:ilvl w:val="1"/>
          <w:numId w:val="44"/>
        </w:numPr>
        <w:tabs>
          <w:tab w:val="left" w:pos="1701"/>
        </w:tabs>
        <w:spacing w:after="0" w:line="360" w:lineRule="auto"/>
        <w:ind w:left="567" w:firstLine="567"/>
        <w:jc w:val="both"/>
        <w:rPr>
          <w:rFonts w:ascii="Myriad Pro" w:hAnsi="Myriad Pro"/>
          <w:sz w:val="26"/>
          <w:szCs w:val="26"/>
        </w:rPr>
      </w:pPr>
      <w:r w:rsidRPr="00C04ABD">
        <w:rPr>
          <w:rFonts w:ascii="Myriad Pro" w:hAnsi="Myriad Pro"/>
          <w:sz w:val="26"/>
          <w:szCs w:val="26"/>
        </w:rPr>
        <w:t>вознаграждений за выслугу лет – 10%</w:t>
      </w:r>
      <w:r w:rsidR="00787968" w:rsidRPr="00C04ABD">
        <w:rPr>
          <w:rFonts w:ascii="Myriad Pro" w:hAnsi="Myriad Pro"/>
          <w:sz w:val="26"/>
          <w:szCs w:val="26"/>
        </w:rPr>
        <w:t xml:space="preserve"> </w:t>
      </w:r>
      <w:r w:rsidR="000D6259" w:rsidRPr="00C04ABD">
        <w:rPr>
          <w:rFonts w:ascii="Myriad Pro" w:hAnsi="Myriad Pro"/>
          <w:sz w:val="26"/>
          <w:szCs w:val="26"/>
        </w:rPr>
        <w:t>(</w:t>
      </w:r>
      <w:r w:rsidR="00787968" w:rsidRPr="00C04ABD">
        <w:rPr>
          <w:rFonts w:ascii="Myriad Pro" w:hAnsi="Myriad Pro"/>
          <w:sz w:val="26"/>
          <w:szCs w:val="26"/>
        </w:rPr>
        <w:t>по фактическим данным за 2017 г.);</w:t>
      </w:r>
    </w:p>
    <w:p w14:paraId="409A2F2A" w14:textId="506CF108" w:rsidR="00C263AD" w:rsidRPr="00C04ABD" w:rsidRDefault="00C263AD" w:rsidP="009B0BC1">
      <w:pPr>
        <w:pStyle w:val="a4"/>
        <w:numPr>
          <w:ilvl w:val="1"/>
          <w:numId w:val="44"/>
        </w:numPr>
        <w:tabs>
          <w:tab w:val="left" w:pos="1701"/>
        </w:tabs>
        <w:spacing w:after="0" w:line="360" w:lineRule="auto"/>
        <w:ind w:left="567" w:firstLine="567"/>
        <w:jc w:val="both"/>
        <w:rPr>
          <w:rFonts w:ascii="Myriad Pro" w:hAnsi="Myriad Pro"/>
          <w:sz w:val="26"/>
          <w:szCs w:val="26"/>
        </w:rPr>
      </w:pPr>
      <w:r w:rsidRPr="00C04ABD">
        <w:rPr>
          <w:rFonts w:ascii="Myriad Pro" w:hAnsi="Myriad Pro"/>
          <w:sz w:val="26"/>
          <w:szCs w:val="26"/>
        </w:rPr>
        <w:t xml:space="preserve">вознаграждений по итогам работы за год – </w:t>
      </w:r>
      <w:r w:rsidR="00787968" w:rsidRPr="00C04ABD">
        <w:rPr>
          <w:rFonts w:ascii="Myriad Pro" w:hAnsi="Myriad Pro"/>
          <w:sz w:val="26"/>
          <w:szCs w:val="26"/>
        </w:rPr>
        <w:t>1</w:t>
      </w:r>
      <w:r w:rsidR="000239A9" w:rsidRPr="00C04ABD">
        <w:rPr>
          <w:rFonts w:ascii="Myriad Pro" w:hAnsi="Myriad Pro"/>
          <w:sz w:val="26"/>
          <w:szCs w:val="26"/>
        </w:rPr>
        <w:t>1,7</w:t>
      </w:r>
      <w:r w:rsidRPr="00C04ABD">
        <w:rPr>
          <w:rFonts w:ascii="Myriad Pro" w:hAnsi="Myriad Pro"/>
          <w:sz w:val="26"/>
          <w:szCs w:val="26"/>
        </w:rPr>
        <w:t>%</w:t>
      </w:r>
      <w:r w:rsidR="00787968" w:rsidRPr="00C04ABD">
        <w:rPr>
          <w:rFonts w:ascii="Myriad Pro" w:hAnsi="Myriad Pro"/>
          <w:sz w:val="26"/>
          <w:szCs w:val="26"/>
        </w:rPr>
        <w:t xml:space="preserve"> (по расчету Исполнителя)</w:t>
      </w:r>
      <w:r w:rsidRPr="00C04ABD">
        <w:rPr>
          <w:rFonts w:ascii="Myriad Pro" w:hAnsi="Myriad Pro"/>
          <w:sz w:val="26"/>
          <w:szCs w:val="26"/>
        </w:rPr>
        <w:t>;</w:t>
      </w:r>
    </w:p>
    <w:p w14:paraId="4B091E98" w14:textId="7746D466" w:rsidR="00C263AD" w:rsidRPr="00C04ABD" w:rsidRDefault="00C263AD" w:rsidP="009B0BC1">
      <w:pPr>
        <w:pStyle w:val="a4"/>
        <w:numPr>
          <w:ilvl w:val="1"/>
          <w:numId w:val="44"/>
        </w:numPr>
        <w:tabs>
          <w:tab w:val="left" w:pos="1701"/>
        </w:tabs>
        <w:spacing w:after="0" w:line="360" w:lineRule="auto"/>
        <w:ind w:left="567" w:firstLine="567"/>
        <w:jc w:val="both"/>
        <w:rPr>
          <w:rFonts w:ascii="Myriad Pro" w:hAnsi="Myriad Pro"/>
          <w:sz w:val="26"/>
          <w:szCs w:val="26"/>
        </w:rPr>
      </w:pPr>
      <w:r w:rsidRPr="00C04ABD">
        <w:rPr>
          <w:rFonts w:ascii="Myriad Pro" w:hAnsi="Myriad Pro"/>
          <w:sz w:val="26"/>
          <w:szCs w:val="26"/>
        </w:rPr>
        <w:t>выплаты по районному коэффициенту и северные надбавки -130%</w:t>
      </w:r>
      <w:r w:rsidR="00787968" w:rsidRPr="00C04ABD">
        <w:rPr>
          <w:rFonts w:ascii="Myriad Pro" w:hAnsi="Myriad Pro"/>
          <w:sz w:val="26"/>
          <w:szCs w:val="26"/>
        </w:rPr>
        <w:t xml:space="preserve"> </w:t>
      </w:r>
      <w:r w:rsidR="000D6259" w:rsidRPr="00C04ABD">
        <w:rPr>
          <w:rFonts w:ascii="Myriad Pro" w:hAnsi="Myriad Pro"/>
          <w:sz w:val="26"/>
          <w:szCs w:val="26"/>
        </w:rPr>
        <w:t>(</w:t>
      </w:r>
      <w:r w:rsidR="00787968" w:rsidRPr="00C04ABD">
        <w:rPr>
          <w:rFonts w:ascii="Myriad Pro" w:hAnsi="Myriad Pro"/>
          <w:sz w:val="26"/>
          <w:szCs w:val="26"/>
        </w:rPr>
        <w:t>по фактическим данным за 2017 г.)</w:t>
      </w:r>
      <w:r w:rsidRPr="00C04ABD">
        <w:rPr>
          <w:rFonts w:ascii="Myriad Pro" w:hAnsi="Myriad Pro"/>
          <w:sz w:val="26"/>
          <w:szCs w:val="26"/>
        </w:rPr>
        <w:t>.</w:t>
      </w:r>
    </w:p>
    <w:p w14:paraId="0CD5D9C3" w14:textId="24197A20" w:rsidR="00E037B3" w:rsidRPr="00C04ABD" w:rsidRDefault="00E037B3" w:rsidP="009B0BC1">
      <w:pPr>
        <w:pStyle w:val="a4"/>
        <w:numPr>
          <w:ilvl w:val="0"/>
          <w:numId w:val="17"/>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 xml:space="preserve">Льготный проезд к месту отдыха рассчитан </w:t>
      </w:r>
      <w:r w:rsidR="00146182" w:rsidRPr="00C04ABD">
        <w:rPr>
          <w:rFonts w:ascii="Myriad Pro" w:hAnsi="Myriad Pro"/>
          <w:sz w:val="26"/>
          <w:szCs w:val="26"/>
        </w:rPr>
        <w:t xml:space="preserve">на основании п. 3.11 </w:t>
      </w:r>
      <w:r w:rsidR="00655FFA" w:rsidRPr="00C04ABD">
        <w:rPr>
          <w:rFonts w:ascii="Myriad Pro" w:hAnsi="Myriad Pro"/>
          <w:sz w:val="26"/>
          <w:szCs w:val="26"/>
        </w:rPr>
        <w:t>«</w:t>
      </w:r>
      <w:r w:rsidR="00146182" w:rsidRPr="00C04ABD">
        <w:rPr>
          <w:rFonts w:ascii="Myriad Pro" w:hAnsi="Myriad Pro"/>
          <w:sz w:val="26"/>
          <w:szCs w:val="26"/>
        </w:rPr>
        <w:t>Положения о компенсации проезда в отпуск и обратно</w:t>
      </w:r>
      <w:r w:rsidR="00655FFA" w:rsidRPr="00C04ABD">
        <w:rPr>
          <w:rFonts w:ascii="Myriad Pro" w:hAnsi="Myriad Pro"/>
          <w:sz w:val="26"/>
          <w:szCs w:val="26"/>
        </w:rPr>
        <w:t>»</w:t>
      </w:r>
      <w:r w:rsidR="00146182" w:rsidRPr="00C04ABD">
        <w:rPr>
          <w:rFonts w:ascii="Myriad Pro" w:hAnsi="Myriad Pro"/>
          <w:sz w:val="26"/>
          <w:szCs w:val="26"/>
        </w:rPr>
        <w:t xml:space="preserve"> </w:t>
      </w:r>
      <w:r w:rsidRPr="00C04ABD">
        <w:rPr>
          <w:rFonts w:ascii="Myriad Pro" w:hAnsi="Myriad Pro"/>
          <w:sz w:val="26"/>
          <w:szCs w:val="26"/>
        </w:rPr>
        <w:t>исходя из численности работников 1183 чел. * 60 тыс. руб. = 70 980 / 2 года = 35 490 тыс. руб.</w:t>
      </w:r>
      <w:r w:rsidR="005866D2" w:rsidRPr="00C04ABD">
        <w:rPr>
          <w:rFonts w:ascii="Myriad Pro" w:hAnsi="Myriad Pro"/>
          <w:sz w:val="26"/>
          <w:szCs w:val="26"/>
        </w:rPr>
        <w:t xml:space="preserve"> (в связи с тем, что оплата льготного проезда производиться один раз в два года, расходы учтены как среднее за два года).</w:t>
      </w:r>
      <w:r w:rsidR="002C360F" w:rsidRPr="00C04ABD">
        <w:rPr>
          <w:rFonts w:ascii="Myriad Pro" w:hAnsi="Myriad Pro"/>
          <w:sz w:val="26"/>
          <w:szCs w:val="26"/>
        </w:rPr>
        <w:t xml:space="preserve"> Исполнителем расходы учтены без учета фактической численности 460 человек, использовавших право льготного проезда </w:t>
      </w:r>
      <w:r w:rsidR="005866D2" w:rsidRPr="00C04ABD">
        <w:rPr>
          <w:rFonts w:ascii="Myriad Pro" w:hAnsi="Myriad Pro"/>
          <w:sz w:val="26"/>
          <w:szCs w:val="26"/>
        </w:rPr>
        <w:t xml:space="preserve">в 2017 г. и учтенной Филиалом при расчете ФОТ на 2019 год. </w:t>
      </w:r>
      <w:r w:rsidR="00146182" w:rsidRPr="00C04ABD">
        <w:rPr>
          <w:rFonts w:ascii="Myriad Pro" w:hAnsi="Myriad Pro"/>
          <w:sz w:val="26"/>
          <w:szCs w:val="26"/>
        </w:rPr>
        <w:t xml:space="preserve">В связи с тем, что расходы на оплату труда входят в состав базового уровня операционных расходов и утверждаются на 5 лет необходимо включать расходы как среднее за пять лет.  (Филиалом расчет льготного проезда произведен из расчета </w:t>
      </w:r>
      <w:r w:rsidR="005866D2" w:rsidRPr="00C04ABD">
        <w:rPr>
          <w:rFonts w:ascii="Myriad Pro" w:hAnsi="Myriad Pro"/>
          <w:sz w:val="26"/>
          <w:szCs w:val="26"/>
        </w:rPr>
        <w:t>1183-460=723 чел</w:t>
      </w:r>
      <w:r w:rsidR="00146182" w:rsidRPr="00C04ABD">
        <w:rPr>
          <w:rFonts w:ascii="Myriad Pro" w:hAnsi="Myriad Pro"/>
          <w:sz w:val="26"/>
          <w:szCs w:val="26"/>
        </w:rPr>
        <w:t>., что является завышением расходов).</w:t>
      </w:r>
    </w:p>
    <w:p w14:paraId="7ED6A153" w14:textId="29FC8DFA" w:rsidR="001300B5" w:rsidRPr="00C04ABD" w:rsidRDefault="002C360F" w:rsidP="00A31747">
      <w:pPr>
        <w:pStyle w:val="a4"/>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Исполнителем отмечается, что в</w:t>
      </w:r>
      <w:r w:rsidR="001300B5" w:rsidRPr="00C04ABD">
        <w:rPr>
          <w:rFonts w:ascii="Myriad Pro" w:hAnsi="Myriad Pro"/>
          <w:sz w:val="26"/>
          <w:szCs w:val="26"/>
        </w:rPr>
        <w:t xml:space="preserve"> </w:t>
      </w:r>
      <w:r w:rsidR="001300B5" w:rsidRPr="00CA5B97">
        <w:rPr>
          <w:rFonts w:ascii="Myriad Pro" w:hAnsi="Myriad Pro"/>
          <w:sz w:val="26"/>
          <w:szCs w:val="26"/>
        </w:rPr>
        <w:t>материалах тарифного дела не представлен</w:t>
      </w:r>
      <w:r w:rsidRPr="00CA5B97">
        <w:rPr>
          <w:rFonts w:ascii="Myriad Pro" w:hAnsi="Myriad Pro"/>
          <w:sz w:val="26"/>
          <w:szCs w:val="26"/>
        </w:rPr>
        <w:t xml:space="preserve"> расчет норм</w:t>
      </w:r>
      <w:r w:rsidR="000B067A" w:rsidRPr="00CA5B97">
        <w:rPr>
          <w:rFonts w:ascii="Myriad Pro" w:hAnsi="Myriad Pro"/>
          <w:sz w:val="26"/>
          <w:szCs w:val="26"/>
        </w:rPr>
        <w:t>ативной численности. П</w:t>
      </w:r>
      <w:r w:rsidR="008B40DF" w:rsidRPr="00CA5B97">
        <w:rPr>
          <w:rFonts w:ascii="Myriad Pro" w:hAnsi="Myriad Pro"/>
          <w:sz w:val="26"/>
          <w:szCs w:val="26"/>
        </w:rPr>
        <w:t>риложе</w:t>
      </w:r>
      <w:r w:rsidR="008B40DF" w:rsidRPr="00C04ABD">
        <w:rPr>
          <w:rFonts w:ascii="Myriad Pro" w:hAnsi="Myriad Pro"/>
          <w:sz w:val="26"/>
          <w:szCs w:val="26"/>
        </w:rPr>
        <w:t>на</w:t>
      </w:r>
      <w:r w:rsidRPr="00C04ABD">
        <w:rPr>
          <w:rFonts w:ascii="Myriad Pro" w:hAnsi="Myriad Pro"/>
          <w:sz w:val="26"/>
          <w:szCs w:val="26"/>
        </w:rPr>
        <w:t xml:space="preserve"> </w:t>
      </w:r>
      <w:r w:rsidR="008B40DF" w:rsidRPr="00C04ABD">
        <w:rPr>
          <w:rFonts w:ascii="Myriad Pro" w:hAnsi="Myriad Pro"/>
          <w:sz w:val="26"/>
          <w:szCs w:val="26"/>
        </w:rPr>
        <w:t xml:space="preserve">копия письма от 14.03.2006 </w:t>
      </w:r>
      <w:r w:rsidR="00655FFA" w:rsidRPr="00C04ABD">
        <w:rPr>
          <w:rFonts w:ascii="Myriad Pro" w:hAnsi="Myriad Pro"/>
          <w:sz w:val="26"/>
          <w:szCs w:val="26"/>
        </w:rPr>
        <w:t>«</w:t>
      </w:r>
      <w:r w:rsidR="008B40DF" w:rsidRPr="00C04ABD">
        <w:rPr>
          <w:rFonts w:ascii="Myriad Pro" w:hAnsi="Myriad Pro"/>
          <w:sz w:val="26"/>
          <w:szCs w:val="26"/>
        </w:rPr>
        <w:t>О нормативной численности промышленно-производственного персонала</w:t>
      </w:r>
      <w:r w:rsidR="00655FFA" w:rsidRPr="00C04ABD">
        <w:rPr>
          <w:rFonts w:ascii="Myriad Pro" w:hAnsi="Myriad Pro"/>
          <w:sz w:val="26"/>
          <w:szCs w:val="26"/>
        </w:rPr>
        <w:t>»</w:t>
      </w:r>
      <w:r w:rsidR="008B40DF" w:rsidRPr="00C04ABD">
        <w:rPr>
          <w:rFonts w:ascii="Myriad Pro" w:hAnsi="Myriad Pro"/>
          <w:sz w:val="26"/>
          <w:szCs w:val="26"/>
        </w:rPr>
        <w:t xml:space="preserve">, рассчитанная </w:t>
      </w:r>
      <w:r w:rsidR="00D7672B" w:rsidRPr="00C04ABD">
        <w:rPr>
          <w:rFonts w:ascii="Myriad Pro" w:hAnsi="Myriad Pro"/>
          <w:sz w:val="26"/>
          <w:szCs w:val="26"/>
        </w:rPr>
        <w:t xml:space="preserve">Российским </w:t>
      </w:r>
      <w:r w:rsidR="00D7672B" w:rsidRPr="00C04ABD">
        <w:rPr>
          <w:rFonts w:ascii="Myriad Pro" w:hAnsi="Myriad Pro" w:cs="Myriad Pro"/>
          <w:sz w:val="26"/>
          <w:szCs w:val="26"/>
        </w:rPr>
        <w:t xml:space="preserve">открытым акционерным обществом </w:t>
      </w:r>
      <w:r w:rsidR="00D7672B" w:rsidRPr="00C04ABD">
        <w:rPr>
          <w:rFonts w:ascii="Myriad Pro" w:hAnsi="Myriad Pro"/>
          <w:sz w:val="26"/>
          <w:szCs w:val="26"/>
        </w:rPr>
        <w:t>энергетики и электрификации «ЕЭС России»</w:t>
      </w:r>
      <w:r w:rsidR="008B40DF" w:rsidRPr="00C04ABD">
        <w:rPr>
          <w:rFonts w:ascii="Myriad Pro" w:hAnsi="Myriad Pro"/>
          <w:sz w:val="26"/>
          <w:szCs w:val="26"/>
        </w:rPr>
        <w:t xml:space="preserve"> ОАО</w:t>
      </w:r>
      <w:r w:rsidR="00B93958" w:rsidRPr="00C04ABD">
        <w:rPr>
          <w:rFonts w:ascii="Myriad Pro" w:hAnsi="Myriad Pro"/>
          <w:sz w:val="26"/>
          <w:szCs w:val="26"/>
        </w:rPr>
        <w:t> </w:t>
      </w:r>
      <w:r w:rsidR="00655FFA" w:rsidRPr="00C04ABD">
        <w:rPr>
          <w:rFonts w:ascii="Myriad Pro" w:hAnsi="Myriad Pro"/>
          <w:sz w:val="26"/>
          <w:szCs w:val="26"/>
        </w:rPr>
        <w:t>«</w:t>
      </w:r>
      <w:r w:rsidR="008B40DF" w:rsidRPr="00C04ABD">
        <w:rPr>
          <w:rFonts w:ascii="Myriad Pro" w:hAnsi="Myriad Pro"/>
          <w:sz w:val="26"/>
          <w:szCs w:val="26"/>
        </w:rPr>
        <w:t>ЦОТ</w:t>
      </w:r>
      <w:r w:rsidR="00B93958" w:rsidRPr="00C04ABD">
        <w:rPr>
          <w:rFonts w:ascii="Myriad Pro" w:hAnsi="Myriad Pro"/>
          <w:sz w:val="26"/>
          <w:szCs w:val="26"/>
        </w:rPr>
        <w:t>энерго</w:t>
      </w:r>
      <w:r w:rsidR="00655FFA" w:rsidRPr="00C04ABD">
        <w:rPr>
          <w:rFonts w:ascii="Myriad Pro" w:hAnsi="Myriad Pro"/>
          <w:sz w:val="26"/>
          <w:szCs w:val="26"/>
        </w:rPr>
        <w:t>»</w:t>
      </w:r>
      <w:r w:rsidR="00146182" w:rsidRPr="00C04ABD">
        <w:rPr>
          <w:rFonts w:ascii="Myriad Pro" w:hAnsi="Myriad Pro"/>
          <w:sz w:val="26"/>
          <w:szCs w:val="26"/>
        </w:rPr>
        <w:t xml:space="preserve"> (нормативная численность</w:t>
      </w:r>
      <w:r w:rsidR="008B40DF" w:rsidRPr="00C04ABD">
        <w:rPr>
          <w:rFonts w:ascii="Myriad Pro" w:hAnsi="Myriad Pro"/>
          <w:sz w:val="26"/>
          <w:szCs w:val="26"/>
        </w:rPr>
        <w:t xml:space="preserve"> </w:t>
      </w:r>
      <w:r w:rsidR="0050020C" w:rsidRPr="00C04ABD">
        <w:rPr>
          <w:rFonts w:ascii="Myriad Pro" w:hAnsi="Myriad Pro"/>
          <w:sz w:val="26"/>
          <w:szCs w:val="26"/>
        </w:rPr>
        <w:t xml:space="preserve">филиала ПАО </w:t>
      </w:r>
      <w:r w:rsidR="00655FFA" w:rsidRPr="00C04ABD">
        <w:rPr>
          <w:rFonts w:ascii="Myriad Pro" w:hAnsi="Myriad Pro"/>
          <w:sz w:val="26"/>
          <w:szCs w:val="26"/>
        </w:rPr>
        <w:t>«</w:t>
      </w:r>
      <w:r w:rsidR="0050020C" w:rsidRPr="00C04ABD">
        <w:rPr>
          <w:rFonts w:ascii="Myriad Pro" w:hAnsi="Myriad Pro"/>
          <w:sz w:val="26"/>
          <w:szCs w:val="26"/>
        </w:rPr>
        <w:t>МРСК Северо-Запада</w:t>
      </w:r>
      <w:r w:rsidR="00655FFA" w:rsidRPr="00C04ABD">
        <w:rPr>
          <w:rFonts w:ascii="Myriad Pro" w:hAnsi="Myriad Pro"/>
          <w:sz w:val="26"/>
          <w:szCs w:val="26"/>
        </w:rPr>
        <w:t>»</w:t>
      </w:r>
      <w:r w:rsidR="0050020C" w:rsidRPr="00C04ABD">
        <w:rPr>
          <w:rFonts w:ascii="Myriad Pro" w:hAnsi="Myriad Pro"/>
          <w:sz w:val="26"/>
          <w:szCs w:val="26"/>
        </w:rPr>
        <w:t xml:space="preserve"> </w:t>
      </w:r>
      <w:r w:rsidR="00655FFA" w:rsidRPr="00C04ABD">
        <w:rPr>
          <w:rFonts w:ascii="Myriad Pro" w:hAnsi="Myriad Pro"/>
          <w:sz w:val="26"/>
          <w:szCs w:val="26"/>
        </w:rPr>
        <w:t>«</w:t>
      </w:r>
      <w:r w:rsidR="0050020C" w:rsidRPr="00C04ABD">
        <w:rPr>
          <w:rFonts w:ascii="Myriad Pro" w:hAnsi="Myriad Pro"/>
          <w:sz w:val="26"/>
          <w:szCs w:val="26"/>
        </w:rPr>
        <w:t>Колэнерго</w:t>
      </w:r>
      <w:r w:rsidR="00655FFA" w:rsidRPr="00C04ABD">
        <w:rPr>
          <w:rFonts w:ascii="Myriad Pro" w:hAnsi="Myriad Pro"/>
          <w:sz w:val="26"/>
          <w:szCs w:val="26"/>
        </w:rPr>
        <w:t>»</w:t>
      </w:r>
      <w:r w:rsidR="0050020C" w:rsidRPr="00C04ABD">
        <w:rPr>
          <w:rFonts w:ascii="Myriad Pro" w:hAnsi="Myriad Pro"/>
          <w:sz w:val="26"/>
          <w:szCs w:val="26"/>
        </w:rPr>
        <w:t xml:space="preserve"> </w:t>
      </w:r>
      <w:r w:rsidR="008B40DF" w:rsidRPr="00C04ABD">
        <w:rPr>
          <w:rFonts w:ascii="Myriad Pro" w:hAnsi="Myriad Pro"/>
          <w:sz w:val="26"/>
          <w:szCs w:val="26"/>
        </w:rPr>
        <w:t>1314 чел</w:t>
      </w:r>
      <w:r w:rsidR="000B067A" w:rsidRPr="00C04ABD">
        <w:rPr>
          <w:rFonts w:ascii="Myriad Pro" w:hAnsi="Myriad Pro"/>
          <w:sz w:val="26"/>
          <w:szCs w:val="26"/>
        </w:rPr>
        <w:t>.</w:t>
      </w:r>
      <w:r w:rsidR="008B40DF" w:rsidRPr="00C04ABD">
        <w:rPr>
          <w:rFonts w:ascii="Myriad Pro" w:hAnsi="Myriad Pro"/>
          <w:sz w:val="26"/>
          <w:szCs w:val="26"/>
        </w:rPr>
        <w:t>).</w:t>
      </w:r>
    </w:p>
    <w:p w14:paraId="34F8AA48" w14:textId="32E893FE" w:rsidR="00F643ED" w:rsidRPr="00C04ABD" w:rsidRDefault="0050761E" w:rsidP="00A31747">
      <w:pPr>
        <w:pStyle w:val="a4"/>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 xml:space="preserve">Исполнителем проанализированы представленные материалы со стороны филиала ПАО </w:t>
      </w:r>
      <w:r w:rsidR="00655FFA" w:rsidRPr="00C04ABD">
        <w:rPr>
          <w:rFonts w:ascii="Myriad Pro" w:hAnsi="Myriad Pro"/>
          <w:sz w:val="26"/>
          <w:szCs w:val="26"/>
        </w:rPr>
        <w:t>«</w:t>
      </w:r>
      <w:r w:rsidRPr="00C04ABD">
        <w:rPr>
          <w:rFonts w:ascii="Myriad Pro" w:hAnsi="Myriad Pro"/>
          <w:sz w:val="26"/>
          <w:szCs w:val="26"/>
        </w:rPr>
        <w:t>МРСК Северо-Запада</w:t>
      </w:r>
      <w:r w:rsidR="00655FFA" w:rsidRPr="00C04ABD">
        <w:rPr>
          <w:rFonts w:ascii="Myriad Pro" w:hAnsi="Myriad Pro"/>
          <w:sz w:val="26"/>
          <w:szCs w:val="26"/>
        </w:rPr>
        <w:t>»</w:t>
      </w:r>
      <w:r w:rsidRPr="00C04ABD">
        <w:rPr>
          <w:rFonts w:ascii="Myriad Pro" w:hAnsi="Myriad Pro"/>
          <w:sz w:val="26"/>
          <w:szCs w:val="26"/>
        </w:rPr>
        <w:t xml:space="preserve"> </w:t>
      </w:r>
      <w:r w:rsidR="00655FFA" w:rsidRPr="00C04ABD">
        <w:rPr>
          <w:rFonts w:ascii="Myriad Pro" w:hAnsi="Myriad Pro"/>
          <w:sz w:val="26"/>
          <w:szCs w:val="26"/>
        </w:rPr>
        <w:t>«</w:t>
      </w:r>
      <w:r w:rsidRPr="00C04ABD">
        <w:rPr>
          <w:rFonts w:ascii="Myriad Pro" w:hAnsi="Myriad Pro"/>
          <w:sz w:val="26"/>
          <w:szCs w:val="26"/>
        </w:rPr>
        <w:t>Колэнерго</w:t>
      </w:r>
      <w:r w:rsidR="00655FFA" w:rsidRPr="00C04ABD">
        <w:rPr>
          <w:rFonts w:ascii="Myriad Pro" w:hAnsi="Myriad Pro"/>
          <w:sz w:val="26"/>
          <w:szCs w:val="26"/>
        </w:rPr>
        <w:t>»</w:t>
      </w:r>
      <w:r w:rsidRPr="00C04ABD">
        <w:rPr>
          <w:rFonts w:ascii="Myriad Pro" w:hAnsi="Myriad Pro"/>
          <w:sz w:val="26"/>
          <w:szCs w:val="26"/>
        </w:rPr>
        <w:t>.</w:t>
      </w:r>
      <w:r w:rsidR="00F643ED" w:rsidRPr="00C04ABD">
        <w:rPr>
          <w:rFonts w:ascii="Myriad Pro" w:hAnsi="Myriad Pro"/>
          <w:sz w:val="26"/>
          <w:szCs w:val="26"/>
        </w:rPr>
        <w:t xml:space="preserve"> Филиалом доплаты стимулирующего и компенсационного характера для расчета затрат применены в соответствии с Отраслевым тарифным соглашением. Расходы на оплату труда </w:t>
      </w:r>
      <w:r w:rsidR="00F643ED" w:rsidRPr="00C04ABD">
        <w:rPr>
          <w:rFonts w:ascii="Myriad Pro" w:hAnsi="Myriad Pro"/>
          <w:sz w:val="26"/>
          <w:szCs w:val="26"/>
        </w:rPr>
        <w:lastRenderedPageBreak/>
        <w:t>заявлены Филиалом в размере 1 265 486,04 тыс. руб., что в 1,43 раза выше фактических расходов 2017 года в размере 886 240,30 тыс. руб.</w:t>
      </w:r>
    </w:p>
    <w:p w14:paraId="13FC595B" w14:textId="330BEA34" w:rsidR="0050761E" w:rsidRPr="00C04ABD" w:rsidRDefault="0050761E" w:rsidP="00A31747">
      <w:pPr>
        <w:pStyle w:val="a4"/>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 xml:space="preserve">Также Исполнителем проанализирована официальная информация, опубликованная на сайте территориального органа Федеральной службы государственной статистики по Мурманской области. Среднемесячная заработная плата в расчёте на одного работника по виду экономической деятельности: </w:t>
      </w:r>
      <w:r w:rsidR="00655FFA" w:rsidRPr="00C04ABD">
        <w:rPr>
          <w:rFonts w:ascii="Myriad Pro" w:hAnsi="Myriad Pro"/>
          <w:sz w:val="26"/>
          <w:szCs w:val="26"/>
        </w:rPr>
        <w:t>«</w:t>
      </w:r>
      <w:r w:rsidRPr="00C04ABD">
        <w:rPr>
          <w:rFonts w:ascii="Myriad Pro" w:hAnsi="Myriad Pro"/>
          <w:sz w:val="26"/>
          <w:szCs w:val="26"/>
        </w:rPr>
        <w:t>Обеспечение электрической энергией, газом и паром; кондиционирование воздуха</w:t>
      </w:r>
      <w:r w:rsidR="00655FFA" w:rsidRPr="00C04ABD">
        <w:rPr>
          <w:rFonts w:ascii="Myriad Pro" w:hAnsi="Myriad Pro"/>
          <w:sz w:val="26"/>
          <w:szCs w:val="26"/>
        </w:rPr>
        <w:t>»</w:t>
      </w:r>
      <w:r w:rsidRPr="00C04ABD">
        <w:rPr>
          <w:rFonts w:ascii="Myriad Pro" w:hAnsi="Myriad Pro"/>
          <w:sz w:val="26"/>
          <w:szCs w:val="26"/>
        </w:rPr>
        <w:t xml:space="preserve"> по Мурманской области за 2017 год составила 66 741,9 руб. в месяц, что ниже на 3 058,08 руб. в месяц среднемесячного дохода на 1 работника филиала ПАО </w:t>
      </w:r>
      <w:r w:rsidR="00655FFA" w:rsidRPr="00C04ABD">
        <w:rPr>
          <w:rFonts w:ascii="Myriad Pro" w:hAnsi="Myriad Pro"/>
          <w:sz w:val="26"/>
          <w:szCs w:val="26"/>
        </w:rPr>
        <w:t>«</w:t>
      </w:r>
      <w:r w:rsidRPr="00C04ABD">
        <w:rPr>
          <w:rFonts w:ascii="Myriad Pro" w:hAnsi="Myriad Pro"/>
          <w:sz w:val="26"/>
          <w:szCs w:val="26"/>
        </w:rPr>
        <w:t>МРСК Северо-Запада</w:t>
      </w:r>
      <w:r w:rsidR="00655FFA" w:rsidRPr="00C04ABD">
        <w:rPr>
          <w:rFonts w:ascii="Myriad Pro" w:hAnsi="Myriad Pro"/>
          <w:sz w:val="26"/>
          <w:szCs w:val="26"/>
        </w:rPr>
        <w:t>»</w:t>
      </w:r>
      <w:r w:rsidRPr="00C04ABD">
        <w:rPr>
          <w:rFonts w:ascii="Myriad Pro" w:hAnsi="Myriad Pro"/>
          <w:sz w:val="26"/>
          <w:szCs w:val="26"/>
        </w:rPr>
        <w:t xml:space="preserve"> </w:t>
      </w:r>
      <w:r w:rsidR="00655FFA" w:rsidRPr="00C04ABD">
        <w:rPr>
          <w:rFonts w:ascii="Myriad Pro" w:hAnsi="Myriad Pro"/>
          <w:sz w:val="26"/>
          <w:szCs w:val="26"/>
        </w:rPr>
        <w:t>«</w:t>
      </w:r>
      <w:r w:rsidRPr="00C04ABD">
        <w:rPr>
          <w:rFonts w:ascii="Myriad Pro" w:hAnsi="Myriad Pro"/>
          <w:sz w:val="26"/>
          <w:szCs w:val="26"/>
        </w:rPr>
        <w:t>Колэнерго</w:t>
      </w:r>
      <w:r w:rsidR="00655FFA" w:rsidRPr="00C04ABD">
        <w:rPr>
          <w:rFonts w:ascii="Myriad Pro" w:hAnsi="Myriad Pro"/>
          <w:sz w:val="26"/>
          <w:szCs w:val="26"/>
        </w:rPr>
        <w:t>»</w:t>
      </w:r>
      <w:r w:rsidRPr="00C04ABD">
        <w:rPr>
          <w:rFonts w:ascii="Myriad Pro" w:hAnsi="Myriad Pro"/>
          <w:sz w:val="26"/>
          <w:szCs w:val="26"/>
        </w:rPr>
        <w:t xml:space="preserve"> за 2017 год.</w:t>
      </w:r>
    </w:p>
    <w:p w14:paraId="41FA9925" w14:textId="677F8CF5" w:rsidR="0050761E" w:rsidRPr="00C04ABD" w:rsidRDefault="0050761E" w:rsidP="00A31747">
      <w:pPr>
        <w:pStyle w:val="a4"/>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 xml:space="preserve">Для доведения среднемесячного дохода работников филиала ПАО </w:t>
      </w:r>
      <w:r w:rsidR="00655FFA" w:rsidRPr="00C04ABD">
        <w:rPr>
          <w:rFonts w:ascii="Myriad Pro" w:hAnsi="Myriad Pro"/>
          <w:sz w:val="26"/>
          <w:szCs w:val="26"/>
        </w:rPr>
        <w:t>«</w:t>
      </w:r>
      <w:r w:rsidRPr="00C04ABD">
        <w:rPr>
          <w:rFonts w:ascii="Myriad Pro" w:hAnsi="Myriad Pro"/>
          <w:sz w:val="26"/>
          <w:szCs w:val="26"/>
        </w:rPr>
        <w:t>МРСК Северо-Запада</w:t>
      </w:r>
      <w:r w:rsidR="00655FFA" w:rsidRPr="00C04ABD">
        <w:rPr>
          <w:rFonts w:ascii="Myriad Pro" w:hAnsi="Myriad Pro"/>
          <w:sz w:val="26"/>
          <w:szCs w:val="26"/>
        </w:rPr>
        <w:t>»</w:t>
      </w:r>
      <w:r w:rsidR="003B2407" w:rsidRPr="00C04ABD">
        <w:rPr>
          <w:rFonts w:ascii="Myriad Pro" w:hAnsi="Myriad Pro"/>
          <w:sz w:val="26"/>
          <w:szCs w:val="26"/>
        </w:rPr>
        <w:t xml:space="preserve"> </w:t>
      </w:r>
      <w:r w:rsidR="00655FFA" w:rsidRPr="00C04ABD">
        <w:rPr>
          <w:rFonts w:ascii="Myriad Pro" w:hAnsi="Myriad Pro"/>
          <w:sz w:val="26"/>
          <w:szCs w:val="26"/>
        </w:rPr>
        <w:t>«</w:t>
      </w:r>
      <w:r w:rsidR="003B2407" w:rsidRPr="00C04ABD">
        <w:rPr>
          <w:rFonts w:ascii="Myriad Pro" w:hAnsi="Myriad Pro"/>
          <w:sz w:val="26"/>
          <w:szCs w:val="26"/>
        </w:rPr>
        <w:t>Колэнерго</w:t>
      </w:r>
      <w:r w:rsidR="00655FFA" w:rsidRPr="00C04ABD">
        <w:rPr>
          <w:rFonts w:ascii="Myriad Pro" w:hAnsi="Myriad Pro"/>
          <w:sz w:val="26"/>
          <w:szCs w:val="26"/>
        </w:rPr>
        <w:t>»</w:t>
      </w:r>
      <w:r w:rsidR="003B2407" w:rsidRPr="00C04ABD">
        <w:rPr>
          <w:rFonts w:ascii="Myriad Pro" w:hAnsi="Myriad Pro"/>
          <w:sz w:val="26"/>
          <w:szCs w:val="26"/>
        </w:rPr>
        <w:t xml:space="preserve"> </w:t>
      </w:r>
      <w:r w:rsidRPr="00C04ABD">
        <w:rPr>
          <w:rFonts w:ascii="Myriad Pro" w:hAnsi="Myriad Pro"/>
          <w:sz w:val="26"/>
          <w:szCs w:val="26"/>
        </w:rPr>
        <w:t xml:space="preserve">до среднестатистического уровня по Мурманской области по соответствующему виду деятельности Исполнителем </w:t>
      </w:r>
      <w:r w:rsidR="003B2407" w:rsidRPr="00C04ABD">
        <w:rPr>
          <w:rFonts w:ascii="Myriad Pro" w:hAnsi="Myriad Pro"/>
          <w:sz w:val="26"/>
          <w:szCs w:val="26"/>
        </w:rPr>
        <w:t>произведен расчет выплат по итогам года в размере 1</w:t>
      </w:r>
      <w:r w:rsidR="000239A9" w:rsidRPr="00C04ABD">
        <w:rPr>
          <w:rFonts w:ascii="Myriad Pro" w:hAnsi="Myriad Pro"/>
          <w:sz w:val="26"/>
          <w:szCs w:val="26"/>
        </w:rPr>
        <w:t>1,7</w:t>
      </w:r>
      <w:r w:rsidR="003B2407" w:rsidRPr="00C04ABD">
        <w:rPr>
          <w:rFonts w:ascii="Myriad Pro" w:hAnsi="Myriad Pro"/>
          <w:sz w:val="26"/>
          <w:szCs w:val="26"/>
        </w:rPr>
        <w:t>% исходя из следующего.</w:t>
      </w:r>
    </w:p>
    <w:p w14:paraId="6A952493" w14:textId="5021A3B8" w:rsidR="000F606B" w:rsidRPr="00C04ABD" w:rsidRDefault="00F643ED" w:rsidP="00A31747">
      <w:pPr>
        <w:tabs>
          <w:tab w:val="left" w:pos="1134"/>
        </w:tabs>
        <w:spacing w:after="0" w:line="360" w:lineRule="auto"/>
        <w:ind w:firstLine="567"/>
        <w:contextualSpacing/>
        <w:jc w:val="both"/>
        <w:rPr>
          <w:rFonts w:ascii="Myriad Pro" w:hAnsi="Myriad Pro"/>
          <w:sz w:val="26"/>
          <w:szCs w:val="26"/>
        </w:rPr>
      </w:pPr>
      <w:r w:rsidRPr="00C04ABD">
        <w:rPr>
          <w:rFonts w:ascii="Myriad Pro" w:hAnsi="Myriad Pro"/>
          <w:sz w:val="26"/>
          <w:szCs w:val="26"/>
        </w:rPr>
        <w:t>Выплаты, связанные с режимом работы, с условиями труда работников Исполнителем не приняты в соответствии с ОТС, т.к. фактический режим и условия труда работников в 2019 году кардинально не измен</w:t>
      </w:r>
      <w:r w:rsidR="000D6259" w:rsidRPr="00C04ABD">
        <w:rPr>
          <w:rFonts w:ascii="Myriad Pro" w:hAnsi="Myriad Pro"/>
          <w:sz w:val="26"/>
          <w:szCs w:val="26"/>
        </w:rPr>
        <w:t>я</w:t>
      </w:r>
      <w:r w:rsidRPr="00C04ABD">
        <w:rPr>
          <w:rFonts w:ascii="Myriad Pro" w:hAnsi="Myriad Pro"/>
          <w:sz w:val="26"/>
          <w:szCs w:val="26"/>
        </w:rPr>
        <w:t>тся от фактических 2017 года.</w:t>
      </w:r>
      <w:r w:rsidR="000F606B" w:rsidRPr="00C04ABD">
        <w:rPr>
          <w:rFonts w:ascii="Myriad Pro" w:hAnsi="Myriad Pro"/>
          <w:sz w:val="26"/>
          <w:szCs w:val="26"/>
        </w:rPr>
        <w:t xml:space="preserve"> Филиалом не представлен расчет и обоснования изменения рассматриваемого показателя, в связи с чем Исполнителем учтен фактически сложившийся за 2017 год процент в размере 10%.</w:t>
      </w:r>
    </w:p>
    <w:p w14:paraId="1C895FD6" w14:textId="424C9BDF" w:rsidR="005A15D1" w:rsidRPr="00C04ABD" w:rsidRDefault="0050020C" w:rsidP="00A31747">
      <w:pPr>
        <w:tabs>
          <w:tab w:val="left" w:pos="1134"/>
        </w:tabs>
        <w:spacing w:after="0" w:line="360" w:lineRule="auto"/>
        <w:ind w:firstLine="567"/>
        <w:contextualSpacing/>
        <w:jc w:val="both"/>
        <w:rPr>
          <w:rFonts w:ascii="Myriad Pro" w:hAnsi="Myriad Pro"/>
          <w:sz w:val="26"/>
          <w:szCs w:val="26"/>
        </w:rPr>
      </w:pPr>
      <w:r w:rsidRPr="00C04ABD">
        <w:rPr>
          <w:rFonts w:ascii="Myriad Pro" w:hAnsi="Myriad Pro"/>
          <w:sz w:val="26"/>
          <w:szCs w:val="26"/>
        </w:rPr>
        <w:t>Премии за основные результаты производственно-хозяйственной (финансово-хозяйственной) деятельности в соответствии с ОТС выплачиваются в размере не менее 75 процентов тарифной составляющей расходов (средств), направляемых на оплату труда</w:t>
      </w:r>
      <w:r w:rsidR="00F643ED" w:rsidRPr="00C04ABD">
        <w:rPr>
          <w:rFonts w:ascii="Myriad Pro" w:hAnsi="Myriad Pro"/>
          <w:sz w:val="26"/>
          <w:szCs w:val="26"/>
        </w:rPr>
        <w:t xml:space="preserve">. Исполнителем проанализировано </w:t>
      </w:r>
      <w:r w:rsidR="005A15D1" w:rsidRPr="00C04ABD">
        <w:rPr>
          <w:rFonts w:ascii="Myriad Pro" w:hAnsi="Myriad Pro"/>
          <w:sz w:val="26"/>
          <w:szCs w:val="26"/>
        </w:rPr>
        <w:t xml:space="preserve">Положение о премировании работников производственного отделения </w:t>
      </w:r>
      <w:r w:rsidR="00655FFA" w:rsidRPr="00C04ABD">
        <w:rPr>
          <w:rFonts w:ascii="Myriad Pro" w:hAnsi="Myriad Pro"/>
          <w:sz w:val="26"/>
          <w:szCs w:val="26"/>
        </w:rPr>
        <w:t>«</w:t>
      </w:r>
      <w:r w:rsidR="005A15D1" w:rsidRPr="00C04ABD">
        <w:rPr>
          <w:rFonts w:ascii="Myriad Pro" w:hAnsi="Myriad Pro"/>
          <w:sz w:val="26"/>
          <w:szCs w:val="26"/>
        </w:rPr>
        <w:t>Северные электрические сети</w:t>
      </w:r>
      <w:r w:rsidR="00655FFA" w:rsidRPr="00C04ABD">
        <w:rPr>
          <w:rFonts w:ascii="Myriad Pro" w:hAnsi="Myriad Pro"/>
          <w:sz w:val="26"/>
          <w:szCs w:val="26"/>
        </w:rPr>
        <w:t>»</w:t>
      </w:r>
      <w:r w:rsidR="005A15D1" w:rsidRPr="00C04ABD">
        <w:rPr>
          <w:rFonts w:ascii="Myriad Pro" w:hAnsi="Myriad Pro"/>
          <w:sz w:val="26"/>
          <w:szCs w:val="26"/>
        </w:rPr>
        <w:t xml:space="preserve"> филиала ПАО</w:t>
      </w:r>
      <w:r w:rsidR="000D6259" w:rsidRPr="00C04ABD">
        <w:rPr>
          <w:rFonts w:ascii="Myriad Pro" w:hAnsi="Myriad Pro"/>
          <w:sz w:val="26"/>
          <w:szCs w:val="26"/>
        </w:rPr>
        <w:t xml:space="preserve"> </w:t>
      </w:r>
      <w:r w:rsidR="00655FFA" w:rsidRPr="00C04ABD">
        <w:rPr>
          <w:rFonts w:ascii="Myriad Pro" w:hAnsi="Myriad Pro"/>
          <w:sz w:val="26"/>
          <w:szCs w:val="26"/>
        </w:rPr>
        <w:t>«</w:t>
      </w:r>
      <w:r w:rsidR="005A15D1" w:rsidRPr="00C04ABD">
        <w:rPr>
          <w:rFonts w:ascii="Myriad Pro" w:hAnsi="Myriad Pro"/>
          <w:sz w:val="26"/>
          <w:szCs w:val="26"/>
        </w:rPr>
        <w:t>МРСК Северо-Запада</w:t>
      </w:r>
      <w:r w:rsidR="00655FFA" w:rsidRPr="00C04ABD">
        <w:rPr>
          <w:rFonts w:ascii="Myriad Pro" w:hAnsi="Myriad Pro"/>
          <w:sz w:val="26"/>
          <w:szCs w:val="26"/>
        </w:rPr>
        <w:t>»</w:t>
      </w:r>
      <w:r w:rsidR="005A15D1" w:rsidRPr="00C04ABD">
        <w:rPr>
          <w:rFonts w:ascii="Myriad Pro" w:hAnsi="Myriad Pro"/>
          <w:sz w:val="26"/>
          <w:szCs w:val="26"/>
        </w:rPr>
        <w:t xml:space="preserve"> </w:t>
      </w:r>
      <w:r w:rsidR="00655FFA" w:rsidRPr="00C04ABD">
        <w:rPr>
          <w:rFonts w:ascii="Myriad Pro" w:hAnsi="Myriad Pro"/>
          <w:sz w:val="26"/>
          <w:szCs w:val="26"/>
        </w:rPr>
        <w:t>«</w:t>
      </w:r>
      <w:r w:rsidR="005A15D1" w:rsidRPr="00C04ABD">
        <w:rPr>
          <w:rFonts w:ascii="Myriad Pro" w:hAnsi="Myriad Pro"/>
          <w:sz w:val="26"/>
          <w:szCs w:val="26"/>
        </w:rPr>
        <w:t>Колэнерго</w:t>
      </w:r>
      <w:r w:rsidR="00655FFA" w:rsidRPr="00C04ABD">
        <w:rPr>
          <w:rFonts w:ascii="Myriad Pro" w:hAnsi="Myriad Pro"/>
          <w:sz w:val="26"/>
          <w:szCs w:val="26"/>
        </w:rPr>
        <w:t>»</w:t>
      </w:r>
      <w:r w:rsidR="005A15D1" w:rsidRPr="00C04ABD">
        <w:rPr>
          <w:rFonts w:ascii="Myriad Pro" w:hAnsi="Myriad Pro"/>
          <w:sz w:val="26"/>
          <w:szCs w:val="26"/>
        </w:rPr>
        <w:t xml:space="preserve"> от 05.12.2017 и Положение о премировании работников производственного отделения </w:t>
      </w:r>
      <w:r w:rsidR="00655FFA" w:rsidRPr="00C04ABD">
        <w:rPr>
          <w:rFonts w:ascii="Myriad Pro" w:hAnsi="Myriad Pro"/>
          <w:sz w:val="26"/>
          <w:szCs w:val="26"/>
        </w:rPr>
        <w:t>«</w:t>
      </w:r>
      <w:r w:rsidR="005A15D1" w:rsidRPr="00C04ABD">
        <w:rPr>
          <w:rFonts w:ascii="Myriad Pro" w:hAnsi="Myriad Pro"/>
          <w:sz w:val="26"/>
          <w:szCs w:val="26"/>
        </w:rPr>
        <w:t>Центральные электрические сети</w:t>
      </w:r>
      <w:r w:rsidR="00655FFA" w:rsidRPr="00C04ABD">
        <w:rPr>
          <w:rFonts w:ascii="Myriad Pro" w:hAnsi="Myriad Pro"/>
          <w:sz w:val="26"/>
          <w:szCs w:val="26"/>
        </w:rPr>
        <w:t>»</w:t>
      </w:r>
      <w:r w:rsidR="005A15D1" w:rsidRPr="00C04ABD">
        <w:rPr>
          <w:rFonts w:ascii="Myriad Pro" w:hAnsi="Myriad Pro"/>
          <w:sz w:val="26"/>
          <w:szCs w:val="26"/>
        </w:rPr>
        <w:t xml:space="preserve"> филиала ПАО</w:t>
      </w:r>
      <w:r w:rsidR="000D6259" w:rsidRPr="00C04ABD">
        <w:rPr>
          <w:rFonts w:ascii="Myriad Pro" w:hAnsi="Myriad Pro"/>
          <w:sz w:val="26"/>
          <w:szCs w:val="26"/>
        </w:rPr>
        <w:t xml:space="preserve"> </w:t>
      </w:r>
      <w:r w:rsidR="00655FFA" w:rsidRPr="00C04ABD">
        <w:rPr>
          <w:rFonts w:ascii="Myriad Pro" w:hAnsi="Myriad Pro"/>
          <w:sz w:val="26"/>
          <w:szCs w:val="26"/>
        </w:rPr>
        <w:t>«</w:t>
      </w:r>
      <w:r w:rsidR="005A15D1" w:rsidRPr="00C04ABD">
        <w:rPr>
          <w:rFonts w:ascii="Myriad Pro" w:hAnsi="Myriad Pro"/>
          <w:sz w:val="26"/>
          <w:szCs w:val="26"/>
        </w:rPr>
        <w:t>МРСК Северо-Запада</w:t>
      </w:r>
      <w:r w:rsidR="00655FFA" w:rsidRPr="00C04ABD">
        <w:rPr>
          <w:rFonts w:ascii="Myriad Pro" w:hAnsi="Myriad Pro"/>
          <w:sz w:val="26"/>
          <w:szCs w:val="26"/>
        </w:rPr>
        <w:t>»</w:t>
      </w:r>
      <w:r w:rsidR="005A15D1" w:rsidRPr="00C04ABD">
        <w:rPr>
          <w:rFonts w:ascii="Myriad Pro" w:hAnsi="Myriad Pro"/>
          <w:sz w:val="26"/>
          <w:szCs w:val="26"/>
        </w:rPr>
        <w:t xml:space="preserve"> </w:t>
      </w:r>
      <w:r w:rsidR="00655FFA" w:rsidRPr="00C04ABD">
        <w:rPr>
          <w:rFonts w:ascii="Myriad Pro" w:hAnsi="Myriad Pro"/>
          <w:sz w:val="26"/>
          <w:szCs w:val="26"/>
        </w:rPr>
        <w:t>«</w:t>
      </w:r>
      <w:r w:rsidR="005A15D1" w:rsidRPr="00C04ABD">
        <w:rPr>
          <w:rFonts w:ascii="Myriad Pro" w:hAnsi="Myriad Pro"/>
          <w:sz w:val="26"/>
          <w:szCs w:val="26"/>
        </w:rPr>
        <w:t>Колэнерго</w:t>
      </w:r>
      <w:r w:rsidR="00655FFA" w:rsidRPr="00C04ABD">
        <w:rPr>
          <w:rFonts w:ascii="Myriad Pro" w:hAnsi="Myriad Pro"/>
          <w:sz w:val="26"/>
          <w:szCs w:val="26"/>
        </w:rPr>
        <w:t>»</w:t>
      </w:r>
      <w:r w:rsidR="005A15D1" w:rsidRPr="00C04ABD">
        <w:rPr>
          <w:rFonts w:ascii="Myriad Pro" w:hAnsi="Myriad Pro"/>
          <w:sz w:val="26"/>
          <w:szCs w:val="26"/>
        </w:rPr>
        <w:t xml:space="preserve"> от 05.12.2017. Необходимо отметить, что </w:t>
      </w:r>
      <w:r w:rsidRPr="00C04ABD">
        <w:rPr>
          <w:rFonts w:ascii="Myriad Pro" w:hAnsi="Myriad Pro"/>
          <w:sz w:val="26"/>
          <w:szCs w:val="26"/>
        </w:rPr>
        <w:t>р</w:t>
      </w:r>
      <w:r w:rsidR="005A15D1" w:rsidRPr="00C04ABD">
        <w:rPr>
          <w:rFonts w:ascii="Myriad Pro" w:hAnsi="Myriad Pro"/>
          <w:sz w:val="26"/>
          <w:szCs w:val="26"/>
        </w:rPr>
        <w:t>азмер месячной премии, установленный для работников филиала</w:t>
      </w:r>
      <w:r w:rsidR="000D6259" w:rsidRPr="00C04ABD">
        <w:rPr>
          <w:rFonts w:ascii="Myriad Pro" w:hAnsi="Myriad Pro"/>
          <w:sz w:val="26"/>
          <w:szCs w:val="26"/>
        </w:rPr>
        <w:t>,</w:t>
      </w:r>
      <w:r w:rsidR="005A15D1" w:rsidRPr="00C04ABD">
        <w:rPr>
          <w:rFonts w:ascii="Myriad Pro" w:hAnsi="Myriad Pro"/>
          <w:sz w:val="26"/>
          <w:szCs w:val="26"/>
        </w:rPr>
        <w:t xml:space="preserve"> имеет меньшее значение</w:t>
      </w:r>
      <w:r w:rsidR="000F606B" w:rsidRPr="00C04ABD">
        <w:rPr>
          <w:rFonts w:ascii="Myriad Pro" w:hAnsi="Myriad Pro"/>
          <w:sz w:val="26"/>
          <w:szCs w:val="26"/>
        </w:rPr>
        <w:t>, чем указано в ОТС</w:t>
      </w:r>
      <w:r w:rsidR="005A15D1" w:rsidRPr="00C04ABD">
        <w:rPr>
          <w:rFonts w:ascii="Myriad Pro" w:hAnsi="Myriad Pro"/>
          <w:sz w:val="26"/>
          <w:szCs w:val="26"/>
        </w:rPr>
        <w:t xml:space="preserve"> и не одинаков по категориям работников и структурным </w:t>
      </w:r>
      <w:r w:rsidR="005A15D1" w:rsidRPr="00C04ABD">
        <w:rPr>
          <w:rFonts w:ascii="Myriad Pro" w:hAnsi="Myriad Pro"/>
          <w:sz w:val="26"/>
          <w:szCs w:val="26"/>
        </w:rPr>
        <w:lastRenderedPageBreak/>
        <w:t>подразделениям филиала. Базовый размер премии составляет до 28-58% для руководителей, специалистов</w:t>
      </w:r>
      <w:r w:rsidR="000F606B" w:rsidRPr="00C04ABD">
        <w:rPr>
          <w:rFonts w:ascii="Myriad Pro" w:hAnsi="Myriad Pro"/>
          <w:sz w:val="26"/>
          <w:szCs w:val="26"/>
        </w:rPr>
        <w:t>,</w:t>
      </w:r>
      <w:r w:rsidR="005A15D1" w:rsidRPr="00C04ABD">
        <w:rPr>
          <w:rFonts w:ascii="Myriad Pro" w:hAnsi="Myriad Pro"/>
          <w:sz w:val="26"/>
          <w:szCs w:val="26"/>
        </w:rPr>
        <w:t xml:space="preserve"> служащих производственных отделений филиала и 32-61% для рабочих производственных отделений филиала.</w:t>
      </w:r>
      <w:r w:rsidR="00E6015D" w:rsidRPr="00C04ABD">
        <w:rPr>
          <w:rFonts w:ascii="Myriad Pro" w:hAnsi="Myriad Pro"/>
          <w:sz w:val="26"/>
          <w:szCs w:val="26"/>
        </w:rPr>
        <w:t xml:space="preserve"> Таким образом, по мнению Исполнителя, корректно применить фактически сложившийся за 2017 год процент премирования в размере 45,5%.</w:t>
      </w:r>
    </w:p>
    <w:p w14:paraId="04B5A980" w14:textId="4A8F02F7" w:rsidR="00E6015D" w:rsidRPr="00C04ABD" w:rsidRDefault="00E6015D" w:rsidP="00A31747">
      <w:pPr>
        <w:tabs>
          <w:tab w:val="left" w:pos="1134"/>
        </w:tabs>
        <w:spacing w:after="0" w:line="360" w:lineRule="auto"/>
        <w:ind w:firstLine="567"/>
        <w:contextualSpacing/>
        <w:jc w:val="both"/>
        <w:rPr>
          <w:rFonts w:ascii="Myriad Pro" w:hAnsi="Myriad Pro"/>
          <w:sz w:val="26"/>
          <w:szCs w:val="26"/>
        </w:rPr>
      </w:pPr>
      <w:r w:rsidRPr="00C04ABD">
        <w:rPr>
          <w:rFonts w:ascii="Myriad Pro" w:hAnsi="Myriad Pro"/>
          <w:sz w:val="26"/>
          <w:szCs w:val="26"/>
        </w:rPr>
        <w:t xml:space="preserve">Вознаграждение за выслугу лет зависит от стажа проработанных лет работников, </w:t>
      </w:r>
      <w:r w:rsidR="000F606B" w:rsidRPr="00C04ABD">
        <w:rPr>
          <w:rFonts w:ascii="Myriad Pro" w:hAnsi="Myriad Pro"/>
          <w:sz w:val="26"/>
          <w:szCs w:val="26"/>
        </w:rPr>
        <w:t>следовательно,</w:t>
      </w:r>
      <w:r w:rsidRPr="00C04ABD">
        <w:rPr>
          <w:rFonts w:ascii="Myriad Pro" w:hAnsi="Myriad Pro"/>
          <w:sz w:val="26"/>
          <w:szCs w:val="26"/>
        </w:rPr>
        <w:t xml:space="preserve"> в 2019 году кардинально не измениться от фактических показателей 2017 года. </w:t>
      </w:r>
      <w:r w:rsidRPr="00DA0509">
        <w:rPr>
          <w:rFonts w:ascii="Myriad Pro" w:hAnsi="Myriad Pro"/>
          <w:sz w:val="26"/>
          <w:szCs w:val="26"/>
        </w:rPr>
        <w:t>Филиалом не предоставлен расчет и информация по работникам с указанием отработанного стажа, в связи</w:t>
      </w:r>
      <w:r w:rsidRPr="00C04ABD">
        <w:rPr>
          <w:rFonts w:ascii="Myriad Pro" w:hAnsi="Myriad Pro"/>
          <w:sz w:val="26"/>
          <w:szCs w:val="26"/>
        </w:rPr>
        <w:t xml:space="preserve"> с чем Исполнителем учтен фактически сложившийся за 2017 год процент в размере 10%.</w:t>
      </w:r>
    </w:p>
    <w:p w14:paraId="4A09AB31" w14:textId="105DE9F5" w:rsidR="0050020C" w:rsidRPr="00C04ABD" w:rsidRDefault="003B2407" w:rsidP="00A31747">
      <w:pPr>
        <w:pStyle w:val="a4"/>
        <w:tabs>
          <w:tab w:val="left" w:pos="1134"/>
        </w:tabs>
        <w:spacing w:after="0" w:line="360" w:lineRule="auto"/>
        <w:ind w:left="0" w:firstLine="567"/>
        <w:jc w:val="both"/>
        <w:rPr>
          <w:rFonts w:ascii="Myriad Pro" w:hAnsi="Myriad Pro"/>
          <w:sz w:val="26"/>
          <w:szCs w:val="26"/>
        </w:rPr>
      </w:pPr>
      <w:r w:rsidRPr="00C04ABD">
        <w:rPr>
          <w:rFonts w:ascii="Myriad Pro" w:eastAsiaTheme="minorHAnsi" w:hAnsi="Myriad Pro" w:cstheme="minorBidi"/>
          <w:sz w:val="26"/>
          <w:szCs w:val="26"/>
        </w:rPr>
        <w:t>В соответствии с пунктом 8.4.2.4 Отраслевого тарифного</w:t>
      </w:r>
      <w:r w:rsidRPr="00C04ABD">
        <w:rPr>
          <w:rFonts w:ascii="Myriad Pro" w:hAnsi="Myriad Pro"/>
          <w:sz w:val="26"/>
          <w:szCs w:val="26"/>
        </w:rPr>
        <w:t xml:space="preserve"> соглашения и пунктом 8.4.2.4 Коллективного договора ПАО </w:t>
      </w:r>
      <w:r w:rsidR="00655FFA" w:rsidRPr="00C04ABD">
        <w:rPr>
          <w:rFonts w:ascii="Myriad Pro" w:hAnsi="Myriad Pro"/>
          <w:sz w:val="26"/>
          <w:szCs w:val="26"/>
        </w:rPr>
        <w:t>«</w:t>
      </w:r>
      <w:r w:rsidRPr="00C04ABD">
        <w:rPr>
          <w:rFonts w:ascii="Myriad Pro" w:hAnsi="Myriad Pro"/>
          <w:sz w:val="26"/>
          <w:szCs w:val="26"/>
        </w:rPr>
        <w:t>МРСК Северо-Запада</w:t>
      </w:r>
      <w:r w:rsidR="00655FFA" w:rsidRPr="00C04ABD">
        <w:rPr>
          <w:rFonts w:ascii="Myriad Pro" w:hAnsi="Myriad Pro"/>
          <w:sz w:val="26"/>
          <w:szCs w:val="26"/>
        </w:rPr>
        <w:t>»</w:t>
      </w:r>
      <w:r w:rsidRPr="00C04ABD">
        <w:rPr>
          <w:rFonts w:ascii="Myriad Pro" w:hAnsi="Myriad Pro"/>
          <w:sz w:val="26"/>
          <w:szCs w:val="26"/>
        </w:rPr>
        <w:t xml:space="preserve"> расходы на оплату труда </w:t>
      </w:r>
      <w:r w:rsidRPr="00C04ABD">
        <w:rPr>
          <w:rFonts w:ascii="Myriad Pro" w:eastAsiaTheme="minorHAnsi" w:hAnsi="Myriad Pro" w:cstheme="minorBidi"/>
          <w:sz w:val="26"/>
          <w:szCs w:val="26"/>
        </w:rPr>
        <w:t xml:space="preserve">состоят в том числе из </w:t>
      </w:r>
      <w:r w:rsidR="0050020C" w:rsidRPr="00C04ABD">
        <w:rPr>
          <w:rFonts w:ascii="Myriad Pro" w:eastAsiaTheme="minorHAnsi" w:hAnsi="Myriad Pro" w:cstheme="minorBidi"/>
          <w:sz w:val="26"/>
          <w:szCs w:val="26"/>
        </w:rPr>
        <w:t>вознаграждения по итогам работы за год – в размере 33 процентов тарифной составляющей расходов (средств), направляемых на оплату труда.</w:t>
      </w:r>
    </w:p>
    <w:p w14:paraId="14246A65" w14:textId="5E310313" w:rsidR="003B2407" w:rsidRPr="00C04ABD" w:rsidRDefault="003A485B" w:rsidP="00A31747">
      <w:pPr>
        <w:pStyle w:val="a4"/>
        <w:tabs>
          <w:tab w:val="left" w:pos="1134"/>
        </w:tabs>
        <w:spacing w:after="0" w:line="360" w:lineRule="auto"/>
        <w:ind w:left="0" w:firstLine="567"/>
        <w:jc w:val="both"/>
        <w:rPr>
          <w:rFonts w:ascii="Myriad Pro" w:hAnsi="Myriad Pro"/>
          <w:sz w:val="26"/>
          <w:szCs w:val="26"/>
        </w:rPr>
      </w:pPr>
      <w:r w:rsidRPr="00C04ABD">
        <w:rPr>
          <w:rFonts w:ascii="Myriad Pro" w:eastAsiaTheme="minorHAnsi" w:hAnsi="Myriad Pro" w:cstheme="minorBidi"/>
          <w:sz w:val="26"/>
          <w:szCs w:val="26"/>
        </w:rPr>
        <w:t>Исполнителем произведен расчет</w:t>
      </w:r>
      <w:r w:rsidRPr="00C04ABD">
        <w:rPr>
          <w:rFonts w:ascii="Myriad Pro" w:hAnsi="Myriad Pro" w:cs="Myriad Pro"/>
          <w:sz w:val="26"/>
          <w:szCs w:val="26"/>
        </w:rPr>
        <w:t xml:space="preserve"> фонда оплаты труда по выплатам по итогам года </w:t>
      </w:r>
      <w:r w:rsidR="000D6259" w:rsidRPr="00C04ABD">
        <w:rPr>
          <w:rFonts w:ascii="Myriad Pro" w:hAnsi="Myriad Pro" w:cs="Myriad Pro"/>
          <w:sz w:val="26"/>
          <w:szCs w:val="26"/>
        </w:rPr>
        <w:t>в размере 1</w:t>
      </w:r>
      <w:r w:rsidR="000239A9" w:rsidRPr="00C04ABD">
        <w:rPr>
          <w:rFonts w:ascii="Myriad Pro" w:hAnsi="Myriad Pro" w:cs="Myriad Pro"/>
          <w:sz w:val="26"/>
          <w:szCs w:val="26"/>
        </w:rPr>
        <w:t>1,7</w:t>
      </w:r>
      <w:r w:rsidR="000D6259" w:rsidRPr="00C04ABD">
        <w:rPr>
          <w:rFonts w:ascii="Myriad Pro" w:hAnsi="Myriad Pro" w:cs="Myriad Pro"/>
          <w:sz w:val="26"/>
          <w:szCs w:val="26"/>
        </w:rPr>
        <w:t xml:space="preserve">% </w:t>
      </w:r>
      <w:r w:rsidR="000D6259" w:rsidRPr="00C04ABD">
        <w:rPr>
          <w:rFonts w:ascii="Myriad Pro" w:eastAsiaTheme="minorHAnsi" w:hAnsi="Myriad Pro" w:cstheme="minorBidi"/>
          <w:sz w:val="26"/>
          <w:szCs w:val="26"/>
        </w:rPr>
        <w:t>тарифной составляющей расходов (средств), направляемых на оплату труда</w:t>
      </w:r>
      <w:r w:rsidR="000D6259" w:rsidRPr="00C04ABD">
        <w:rPr>
          <w:rFonts w:ascii="Myriad Pro" w:hAnsi="Myriad Pro" w:cs="Myriad Pro"/>
          <w:sz w:val="26"/>
          <w:szCs w:val="26"/>
        </w:rPr>
        <w:t xml:space="preserve">. Рассчитанная Исполнителем среднемесячная зарплата работников </w:t>
      </w:r>
      <w:r w:rsidR="000D6259" w:rsidRPr="00C04ABD">
        <w:rPr>
          <w:rFonts w:ascii="Myriad Pro" w:hAnsi="Myriad Pro"/>
          <w:sz w:val="26"/>
          <w:szCs w:val="26"/>
        </w:rPr>
        <w:t xml:space="preserve">филиала ПАО </w:t>
      </w:r>
      <w:r w:rsidR="00655FFA" w:rsidRPr="00C04ABD">
        <w:rPr>
          <w:rFonts w:ascii="Myriad Pro" w:hAnsi="Myriad Pro"/>
          <w:sz w:val="26"/>
          <w:szCs w:val="26"/>
        </w:rPr>
        <w:t>«</w:t>
      </w:r>
      <w:r w:rsidR="000D6259" w:rsidRPr="00C04ABD">
        <w:rPr>
          <w:rFonts w:ascii="Myriad Pro" w:hAnsi="Myriad Pro"/>
          <w:sz w:val="26"/>
          <w:szCs w:val="26"/>
        </w:rPr>
        <w:t>МРСК Северо-Запада</w:t>
      </w:r>
      <w:r w:rsidR="00655FFA" w:rsidRPr="00C04ABD">
        <w:rPr>
          <w:rFonts w:ascii="Myriad Pro" w:hAnsi="Myriad Pro"/>
          <w:sz w:val="26"/>
          <w:szCs w:val="26"/>
        </w:rPr>
        <w:t>»</w:t>
      </w:r>
      <w:r w:rsidR="000D6259" w:rsidRPr="00C04ABD">
        <w:rPr>
          <w:rFonts w:ascii="Myriad Pro" w:hAnsi="Myriad Pro"/>
          <w:sz w:val="26"/>
          <w:szCs w:val="26"/>
        </w:rPr>
        <w:t xml:space="preserve"> </w:t>
      </w:r>
      <w:r w:rsidR="00655FFA" w:rsidRPr="00C04ABD">
        <w:rPr>
          <w:rFonts w:ascii="Myriad Pro" w:hAnsi="Myriad Pro"/>
          <w:sz w:val="26"/>
          <w:szCs w:val="26"/>
        </w:rPr>
        <w:t>«</w:t>
      </w:r>
      <w:r w:rsidR="000D6259" w:rsidRPr="00C04ABD">
        <w:rPr>
          <w:rFonts w:ascii="Myriad Pro" w:hAnsi="Myriad Pro"/>
          <w:sz w:val="26"/>
          <w:szCs w:val="26"/>
        </w:rPr>
        <w:t>Колэнерго</w:t>
      </w:r>
      <w:r w:rsidR="00655FFA" w:rsidRPr="00C04ABD">
        <w:rPr>
          <w:rFonts w:ascii="Myriad Pro" w:hAnsi="Myriad Pro"/>
          <w:sz w:val="26"/>
          <w:szCs w:val="26"/>
        </w:rPr>
        <w:t>»</w:t>
      </w:r>
      <w:r w:rsidR="000D6259" w:rsidRPr="00C04ABD">
        <w:rPr>
          <w:rFonts w:ascii="Myriad Pro" w:hAnsi="Myriad Pro" w:cs="Myriad Pro"/>
          <w:sz w:val="26"/>
          <w:szCs w:val="26"/>
        </w:rPr>
        <w:t xml:space="preserve"> соответствует</w:t>
      </w:r>
      <w:r w:rsidRPr="00C04ABD">
        <w:rPr>
          <w:rFonts w:ascii="Myriad Pro" w:hAnsi="Myriad Pro"/>
          <w:sz w:val="26"/>
          <w:szCs w:val="26"/>
        </w:rPr>
        <w:t xml:space="preserve"> среднемесячной заработной плат</w:t>
      </w:r>
      <w:r w:rsidR="000D6259" w:rsidRPr="00C04ABD">
        <w:rPr>
          <w:rFonts w:ascii="Myriad Pro" w:hAnsi="Myriad Pro"/>
          <w:sz w:val="26"/>
          <w:szCs w:val="26"/>
        </w:rPr>
        <w:t>е</w:t>
      </w:r>
      <w:r w:rsidRPr="00C04ABD">
        <w:rPr>
          <w:rFonts w:ascii="Myriad Pro" w:hAnsi="Myriad Pro"/>
          <w:sz w:val="26"/>
          <w:szCs w:val="26"/>
        </w:rPr>
        <w:t xml:space="preserve"> работников аналогичной отрасли по</w:t>
      </w:r>
      <w:r w:rsidR="000D6259" w:rsidRPr="00C04ABD">
        <w:rPr>
          <w:rFonts w:ascii="Myriad Pro" w:hAnsi="Myriad Pro"/>
          <w:sz w:val="26"/>
          <w:szCs w:val="26"/>
        </w:rPr>
        <w:t xml:space="preserve"> субъекту Российской Федерации -</w:t>
      </w:r>
      <w:r w:rsidRPr="00C04ABD">
        <w:rPr>
          <w:rFonts w:ascii="Myriad Pro" w:hAnsi="Myriad Pro"/>
          <w:sz w:val="26"/>
          <w:szCs w:val="26"/>
        </w:rPr>
        <w:t xml:space="preserve"> Мурманской области.</w:t>
      </w:r>
      <w:r w:rsidR="000F606B" w:rsidRPr="00C04ABD">
        <w:rPr>
          <w:rFonts w:ascii="Myriad Pro" w:hAnsi="Myriad Pro"/>
          <w:sz w:val="26"/>
          <w:szCs w:val="26"/>
        </w:rPr>
        <w:t xml:space="preserve"> </w:t>
      </w:r>
    </w:p>
    <w:p w14:paraId="4F08D8A4" w14:textId="77777777" w:rsidR="008B40DF" w:rsidRPr="00C04ABD" w:rsidRDefault="008B40DF" w:rsidP="00A31747">
      <w:pPr>
        <w:pStyle w:val="a4"/>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По расчету Исполнителя расходы на оплату труда составят:</w:t>
      </w:r>
    </w:p>
    <w:p w14:paraId="48836D7E" w14:textId="706EA467" w:rsidR="008B40DF" w:rsidRPr="00C04ABD" w:rsidRDefault="008B40DF" w:rsidP="002F115E">
      <w:pPr>
        <w:pStyle w:val="a4"/>
        <w:numPr>
          <w:ilvl w:val="0"/>
          <w:numId w:val="45"/>
        </w:numPr>
        <w:tabs>
          <w:tab w:val="left" w:pos="1134"/>
        </w:tabs>
        <w:spacing w:after="0" w:line="360" w:lineRule="auto"/>
        <w:ind w:left="0" w:firstLine="567"/>
        <w:contextualSpacing w:val="0"/>
        <w:jc w:val="both"/>
        <w:rPr>
          <w:rFonts w:ascii="Myriad Pro" w:hAnsi="Myriad Pro"/>
          <w:sz w:val="26"/>
          <w:szCs w:val="26"/>
        </w:rPr>
      </w:pPr>
      <w:r w:rsidRPr="00C04ABD">
        <w:rPr>
          <w:rFonts w:ascii="Myriad Pro" w:hAnsi="Myriad Pro"/>
          <w:sz w:val="26"/>
          <w:szCs w:val="26"/>
        </w:rPr>
        <w:t>экономически обоснованный уровень –</w:t>
      </w:r>
      <w:r w:rsidR="00A40421" w:rsidRPr="00C04ABD">
        <w:rPr>
          <w:rFonts w:ascii="Myriad Pro" w:hAnsi="Myriad Pro"/>
          <w:sz w:val="26"/>
          <w:szCs w:val="26"/>
        </w:rPr>
        <w:t xml:space="preserve"> </w:t>
      </w:r>
      <w:r w:rsidR="0050761E" w:rsidRPr="00C04ABD">
        <w:rPr>
          <w:rFonts w:ascii="Myriad Pro" w:hAnsi="Myriad Pro"/>
          <w:sz w:val="26"/>
          <w:szCs w:val="26"/>
        </w:rPr>
        <w:t xml:space="preserve">1 054 083,93 </w:t>
      </w:r>
      <w:r w:rsidR="00647C20" w:rsidRPr="00C04ABD">
        <w:rPr>
          <w:rFonts w:ascii="Myriad Pro" w:hAnsi="Myriad Pro"/>
          <w:sz w:val="26"/>
          <w:szCs w:val="26"/>
        </w:rPr>
        <w:t>тыс. руб.</w:t>
      </w:r>
      <w:r w:rsidR="00A40421" w:rsidRPr="00C04ABD">
        <w:rPr>
          <w:rFonts w:ascii="Myriad Pro" w:hAnsi="Myriad Pro"/>
          <w:sz w:val="26"/>
          <w:szCs w:val="26"/>
        </w:rPr>
        <w:t xml:space="preserve"> (ЭОУ), что </w:t>
      </w:r>
      <w:r w:rsidR="000D6259" w:rsidRPr="00C04ABD">
        <w:rPr>
          <w:rFonts w:ascii="Myriad Pro" w:hAnsi="Myriad Pro"/>
          <w:sz w:val="26"/>
          <w:szCs w:val="26"/>
        </w:rPr>
        <w:t>выш</w:t>
      </w:r>
      <w:r w:rsidR="00A40421" w:rsidRPr="00C04ABD">
        <w:rPr>
          <w:rFonts w:ascii="Myriad Pro" w:hAnsi="Myriad Pro"/>
          <w:sz w:val="26"/>
          <w:szCs w:val="26"/>
        </w:rPr>
        <w:t xml:space="preserve">е на </w:t>
      </w:r>
      <w:r w:rsidR="0050761E" w:rsidRPr="00C04ABD">
        <w:rPr>
          <w:rFonts w:ascii="Myriad Pro" w:eastAsiaTheme="minorHAnsi" w:hAnsi="Myriad Pro" w:cstheme="minorBidi"/>
          <w:sz w:val="26"/>
          <w:szCs w:val="26"/>
        </w:rPr>
        <w:t xml:space="preserve">22 972,73 </w:t>
      </w:r>
      <w:r w:rsidR="0023316A" w:rsidRPr="00C04ABD">
        <w:rPr>
          <w:rFonts w:ascii="Myriad Pro" w:hAnsi="Myriad Pro"/>
          <w:sz w:val="26"/>
          <w:szCs w:val="26"/>
        </w:rPr>
        <w:t>тыс. руб. рассчи</w:t>
      </w:r>
      <w:r w:rsidR="00A40421" w:rsidRPr="00C04ABD">
        <w:rPr>
          <w:rFonts w:ascii="Myriad Pro" w:hAnsi="Myriad Pro"/>
          <w:sz w:val="26"/>
          <w:szCs w:val="26"/>
        </w:rPr>
        <w:t xml:space="preserve">танного Комитетом и на </w:t>
      </w:r>
      <w:r w:rsidR="0050761E" w:rsidRPr="00C04ABD">
        <w:rPr>
          <w:rFonts w:ascii="Myriad Pro" w:eastAsiaTheme="minorHAnsi" w:hAnsi="Myriad Pro" w:cstheme="minorBidi"/>
          <w:sz w:val="26"/>
          <w:szCs w:val="26"/>
        </w:rPr>
        <w:t xml:space="preserve">211 402,11 тыс. руб. </w:t>
      </w:r>
      <w:r w:rsidR="0023316A" w:rsidRPr="00C04ABD">
        <w:rPr>
          <w:rFonts w:ascii="Myriad Pro" w:hAnsi="Myriad Pro"/>
          <w:sz w:val="26"/>
          <w:szCs w:val="26"/>
        </w:rPr>
        <w:t>ниже заявленного Филиалом.</w:t>
      </w:r>
    </w:p>
    <w:tbl>
      <w:tblPr>
        <w:tblStyle w:val="afff6"/>
        <w:tblW w:w="5000" w:type="pct"/>
        <w:tblLayout w:type="fixed"/>
        <w:tblLook w:val="04A0" w:firstRow="1" w:lastRow="0" w:firstColumn="1" w:lastColumn="0" w:noHBand="0" w:noVBand="1"/>
      </w:tblPr>
      <w:tblGrid>
        <w:gridCol w:w="4352"/>
        <w:gridCol w:w="949"/>
        <w:gridCol w:w="1082"/>
        <w:gridCol w:w="1215"/>
        <w:gridCol w:w="1746"/>
      </w:tblGrid>
      <w:tr w:rsidR="00B860F1" w:rsidRPr="00FB0A3A" w14:paraId="11668AD8" w14:textId="77777777" w:rsidTr="002F115E">
        <w:trPr>
          <w:cnfStyle w:val="100000000000" w:firstRow="1" w:lastRow="0" w:firstColumn="0" w:lastColumn="0" w:oddVBand="0" w:evenVBand="0" w:oddHBand="0" w:evenHBand="0" w:firstRowFirstColumn="0" w:firstRowLastColumn="0" w:lastRowFirstColumn="0" w:lastRowLastColumn="0"/>
          <w:trHeight w:val="126"/>
        </w:trPr>
        <w:tc>
          <w:tcPr>
            <w:cnfStyle w:val="001000000000" w:firstRow="0" w:lastRow="0" w:firstColumn="1" w:lastColumn="0" w:oddVBand="0" w:evenVBand="0" w:oddHBand="0" w:evenHBand="0" w:firstRowFirstColumn="0" w:firstRowLastColumn="0" w:lastRowFirstColumn="0" w:lastRowLastColumn="0"/>
            <w:tcW w:w="453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4D1D0CD8" w14:textId="77777777" w:rsidR="006B4594" w:rsidRPr="00FB0A3A" w:rsidRDefault="006B4594" w:rsidP="00B860F1">
            <w:pPr>
              <w:tabs>
                <w:tab w:val="left" w:pos="1134"/>
              </w:tabs>
              <w:jc w:val="center"/>
              <w:rPr>
                <w:rFonts w:eastAsia="Calibri" w:cs="Times New Roman"/>
                <w:sz w:val="16"/>
                <w:szCs w:val="16"/>
              </w:rPr>
            </w:pPr>
            <w:r w:rsidRPr="00FB0A3A">
              <w:rPr>
                <w:rFonts w:eastAsia="Calibri" w:cs="Times New Roman"/>
                <w:sz w:val="16"/>
                <w:szCs w:val="16"/>
              </w:rPr>
              <w:t>Наименование показателя</w:t>
            </w:r>
          </w:p>
        </w:tc>
        <w:tc>
          <w:tcPr>
            <w:tcW w:w="98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6E8294FB" w14:textId="77777777" w:rsidR="006B4594" w:rsidRPr="00FB0A3A" w:rsidRDefault="006B4594" w:rsidP="00B860F1">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Ед. изм.</w:t>
            </w:r>
          </w:p>
        </w:tc>
        <w:tc>
          <w:tcPr>
            <w:tcW w:w="11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29A4B36" w14:textId="77777777" w:rsidR="006B4594" w:rsidRPr="00FB0A3A" w:rsidRDefault="006B4594" w:rsidP="00B860F1">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2017</w:t>
            </w:r>
          </w:p>
        </w:tc>
        <w:tc>
          <w:tcPr>
            <w:tcW w:w="306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4440AFF" w14:textId="77777777" w:rsidR="006B4594" w:rsidRPr="00FB0A3A" w:rsidRDefault="006B4594" w:rsidP="00B860F1">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 w:val="16"/>
                <w:szCs w:val="16"/>
              </w:rPr>
            </w:pPr>
            <w:r w:rsidRPr="00FB0A3A">
              <w:rPr>
                <w:rFonts w:eastAsia="Calibri" w:cs="Times New Roman"/>
                <w:sz w:val="16"/>
                <w:szCs w:val="16"/>
              </w:rPr>
              <w:t>2019</w:t>
            </w:r>
          </w:p>
        </w:tc>
      </w:tr>
      <w:tr w:rsidR="00B860F1" w:rsidRPr="00FB0A3A" w14:paraId="59A4EE7E" w14:textId="77777777" w:rsidTr="002F115E">
        <w:tc>
          <w:tcPr>
            <w:cnfStyle w:val="001000000000" w:firstRow="0" w:lastRow="0" w:firstColumn="1" w:lastColumn="0" w:oddVBand="0" w:evenVBand="0" w:oddHBand="0" w:evenHBand="0" w:firstRowFirstColumn="0" w:firstRowLastColumn="0" w:lastRowFirstColumn="0" w:lastRowLastColumn="0"/>
            <w:tcW w:w="453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5E92868" w14:textId="77777777" w:rsidR="006B4594" w:rsidRPr="00FB0A3A" w:rsidRDefault="006B4594" w:rsidP="00B860F1">
            <w:pPr>
              <w:tabs>
                <w:tab w:val="left" w:pos="1134"/>
              </w:tabs>
              <w:rPr>
                <w:rFonts w:eastAsia="Calibri" w:cs="Times New Roman"/>
                <w:sz w:val="16"/>
                <w:szCs w:val="16"/>
              </w:rPr>
            </w:pPr>
          </w:p>
        </w:tc>
        <w:tc>
          <w:tcPr>
            <w:tcW w:w="98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CBFF080" w14:textId="77777777" w:rsidR="006B4594" w:rsidRPr="00FB0A3A" w:rsidRDefault="006B4594"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p>
        </w:tc>
        <w:tc>
          <w:tcPr>
            <w:tcW w:w="11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6A7A4CB8" w14:textId="630086EF" w:rsidR="006B4594" w:rsidRPr="00FB0A3A" w:rsidRDefault="00B860F1"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color w:val="FFFFFF" w:themeColor="background1"/>
                <w:sz w:val="16"/>
                <w:szCs w:val="16"/>
              </w:rPr>
            </w:pPr>
            <w:r w:rsidRPr="00FB0A3A">
              <w:rPr>
                <w:rFonts w:eastAsia="Calibri" w:cs="Times New Roman"/>
                <w:color w:val="FFFFFF" w:themeColor="background1"/>
                <w:sz w:val="16"/>
                <w:szCs w:val="16"/>
              </w:rPr>
              <w:t>Ф</w:t>
            </w:r>
            <w:r w:rsidR="006B4594" w:rsidRPr="00FB0A3A">
              <w:rPr>
                <w:rFonts w:eastAsia="Calibri" w:cs="Times New Roman"/>
                <w:color w:val="FFFFFF" w:themeColor="background1"/>
                <w:sz w:val="16"/>
                <w:szCs w:val="16"/>
              </w:rPr>
              <w:t>акт</w:t>
            </w:r>
          </w:p>
        </w:tc>
        <w:tc>
          <w:tcPr>
            <w:tcW w:w="12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70DE102C" w14:textId="6FE06D22" w:rsidR="006B4594" w:rsidRPr="00FB0A3A" w:rsidRDefault="00B860F1"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color w:val="FFFFFF" w:themeColor="background1"/>
                <w:sz w:val="16"/>
                <w:szCs w:val="16"/>
              </w:rPr>
            </w:pPr>
            <w:r w:rsidRPr="00FB0A3A">
              <w:rPr>
                <w:rFonts w:eastAsia="Calibri" w:cs="Times New Roman"/>
                <w:color w:val="FFFFFF" w:themeColor="background1"/>
                <w:sz w:val="16"/>
                <w:szCs w:val="16"/>
              </w:rPr>
              <w:t>П</w:t>
            </w:r>
            <w:r w:rsidR="006B4594" w:rsidRPr="00FB0A3A">
              <w:rPr>
                <w:rFonts w:eastAsia="Calibri" w:cs="Times New Roman"/>
                <w:color w:val="FFFFFF" w:themeColor="background1"/>
                <w:sz w:val="16"/>
                <w:szCs w:val="16"/>
              </w:rPr>
              <w:t>редложение Филиала</w:t>
            </w:r>
          </w:p>
        </w:tc>
        <w:tc>
          <w:tcPr>
            <w:tcW w:w="18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21F6651" w14:textId="68517DE8" w:rsidR="006B4594" w:rsidRPr="00FB0A3A" w:rsidRDefault="00B860F1"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color w:val="FFFFFF" w:themeColor="background1"/>
                <w:sz w:val="16"/>
                <w:szCs w:val="16"/>
              </w:rPr>
            </w:pPr>
            <w:r w:rsidRPr="00FB0A3A">
              <w:rPr>
                <w:rFonts w:eastAsia="Calibri" w:cs="Times New Roman"/>
                <w:color w:val="FFFFFF" w:themeColor="background1"/>
                <w:sz w:val="16"/>
                <w:szCs w:val="16"/>
              </w:rPr>
              <w:t>П</w:t>
            </w:r>
            <w:r w:rsidR="006B4594" w:rsidRPr="00FB0A3A">
              <w:rPr>
                <w:rFonts w:eastAsia="Calibri" w:cs="Times New Roman"/>
                <w:color w:val="FFFFFF" w:themeColor="background1"/>
                <w:sz w:val="16"/>
                <w:szCs w:val="16"/>
              </w:rPr>
              <w:t xml:space="preserve">редложение Исполнителя </w:t>
            </w:r>
          </w:p>
        </w:tc>
      </w:tr>
      <w:tr w:rsidR="00B860F1" w:rsidRPr="00FB0A3A" w14:paraId="714C2692" w14:textId="77777777" w:rsidTr="002F115E">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FFFFFF" w:themeColor="background1"/>
            </w:tcBorders>
            <w:hideMark/>
          </w:tcPr>
          <w:p w14:paraId="275E330A" w14:textId="77777777" w:rsidR="006B4594" w:rsidRPr="00FB0A3A" w:rsidRDefault="006B4594" w:rsidP="00B860F1">
            <w:pPr>
              <w:tabs>
                <w:tab w:val="left" w:pos="1134"/>
              </w:tabs>
              <w:rPr>
                <w:rFonts w:eastAsia="Calibri" w:cs="Times New Roman"/>
                <w:szCs w:val="18"/>
              </w:rPr>
            </w:pPr>
            <w:r w:rsidRPr="00FB0A3A">
              <w:rPr>
                <w:rFonts w:eastAsia="Calibri" w:cs="Times New Roman"/>
                <w:szCs w:val="18"/>
              </w:rPr>
              <w:t>Численность</w:t>
            </w:r>
          </w:p>
        </w:tc>
        <w:tc>
          <w:tcPr>
            <w:tcW w:w="980" w:type="dxa"/>
            <w:tcBorders>
              <w:top w:val="single" w:sz="4" w:space="0" w:color="FFFFFF" w:themeColor="background1"/>
            </w:tcBorders>
            <w:noWrap/>
            <w:hideMark/>
          </w:tcPr>
          <w:p w14:paraId="63D8C33F" w14:textId="77777777" w:rsidR="006B4594" w:rsidRPr="00FB0A3A" w:rsidRDefault="006B4594"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 </w:t>
            </w:r>
          </w:p>
        </w:tc>
        <w:tc>
          <w:tcPr>
            <w:tcW w:w="1119" w:type="dxa"/>
            <w:tcBorders>
              <w:top w:val="single" w:sz="4" w:space="0" w:color="FFFFFF" w:themeColor="background1"/>
            </w:tcBorders>
            <w:noWrap/>
            <w:hideMark/>
          </w:tcPr>
          <w:p w14:paraId="0DC74612" w14:textId="77777777" w:rsidR="006B4594" w:rsidRPr="00FB0A3A" w:rsidRDefault="006B4594"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 </w:t>
            </w:r>
          </w:p>
        </w:tc>
        <w:tc>
          <w:tcPr>
            <w:tcW w:w="1257" w:type="dxa"/>
            <w:tcBorders>
              <w:top w:val="single" w:sz="4" w:space="0" w:color="FFFFFF" w:themeColor="background1"/>
            </w:tcBorders>
            <w:noWrap/>
            <w:hideMark/>
          </w:tcPr>
          <w:p w14:paraId="30D7CF85" w14:textId="77777777" w:rsidR="006B4594" w:rsidRPr="00FB0A3A" w:rsidRDefault="006B4594"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 </w:t>
            </w:r>
          </w:p>
        </w:tc>
        <w:tc>
          <w:tcPr>
            <w:tcW w:w="1811" w:type="dxa"/>
            <w:tcBorders>
              <w:top w:val="single" w:sz="4" w:space="0" w:color="FFFFFF" w:themeColor="background1"/>
            </w:tcBorders>
            <w:noWrap/>
            <w:hideMark/>
          </w:tcPr>
          <w:p w14:paraId="6240F6E2" w14:textId="77777777" w:rsidR="006B4594" w:rsidRPr="00FB0A3A" w:rsidRDefault="006B4594"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 </w:t>
            </w:r>
          </w:p>
        </w:tc>
      </w:tr>
      <w:tr w:rsidR="00B860F1" w:rsidRPr="00FB0A3A" w14:paraId="3C489F12" w14:textId="77777777" w:rsidTr="002F115E">
        <w:tc>
          <w:tcPr>
            <w:cnfStyle w:val="001000000000" w:firstRow="0" w:lastRow="0" w:firstColumn="1" w:lastColumn="0" w:oddVBand="0" w:evenVBand="0" w:oddHBand="0" w:evenHBand="0" w:firstRowFirstColumn="0" w:firstRowLastColumn="0" w:lastRowFirstColumn="0" w:lastRowLastColumn="0"/>
            <w:tcW w:w="4531" w:type="dxa"/>
            <w:hideMark/>
          </w:tcPr>
          <w:p w14:paraId="1170B384" w14:textId="77777777" w:rsidR="006B4594" w:rsidRPr="00FB0A3A" w:rsidRDefault="006B4594" w:rsidP="00B860F1">
            <w:pPr>
              <w:tabs>
                <w:tab w:val="left" w:pos="1134"/>
              </w:tabs>
              <w:rPr>
                <w:rFonts w:eastAsia="Calibri" w:cs="Times New Roman"/>
                <w:szCs w:val="18"/>
              </w:rPr>
            </w:pPr>
            <w:r w:rsidRPr="00FB0A3A">
              <w:rPr>
                <w:rFonts w:eastAsia="Calibri" w:cs="Times New Roman"/>
                <w:szCs w:val="18"/>
              </w:rPr>
              <w:t>Численность ППП</w:t>
            </w:r>
          </w:p>
        </w:tc>
        <w:tc>
          <w:tcPr>
            <w:tcW w:w="980" w:type="dxa"/>
            <w:noWrap/>
            <w:hideMark/>
          </w:tcPr>
          <w:p w14:paraId="2BA387D3" w14:textId="77777777" w:rsidR="006B4594" w:rsidRPr="00FB0A3A" w:rsidRDefault="006B4594"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чел.</w:t>
            </w:r>
          </w:p>
        </w:tc>
        <w:tc>
          <w:tcPr>
            <w:tcW w:w="1119" w:type="dxa"/>
            <w:noWrap/>
            <w:hideMark/>
          </w:tcPr>
          <w:p w14:paraId="3B9E7E52" w14:textId="77777777" w:rsidR="006B4594" w:rsidRPr="00FB0A3A" w:rsidRDefault="006B4594"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1 140,9</w:t>
            </w:r>
          </w:p>
        </w:tc>
        <w:tc>
          <w:tcPr>
            <w:tcW w:w="1257" w:type="dxa"/>
            <w:noWrap/>
            <w:hideMark/>
          </w:tcPr>
          <w:p w14:paraId="4A60F35E" w14:textId="77777777" w:rsidR="006B4594" w:rsidRPr="00FB0A3A" w:rsidRDefault="006B4594"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1 182,90</w:t>
            </w:r>
          </w:p>
        </w:tc>
        <w:tc>
          <w:tcPr>
            <w:tcW w:w="1811" w:type="dxa"/>
            <w:noWrap/>
            <w:hideMark/>
          </w:tcPr>
          <w:p w14:paraId="0465465A" w14:textId="77777777" w:rsidR="006B4594" w:rsidRPr="00FB0A3A" w:rsidRDefault="006B4594"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1 183,00</w:t>
            </w:r>
          </w:p>
        </w:tc>
      </w:tr>
      <w:tr w:rsidR="00B860F1" w:rsidRPr="00FB0A3A" w14:paraId="11433C66" w14:textId="77777777" w:rsidTr="002F115E">
        <w:tc>
          <w:tcPr>
            <w:cnfStyle w:val="001000000000" w:firstRow="0" w:lastRow="0" w:firstColumn="1" w:lastColumn="0" w:oddVBand="0" w:evenVBand="0" w:oddHBand="0" w:evenHBand="0" w:firstRowFirstColumn="0" w:firstRowLastColumn="0" w:lastRowFirstColumn="0" w:lastRowLastColumn="0"/>
            <w:tcW w:w="4531" w:type="dxa"/>
            <w:hideMark/>
          </w:tcPr>
          <w:p w14:paraId="490B4E1B" w14:textId="77777777" w:rsidR="006B4594" w:rsidRPr="00FB0A3A" w:rsidRDefault="006B4594" w:rsidP="00B860F1">
            <w:pPr>
              <w:tabs>
                <w:tab w:val="left" w:pos="1134"/>
              </w:tabs>
              <w:rPr>
                <w:rFonts w:eastAsia="Calibri" w:cs="Times New Roman"/>
                <w:szCs w:val="18"/>
              </w:rPr>
            </w:pPr>
            <w:r w:rsidRPr="00FB0A3A">
              <w:rPr>
                <w:rFonts w:eastAsia="Calibri" w:cs="Times New Roman"/>
                <w:szCs w:val="18"/>
              </w:rPr>
              <w:t>Средняя оплата труда</w:t>
            </w:r>
          </w:p>
        </w:tc>
        <w:tc>
          <w:tcPr>
            <w:tcW w:w="980" w:type="dxa"/>
            <w:noWrap/>
            <w:hideMark/>
          </w:tcPr>
          <w:p w14:paraId="51C0301C" w14:textId="77777777" w:rsidR="006B4594" w:rsidRPr="00FB0A3A" w:rsidRDefault="006B4594"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 </w:t>
            </w:r>
          </w:p>
        </w:tc>
        <w:tc>
          <w:tcPr>
            <w:tcW w:w="1119" w:type="dxa"/>
            <w:noWrap/>
            <w:hideMark/>
          </w:tcPr>
          <w:p w14:paraId="550274E4" w14:textId="77777777" w:rsidR="006B4594" w:rsidRPr="00FB0A3A" w:rsidRDefault="006B4594"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 </w:t>
            </w:r>
          </w:p>
        </w:tc>
        <w:tc>
          <w:tcPr>
            <w:tcW w:w="1257" w:type="dxa"/>
            <w:noWrap/>
            <w:hideMark/>
          </w:tcPr>
          <w:p w14:paraId="5A4B3D0C" w14:textId="77777777" w:rsidR="006B4594" w:rsidRPr="00FB0A3A" w:rsidRDefault="006B4594"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 </w:t>
            </w:r>
          </w:p>
        </w:tc>
        <w:tc>
          <w:tcPr>
            <w:tcW w:w="1811" w:type="dxa"/>
            <w:noWrap/>
            <w:hideMark/>
          </w:tcPr>
          <w:p w14:paraId="1371D69F" w14:textId="77777777" w:rsidR="006B4594" w:rsidRPr="00FB0A3A" w:rsidRDefault="006B4594"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 </w:t>
            </w:r>
          </w:p>
        </w:tc>
      </w:tr>
      <w:tr w:rsidR="00B860F1" w:rsidRPr="00FB0A3A" w14:paraId="5CC6C8FA" w14:textId="77777777" w:rsidTr="002F115E">
        <w:tc>
          <w:tcPr>
            <w:cnfStyle w:val="001000000000" w:firstRow="0" w:lastRow="0" w:firstColumn="1" w:lastColumn="0" w:oddVBand="0" w:evenVBand="0" w:oddHBand="0" w:evenHBand="0" w:firstRowFirstColumn="0" w:firstRowLastColumn="0" w:lastRowFirstColumn="0" w:lastRowLastColumn="0"/>
            <w:tcW w:w="4531" w:type="dxa"/>
            <w:hideMark/>
          </w:tcPr>
          <w:p w14:paraId="5B70D617" w14:textId="77777777" w:rsidR="006B4594" w:rsidRPr="00FB0A3A" w:rsidRDefault="006B4594" w:rsidP="00B860F1">
            <w:pPr>
              <w:tabs>
                <w:tab w:val="left" w:pos="1134"/>
              </w:tabs>
              <w:rPr>
                <w:rFonts w:eastAsia="Calibri" w:cs="Times New Roman"/>
                <w:szCs w:val="18"/>
              </w:rPr>
            </w:pPr>
            <w:r w:rsidRPr="00FB0A3A">
              <w:rPr>
                <w:rFonts w:eastAsia="Calibri" w:cs="Times New Roman"/>
                <w:szCs w:val="18"/>
              </w:rPr>
              <w:t>Тарифная ставка рабочего 1 разряда</w:t>
            </w:r>
          </w:p>
        </w:tc>
        <w:tc>
          <w:tcPr>
            <w:tcW w:w="980" w:type="dxa"/>
            <w:noWrap/>
            <w:hideMark/>
          </w:tcPr>
          <w:p w14:paraId="12D223AC" w14:textId="77777777" w:rsidR="006B4594" w:rsidRPr="00FB0A3A" w:rsidRDefault="006B4594"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руб.</w:t>
            </w:r>
          </w:p>
        </w:tc>
        <w:tc>
          <w:tcPr>
            <w:tcW w:w="1119" w:type="dxa"/>
            <w:noWrap/>
            <w:hideMark/>
          </w:tcPr>
          <w:p w14:paraId="22AF45DE" w14:textId="77777777" w:rsidR="006B4594" w:rsidRPr="00FB0A3A" w:rsidRDefault="006B4594"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7 432,00</w:t>
            </w:r>
          </w:p>
        </w:tc>
        <w:tc>
          <w:tcPr>
            <w:tcW w:w="1257" w:type="dxa"/>
            <w:noWrap/>
            <w:hideMark/>
          </w:tcPr>
          <w:p w14:paraId="39181AF5" w14:textId="77777777" w:rsidR="006B4594" w:rsidRPr="00FB0A3A" w:rsidRDefault="006B4594"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8 060</w:t>
            </w:r>
          </w:p>
        </w:tc>
        <w:tc>
          <w:tcPr>
            <w:tcW w:w="1811" w:type="dxa"/>
            <w:noWrap/>
            <w:hideMark/>
          </w:tcPr>
          <w:p w14:paraId="27C381E1" w14:textId="05FF57D0" w:rsidR="000239A9" w:rsidRPr="00FB0A3A" w:rsidRDefault="000239A9"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w:t>
            </w:r>
            <w:r w:rsidR="006B4594" w:rsidRPr="00FB0A3A">
              <w:rPr>
                <w:rFonts w:eastAsia="Calibri" w:cs="Times New Roman"/>
                <w:szCs w:val="18"/>
              </w:rPr>
              <w:t>7</w:t>
            </w:r>
            <w:r w:rsidRPr="00FB0A3A">
              <w:rPr>
                <w:rFonts w:eastAsia="Calibri" w:cs="Times New Roman"/>
                <w:szCs w:val="18"/>
              </w:rPr>
              <w:t> </w:t>
            </w:r>
            <w:r w:rsidR="006B4594" w:rsidRPr="00FB0A3A">
              <w:rPr>
                <w:rFonts w:eastAsia="Calibri" w:cs="Times New Roman"/>
                <w:szCs w:val="18"/>
              </w:rPr>
              <w:t>772</w:t>
            </w:r>
            <w:r w:rsidRPr="00FB0A3A">
              <w:rPr>
                <w:rFonts w:eastAsia="Calibri" w:cs="Times New Roman"/>
                <w:szCs w:val="18"/>
              </w:rPr>
              <w:t>+7 935)/2</w:t>
            </w:r>
          </w:p>
          <w:p w14:paraId="6CCF0384" w14:textId="4CE92880" w:rsidR="006B4594" w:rsidRPr="00FB0A3A" w:rsidRDefault="000239A9"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=7 835,5</w:t>
            </w:r>
          </w:p>
        </w:tc>
      </w:tr>
      <w:tr w:rsidR="00B860F1" w:rsidRPr="00FB0A3A" w14:paraId="18BF686B" w14:textId="77777777" w:rsidTr="002F115E">
        <w:tc>
          <w:tcPr>
            <w:cnfStyle w:val="001000000000" w:firstRow="0" w:lastRow="0" w:firstColumn="1" w:lastColumn="0" w:oddVBand="0" w:evenVBand="0" w:oddHBand="0" w:evenHBand="0" w:firstRowFirstColumn="0" w:firstRowLastColumn="0" w:lastRowFirstColumn="0" w:lastRowLastColumn="0"/>
            <w:tcW w:w="4531" w:type="dxa"/>
            <w:hideMark/>
          </w:tcPr>
          <w:p w14:paraId="5118F98F" w14:textId="77777777" w:rsidR="006B4594" w:rsidRPr="00FB0A3A" w:rsidRDefault="006B4594" w:rsidP="00B860F1">
            <w:pPr>
              <w:tabs>
                <w:tab w:val="left" w:pos="1134"/>
              </w:tabs>
              <w:rPr>
                <w:rFonts w:eastAsia="Calibri" w:cs="Times New Roman"/>
                <w:szCs w:val="18"/>
              </w:rPr>
            </w:pPr>
            <w:r w:rsidRPr="00FB0A3A">
              <w:rPr>
                <w:rFonts w:eastAsia="Calibri" w:cs="Times New Roman"/>
                <w:szCs w:val="18"/>
              </w:rPr>
              <w:t>Дефлятор по заработной плате</w:t>
            </w:r>
          </w:p>
        </w:tc>
        <w:tc>
          <w:tcPr>
            <w:tcW w:w="980" w:type="dxa"/>
            <w:noWrap/>
            <w:hideMark/>
          </w:tcPr>
          <w:p w14:paraId="462ABB84" w14:textId="77777777" w:rsidR="006B4594" w:rsidRPr="00FB0A3A" w:rsidRDefault="006B4594"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 </w:t>
            </w:r>
          </w:p>
        </w:tc>
        <w:tc>
          <w:tcPr>
            <w:tcW w:w="1119" w:type="dxa"/>
            <w:noWrap/>
            <w:hideMark/>
          </w:tcPr>
          <w:p w14:paraId="70688540" w14:textId="77777777" w:rsidR="006B4594" w:rsidRPr="00FB0A3A" w:rsidRDefault="006B4594"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1,046</w:t>
            </w:r>
          </w:p>
        </w:tc>
        <w:tc>
          <w:tcPr>
            <w:tcW w:w="1257" w:type="dxa"/>
            <w:noWrap/>
            <w:hideMark/>
          </w:tcPr>
          <w:p w14:paraId="74CCE155" w14:textId="77777777" w:rsidR="006B4594" w:rsidRPr="00FB0A3A" w:rsidRDefault="006B4594"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1,040</w:t>
            </w:r>
          </w:p>
        </w:tc>
        <w:tc>
          <w:tcPr>
            <w:tcW w:w="1811" w:type="dxa"/>
            <w:noWrap/>
            <w:hideMark/>
          </w:tcPr>
          <w:p w14:paraId="72ED6818" w14:textId="77777777" w:rsidR="006B4594" w:rsidRPr="00FB0A3A" w:rsidRDefault="006B4594"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1,0465</w:t>
            </w:r>
          </w:p>
        </w:tc>
      </w:tr>
      <w:tr w:rsidR="00B860F1" w:rsidRPr="00FB0A3A" w14:paraId="1AD19C78" w14:textId="77777777" w:rsidTr="002F115E">
        <w:tc>
          <w:tcPr>
            <w:cnfStyle w:val="001000000000" w:firstRow="0" w:lastRow="0" w:firstColumn="1" w:lastColumn="0" w:oddVBand="0" w:evenVBand="0" w:oddHBand="0" w:evenHBand="0" w:firstRowFirstColumn="0" w:firstRowLastColumn="0" w:lastRowFirstColumn="0" w:lastRowLastColumn="0"/>
            <w:tcW w:w="4531" w:type="dxa"/>
            <w:hideMark/>
          </w:tcPr>
          <w:p w14:paraId="0215828D" w14:textId="77777777" w:rsidR="006B4594" w:rsidRPr="00FB0A3A" w:rsidRDefault="006B4594" w:rsidP="00B860F1">
            <w:pPr>
              <w:tabs>
                <w:tab w:val="left" w:pos="1134"/>
              </w:tabs>
              <w:rPr>
                <w:rFonts w:eastAsia="Calibri" w:cs="Times New Roman"/>
                <w:szCs w:val="18"/>
              </w:rPr>
            </w:pPr>
            <w:r w:rsidRPr="00FB0A3A">
              <w:rPr>
                <w:rFonts w:eastAsia="Calibri" w:cs="Times New Roman"/>
                <w:szCs w:val="18"/>
              </w:rPr>
              <w:lastRenderedPageBreak/>
              <w:t>Тарифная ставка рабочего 1 разряда с учетом дефлятора</w:t>
            </w:r>
          </w:p>
        </w:tc>
        <w:tc>
          <w:tcPr>
            <w:tcW w:w="980" w:type="dxa"/>
            <w:noWrap/>
            <w:hideMark/>
          </w:tcPr>
          <w:p w14:paraId="0E3E1F1C" w14:textId="77777777" w:rsidR="006B4594" w:rsidRPr="00FB0A3A" w:rsidRDefault="006B4594"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руб.</w:t>
            </w:r>
          </w:p>
        </w:tc>
        <w:tc>
          <w:tcPr>
            <w:tcW w:w="1119" w:type="dxa"/>
            <w:noWrap/>
            <w:hideMark/>
          </w:tcPr>
          <w:p w14:paraId="003C3E62" w14:textId="77777777" w:rsidR="006B4594" w:rsidRPr="00FB0A3A" w:rsidRDefault="006B4594"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7 772</w:t>
            </w:r>
          </w:p>
        </w:tc>
        <w:tc>
          <w:tcPr>
            <w:tcW w:w="1257" w:type="dxa"/>
            <w:noWrap/>
            <w:hideMark/>
          </w:tcPr>
          <w:p w14:paraId="2231EB7A" w14:textId="77777777" w:rsidR="006B4594" w:rsidRPr="00FB0A3A" w:rsidRDefault="006B4594"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8 382</w:t>
            </w:r>
          </w:p>
        </w:tc>
        <w:tc>
          <w:tcPr>
            <w:tcW w:w="1811" w:type="dxa"/>
            <w:noWrap/>
            <w:hideMark/>
          </w:tcPr>
          <w:p w14:paraId="702371CC" w14:textId="2FD87F22" w:rsidR="006B4594" w:rsidRPr="00FB0A3A" w:rsidRDefault="006B4594"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8</w:t>
            </w:r>
            <w:r w:rsidR="000239A9" w:rsidRPr="00FB0A3A">
              <w:rPr>
                <w:rFonts w:eastAsia="Calibri" w:cs="Times New Roman"/>
                <w:szCs w:val="18"/>
              </w:rPr>
              <w:t> 218,7</w:t>
            </w:r>
          </w:p>
        </w:tc>
      </w:tr>
      <w:tr w:rsidR="00B860F1" w:rsidRPr="00FB0A3A" w14:paraId="239E542C" w14:textId="77777777" w:rsidTr="002F115E">
        <w:tc>
          <w:tcPr>
            <w:cnfStyle w:val="001000000000" w:firstRow="0" w:lastRow="0" w:firstColumn="1" w:lastColumn="0" w:oddVBand="0" w:evenVBand="0" w:oddHBand="0" w:evenHBand="0" w:firstRowFirstColumn="0" w:firstRowLastColumn="0" w:lastRowFirstColumn="0" w:lastRowLastColumn="0"/>
            <w:tcW w:w="4531" w:type="dxa"/>
            <w:hideMark/>
          </w:tcPr>
          <w:p w14:paraId="766C56B8" w14:textId="77777777" w:rsidR="006B4594" w:rsidRPr="00FB0A3A" w:rsidRDefault="006B4594" w:rsidP="00B860F1">
            <w:pPr>
              <w:tabs>
                <w:tab w:val="left" w:pos="1134"/>
              </w:tabs>
              <w:rPr>
                <w:rFonts w:eastAsia="Calibri" w:cs="Times New Roman"/>
                <w:szCs w:val="18"/>
              </w:rPr>
            </w:pPr>
            <w:r w:rsidRPr="00FB0A3A">
              <w:rPr>
                <w:rFonts w:eastAsia="Calibri" w:cs="Times New Roman"/>
                <w:szCs w:val="18"/>
              </w:rPr>
              <w:t>Средняя ступень оплаты</w:t>
            </w:r>
          </w:p>
        </w:tc>
        <w:tc>
          <w:tcPr>
            <w:tcW w:w="980" w:type="dxa"/>
            <w:noWrap/>
            <w:hideMark/>
          </w:tcPr>
          <w:p w14:paraId="3547DAB6" w14:textId="77777777" w:rsidR="006B4594" w:rsidRPr="00FB0A3A" w:rsidRDefault="006B4594"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 </w:t>
            </w:r>
          </w:p>
        </w:tc>
        <w:tc>
          <w:tcPr>
            <w:tcW w:w="1119" w:type="dxa"/>
            <w:noWrap/>
            <w:hideMark/>
          </w:tcPr>
          <w:p w14:paraId="209E5A5A" w14:textId="77777777" w:rsidR="006B4594" w:rsidRPr="00FB0A3A" w:rsidRDefault="006B4594"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 </w:t>
            </w:r>
          </w:p>
        </w:tc>
        <w:tc>
          <w:tcPr>
            <w:tcW w:w="1257" w:type="dxa"/>
            <w:noWrap/>
            <w:hideMark/>
          </w:tcPr>
          <w:p w14:paraId="75FCE730" w14:textId="77777777" w:rsidR="006B4594" w:rsidRPr="00FB0A3A" w:rsidRDefault="006B4594"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 </w:t>
            </w:r>
          </w:p>
        </w:tc>
        <w:tc>
          <w:tcPr>
            <w:tcW w:w="1811" w:type="dxa"/>
            <w:noWrap/>
            <w:hideMark/>
          </w:tcPr>
          <w:p w14:paraId="023E1AFF" w14:textId="77777777" w:rsidR="006B4594" w:rsidRPr="00FB0A3A" w:rsidRDefault="006B4594"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 </w:t>
            </w:r>
          </w:p>
        </w:tc>
      </w:tr>
      <w:tr w:rsidR="00B860F1" w:rsidRPr="00FB0A3A" w14:paraId="447D4CFD" w14:textId="77777777" w:rsidTr="002F115E">
        <w:tc>
          <w:tcPr>
            <w:cnfStyle w:val="001000000000" w:firstRow="0" w:lastRow="0" w:firstColumn="1" w:lastColumn="0" w:oddVBand="0" w:evenVBand="0" w:oddHBand="0" w:evenHBand="0" w:firstRowFirstColumn="0" w:firstRowLastColumn="0" w:lastRowFirstColumn="0" w:lastRowLastColumn="0"/>
            <w:tcW w:w="4531" w:type="dxa"/>
            <w:hideMark/>
          </w:tcPr>
          <w:p w14:paraId="0C0FE3EC" w14:textId="77777777" w:rsidR="000239A9" w:rsidRPr="00FB0A3A" w:rsidRDefault="000239A9" w:rsidP="00B860F1">
            <w:pPr>
              <w:tabs>
                <w:tab w:val="left" w:pos="1134"/>
              </w:tabs>
              <w:rPr>
                <w:rFonts w:eastAsia="Calibri" w:cs="Times New Roman"/>
                <w:szCs w:val="18"/>
              </w:rPr>
            </w:pPr>
            <w:r w:rsidRPr="00FB0A3A">
              <w:rPr>
                <w:rFonts w:eastAsia="Calibri" w:cs="Times New Roman"/>
                <w:szCs w:val="18"/>
              </w:rPr>
              <w:t>Тарифный коэффициент, соответствующий ступени по оплате труда</w:t>
            </w:r>
          </w:p>
        </w:tc>
        <w:tc>
          <w:tcPr>
            <w:tcW w:w="980" w:type="dxa"/>
            <w:noWrap/>
            <w:hideMark/>
          </w:tcPr>
          <w:p w14:paraId="58A7873C" w14:textId="77777777" w:rsidR="000239A9" w:rsidRPr="00FB0A3A" w:rsidRDefault="000239A9"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руб.</w:t>
            </w:r>
          </w:p>
        </w:tc>
        <w:tc>
          <w:tcPr>
            <w:tcW w:w="1119" w:type="dxa"/>
            <w:noWrap/>
            <w:hideMark/>
          </w:tcPr>
          <w:p w14:paraId="2DFBF2F9" w14:textId="77777777" w:rsidR="000239A9" w:rsidRPr="00FB0A3A" w:rsidRDefault="000239A9"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2,09</w:t>
            </w:r>
          </w:p>
        </w:tc>
        <w:tc>
          <w:tcPr>
            <w:tcW w:w="1257" w:type="dxa"/>
            <w:noWrap/>
            <w:hideMark/>
          </w:tcPr>
          <w:p w14:paraId="35A4FCB2" w14:textId="77777777" w:rsidR="000239A9" w:rsidRPr="00FB0A3A" w:rsidRDefault="000239A9"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2,09</w:t>
            </w:r>
          </w:p>
        </w:tc>
        <w:tc>
          <w:tcPr>
            <w:tcW w:w="1811" w:type="dxa"/>
            <w:noWrap/>
            <w:hideMark/>
          </w:tcPr>
          <w:p w14:paraId="157F0206" w14:textId="1F921A83" w:rsidR="000239A9" w:rsidRPr="00FB0A3A" w:rsidRDefault="000239A9"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2,09</w:t>
            </w:r>
          </w:p>
        </w:tc>
      </w:tr>
      <w:tr w:rsidR="00B860F1" w:rsidRPr="00FB0A3A" w14:paraId="2A604FCC" w14:textId="77777777" w:rsidTr="002F115E">
        <w:tc>
          <w:tcPr>
            <w:cnfStyle w:val="001000000000" w:firstRow="0" w:lastRow="0" w:firstColumn="1" w:lastColumn="0" w:oddVBand="0" w:evenVBand="0" w:oddHBand="0" w:evenHBand="0" w:firstRowFirstColumn="0" w:firstRowLastColumn="0" w:lastRowFirstColumn="0" w:lastRowLastColumn="0"/>
            <w:tcW w:w="4531" w:type="dxa"/>
            <w:hideMark/>
          </w:tcPr>
          <w:p w14:paraId="15FF5137" w14:textId="77777777" w:rsidR="000239A9" w:rsidRPr="00FB0A3A" w:rsidRDefault="000239A9" w:rsidP="00B860F1">
            <w:pPr>
              <w:tabs>
                <w:tab w:val="left" w:pos="1134"/>
              </w:tabs>
              <w:rPr>
                <w:rFonts w:eastAsia="Calibri" w:cs="Times New Roman"/>
                <w:szCs w:val="18"/>
              </w:rPr>
            </w:pPr>
            <w:r w:rsidRPr="00FB0A3A">
              <w:rPr>
                <w:rFonts w:eastAsia="Calibri" w:cs="Times New Roman"/>
                <w:szCs w:val="18"/>
              </w:rPr>
              <w:t>Среднемесячная тарифная ставка ППП</w:t>
            </w:r>
          </w:p>
        </w:tc>
        <w:tc>
          <w:tcPr>
            <w:tcW w:w="980" w:type="dxa"/>
            <w:noWrap/>
            <w:hideMark/>
          </w:tcPr>
          <w:p w14:paraId="7EDB7382" w14:textId="77777777" w:rsidR="000239A9" w:rsidRPr="00FB0A3A" w:rsidRDefault="000239A9"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руб.</w:t>
            </w:r>
          </w:p>
        </w:tc>
        <w:tc>
          <w:tcPr>
            <w:tcW w:w="1119" w:type="dxa"/>
            <w:noWrap/>
            <w:hideMark/>
          </w:tcPr>
          <w:p w14:paraId="43EB3BD6" w14:textId="77777777" w:rsidR="000239A9" w:rsidRPr="00FB0A3A" w:rsidRDefault="000239A9"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16 250,00</w:t>
            </w:r>
          </w:p>
        </w:tc>
        <w:tc>
          <w:tcPr>
            <w:tcW w:w="1257" w:type="dxa"/>
            <w:noWrap/>
            <w:hideMark/>
          </w:tcPr>
          <w:p w14:paraId="32635317" w14:textId="77777777" w:rsidR="000239A9" w:rsidRPr="00FB0A3A" w:rsidRDefault="000239A9"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17 518,27</w:t>
            </w:r>
          </w:p>
        </w:tc>
        <w:tc>
          <w:tcPr>
            <w:tcW w:w="1811" w:type="dxa"/>
            <w:noWrap/>
            <w:hideMark/>
          </w:tcPr>
          <w:p w14:paraId="277764BC" w14:textId="430FE14A" w:rsidR="000239A9" w:rsidRPr="00FB0A3A" w:rsidRDefault="000239A9"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17 177,06</w:t>
            </w:r>
          </w:p>
        </w:tc>
      </w:tr>
      <w:tr w:rsidR="00B860F1" w:rsidRPr="00FB0A3A" w14:paraId="7777B058" w14:textId="77777777" w:rsidTr="002F115E">
        <w:tc>
          <w:tcPr>
            <w:cnfStyle w:val="001000000000" w:firstRow="0" w:lastRow="0" w:firstColumn="1" w:lastColumn="0" w:oddVBand="0" w:evenVBand="0" w:oddHBand="0" w:evenHBand="0" w:firstRowFirstColumn="0" w:firstRowLastColumn="0" w:lastRowFirstColumn="0" w:lastRowLastColumn="0"/>
            <w:tcW w:w="4531" w:type="dxa"/>
            <w:hideMark/>
          </w:tcPr>
          <w:p w14:paraId="4BE2143C" w14:textId="77777777" w:rsidR="000239A9" w:rsidRPr="00FB0A3A" w:rsidRDefault="000239A9" w:rsidP="00B860F1">
            <w:pPr>
              <w:tabs>
                <w:tab w:val="left" w:pos="1134"/>
              </w:tabs>
              <w:rPr>
                <w:rFonts w:eastAsia="Calibri" w:cs="Times New Roman"/>
                <w:szCs w:val="18"/>
              </w:rPr>
            </w:pPr>
            <w:r w:rsidRPr="00FB0A3A">
              <w:rPr>
                <w:rFonts w:eastAsia="Calibri" w:cs="Times New Roman"/>
                <w:szCs w:val="18"/>
              </w:rPr>
              <w:t>Выплаты, связанные с режимом работы, с условиями труда 1 работника</w:t>
            </w:r>
          </w:p>
        </w:tc>
        <w:tc>
          <w:tcPr>
            <w:tcW w:w="980" w:type="dxa"/>
            <w:noWrap/>
            <w:hideMark/>
          </w:tcPr>
          <w:p w14:paraId="3B2F1472" w14:textId="77777777" w:rsidR="000239A9" w:rsidRPr="00FB0A3A" w:rsidRDefault="000239A9"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 </w:t>
            </w:r>
          </w:p>
        </w:tc>
        <w:tc>
          <w:tcPr>
            <w:tcW w:w="1119" w:type="dxa"/>
            <w:noWrap/>
            <w:hideMark/>
          </w:tcPr>
          <w:p w14:paraId="18301A4E" w14:textId="77777777" w:rsidR="000239A9" w:rsidRPr="00FB0A3A" w:rsidRDefault="000239A9"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 </w:t>
            </w:r>
          </w:p>
        </w:tc>
        <w:tc>
          <w:tcPr>
            <w:tcW w:w="1257" w:type="dxa"/>
            <w:noWrap/>
            <w:hideMark/>
          </w:tcPr>
          <w:p w14:paraId="086DE15B" w14:textId="77777777" w:rsidR="000239A9" w:rsidRPr="00FB0A3A" w:rsidRDefault="000239A9"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 </w:t>
            </w:r>
          </w:p>
        </w:tc>
        <w:tc>
          <w:tcPr>
            <w:tcW w:w="1811" w:type="dxa"/>
            <w:noWrap/>
            <w:hideMark/>
          </w:tcPr>
          <w:p w14:paraId="7A6B0A51" w14:textId="5342BB95" w:rsidR="000239A9" w:rsidRPr="00FB0A3A" w:rsidRDefault="000239A9"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 </w:t>
            </w:r>
          </w:p>
        </w:tc>
      </w:tr>
      <w:tr w:rsidR="00B860F1" w:rsidRPr="00FB0A3A" w14:paraId="63C1F33F" w14:textId="77777777" w:rsidTr="002F115E">
        <w:tc>
          <w:tcPr>
            <w:cnfStyle w:val="001000000000" w:firstRow="0" w:lastRow="0" w:firstColumn="1" w:lastColumn="0" w:oddVBand="0" w:evenVBand="0" w:oddHBand="0" w:evenHBand="0" w:firstRowFirstColumn="0" w:firstRowLastColumn="0" w:lastRowFirstColumn="0" w:lastRowLastColumn="0"/>
            <w:tcW w:w="4531" w:type="dxa"/>
            <w:hideMark/>
          </w:tcPr>
          <w:p w14:paraId="45B527F7" w14:textId="77777777" w:rsidR="000239A9" w:rsidRPr="00FB0A3A" w:rsidRDefault="000239A9" w:rsidP="00B860F1">
            <w:pPr>
              <w:tabs>
                <w:tab w:val="left" w:pos="1134"/>
              </w:tabs>
              <w:jc w:val="center"/>
              <w:rPr>
                <w:rFonts w:eastAsia="Calibri" w:cs="Times New Roman"/>
                <w:szCs w:val="18"/>
              </w:rPr>
            </w:pPr>
            <w:r w:rsidRPr="00FB0A3A">
              <w:rPr>
                <w:rFonts w:eastAsia="Calibri" w:cs="Times New Roman"/>
                <w:szCs w:val="18"/>
              </w:rPr>
              <w:t>процент выплаты</w:t>
            </w:r>
          </w:p>
        </w:tc>
        <w:tc>
          <w:tcPr>
            <w:tcW w:w="980" w:type="dxa"/>
            <w:noWrap/>
            <w:hideMark/>
          </w:tcPr>
          <w:p w14:paraId="51CAFC48" w14:textId="77777777" w:rsidR="000239A9" w:rsidRPr="00FB0A3A" w:rsidRDefault="000239A9"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w:t>
            </w:r>
          </w:p>
        </w:tc>
        <w:tc>
          <w:tcPr>
            <w:tcW w:w="1119" w:type="dxa"/>
            <w:noWrap/>
            <w:hideMark/>
          </w:tcPr>
          <w:p w14:paraId="733D2FEB" w14:textId="77777777" w:rsidR="000239A9" w:rsidRPr="00FB0A3A" w:rsidRDefault="000239A9"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10</w:t>
            </w:r>
          </w:p>
        </w:tc>
        <w:tc>
          <w:tcPr>
            <w:tcW w:w="1257" w:type="dxa"/>
            <w:noWrap/>
            <w:hideMark/>
          </w:tcPr>
          <w:p w14:paraId="0D643B71" w14:textId="77777777" w:rsidR="000239A9" w:rsidRPr="00FB0A3A" w:rsidRDefault="000239A9"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12,5</w:t>
            </w:r>
          </w:p>
        </w:tc>
        <w:tc>
          <w:tcPr>
            <w:tcW w:w="1811" w:type="dxa"/>
            <w:noWrap/>
            <w:hideMark/>
          </w:tcPr>
          <w:p w14:paraId="59491546" w14:textId="42232BF4" w:rsidR="000239A9" w:rsidRPr="00FB0A3A" w:rsidRDefault="000239A9"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10,0</w:t>
            </w:r>
          </w:p>
        </w:tc>
      </w:tr>
      <w:tr w:rsidR="00B860F1" w:rsidRPr="00FB0A3A" w14:paraId="44E70CA3" w14:textId="77777777" w:rsidTr="002F115E">
        <w:tc>
          <w:tcPr>
            <w:cnfStyle w:val="001000000000" w:firstRow="0" w:lastRow="0" w:firstColumn="1" w:lastColumn="0" w:oddVBand="0" w:evenVBand="0" w:oddHBand="0" w:evenHBand="0" w:firstRowFirstColumn="0" w:firstRowLastColumn="0" w:lastRowFirstColumn="0" w:lastRowLastColumn="0"/>
            <w:tcW w:w="4531" w:type="dxa"/>
            <w:hideMark/>
          </w:tcPr>
          <w:p w14:paraId="229DA968" w14:textId="77777777" w:rsidR="000239A9" w:rsidRPr="00FB0A3A" w:rsidRDefault="000239A9" w:rsidP="00B860F1">
            <w:pPr>
              <w:tabs>
                <w:tab w:val="left" w:pos="1134"/>
              </w:tabs>
              <w:jc w:val="center"/>
              <w:rPr>
                <w:rFonts w:eastAsia="Calibri" w:cs="Times New Roman"/>
                <w:szCs w:val="18"/>
              </w:rPr>
            </w:pPr>
            <w:r w:rsidRPr="00FB0A3A">
              <w:rPr>
                <w:rFonts w:eastAsia="Calibri" w:cs="Times New Roman"/>
                <w:szCs w:val="18"/>
              </w:rPr>
              <w:t>сумма выплат</w:t>
            </w:r>
          </w:p>
        </w:tc>
        <w:tc>
          <w:tcPr>
            <w:tcW w:w="980" w:type="dxa"/>
            <w:noWrap/>
            <w:hideMark/>
          </w:tcPr>
          <w:p w14:paraId="1578B561" w14:textId="77777777" w:rsidR="000239A9" w:rsidRPr="00FB0A3A" w:rsidRDefault="000239A9"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руб.</w:t>
            </w:r>
          </w:p>
        </w:tc>
        <w:tc>
          <w:tcPr>
            <w:tcW w:w="1119" w:type="dxa"/>
            <w:noWrap/>
            <w:hideMark/>
          </w:tcPr>
          <w:p w14:paraId="52D2FF5D" w14:textId="77777777" w:rsidR="000239A9" w:rsidRPr="00FB0A3A" w:rsidRDefault="000239A9"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1 622,57</w:t>
            </w:r>
          </w:p>
        </w:tc>
        <w:tc>
          <w:tcPr>
            <w:tcW w:w="1257" w:type="dxa"/>
            <w:noWrap/>
            <w:hideMark/>
          </w:tcPr>
          <w:p w14:paraId="039B6450" w14:textId="77777777" w:rsidR="000239A9" w:rsidRPr="00FB0A3A" w:rsidRDefault="000239A9"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2 189,78</w:t>
            </w:r>
          </w:p>
        </w:tc>
        <w:tc>
          <w:tcPr>
            <w:tcW w:w="1811" w:type="dxa"/>
            <w:noWrap/>
            <w:hideMark/>
          </w:tcPr>
          <w:p w14:paraId="7B63F626" w14:textId="5A5A0DE6" w:rsidR="000239A9" w:rsidRPr="00FB0A3A" w:rsidRDefault="000239A9"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1 717,71</w:t>
            </w:r>
          </w:p>
        </w:tc>
      </w:tr>
      <w:tr w:rsidR="00B860F1" w:rsidRPr="00FB0A3A" w14:paraId="012E97B6" w14:textId="77777777" w:rsidTr="002F115E">
        <w:tc>
          <w:tcPr>
            <w:cnfStyle w:val="001000000000" w:firstRow="0" w:lastRow="0" w:firstColumn="1" w:lastColumn="0" w:oddVBand="0" w:evenVBand="0" w:oddHBand="0" w:evenHBand="0" w:firstRowFirstColumn="0" w:firstRowLastColumn="0" w:lastRowFirstColumn="0" w:lastRowLastColumn="0"/>
            <w:tcW w:w="4531" w:type="dxa"/>
            <w:hideMark/>
          </w:tcPr>
          <w:p w14:paraId="6EDC945E" w14:textId="77777777" w:rsidR="000239A9" w:rsidRPr="00FB0A3A" w:rsidRDefault="000239A9" w:rsidP="00B860F1">
            <w:pPr>
              <w:tabs>
                <w:tab w:val="left" w:pos="1134"/>
              </w:tabs>
              <w:rPr>
                <w:rFonts w:eastAsia="Calibri" w:cs="Times New Roman"/>
                <w:szCs w:val="18"/>
              </w:rPr>
            </w:pPr>
            <w:r w:rsidRPr="00FB0A3A">
              <w:rPr>
                <w:rFonts w:eastAsia="Calibri" w:cs="Times New Roman"/>
                <w:szCs w:val="18"/>
              </w:rPr>
              <w:t>Текущее премирование</w:t>
            </w:r>
          </w:p>
        </w:tc>
        <w:tc>
          <w:tcPr>
            <w:tcW w:w="980" w:type="dxa"/>
            <w:noWrap/>
            <w:hideMark/>
          </w:tcPr>
          <w:p w14:paraId="1F34BB1C" w14:textId="77777777" w:rsidR="000239A9" w:rsidRPr="00FB0A3A" w:rsidRDefault="000239A9"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 </w:t>
            </w:r>
          </w:p>
        </w:tc>
        <w:tc>
          <w:tcPr>
            <w:tcW w:w="1119" w:type="dxa"/>
            <w:noWrap/>
            <w:hideMark/>
          </w:tcPr>
          <w:p w14:paraId="44FAD672" w14:textId="77777777" w:rsidR="000239A9" w:rsidRPr="00FB0A3A" w:rsidRDefault="000239A9"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 </w:t>
            </w:r>
          </w:p>
        </w:tc>
        <w:tc>
          <w:tcPr>
            <w:tcW w:w="1257" w:type="dxa"/>
            <w:noWrap/>
            <w:hideMark/>
          </w:tcPr>
          <w:p w14:paraId="6601B2DF" w14:textId="77777777" w:rsidR="000239A9" w:rsidRPr="00FB0A3A" w:rsidRDefault="000239A9"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 </w:t>
            </w:r>
          </w:p>
        </w:tc>
        <w:tc>
          <w:tcPr>
            <w:tcW w:w="1811" w:type="dxa"/>
            <w:noWrap/>
            <w:hideMark/>
          </w:tcPr>
          <w:p w14:paraId="6A37FE95" w14:textId="4BD41DBA" w:rsidR="000239A9" w:rsidRPr="00FB0A3A" w:rsidRDefault="000239A9"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 </w:t>
            </w:r>
          </w:p>
        </w:tc>
      </w:tr>
      <w:tr w:rsidR="00B860F1" w:rsidRPr="00FB0A3A" w14:paraId="39002FD5" w14:textId="77777777" w:rsidTr="002F115E">
        <w:tc>
          <w:tcPr>
            <w:cnfStyle w:val="001000000000" w:firstRow="0" w:lastRow="0" w:firstColumn="1" w:lastColumn="0" w:oddVBand="0" w:evenVBand="0" w:oddHBand="0" w:evenHBand="0" w:firstRowFirstColumn="0" w:firstRowLastColumn="0" w:lastRowFirstColumn="0" w:lastRowLastColumn="0"/>
            <w:tcW w:w="4531" w:type="dxa"/>
            <w:hideMark/>
          </w:tcPr>
          <w:p w14:paraId="737EE513" w14:textId="77777777" w:rsidR="000239A9" w:rsidRPr="00FB0A3A" w:rsidRDefault="000239A9" w:rsidP="00B860F1">
            <w:pPr>
              <w:tabs>
                <w:tab w:val="left" w:pos="1134"/>
              </w:tabs>
              <w:jc w:val="center"/>
              <w:rPr>
                <w:rFonts w:eastAsia="Calibri" w:cs="Times New Roman"/>
                <w:szCs w:val="18"/>
              </w:rPr>
            </w:pPr>
            <w:r w:rsidRPr="00FB0A3A">
              <w:rPr>
                <w:rFonts w:eastAsia="Calibri" w:cs="Times New Roman"/>
                <w:szCs w:val="18"/>
              </w:rPr>
              <w:t>процент выплаты</w:t>
            </w:r>
          </w:p>
        </w:tc>
        <w:tc>
          <w:tcPr>
            <w:tcW w:w="980" w:type="dxa"/>
            <w:noWrap/>
            <w:hideMark/>
          </w:tcPr>
          <w:p w14:paraId="66270070" w14:textId="77777777" w:rsidR="000239A9" w:rsidRPr="00FB0A3A" w:rsidRDefault="000239A9"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w:t>
            </w:r>
          </w:p>
        </w:tc>
        <w:tc>
          <w:tcPr>
            <w:tcW w:w="1119" w:type="dxa"/>
            <w:noWrap/>
            <w:hideMark/>
          </w:tcPr>
          <w:p w14:paraId="0148BBB5" w14:textId="77777777" w:rsidR="000239A9" w:rsidRPr="00FB0A3A" w:rsidRDefault="000239A9"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46</w:t>
            </w:r>
          </w:p>
        </w:tc>
        <w:tc>
          <w:tcPr>
            <w:tcW w:w="1257" w:type="dxa"/>
            <w:noWrap/>
            <w:hideMark/>
          </w:tcPr>
          <w:p w14:paraId="5E55BB43" w14:textId="77777777" w:rsidR="000239A9" w:rsidRPr="00FB0A3A" w:rsidRDefault="000239A9"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47</w:t>
            </w:r>
          </w:p>
        </w:tc>
        <w:tc>
          <w:tcPr>
            <w:tcW w:w="1811" w:type="dxa"/>
            <w:noWrap/>
            <w:hideMark/>
          </w:tcPr>
          <w:p w14:paraId="19FDCF23" w14:textId="23853500" w:rsidR="000239A9" w:rsidRPr="00FB0A3A" w:rsidRDefault="000239A9"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46</w:t>
            </w:r>
          </w:p>
        </w:tc>
      </w:tr>
      <w:tr w:rsidR="00B860F1" w:rsidRPr="00FB0A3A" w14:paraId="7F060FF6" w14:textId="77777777" w:rsidTr="002F115E">
        <w:tc>
          <w:tcPr>
            <w:cnfStyle w:val="001000000000" w:firstRow="0" w:lastRow="0" w:firstColumn="1" w:lastColumn="0" w:oddVBand="0" w:evenVBand="0" w:oddHBand="0" w:evenHBand="0" w:firstRowFirstColumn="0" w:firstRowLastColumn="0" w:lastRowFirstColumn="0" w:lastRowLastColumn="0"/>
            <w:tcW w:w="4531" w:type="dxa"/>
            <w:hideMark/>
          </w:tcPr>
          <w:p w14:paraId="5737C81B" w14:textId="77777777" w:rsidR="000239A9" w:rsidRPr="00FB0A3A" w:rsidRDefault="000239A9" w:rsidP="00B860F1">
            <w:pPr>
              <w:tabs>
                <w:tab w:val="left" w:pos="1134"/>
              </w:tabs>
              <w:jc w:val="center"/>
              <w:rPr>
                <w:rFonts w:eastAsia="Calibri" w:cs="Times New Roman"/>
                <w:szCs w:val="18"/>
              </w:rPr>
            </w:pPr>
            <w:r w:rsidRPr="00FB0A3A">
              <w:rPr>
                <w:rFonts w:eastAsia="Calibri" w:cs="Times New Roman"/>
                <w:szCs w:val="18"/>
              </w:rPr>
              <w:t>сумма выплат</w:t>
            </w:r>
          </w:p>
        </w:tc>
        <w:tc>
          <w:tcPr>
            <w:tcW w:w="980" w:type="dxa"/>
            <w:noWrap/>
            <w:hideMark/>
          </w:tcPr>
          <w:p w14:paraId="1204A9D3" w14:textId="77777777" w:rsidR="000239A9" w:rsidRPr="00FB0A3A" w:rsidRDefault="000239A9"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руб.</w:t>
            </w:r>
          </w:p>
        </w:tc>
        <w:tc>
          <w:tcPr>
            <w:tcW w:w="1119" w:type="dxa"/>
            <w:noWrap/>
            <w:hideMark/>
          </w:tcPr>
          <w:p w14:paraId="57F3BA59" w14:textId="77777777" w:rsidR="000239A9" w:rsidRPr="00FB0A3A" w:rsidRDefault="000239A9"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8 132,02</w:t>
            </w:r>
          </w:p>
        </w:tc>
        <w:tc>
          <w:tcPr>
            <w:tcW w:w="1257" w:type="dxa"/>
            <w:noWrap/>
            <w:hideMark/>
          </w:tcPr>
          <w:p w14:paraId="3C40D91A" w14:textId="77777777" w:rsidR="000239A9" w:rsidRPr="00FB0A3A" w:rsidRDefault="000239A9"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9 262,78</w:t>
            </w:r>
          </w:p>
        </w:tc>
        <w:tc>
          <w:tcPr>
            <w:tcW w:w="1811" w:type="dxa"/>
            <w:noWrap/>
            <w:hideMark/>
          </w:tcPr>
          <w:p w14:paraId="1ED57C16" w14:textId="484EFEF7" w:rsidR="000239A9" w:rsidRPr="00FB0A3A" w:rsidRDefault="000239A9"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8 597,12</w:t>
            </w:r>
          </w:p>
        </w:tc>
      </w:tr>
      <w:tr w:rsidR="00B860F1" w:rsidRPr="00FB0A3A" w14:paraId="78325EF7" w14:textId="77777777" w:rsidTr="002F115E">
        <w:tc>
          <w:tcPr>
            <w:cnfStyle w:val="001000000000" w:firstRow="0" w:lastRow="0" w:firstColumn="1" w:lastColumn="0" w:oddVBand="0" w:evenVBand="0" w:oddHBand="0" w:evenHBand="0" w:firstRowFirstColumn="0" w:firstRowLastColumn="0" w:lastRowFirstColumn="0" w:lastRowLastColumn="0"/>
            <w:tcW w:w="4531" w:type="dxa"/>
            <w:hideMark/>
          </w:tcPr>
          <w:p w14:paraId="269F4482" w14:textId="77777777" w:rsidR="000239A9" w:rsidRPr="00FB0A3A" w:rsidRDefault="000239A9" w:rsidP="00B860F1">
            <w:pPr>
              <w:tabs>
                <w:tab w:val="left" w:pos="1134"/>
              </w:tabs>
              <w:rPr>
                <w:rFonts w:eastAsia="Calibri" w:cs="Times New Roman"/>
                <w:szCs w:val="18"/>
              </w:rPr>
            </w:pPr>
            <w:r w:rsidRPr="00FB0A3A">
              <w:rPr>
                <w:rFonts w:eastAsia="Calibri" w:cs="Times New Roman"/>
                <w:szCs w:val="18"/>
              </w:rPr>
              <w:t>Вознаграждение за выслугу лет</w:t>
            </w:r>
          </w:p>
        </w:tc>
        <w:tc>
          <w:tcPr>
            <w:tcW w:w="980" w:type="dxa"/>
            <w:noWrap/>
            <w:hideMark/>
          </w:tcPr>
          <w:p w14:paraId="4713F7AF" w14:textId="77777777" w:rsidR="000239A9" w:rsidRPr="00FB0A3A" w:rsidRDefault="000239A9"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 </w:t>
            </w:r>
          </w:p>
        </w:tc>
        <w:tc>
          <w:tcPr>
            <w:tcW w:w="1119" w:type="dxa"/>
            <w:noWrap/>
            <w:hideMark/>
          </w:tcPr>
          <w:p w14:paraId="6411C0D9" w14:textId="77777777" w:rsidR="000239A9" w:rsidRPr="00FB0A3A" w:rsidRDefault="000239A9"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 </w:t>
            </w:r>
          </w:p>
        </w:tc>
        <w:tc>
          <w:tcPr>
            <w:tcW w:w="1257" w:type="dxa"/>
            <w:noWrap/>
            <w:hideMark/>
          </w:tcPr>
          <w:p w14:paraId="18204197" w14:textId="77777777" w:rsidR="000239A9" w:rsidRPr="00FB0A3A" w:rsidRDefault="000239A9"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 </w:t>
            </w:r>
          </w:p>
        </w:tc>
        <w:tc>
          <w:tcPr>
            <w:tcW w:w="1811" w:type="dxa"/>
            <w:noWrap/>
            <w:hideMark/>
          </w:tcPr>
          <w:p w14:paraId="288101E4" w14:textId="19982BE4" w:rsidR="000239A9" w:rsidRPr="00FB0A3A" w:rsidRDefault="000239A9"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 </w:t>
            </w:r>
          </w:p>
        </w:tc>
      </w:tr>
      <w:tr w:rsidR="00B860F1" w:rsidRPr="00FB0A3A" w14:paraId="18472B20" w14:textId="77777777" w:rsidTr="002F115E">
        <w:tc>
          <w:tcPr>
            <w:cnfStyle w:val="001000000000" w:firstRow="0" w:lastRow="0" w:firstColumn="1" w:lastColumn="0" w:oddVBand="0" w:evenVBand="0" w:oddHBand="0" w:evenHBand="0" w:firstRowFirstColumn="0" w:firstRowLastColumn="0" w:lastRowFirstColumn="0" w:lastRowLastColumn="0"/>
            <w:tcW w:w="4531" w:type="dxa"/>
            <w:hideMark/>
          </w:tcPr>
          <w:p w14:paraId="3F723373" w14:textId="77777777" w:rsidR="000239A9" w:rsidRPr="00FB0A3A" w:rsidRDefault="000239A9" w:rsidP="00B860F1">
            <w:pPr>
              <w:tabs>
                <w:tab w:val="left" w:pos="1134"/>
              </w:tabs>
              <w:jc w:val="center"/>
              <w:rPr>
                <w:rFonts w:eastAsia="Calibri" w:cs="Times New Roman"/>
                <w:szCs w:val="18"/>
              </w:rPr>
            </w:pPr>
            <w:r w:rsidRPr="00FB0A3A">
              <w:rPr>
                <w:rFonts w:eastAsia="Calibri" w:cs="Times New Roman"/>
                <w:szCs w:val="18"/>
              </w:rPr>
              <w:t>процент выплаты</w:t>
            </w:r>
          </w:p>
        </w:tc>
        <w:tc>
          <w:tcPr>
            <w:tcW w:w="980" w:type="dxa"/>
            <w:noWrap/>
            <w:hideMark/>
          </w:tcPr>
          <w:p w14:paraId="1B2C9739" w14:textId="77777777" w:rsidR="000239A9" w:rsidRPr="00FB0A3A" w:rsidRDefault="000239A9"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w:t>
            </w:r>
          </w:p>
        </w:tc>
        <w:tc>
          <w:tcPr>
            <w:tcW w:w="1119" w:type="dxa"/>
            <w:noWrap/>
            <w:hideMark/>
          </w:tcPr>
          <w:p w14:paraId="18B23462" w14:textId="77777777" w:rsidR="000239A9" w:rsidRPr="00FB0A3A" w:rsidRDefault="000239A9"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10</w:t>
            </w:r>
          </w:p>
        </w:tc>
        <w:tc>
          <w:tcPr>
            <w:tcW w:w="1257" w:type="dxa"/>
            <w:noWrap/>
            <w:hideMark/>
          </w:tcPr>
          <w:p w14:paraId="079062CE" w14:textId="77777777" w:rsidR="000239A9" w:rsidRPr="00FB0A3A" w:rsidRDefault="000239A9"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15</w:t>
            </w:r>
          </w:p>
        </w:tc>
        <w:tc>
          <w:tcPr>
            <w:tcW w:w="1811" w:type="dxa"/>
            <w:noWrap/>
            <w:hideMark/>
          </w:tcPr>
          <w:p w14:paraId="492B2C16" w14:textId="7DD87B5A" w:rsidR="000239A9" w:rsidRPr="00FB0A3A" w:rsidRDefault="000239A9"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10</w:t>
            </w:r>
          </w:p>
        </w:tc>
      </w:tr>
      <w:tr w:rsidR="00B860F1" w:rsidRPr="00FB0A3A" w14:paraId="4744C967" w14:textId="77777777" w:rsidTr="002F115E">
        <w:tc>
          <w:tcPr>
            <w:cnfStyle w:val="001000000000" w:firstRow="0" w:lastRow="0" w:firstColumn="1" w:lastColumn="0" w:oddVBand="0" w:evenVBand="0" w:oddHBand="0" w:evenHBand="0" w:firstRowFirstColumn="0" w:firstRowLastColumn="0" w:lastRowFirstColumn="0" w:lastRowLastColumn="0"/>
            <w:tcW w:w="4531" w:type="dxa"/>
            <w:hideMark/>
          </w:tcPr>
          <w:p w14:paraId="7D4E2A03" w14:textId="77777777" w:rsidR="000239A9" w:rsidRPr="00FB0A3A" w:rsidRDefault="000239A9" w:rsidP="00B860F1">
            <w:pPr>
              <w:tabs>
                <w:tab w:val="left" w:pos="1134"/>
              </w:tabs>
              <w:jc w:val="center"/>
              <w:rPr>
                <w:rFonts w:eastAsia="Calibri" w:cs="Times New Roman"/>
                <w:szCs w:val="18"/>
              </w:rPr>
            </w:pPr>
            <w:r w:rsidRPr="00FB0A3A">
              <w:rPr>
                <w:rFonts w:eastAsia="Calibri" w:cs="Times New Roman"/>
                <w:szCs w:val="18"/>
              </w:rPr>
              <w:t>сумма выплат</w:t>
            </w:r>
          </w:p>
        </w:tc>
        <w:tc>
          <w:tcPr>
            <w:tcW w:w="980" w:type="dxa"/>
            <w:noWrap/>
            <w:hideMark/>
          </w:tcPr>
          <w:p w14:paraId="3AAEA88E" w14:textId="77777777" w:rsidR="000239A9" w:rsidRPr="00FB0A3A" w:rsidRDefault="000239A9"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руб.</w:t>
            </w:r>
          </w:p>
        </w:tc>
        <w:tc>
          <w:tcPr>
            <w:tcW w:w="1119" w:type="dxa"/>
            <w:noWrap/>
            <w:hideMark/>
          </w:tcPr>
          <w:p w14:paraId="598525FA" w14:textId="77777777" w:rsidR="000239A9" w:rsidRPr="00FB0A3A" w:rsidRDefault="000239A9"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1 607,30</w:t>
            </w:r>
          </w:p>
        </w:tc>
        <w:tc>
          <w:tcPr>
            <w:tcW w:w="1257" w:type="dxa"/>
            <w:noWrap/>
            <w:hideMark/>
          </w:tcPr>
          <w:p w14:paraId="640ED237" w14:textId="77777777" w:rsidR="000239A9" w:rsidRPr="00FB0A3A" w:rsidRDefault="000239A9"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2 627,74</w:t>
            </w:r>
          </w:p>
        </w:tc>
        <w:tc>
          <w:tcPr>
            <w:tcW w:w="1811" w:type="dxa"/>
            <w:noWrap/>
            <w:hideMark/>
          </w:tcPr>
          <w:p w14:paraId="27A3857D" w14:textId="75012E5E" w:rsidR="000239A9" w:rsidRPr="00FB0A3A" w:rsidRDefault="000239A9"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1 698,99</w:t>
            </w:r>
          </w:p>
        </w:tc>
      </w:tr>
      <w:tr w:rsidR="00B860F1" w:rsidRPr="00FB0A3A" w14:paraId="21AC891B" w14:textId="77777777" w:rsidTr="002F115E">
        <w:tc>
          <w:tcPr>
            <w:cnfStyle w:val="001000000000" w:firstRow="0" w:lastRow="0" w:firstColumn="1" w:lastColumn="0" w:oddVBand="0" w:evenVBand="0" w:oddHBand="0" w:evenHBand="0" w:firstRowFirstColumn="0" w:firstRowLastColumn="0" w:lastRowFirstColumn="0" w:lastRowLastColumn="0"/>
            <w:tcW w:w="4531" w:type="dxa"/>
            <w:hideMark/>
          </w:tcPr>
          <w:p w14:paraId="34EF48B7" w14:textId="77777777" w:rsidR="000239A9" w:rsidRPr="00FB0A3A" w:rsidRDefault="000239A9" w:rsidP="00B860F1">
            <w:pPr>
              <w:tabs>
                <w:tab w:val="left" w:pos="1134"/>
              </w:tabs>
              <w:rPr>
                <w:rFonts w:eastAsia="Calibri" w:cs="Times New Roman"/>
                <w:szCs w:val="18"/>
              </w:rPr>
            </w:pPr>
            <w:r w:rsidRPr="00FB0A3A">
              <w:rPr>
                <w:rFonts w:eastAsia="Calibri" w:cs="Times New Roman"/>
                <w:szCs w:val="18"/>
              </w:rPr>
              <w:t>Выплаты по итогам года</w:t>
            </w:r>
          </w:p>
        </w:tc>
        <w:tc>
          <w:tcPr>
            <w:tcW w:w="980" w:type="dxa"/>
            <w:noWrap/>
            <w:hideMark/>
          </w:tcPr>
          <w:p w14:paraId="5AC55538" w14:textId="77777777" w:rsidR="000239A9" w:rsidRPr="00FB0A3A" w:rsidRDefault="000239A9"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 </w:t>
            </w:r>
          </w:p>
        </w:tc>
        <w:tc>
          <w:tcPr>
            <w:tcW w:w="1119" w:type="dxa"/>
            <w:noWrap/>
            <w:hideMark/>
          </w:tcPr>
          <w:p w14:paraId="5F631CC9" w14:textId="77777777" w:rsidR="000239A9" w:rsidRPr="00FB0A3A" w:rsidRDefault="000239A9"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 </w:t>
            </w:r>
          </w:p>
        </w:tc>
        <w:tc>
          <w:tcPr>
            <w:tcW w:w="1257" w:type="dxa"/>
            <w:noWrap/>
            <w:hideMark/>
          </w:tcPr>
          <w:p w14:paraId="785423E2" w14:textId="77777777" w:rsidR="000239A9" w:rsidRPr="00FB0A3A" w:rsidRDefault="000239A9"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 </w:t>
            </w:r>
          </w:p>
        </w:tc>
        <w:tc>
          <w:tcPr>
            <w:tcW w:w="1811" w:type="dxa"/>
            <w:noWrap/>
            <w:hideMark/>
          </w:tcPr>
          <w:p w14:paraId="4EF17F46" w14:textId="495CC3F5" w:rsidR="000239A9" w:rsidRPr="00FB0A3A" w:rsidRDefault="000239A9"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 </w:t>
            </w:r>
          </w:p>
        </w:tc>
      </w:tr>
      <w:tr w:rsidR="00B860F1" w:rsidRPr="00FB0A3A" w14:paraId="3E7B61A9" w14:textId="77777777" w:rsidTr="002F115E">
        <w:tc>
          <w:tcPr>
            <w:cnfStyle w:val="001000000000" w:firstRow="0" w:lastRow="0" w:firstColumn="1" w:lastColumn="0" w:oddVBand="0" w:evenVBand="0" w:oddHBand="0" w:evenHBand="0" w:firstRowFirstColumn="0" w:firstRowLastColumn="0" w:lastRowFirstColumn="0" w:lastRowLastColumn="0"/>
            <w:tcW w:w="4531" w:type="dxa"/>
            <w:hideMark/>
          </w:tcPr>
          <w:p w14:paraId="7314A121" w14:textId="77777777" w:rsidR="000239A9" w:rsidRPr="00FB0A3A" w:rsidRDefault="000239A9" w:rsidP="00B860F1">
            <w:pPr>
              <w:tabs>
                <w:tab w:val="left" w:pos="1134"/>
              </w:tabs>
              <w:jc w:val="center"/>
              <w:rPr>
                <w:rFonts w:eastAsia="Calibri" w:cs="Times New Roman"/>
                <w:szCs w:val="18"/>
              </w:rPr>
            </w:pPr>
            <w:r w:rsidRPr="00FB0A3A">
              <w:rPr>
                <w:rFonts w:eastAsia="Calibri" w:cs="Times New Roman"/>
                <w:szCs w:val="18"/>
              </w:rPr>
              <w:t>процент выплаты</w:t>
            </w:r>
          </w:p>
        </w:tc>
        <w:tc>
          <w:tcPr>
            <w:tcW w:w="980" w:type="dxa"/>
            <w:noWrap/>
            <w:hideMark/>
          </w:tcPr>
          <w:p w14:paraId="79766466" w14:textId="77777777" w:rsidR="000239A9" w:rsidRPr="00FB0A3A" w:rsidRDefault="000239A9"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w:t>
            </w:r>
          </w:p>
        </w:tc>
        <w:tc>
          <w:tcPr>
            <w:tcW w:w="1119" w:type="dxa"/>
            <w:noWrap/>
            <w:hideMark/>
          </w:tcPr>
          <w:p w14:paraId="4DF68F2C" w14:textId="77777777" w:rsidR="000239A9" w:rsidRPr="00FB0A3A" w:rsidRDefault="000239A9"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0,47</w:t>
            </w:r>
          </w:p>
        </w:tc>
        <w:tc>
          <w:tcPr>
            <w:tcW w:w="1257" w:type="dxa"/>
            <w:noWrap/>
            <w:hideMark/>
          </w:tcPr>
          <w:p w14:paraId="06DF570A" w14:textId="234A2E20" w:rsidR="000239A9" w:rsidRPr="00FB0A3A" w:rsidRDefault="000239A9"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33</w:t>
            </w:r>
          </w:p>
        </w:tc>
        <w:tc>
          <w:tcPr>
            <w:tcW w:w="1811" w:type="dxa"/>
            <w:noWrap/>
            <w:hideMark/>
          </w:tcPr>
          <w:p w14:paraId="411ADC1F" w14:textId="207D7120" w:rsidR="000239A9" w:rsidRPr="00FB0A3A" w:rsidRDefault="000239A9"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11,7</w:t>
            </w:r>
          </w:p>
        </w:tc>
      </w:tr>
      <w:tr w:rsidR="00B860F1" w:rsidRPr="00FB0A3A" w14:paraId="55310A52" w14:textId="77777777" w:rsidTr="002F115E">
        <w:tc>
          <w:tcPr>
            <w:cnfStyle w:val="001000000000" w:firstRow="0" w:lastRow="0" w:firstColumn="1" w:lastColumn="0" w:oddVBand="0" w:evenVBand="0" w:oddHBand="0" w:evenHBand="0" w:firstRowFirstColumn="0" w:firstRowLastColumn="0" w:lastRowFirstColumn="0" w:lastRowLastColumn="0"/>
            <w:tcW w:w="4531" w:type="dxa"/>
            <w:hideMark/>
          </w:tcPr>
          <w:p w14:paraId="1E5E666A" w14:textId="77777777" w:rsidR="000239A9" w:rsidRPr="00FB0A3A" w:rsidRDefault="000239A9" w:rsidP="00B860F1">
            <w:pPr>
              <w:tabs>
                <w:tab w:val="left" w:pos="1134"/>
              </w:tabs>
              <w:jc w:val="center"/>
              <w:rPr>
                <w:rFonts w:eastAsia="Calibri" w:cs="Times New Roman"/>
                <w:szCs w:val="18"/>
              </w:rPr>
            </w:pPr>
            <w:r w:rsidRPr="00FB0A3A">
              <w:rPr>
                <w:rFonts w:eastAsia="Calibri" w:cs="Times New Roman"/>
                <w:szCs w:val="18"/>
              </w:rPr>
              <w:t>сумма выплат</w:t>
            </w:r>
          </w:p>
        </w:tc>
        <w:tc>
          <w:tcPr>
            <w:tcW w:w="980" w:type="dxa"/>
            <w:noWrap/>
            <w:hideMark/>
          </w:tcPr>
          <w:p w14:paraId="268BB811" w14:textId="77777777" w:rsidR="000239A9" w:rsidRPr="00FB0A3A" w:rsidRDefault="000239A9"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руб.</w:t>
            </w:r>
          </w:p>
        </w:tc>
        <w:tc>
          <w:tcPr>
            <w:tcW w:w="1119" w:type="dxa"/>
            <w:noWrap/>
            <w:hideMark/>
          </w:tcPr>
          <w:p w14:paraId="5921298F" w14:textId="77777777" w:rsidR="000239A9" w:rsidRPr="00FB0A3A" w:rsidRDefault="000239A9"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76,73</w:t>
            </w:r>
          </w:p>
        </w:tc>
        <w:tc>
          <w:tcPr>
            <w:tcW w:w="1257" w:type="dxa"/>
            <w:noWrap/>
            <w:hideMark/>
          </w:tcPr>
          <w:p w14:paraId="6844346E" w14:textId="77777777" w:rsidR="000239A9" w:rsidRPr="00FB0A3A" w:rsidRDefault="000239A9"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5 781,03</w:t>
            </w:r>
          </w:p>
        </w:tc>
        <w:tc>
          <w:tcPr>
            <w:tcW w:w="1811" w:type="dxa"/>
            <w:noWrap/>
            <w:hideMark/>
          </w:tcPr>
          <w:p w14:paraId="1B9C45DE" w14:textId="0769AE0C" w:rsidR="000239A9" w:rsidRPr="00FB0A3A" w:rsidRDefault="000239A9"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2 005,73</w:t>
            </w:r>
          </w:p>
        </w:tc>
      </w:tr>
      <w:tr w:rsidR="00B860F1" w:rsidRPr="00FB0A3A" w14:paraId="43F2EED8" w14:textId="77777777" w:rsidTr="002F115E">
        <w:tc>
          <w:tcPr>
            <w:cnfStyle w:val="001000000000" w:firstRow="0" w:lastRow="0" w:firstColumn="1" w:lastColumn="0" w:oddVBand="0" w:evenVBand="0" w:oddHBand="0" w:evenHBand="0" w:firstRowFirstColumn="0" w:firstRowLastColumn="0" w:lastRowFirstColumn="0" w:lastRowLastColumn="0"/>
            <w:tcW w:w="4531" w:type="dxa"/>
            <w:hideMark/>
          </w:tcPr>
          <w:p w14:paraId="5565E03A" w14:textId="77777777" w:rsidR="000239A9" w:rsidRPr="00FB0A3A" w:rsidRDefault="000239A9" w:rsidP="00B860F1">
            <w:pPr>
              <w:tabs>
                <w:tab w:val="left" w:pos="1134"/>
              </w:tabs>
              <w:rPr>
                <w:rFonts w:eastAsia="Calibri" w:cs="Times New Roman"/>
                <w:szCs w:val="18"/>
              </w:rPr>
            </w:pPr>
            <w:r w:rsidRPr="00FB0A3A">
              <w:rPr>
                <w:rFonts w:eastAsia="Calibri" w:cs="Times New Roman"/>
                <w:szCs w:val="18"/>
              </w:rPr>
              <w:t>Выплаты по районному коэффициенту и северные надбавки</w:t>
            </w:r>
          </w:p>
        </w:tc>
        <w:tc>
          <w:tcPr>
            <w:tcW w:w="980" w:type="dxa"/>
            <w:noWrap/>
            <w:hideMark/>
          </w:tcPr>
          <w:p w14:paraId="4057F540" w14:textId="77777777" w:rsidR="000239A9" w:rsidRPr="00FB0A3A" w:rsidRDefault="000239A9"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 </w:t>
            </w:r>
          </w:p>
        </w:tc>
        <w:tc>
          <w:tcPr>
            <w:tcW w:w="1119" w:type="dxa"/>
            <w:noWrap/>
            <w:hideMark/>
          </w:tcPr>
          <w:p w14:paraId="09686C79" w14:textId="77777777" w:rsidR="000239A9" w:rsidRPr="00FB0A3A" w:rsidRDefault="000239A9"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 </w:t>
            </w:r>
          </w:p>
        </w:tc>
        <w:tc>
          <w:tcPr>
            <w:tcW w:w="1257" w:type="dxa"/>
            <w:noWrap/>
            <w:hideMark/>
          </w:tcPr>
          <w:p w14:paraId="061617BB" w14:textId="77777777" w:rsidR="000239A9" w:rsidRPr="00FB0A3A" w:rsidRDefault="000239A9"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 </w:t>
            </w:r>
          </w:p>
        </w:tc>
        <w:tc>
          <w:tcPr>
            <w:tcW w:w="1811" w:type="dxa"/>
            <w:noWrap/>
            <w:hideMark/>
          </w:tcPr>
          <w:p w14:paraId="18991623" w14:textId="7C46B887" w:rsidR="000239A9" w:rsidRPr="00FB0A3A" w:rsidRDefault="000239A9"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 </w:t>
            </w:r>
          </w:p>
        </w:tc>
      </w:tr>
      <w:tr w:rsidR="00B860F1" w:rsidRPr="00FB0A3A" w14:paraId="3C437DE7" w14:textId="77777777" w:rsidTr="002F115E">
        <w:tc>
          <w:tcPr>
            <w:cnfStyle w:val="001000000000" w:firstRow="0" w:lastRow="0" w:firstColumn="1" w:lastColumn="0" w:oddVBand="0" w:evenVBand="0" w:oddHBand="0" w:evenHBand="0" w:firstRowFirstColumn="0" w:firstRowLastColumn="0" w:lastRowFirstColumn="0" w:lastRowLastColumn="0"/>
            <w:tcW w:w="4531" w:type="dxa"/>
            <w:hideMark/>
          </w:tcPr>
          <w:p w14:paraId="59C19BCD" w14:textId="77777777" w:rsidR="000239A9" w:rsidRPr="00FB0A3A" w:rsidRDefault="000239A9" w:rsidP="00B860F1">
            <w:pPr>
              <w:tabs>
                <w:tab w:val="left" w:pos="1134"/>
              </w:tabs>
              <w:jc w:val="center"/>
              <w:rPr>
                <w:rFonts w:eastAsia="Calibri" w:cs="Times New Roman"/>
                <w:szCs w:val="18"/>
              </w:rPr>
            </w:pPr>
            <w:r w:rsidRPr="00FB0A3A">
              <w:rPr>
                <w:rFonts w:eastAsia="Calibri" w:cs="Times New Roman"/>
                <w:szCs w:val="18"/>
              </w:rPr>
              <w:t>процент выплаты</w:t>
            </w:r>
          </w:p>
        </w:tc>
        <w:tc>
          <w:tcPr>
            <w:tcW w:w="980" w:type="dxa"/>
            <w:noWrap/>
            <w:hideMark/>
          </w:tcPr>
          <w:p w14:paraId="7382DE50" w14:textId="77777777" w:rsidR="000239A9" w:rsidRPr="00FB0A3A" w:rsidRDefault="000239A9"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w:t>
            </w:r>
          </w:p>
        </w:tc>
        <w:tc>
          <w:tcPr>
            <w:tcW w:w="1119" w:type="dxa"/>
            <w:noWrap/>
            <w:hideMark/>
          </w:tcPr>
          <w:p w14:paraId="7E9790E7" w14:textId="77777777" w:rsidR="000239A9" w:rsidRPr="00FB0A3A" w:rsidRDefault="000239A9"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130</w:t>
            </w:r>
          </w:p>
        </w:tc>
        <w:tc>
          <w:tcPr>
            <w:tcW w:w="1257" w:type="dxa"/>
            <w:noWrap/>
            <w:hideMark/>
          </w:tcPr>
          <w:p w14:paraId="179EF936" w14:textId="77777777" w:rsidR="000239A9" w:rsidRPr="00FB0A3A" w:rsidRDefault="000239A9"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130</w:t>
            </w:r>
          </w:p>
        </w:tc>
        <w:tc>
          <w:tcPr>
            <w:tcW w:w="1811" w:type="dxa"/>
            <w:noWrap/>
            <w:hideMark/>
          </w:tcPr>
          <w:p w14:paraId="48CB59DE" w14:textId="40221FC2" w:rsidR="000239A9" w:rsidRPr="00FB0A3A" w:rsidRDefault="000239A9"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130</w:t>
            </w:r>
          </w:p>
        </w:tc>
      </w:tr>
      <w:tr w:rsidR="00B860F1" w:rsidRPr="00FB0A3A" w14:paraId="3ABA9EF7" w14:textId="77777777" w:rsidTr="002F115E">
        <w:tc>
          <w:tcPr>
            <w:cnfStyle w:val="001000000000" w:firstRow="0" w:lastRow="0" w:firstColumn="1" w:lastColumn="0" w:oddVBand="0" w:evenVBand="0" w:oddHBand="0" w:evenHBand="0" w:firstRowFirstColumn="0" w:firstRowLastColumn="0" w:lastRowFirstColumn="0" w:lastRowLastColumn="0"/>
            <w:tcW w:w="4531" w:type="dxa"/>
            <w:hideMark/>
          </w:tcPr>
          <w:p w14:paraId="0441E21C" w14:textId="77777777" w:rsidR="000239A9" w:rsidRPr="00FB0A3A" w:rsidRDefault="000239A9" w:rsidP="00B860F1">
            <w:pPr>
              <w:tabs>
                <w:tab w:val="left" w:pos="1134"/>
              </w:tabs>
              <w:jc w:val="center"/>
              <w:rPr>
                <w:rFonts w:eastAsia="Calibri" w:cs="Times New Roman"/>
                <w:szCs w:val="18"/>
              </w:rPr>
            </w:pPr>
            <w:r w:rsidRPr="00FB0A3A">
              <w:rPr>
                <w:rFonts w:eastAsia="Calibri" w:cs="Times New Roman"/>
                <w:szCs w:val="18"/>
              </w:rPr>
              <w:t>сумма выплат</w:t>
            </w:r>
          </w:p>
        </w:tc>
        <w:tc>
          <w:tcPr>
            <w:tcW w:w="980" w:type="dxa"/>
            <w:noWrap/>
            <w:hideMark/>
          </w:tcPr>
          <w:p w14:paraId="6E8C01D1" w14:textId="77777777" w:rsidR="000239A9" w:rsidRPr="00FB0A3A" w:rsidRDefault="000239A9"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руб.</w:t>
            </w:r>
          </w:p>
        </w:tc>
        <w:tc>
          <w:tcPr>
            <w:tcW w:w="1119" w:type="dxa"/>
            <w:noWrap/>
            <w:hideMark/>
          </w:tcPr>
          <w:p w14:paraId="0C2EB13B" w14:textId="77777777" w:rsidR="000239A9" w:rsidRPr="00FB0A3A" w:rsidRDefault="000239A9"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35 995,20</w:t>
            </w:r>
          </w:p>
        </w:tc>
        <w:tc>
          <w:tcPr>
            <w:tcW w:w="1257" w:type="dxa"/>
            <w:noWrap/>
            <w:hideMark/>
          </w:tcPr>
          <w:p w14:paraId="7651D31C" w14:textId="77777777" w:rsidR="000239A9" w:rsidRPr="00FB0A3A" w:rsidRDefault="000239A9"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48 593,49</w:t>
            </w:r>
          </w:p>
        </w:tc>
        <w:tc>
          <w:tcPr>
            <w:tcW w:w="1811" w:type="dxa"/>
            <w:noWrap/>
            <w:hideMark/>
          </w:tcPr>
          <w:p w14:paraId="3C1CDF98" w14:textId="7829341C" w:rsidR="000239A9" w:rsidRPr="00FB0A3A" w:rsidRDefault="000239A9"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40 555,58</w:t>
            </w:r>
          </w:p>
        </w:tc>
      </w:tr>
      <w:tr w:rsidR="00B860F1" w:rsidRPr="00FB0A3A" w14:paraId="0BA13336" w14:textId="77777777" w:rsidTr="002F115E">
        <w:tc>
          <w:tcPr>
            <w:cnfStyle w:val="001000000000" w:firstRow="0" w:lastRow="0" w:firstColumn="1" w:lastColumn="0" w:oddVBand="0" w:evenVBand="0" w:oddHBand="0" w:evenHBand="0" w:firstRowFirstColumn="0" w:firstRowLastColumn="0" w:lastRowFirstColumn="0" w:lastRowLastColumn="0"/>
            <w:tcW w:w="4531" w:type="dxa"/>
            <w:hideMark/>
          </w:tcPr>
          <w:p w14:paraId="24712DEB" w14:textId="77777777" w:rsidR="000239A9" w:rsidRPr="00FB0A3A" w:rsidRDefault="000239A9" w:rsidP="00B860F1">
            <w:pPr>
              <w:tabs>
                <w:tab w:val="left" w:pos="1134"/>
              </w:tabs>
              <w:rPr>
                <w:rFonts w:eastAsia="Calibri" w:cs="Times New Roman"/>
                <w:szCs w:val="18"/>
              </w:rPr>
            </w:pPr>
            <w:r w:rsidRPr="00FB0A3A">
              <w:rPr>
                <w:rFonts w:eastAsia="Calibri" w:cs="Times New Roman"/>
                <w:szCs w:val="18"/>
              </w:rPr>
              <w:t>Итого среднемесячная оплата труда на 1 работника</w:t>
            </w:r>
          </w:p>
        </w:tc>
        <w:tc>
          <w:tcPr>
            <w:tcW w:w="980" w:type="dxa"/>
            <w:noWrap/>
            <w:hideMark/>
          </w:tcPr>
          <w:p w14:paraId="24FB4F17" w14:textId="77777777" w:rsidR="000239A9" w:rsidRPr="00FB0A3A" w:rsidRDefault="000239A9"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руб.</w:t>
            </w:r>
          </w:p>
        </w:tc>
        <w:tc>
          <w:tcPr>
            <w:tcW w:w="1119" w:type="dxa"/>
            <w:noWrap/>
            <w:hideMark/>
          </w:tcPr>
          <w:p w14:paraId="5815DA1B" w14:textId="77777777" w:rsidR="000239A9" w:rsidRPr="00FB0A3A" w:rsidRDefault="000239A9"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63 683,82</w:t>
            </w:r>
          </w:p>
        </w:tc>
        <w:tc>
          <w:tcPr>
            <w:tcW w:w="1257" w:type="dxa"/>
            <w:noWrap/>
            <w:hideMark/>
          </w:tcPr>
          <w:p w14:paraId="595D12DA" w14:textId="77777777" w:rsidR="000239A9" w:rsidRPr="00FB0A3A" w:rsidRDefault="000239A9"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85 973,09</w:t>
            </w:r>
          </w:p>
        </w:tc>
        <w:tc>
          <w:tcPr>
            <w:tcW w:w="1811" w:type="dxa"/>
            <w:noWrap/>
            <w:hideMark/>
          </w:tcPr>
          <w:p w14:paraId="62A91540" w14:textId="5FC0FFD2" w:rsidR="000239A9" w:rsidRPr="00FB0A3A" w:rsidRDefault="000239A9"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71 752,18</w:t>
            </w:r>
          </w:p>
        </w:tc>
      </w:tr>
      <w:tr w:rsidR="00B860F1" w:rsidRPr="00FB0A3A" w14:paraId="690740C2" w14:textId="77777777" w:rsidTr="002F115E">
        <w:tc>
          <w:tcPr>
            <w:cnfStyle w:val="001000000000" w:firstRow="0" w:lastRow="0" w:firstColumn="1" w:lastColumn="0" w:oddVBand="0" w:evenVBand="0" w:oddHBand="0" w:evenHBand="0" w:firstRowFirstColumn="0" w:firstRowLastColumn="0" w:lastRowFirstColumn="0" w:lastRowLastColumn="0"/>
            <w:tcW w:w="4531" w:type="dxa"/>
            <w:hideMark/>
          </w:tcPr>
          <w:p w14:paraId="423654DE" w14:textId="77777777" w:rsidR="000239A9" w:rsidRPr="00FB0A3A" w:rsidRDefault="000239A9" w:rsidP="00B860F1">
            <w:pPr>
              <w:tabs>
                <w:tab w:val="left" w:pos="1134"/>
              </w:tabs>
              <w:rPr>
                <w:rFonts w:eastAsia="Calibri" w:cs="Times New Roman"/>
                <w:szCs w:val="18"/>
              </w:rPr>
            </w:pPr>
            <w:r w:rsidRPr="00FB0A3A">
              <w:rPr>
                <w:rFonts w:eastAsia="Calibri" w:cs="Times New Roman"/>
                <w:szCs w:val="18"/>
              </w:rPr>
              <w:t>Расчет средств на оплату труда ППП (включенного в себестоимость)</w:t>
            </w:r>
          </w:p>
        </w:tc>
        <w:tc>
          <w:tcPr>
            <w:tcW w:w="980" w:type="dxa"/>
            <w:noWrap/>
            <w:hideMark/>
          </w:tcPr>
          <w:p w14:paraId="39628F9B" w14:textId="77777777" w:rsidR="000239A9" w:rsidRPr="00FB0A3A" w:rsidRDefault="000239A9"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 </w:t>
            </w:r>
          </w:p>
        </w:tc>
        <w:tc>
          <w:tcPr>
            <w:tcW w:w="1119" w:type="dxa"/>
            <w:noWrap/>
            <w:hideMark/>
          </w:tcPr>
          <w:p w14:paraId="152C07AD" w14:textId="77777777" w:rsidR="000239A9" w:rsidRPr="00FB0A3A" w:rsidRDefault="000239A9"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871 882,49</w:t>
            </w:r>
          </w:p>
        </w:tc>
        <w:tc>
          <w:tcPr>
            <w:tcW w:w="1257" w:type="dxa"/>
            <w:noWrap/>
            <w:hideMark/>
          </w:tcPr>
          <w:p w14:paraId="552F2D92" w14:textId="77777777" w:rsidR="000239A9" w:rsidRPr="00FB0A3A" w:rsidRDefault="000239A9"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1 220 370,84</w:t>
            </w:r>
          </w:p>
        </w:tc>
        <w:tc>
          <w:tcPr>
            <w:tcW w:w="1811" w:type="dxa"/>
            <w:noWrap/>
            <w:hideMark/>
          </w:tcPr>
          <w:p w14:paraId="0DF41CF3" w14:textId="0A22F9A1" w:rsidR="000239A9" w:rsidRPr="00FB0A3A" w:rsidRDefault="000239A9"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1 018 593,93</w:t>
            </w:r>
          </w:p>
        </w:tc>
      </w:tr>
      <w:tr w:rsidR="00B860F1" w:rsidRPr="00FB0A3A" w14:paraId="4500F98F" w14:textId="77777777" w:rsidTr="002F115E">
        <w:tc>
          <w:tcPr>
            <w:cnfStyle w:val="001000000000" w:firstRow="0" w:lastRow="0" w:firstColumn="1" w:lastColumn="0" w:oddVBand="0" w:evenVBand="0" w:oddHBand="0" w:evenHBand="0" w:firstRowFirstColumn="0" w:firstRowLastColumn="0" w:lastRowFirstColumn="0" w:lastRowLastColumn="0"/>
            <w:tcW w:w="4531" w:type="dxa"/>
            <w:hideMark/>
          </w:tcPr>
          <w:p w14:paraId="564C524E" w14:textId="77777777" w:rsidR="000239A9" w:rsidRPr="00FB0A3A" w:rsidRDefault="000239A9" w:rsidP="00B860F1">
            <w:pPr>
              <w:tabs>
                <w:tab w:val="left" w:pos="1134"/>
              </w:tabs>
              <w:rPr>
                <w:rFonts w:eastAsia="Calibri" w:cs="Times New Roman"/>
                <w:szCs w:val="18"/>
              </w:rPr>
            </w:pPr>
            <w:r w:rsidRPr="00FB0A3A">
              <w:rPr>
                <w:rFonts w:eastAsia="Calibri" w:cs="Times New Roman"/>
                <w:szCs w:val="18"/>
              </w:rPr>
              <w:t>Льготный проезд к месту отдыха</w:t>
            </w:r>
          </w:p>
        </w:tc>
        <w:tc>
          <w:tcPr>
            <w:tcW w:w="980" w:type="dxa"/>
            <w:noWrap/>
            <w:hideMark/>
          </w:tcPr>
          <w:p w14:paraId="48FE4F87" w14:textId="77777777" w:rsidR="000239A9" w:rsidRPr="00FB0A3A" w:rsidRDefault="000239A9"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тыс. руб.</w:t>
            </w:r>
          </w:p>
        </w:tc>
        <w:tc>
          <w:tcPr>
            <w:tcW w:w="1119" w:type="dxa"/>
            <w:noWrap/>
            <w:hideMark/>
          </w:tcPr>
          <w:p w14:paraId="5F3DDC09" w14:textId="77777777" w:rsidR="000239A9" w:rsidRPr="00FB0A3A" w:rsidRDefault="000239A9"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14 357,81</w:t>
            </w:r>
          </w:p>
        </w:tc>
        <w:tc>
          <w:tcPr>
            <w:tcW w:w="1257" w:type="dxa"/>
            <w:noWrap/>
            <w:hideMark/>
          </w:tcPr>
          <w:p w14:paraId="632F37FC" w14:textId="77777777" w:rsidR="000239A9" w:rsidRPr="00FB0A3A" w:rsidRDefault="000239A9"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45 115,20</w:t>
            </w:r>
          </w:p>
        </w:tc>
        <w:tc>
          <w:tcPr>
            <w:tcW w:w="1811" w:type="dxa"/>
            <w:noWrap/>
            <w:hideMark/>
          </w:tcPr>
          <w:p w14:paraId="25839BE9" w14:textId="7ACF3CE6" w:rsidR="000239A9" w:rsidRPr="00FB0A3A" w:rsidRDefault="000239A9"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35 490,00</w:t>
            </w:r>
          </w:p>
        </w:tc>
      </w:tr>
      <w:tr w:rsidR="00B860F1" w:rsidRPr="00FB0A3A" w14:paraId="708E2F09" w14:textId="77777777" w:rsidTr="002F115E">
        <w:tc>
          <w:tcPr>
            <w:cnfStyle w:val="001000000000" w:firstRow="0" w:lastRow="0" w:firstColumn="1" w:lastColumn="0" w:oddVBand="0" w:evenVBand="0" w:oddHBand="0" w:evenHBand="0" w:firstRowFirstColumn="0" w:firstRowLastColumn="0" w:lastRowFirstColumn="0" w:lastRowLastColumn="0"/>
            <w:tcW w:w="4531" w:type="dxa"/>
            <w:hideMark/>
          </w:tcPr>
          <w:p w14:paraId="6D20BD12" w14:textId="77777777" w:rsidR="000239A9" w:rsidRPr="00FB0A3A" w:rsidRDefault="000239A9" w:rsidP="00B860F1">
            <w:pPr>
              <w:tabs>
                <w:tab w:val="left" w:pos="1134"/>
              </w:tabs>
              <w:rPr>
                <w:rFonts w:eastAsia="Calibri" w:cs="Times New Roman"/>
                <w:szCs w:val="18"/>
              </w:rPr>
            </w:pPr>
            <w:r w:rsidRPr="00FB0A3A">
              <w:rPr>
                <w:rFonts w:eastAsia="Calibri" w:cs="Times New Roman"/>
                <w:szCs w:val="18"/>
              </w:rPr>
              <w:t>Итого средства на оплату труда ППП</w:t>
            </w:r>
          </w:p>
        </w:tc>
        <w:tc>
          <w:tcPr>
            <w:tcW w:w="980" w:type="dxa"/>
            <w:noWrap/>
            <w:hideMark/>
          </w:tcPr>
          <w:p w14:paraId="1C025F91" w14:textId="77777777" w:rsidR="000239A9" w:rsidRPr="00FB0A3A" w:rsidRDefault="000239A9"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тыс. руб.</w:t>
            </w:r>
          </w:p>
        </w:tc>
        <w:tc>
          <w:tcPr>
            <w:tcW w:w="1119" w:type="dxa"/>
            <w:noWrap/>
            <w:hideMark/>
          </w:tcPr>
          <w:p w14:paraId="2218F340" w14:textId="77777777" w:rsidR="000239A9" w:rsidRPr="00FB0A3A" w:rsidRDefault="000239A9"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886 240,30</w:t>
            </w:r>
          </w:p>
        </w:tc>
        <w:tc>
          <w:tcPr>
            <w:tcW w:w="1257" w:type="dxa"/>
            <w:noWrap/>
            <w:hideMark/>
          </w:tcPr>
          <w:p w14:paraId="3238B338" w14:textId="77777777" w:rsidR="000239A9" w:rsidRPr="00FB0A3A" w:rsidRDefault="000239A9"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1 265 486,04</w:t>
            </w:r>
          </w:p>
        </w:tc>
        <w:tc>
          <w:tcPr>
            <w:tcW w:w="1811" w:type="dxa"/>
            <w:noWrap/>
            <w:hideMark/>
          </w:tcPr>
          <w:p w14:paraId="4440446F" w14:textId="7B603238" w:rsidR="000239A9" w:rsidRPr="00FB0A3A" w:rsidRDefault="000239A9"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1 054 083,93</w:t>
            </w:r>
          </w:p>
        </w:tc>
      </w:tr>
      <w:tr w:rsidR="00B860F1" w:rsidRPr="00FB0A3A" w14:paraId="5BA0452E" w14:textId="77777777" w:rsidTr="002F115E">
        <w:tc>
          <w:tcPr>
            <w:cnfStyle w:val="001000000000" w:firstRow="0" w:lastRow="0" w:firstColumn="1" w:lastColumn="0" w:oddVBand="0" w:evenVBand="0" w:oddHBand="0" w:evenHBand="0" w:firstRowFirstColumn="0" w:firstRowLastColumn="0" w:lastRowFirstColumn="0" w:lastRowLastColumn="0"/>
            <w:tcW w:w="4531" w:type="dxa"/>
            <w:hideMark/>
          </w:tcPr>
          <w:p w14:paraId="19AF6EDF" w14:textId="77777777" w:rsidR="000239A9" w:rsidRPr="00FB0A3A" w:rsidRDefault="000239A9" w:rsidP="00B860F1">
            <w:pPr>
              <w:tabs>
                <w:tab w:val="left" w:pos="1134"/>
              </w:tabs>
              <w:rPr>
                <w:rFonts w:eastAsia="Calibri" w:cs="Times New Roman"/>
                <w:szCs w:val="18"/>
              </w:rPr>
            </w:pPr>
            <w:r w:rsidRPr="00FB0A3A">
              <w:rPr>
                <w:rFonts w:eastAsia="Calibri" w:cs="Times New Roman"/>
                <w:szCs w:val="18"/>
              </w:rPr>
              <w:t>Численность всего, принятая для расчета (базовый период - фактическая)</w:t>
            </w:r>
          </w:p>
        </w:tc>
        <w:tc>
          <w:tcPr>
            <w:tcW w:w="980" w:type="dxa"/>
            <w:noWrap/>
            <w:hideMark/>
          </w:tcPr>
          <w:p w14:paraId="7A3D2B90" w14:textId="77777777" w:rsidR="000239A9" w:rsidRPr="00FB0A3A" w:rsidRDefault="000239A9"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чел.</w:t>
            </w:r>
          </w:p>
        </w:tc>
        <w:tc>
          <w:tcPr>
            <w:tcW w:w="1119" w:type="dxa"/>
            <w:noWrap/>
            <w:hideMark/>
          </w:tcPr>
          <w:p w14:paraId="17BD2941" w14:textId="77777777" w:rsidR="000239A9" w:rsidRPr="00FB0A3A" w:rsidRDefault="000239A9"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1 140,9</w:t>
            </w:r>
          </w:p>
        </w:tc>
        <w:tc>
          <w:tcPr>
            <w:tcW w:w="1257" w:type="dxa"/>
            <w:noWrap/>
            <w:hideMark/>
          </w:tcPr>
          <w:p w14:paraId="4EE4527E" w14:textId="77777777" w:rsidR="000239A9" w:rsidRPr="00FB0A3A" w:rsidRDefault="000239A9"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1 182,9</w:t>
            </w:r>
          </w:p>
        </w:tc>
        <w:tc>
          <w:tcPr>
            <w:tcW w:w="1811" w:type="dxa"/>
            <w:noWrap/>
            <w:hideMark/>
          </w:tcPr>
          <w:p w14:paraId="283D883D" w14:textId="3473997D" w:rsidR="000239A9" w:rsidRPr="00FB0A3A" w:rsidRDefault="000239A9"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1 183,0</w:t>
            </w:r>
          </w:p>
        </w:tc>
      </w:tr>
      <w:tr w:rsidR="00B860F1" w:rsidRPr="00FB0A3A" w14:paraId="59DC3A98" w14:textId="77777777" w:rsidTr="002F115E">
        <w:tc>
          <w:tcPr>
            <w:cnfStyle w:val="001000000000" w:firstRow="0" w:lastRow="0" w:firstColumn="1" w:lastColumn="0" w:oddVBand="0" w:evenVBand="0" w:oddHBand="0" w:evenHBand="0" w:firstRowFirstColumn="0" w:firstRowLastColumn="0" w:lastRowFirstColumn="0" w:lastRowLastColumn="0"/>
            <w:tcW w:w="4531" w:type="dxa"/>
            <w:hideMark/>
          </w:tcPr>
          <w:p w14:paraId="2E8AD851" w14:textId="77777777" w:rsidR="000239A9" w:rsidRPr="00FB0A3A" w:rsidRDefault="000239A9" w:rsidP="00B860F1">
            <w:pPr>
              <w:tabs>
                <w:tab w:val="left" w:pos="1134"/>
              </w:tabs>
              <w:rPr>
                <w:rFonts w:eastAsia="Calibri" w:cs="Times New Roman"/>
                <w:szCs w:val="18"/>
              </w:rPr>
            </w:pPr>
            <w:r w:rsidRPr="00FB0A3A">
              <w:rPr>
                <w:rFonts w:eastAsia="Calibri" w:cs="Times New Roman"/>
                <w:szCs w:val="18"/>
              </w:rPr>
              <w:t>Денежные выплаты на 1 работника</w:t>
            </w:r>
          </w:p>
        </w:tc>
        <w:tc>
          <w:tcPr>
            <w:tcW w:w="980" w:type="dxa"/>
            <w:noWrap/>
            <w:hideMark/>
          </w:tcPr>
          <w:p w14:paraId="1F9976C4" w14:textId="77777777" w:rsidR="000239A9" w:rsidRPr="00FB0A3A" w:rsidRDefault="000239A9"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руб.</w:t>
            </w:r>
          </w:p>
        </w:tc>
        <w:tc>
          <w:tcPr>
            <w:tcW w:w="1119" w:type="dxa"/>
            <w:noWrap/>
            <w:hideMark/>
          </w:tcPr>
          <w:p w14:paraId="5D6E00C9" w14:textId="77777777" w:rsidR="000239A9" w:rsidRPr="00FB0A3A" w:rsidRDefault="000239A9"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 </w:t>
            </w:r>
          </w:p>
        </w:tc>
        <w:tc>
          <w:tcPr>
            <w:tcW w:w="1257" w:type="dxa"/>
            <w:noWrap/>
            <w:hideMark/>
          </w:tcPr>
          <w:p w14:paraId="60211913" w14:textId="77777777" w:rsidR="000239A9" w:rsidRPr="00FB0A3A" w:rsidRDefault="000239A9"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 </w:t>
            </w:r>
          </w:p>
        </w:tc>
        <w:tc>
          <w:tcPr>
            <w:tcW w:w="1811" w:type="dxa"/>
            <w:noWrap/>
            <w:hideMark/>
          </w:tcPr>
          <w:p w14:paraId="70CBE9FB" w14:textId="51D40FB9" w:rsidR="000239A9" w:rsidRPr="00FB0A3A" w:rsidRDefault="000239A9"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r>
      <w:tr w:rsidR="00B860F1" w:rsidRPr="00FB0A3A" w14:paraId="1845C72A" w14:textId="77777777" w:rsidTr="002F115E">
        <w:tc>
          <w:tcPr>
            <w:cnfStyle w:val="001000000000" w:firstRow="0" w:lastRow="0" w:firstColumn="1" w:lastColumn="0" w:oddVBand="0" w:evenVBand="0" w:oddHBand="0" w:evenHBand="0" w:firstRowFirstColumn="0" w:firstRowLastColumn="0" w:lastRowFirstColumn="0" w:lastRowLastColumn="0"/>
            <w:tcW w:w="4531" w:type="dxa"/>
            <w:hideMark/>
          </w:tcPr>
          <w:p w14:paraId="70C0AF29" w14:textId="77777777" w:rsidR="000239A9" w:rsidRPr="00FB0A3A" w:rsidRDefault="000239A9" w:rsidP="00B860F1">
            <w:pPr>
              <w:tabs>
                <w:tab w:val="left" w:pos="1134"/>
              </w:tabs>
              <w:rPr>
                <w:rFonts w:eastAsia="Calibri" w:cs="Times New Roman"/>
                <w:szCs w:val="18"/>
              </w:rPr>
            </w:pPr>
            <w:r w:rsidRPr="00FB0A3A">
              <w:rPr>
                <w:rFonts w:eastAsia="Calibri" w:cs="Times New Roman"/>
                <w:szCs w:val="18"/>
              </w:rPr>
              <w:t>Итого по денежным выплатам</w:t>
            </w:r>
          </w:p>
        </w:tc>
        <w:tc>
          <w:tcPr>
            <w:tcW w:w="980" w:type="dxa"/>
            <w:noWrap/>
            <w:hideMark/>
          </w:tcPr>
          <w:p w14:paraId="2B0C9ED9" w14:textId="77777777" w:rsidR="000239A9" w:rsidRPr="00FB0A3A" w:rsidRDefault="000239A9"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тыс. руб.</w:t>
            </w:r>
          </w:p>
        </w:tc>
        <w:tc>
          <w:tcPr>
            <w:tcW w:w="1119" w:type="dxa"/>
            <w:noWrap/>
            <w:hideMark/>
          </w:tcPr>
          <w:p w14:paraId="1E36B47D" w14:textId="77777777" w:rsidR="000239A9" w:rsidRPr="00FB0A3A" w:rsidRDefault="000239A9"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 </w:t>
            </w:r>
          </w:p>
        </w:tc>
        <w:tc>
          <w:tcPr>
            <w:tcW w:w="1257" w:type="dxa"/>
            <w:noWrap/>
            <w:hideMark/>
          </w:tcPr>
          <w:p w14:paraId="33B6E817" w14:textId="77777777" w:rsidR="000239A9" w:rsidRPr="00FB0A3A" w:rsidRDefault="000239A9"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 </w:t>
            </w:r>
          </w:p>
        </w:tc>
        <w:tc>
          <w:tcPr>
            <w:tcW w:w="1811" w:type="dxa"/>
            <w:noWrap/>
            <w:hideMark/>
          </w:tcPr>
          <w:p w14:paraId="0AF29B8B" w14:textId="4F6C18B4" w:rsidR="000239A9" w:rsidRPr="00FB0A3A" w:rsidRDefault="000239A9"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 </w:t>
            </w:r>
          </w:p>
        </w:tc>
      </w:tr>
      <w:tr w:rsidR="00B860F1" w:rsidRPr="00FB0A3A" w14:paraId="72920CF9" w14:textId="77777777" w:rsidTr="002F115E">
        <w:tc>
          <w:tcPr>
            <w:cnfStyle w:val="001000000000" w:firstRow="0" w:lastRow="0" w:firstColumn="1" w:lastColumn="0" w:oddVBand="0" w:evenVBand="0" w:oddHBand="0" w:evenHBand="0" w:firstRowFirstColumn="0" w:firstRowLastColumn="0" w:lastRowFirstColumn="0" w:lastRowLastColumn="0"/>
            <w:tcW w:w="4531" w:type="dxa"/>
            <w:hideMark/>
          </w:tcPr>
          <w:p w14:paraId="47F65B6B" w14:textId="77777777" w:rsidR="000239A9" w:rsidRPr="00FB0A3A" w:rsidRDefault="000239A9" w:rsidP="00B860F1">
            <w:pPr>
              <w:tabs>
                <w:tab w:val="left" w:pos="1134"/>
              </w:tabs>
              <w:rPr>
                <w:rFonts w:eastAsia="Calibri" w:cs="Times New Roman"/>
                <w:szCs w:val="18"/>
              </w:rPr>
            </w:pPr>
            <w:r w:rsidRPr="00FB0A3A">
              <w:rPr>
                <w:rFonts w:eastAsia="Calibri" w:cs="Times New Roman"/>
                <w:szCs w:val="18"/>
              </w:rPr>
              <w:t>Итого средства на потребление</w:t>
            </w:r>
          </w:p>
        </w:tc>
        <w:tc>
          <w:tcPr>
            <w:tcW w:w="980" w:type="dxa"/>
            <w:noWrap/>
            <w:hideMark/>
          </w:tcPr>
          <w:p w14:paraId="511DE472" w14:textId="77777777" w:rsidR="000239A9" w:rsidRPr="00FB0A3A" w:rsidRDefault="000239A9"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тыс. руб.</w:t>
            </w:r>
          </w:p>
        </w:tc>
        <w:tc>
          <w:tcPr>
            <w:tcW w:w="1119" w:type="dxa"/>
            <w:noWrap/>
            <w:hideMark/>
          </w:tcPr>
          <w:p w14:paraId="02D1DBAF" w14:textId="77777777" w:rsidR="000239A9" w:rsidRPr="00FB0A3A" w:rsidRDefault="000239A9"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886 240,30</w:t>
            </w:r>
          </w:p>
        </w:tc>
        <w:tc>
          <w:tcPr>
            <w:tcW w:w="1257" w:type="dxa"/>
            <w:noWrap/>
            <w:hideMark/>
          </w:tcPr>
          <w:p w14:paraId="47E57C20" w14:textId="77777777" w:rsidR="000239A9" w:rsidRPr="00FB0A3A" w:rsidRDefault="000239A9"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1 265 486,04</w:t>
            </w:r>
          </w:p>
        </w:tc>
        <w:tc>
          <w:tcPr>
            <w:tcW w:w="1811" w:type="dxa"/>
            <w:noWrap/>
            <w:hideMark/>
          </w:tcPr>
          <w:p w14:paraId="49D7B044" w14:textId="00FC8BD5" w:rsidR="000239A9" w:rsidRPr="00FB0A3A" w:rsidRDefault="000239A9"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1 054 083,93 </w:t>
            </w:r>
          </w:p>
        </w:tc>
      </w:tr>
      <w:tr w:rsidR="00B860F1" w:rsidRPr="00FB0A3A" w14:paraId="2BCD15D1" w14:textId="77777777" w:rsidTr="002F115E">
        <w:tc>
          <w:tcPr>
            <w:cnfStyle w:val="001000000000" w:firstRow="0" w:lastRow="0" w:firstColumn="1" w:lastColumn="0" w:oddVBand="0" w:evenVBand="0" w:oddHBand="0" w:evenHBand="0" w:firstRowFirstColumn="0" w:firstRowLastColumn="0" w:lastRowFirstColumn="0" w:lastRowLastColumn="0"/>
            <w:tcW w:w="4531" w:type="dxa"/>
            <w:hideMark/>
          </w:tcPr>
          <w:p w14:paraId="6808985A" w14:textId="77777777" w:rsidR="000239A9" w:rsidRPr="00FB0A3A" w:rsidRDefault="000239A9" w:rsidP="00B860F1">
            <w:pPr>
              <w:tabs>
                <w:tab w:val="left" w:pos="1134"/>
              </w:tabs>
              <w:rPr>
                <w:rFonts w:eastAsia="Calibri" w:cs="Times New Roman"/>
                <w:szCs w:val="18"/>
              </w:rPr>
            </w:pPr>
            <w:r w:rsidRPr="00FB0A3A">
              <w:rPr>
                <w:rFonts w:eastAsia="Calibri" w:cs="Times New Roman"/>
                <w:szCs w:val="18"/>
              </w:rPr>
              <w:t>Среднемесячный доход на 1 работника</w:t>
            </w:r>
          </w:p>
        </w:tc>
        <w:tc>
          <w:tcPr>
            <w:tcW w:w="980" w:type="dxa"/>
            <w:noWrap/>
            <w:hideMark/>
          </w:tcPr>
          <w:p w14:paraId="2CC9A41D" w14:textId="77777777" w:rsidR="000239A9" w:rsidRPr="00FB0A3A" w:rsidRDefault="000239A9"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руб.</w:t>
            </w:r>
          </w:p>
        </w:tc>
        <w:tc>
          <w:tcPr>
            <w:tcW w:w="1119" w:type="dxa"/>
            <w:noWrap/>
            <w:hideMark/>
          </w:tcPr>
          <w:p w14:paraId="4EA9CA32" w14:textId="77777777" w:rsidR="000239A9" w:rsidRPr="00FB0A3A" w:rsidRDefault="000239A9"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63 683,82</w:t>
            </w:r>
          </w:p>
        </w:tc>
        <w:tc>
          <w:tcPr>
            <w:tcW w:w="1257" w:type="dxa"/>
            <w:noWrap/>
            <w:hideMark/>
          </w:tcPr>
          <w:p w14:paraId="62BEBBF3" w14:textId="77777777" w:rsidR="000239A9" w:rsidRPr="00FB0A3A" w:rsidRDefault="000239A9"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85 973,09</w:t>
            </w:r>
          </w:p>
        </w:tc>
        <w:tc>
          <w:tcPr>
            <w:tcW w:w="1811" w:type="dxa"/>
            <w:noWrap/>
            <w:hideMark/>
          </w:tcPr>
          <w:p w14:paraId="4A3D46AC" w14:textId="738D2711" w:rsidR="000239A9" w:rsidRPr="00FB0A3A" w:rsidRDefault="000239A9"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71 752,18</w:t>
            </w:r>
          </w:p>
        </w:tc>
      </w:tr>
      <w:tr w:rsidR="00B860F1" w:rsidRPr="00FB0A3A" w14:paraId="3DECB84B" w14:textId="77777777" w:rsidTr="002F115E">
        <w:tc>
          <w:tcPr>
            <w:cnfStyle w:val="001000000000" w:firstRow="0" w:lastRow="0" w:firstColumn="1" w:lastColumn="0" w:oddVBand="0" w:evenVBand="0" w:oddHBand="0" w:evenHBand="0" w:firstRowFirstColumn="0" w:firstRowLastColumn="0" w:lastRowFirstColumn="0" w:lastRowLastColumn="0"/>
            <w:tcW w:w="4531" w:type="dxa"/>
          </w:tcPr>
          <w:p w14:paraId="4C2572C6" w14:textId="3E5052C7" w:rsidR="000239A9" w:rsidRPr="00FB0A3A" w:rsidRDefault="000239A9" w:rsidP="00B860F1">
            <w:pPr>
              <w:tabs>
                <w:tab w:val="left" w:pos="1134"/>
              </w:tabs>
              <w:rPr>
                <w:rFonts w:eastAsia="Calibri" w:cs="Times New Roman"/>
                <w:szCs w:val="18"/>
              </w:rPr>
            </w:pPr>
            <w:r w:rsidRPr="00FB0A3A">
              <w:rPr>
                <w:rFonts w:eastAsia="Calibri" w:cs="Times New Roman"/>
                <w:szCs w:val="18"/>
              </w:rPr>
              <w:t xml:space="preserve">Среднемесячная заработная плата в расчёте на одного работника по виду экономической деятельности: </w:t>
            </w:r>
            <w:r w:rsidR="00655FFA" w:rsidRPr="00FB0A3A">
              <w:rPr>
                <w:rFonts w:eastAsia="Calibri" w:cs="Times New Roman"/>
                <w:szCs w:val="18"/>
              </w:rPr>
              <w:t>«</w:t>
            </w:r>
            <w:r w:rsidRPr="00FB0A3A">
              <w:rPr>
                <w:rFonts w:eastAsia="Calibri" w:cs="Times New Roman"/>
                <w:szCs w:val="18"/>
              </w:rPr>
              <w:t>Обеспечение электрической энергией, газом и паром; кондиционирование воздуха</w:t>
            </w:r>
            <w:r w:rsidR="00655FFA" w:rsidRPr="00FB0A3A">
              <w:rPr>
                <w:rFonts w:eastAsia="Calibri" w:cs="Times New Roman"/>
                <w:szCs w:val="18"/>
              </w:rPr>
              <w:t>»</w:t>
            </w:r>
            <w:r w:rsidRPr="00FB0A3A">
              <w:rPr>
                <w:rFonts w:eastAsia="Calibri" w:cs="Times New Roman"/>
                <w:szCs w:val="18"/>
              </w:rPr>
              <w:t xml:space="preserve"> по Мурманской области</w:t>
            </w:r>
          </w:p>
        </w:tc>
        <w:tc>
          <w:tcPr>
            <w:tcW w:w="980" w:type="dxa"/>
            <w:noWrap/>
          </w:tcPr>
          <w:p w14:paraId="53B104D3" w14:textId="487C34D9" w:rsidR="000239A9" w:rsidRPr="00FB0A3A" w:rsidRDefault="000239A9"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руб.</w:t>
            </w:r>
          </w:p>
        </w:tc>
        <w:tc>
          <w:tcPr>
            <w:tcW w:w="1119" w:type="dxa"/>
            <w:noWrap/>
          </w:tcPr>
          <w:p w14:paraId="4912E5E6" w14:textId="600449DD" w:rsidR="000239A9" w:rsidRPr="00FB0A3A" w:rsidRDefault="000239A9"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66 741,9</w:t>
            </w:r>
          </w:p>
        </w:tc>
        <w:tc>
          <w:tcPr>
            <w:tcW w:w="1257" w:type="dxa"/>
            <w:noWrap/>
          </w:tcPr>
          <w:p w14:paraId="750A7AD3" w14:textId="77777777" w:rsidR="000239A9" w:rsidRPr="00FB0A3A" w:rsidRDefault="000239A9"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1811" w:type="dxa"/>
            <w:noWrap/>
          </w:tcPr>
          <w:p w14:paraId="2E16DB6D" w14:textId="1F9285BE" w:rsidR="000239A9" w:rsidRPr="00FB0A3A" w:rsidRDefault="000239A9" w:rsidP="00B860F1">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71 752,18 18 (66 741,9 * 1,027 * 1,0465)</w:t>
            </w:r>
          </w:p>
        </w:tc>
      </w:tr>
    </w:tbl>
    <w:p w14:paraId="5F069E70" w14:textId="77777777" w:rsidR="0050761E" w:rsidRPr="00FB0A3A" w:rsidRDefault="0050761E" w:rsidP="007C65E3">
      <w:pPr>
        <w:tabs>
          <w:tab w:val="left" w:pos="1134"/>
        </w:tabs>
        <w:spacing w:after="0" w:line="360" w:lineRule="auto"/>
        <w:ind w:firstLine="567"/>
        <w:rPr>
          <w:rFonts w:ascii="Myriad Pro" w:hAnsi="Myriad Pro"/>
        </w:rPr>
      </w:pPr>
    </w:p>
    <w:tbl>
      <w:tblPr>
        <w:tblStyle w:val="afff6"/>
        <w:tblW w:w="5000" w:type="pct"/>
        <w:tblLook w:val="04A0" w:firstRow="1" w:lastRow="0" w:firstColumn="1" w:lastColumn="0" w:noHBand="0" w:noVBand="1"/>
      </w:tblPr>
      <w:tblGrid>
        <w:gridCol w:w="1978"/>
        <w:gridCol w:w="1801"/>
        <w:gridCol w:w="1174"/>
        <w:gridCol w:w="1427"/>
        <w:gridCol w:w="1483"/>
        <w:gridCol w:w="1481"/>
      </w:tblGrid>
      <w:tr w:rsidR="00907AB4" w:rsidRPr="00FB0A3A" w14:paraId="638EA402" w14:textId="77777777" w:rsidTr="009071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42CD9B36" w14:textId="77777777" w:rsidR="0050761E" w:rsidRPr="00FB0A3A" w:rsidRDefault="0050761E" w:rsidP="007C65E3">
            <w:pPr>
              <w:tabs>
                <w:tab w:val="left" w:pos="1134"/>
              </w:tabs>
              <w:jc w:val="center"/>
              <w:rPr>
                <w:szCs w:val="18"/>
              </w:rPr>
            </w:pPr>
            <w:r w:rsidRPr="00FB0A3A">
              <w:rPr>
                <w:szCs w:val="18"/>
              </w:rPr>
              <w:lastRenderedPageBreak/>
              <w:t> Наименование статьи</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64C84087" w14:textId="77777777" w:rsidR="0050761E" w:rsidRPr="00FB0A3A" w:rsidRDefault="0050761E" w:rsidP="007C65E3">
            <w:pPr>
              <w:tabs>
                <w:tab w:val="left" w:pos="1134"/>
              </w:tabs>
              <w:cnfStyle w:val="100000000000" w:firstRow="1" w:lastRow="0" w:firstColumn="0" w:lastColumn="0" w:oddVBand="0" w:evenVBand="0" w:oddHBand="0" w:evenHBand="0" w:firstRowFirstColumn="0" w:firstRowLastColumn="0" w:lastRowFirstColumn="0" w:lastRowLastColumn="0"/>
              <w:rPr>
                <w:szCs w:val="18"/>
              </w:rPr>
            </w:pPr>
            <w:r w:rsidRPr="00FB0A3A">
              <w:rPr>
                <w:szCs w:val="18"/>
              </w:rPr>
              <w:t>Заявлено Филиалом</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1607A0B" w14:textId="77777777" w:rsidR="0050761E" w:rsidRPr="00FB0A3A" w:rsidRDefault="0050761E" w:rsidP="007C65E3">
            <w:pPr>
              <w:tabs>
                <w:tab w:val="left" w:pos="1134"/>
              </w:tabs>
              <w:cnfStyle w:val="100000000000" w:firstRow="1" w:lastRow="0" w:firstColumn="0" w:lastColumn="0" w:oddVBand="0" w:evenVBand="0" w:oddHBand="0" w:evenHBand="0" w:firstRowFirstColumn="0" w:firstRowLastColumn="0" w:lastRowFirstColumn="0" w:lastRowLastColumn="0"/>
              <w:rPr>
                <w:szCs w:val="18"/>
              </w:rPr>
            </w:pPr>
            <w:r w:rsidRPr="00FB0A3A">
              <w:rPr>
                <w:szCs w:val="18"/>
              </w:rPr>
              <w:t>Рассчитано Комитетом (ЭОУ)</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D36F3A1" w14:textId="77777777" w:rsidR="0050761E" w:rsidRPr="00FB0A3A" w:rsidRDefault="0050761E" w:rsidP="007C65E3">
            <w:pPr>
              <w:tabs>
                <w:tab w:val="left" w:pos="1134"/>
              </w:tabs>
              <w:cnfStyle w:val="100000000000" w:firstRow="1" w:lastRow="0" w:firstColumn="0" w:lastColumn="0" w:oddVBand="0" w:evenVBand="0" w:oddHBand="0" w:evenHBand="0" w:firstRowFirstColumn="0" w:firstRowLastColumn="0" w:lastRowFirstColumn="0" w:lastRowLastColumn="0"/>
              <w:rPr>
                <w:szCs w:val="18"/>
              </w:rPr>
            </w:pPr>
            <w:r w:rsidRPr="00FB0A3A">
              <w:rPr>
                <w:szCs w:val="18"/>
              </w:rPr>
              <w:t>Рассчитано Исполнителем (ЭОУ)</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02D363C" w14:textId="77777777" w:rsidR="0050761E" w:rsidRPr="00FB0A3A" w:rsidRDefault="0050761E" w:rsidP="007C65E3">
            <w:pPr>
              <w:tabs>
                <w:tab w:val="left" w:pos="1134"/>
              </w:tabs>
              <w:cnfStyle w:val="100000000000" w:firstRow="1" w:lastRow="0" w:firstColumn="0" w:lastColumn="0" w:oddVBand="0" w:evenVBand="0" w:oddHBand="0" w:evenHBand="0" w:firstRowFirstColumn="0" w:firstRowLastColumn="0" w:lastRowFirstColumn="0" w:lastRowLastColumn="0"/>
              <w:rPr>
                <w:szCs w:val="18"/>
              </w:rPr>
            </w:pPr>
            <w:r w:rsidRPr="00FB0A3A">
              <w:rPr>
                <w:szCs w:val="18"/>
              </w:rPr>
              <w:t>Отклонение  между Исполнителем и Комитетом</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1869854" w14:textId="77777777" w:rsidR="0050761E" w:rsidRPr="00FB0A3A" w:rsidRDefault="0050761E" w:rsidP="007C65E3">
            <w:pPr>
              <w:tabs>
                <w:tab w:val="left" w:pos="1134"/>
              </w:tabs>
              <w:cnfStyle w:val="100000000000" w:firstRow="1" w:lastRow="0" w:firstColumn="0" w:lastColumn="0" w:oddVBand="0" w:evenVBand="0" w:oddHBand="0" w:evenHBand="0" w:firstRowFirstColumn="0" w:firstRowLastColumn="0" w:lastRowFirstColumn="0" w:lastRowLastColumn="0"/>
              <w:rPr>
                <w:szCs w:val="18"/>
              </w:rPr>
            </w:pPr>
            <w:r w:rsidRPr="00FB0A3A">
              <w:rPr>
                <w:szCs w:val="18"/>
              </w:rPr>
              <w:t>Отклонение  между Исполнителем и Филиалом</w:t>
            </w:r>
          </w:p>
        </w:tc>
      </w:tr>
      <w:tr w:rsidR="00655FFA" w:rsidRPr="00FB0A3A" w14:paraId="539E33FF" w14:textId="77777777" w:rsidTr="00907125">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tcBorders>
            <w:hideMark/>
          </w:tcPr>
          <w:p w14:paraId="7236C43B" w14:textId="77777777" w:rsidR="0050761E" w:rsidRPr="00FB0A3A" w:rsidRDefault="0050761E" w:rsidP="007C65E3">
            <w:pPr>
              <w:tabs>
                <w:tab w:val="left" w:pos="1134"/>
              </w:tabs>
              <w:rPr>
                <w:szCs w:val="18"/>
              </w:rPr>
            </w:pPr>
            <w:r w:rsidRPr="00FB0A3A">
              <w:rPr>
                <w:szCs w:val="18"/>
              </w:rPr>
              <w:t>Расходы на оплату труда</w:t>
            </w:r>
          </w:p>
        </w:tc>
        <w:tc>
          <w:tcPr>
            <w:tcW w:w="0" w:type="auto"/>
            <w:tcBorders>
              <w:top w:val="single" w:sz="4" w:space="0" w:color="FFFFFF" w:themeColor="background1"/>
            </w:tcBorders>
            <w:hideMark/>
          </w:tcPr>
          <w:p w14:paraId="3A12EDAA" w14:textId="77777777" w:rsidR="0050761E" w:rsidRPr="00FB0A3A" w:rsidRDefault="0050761E" w:rsidP="007C65E3">
            <w:pPr>
              <w:tabs>
                <w:tab w:val="left" w:pos="1134"/>
              </w:tabs>
              <w:cnfStyle w:val="000000000000" w:firstRow="0" w:lastRow="0" w:firstColumn="0" w:lastColumn="0" w:oddVBand="0" w:evenVBand="0" w:oddHBand="0" w:evenHBand="0" w:firstRowFirstColumn="0" w:firstRowLastColumn="0" w:lastRowFirstColumn="0" w:lastRowLastColumn="0"/>
              <w:rPr>
                <w:szCs w:val="18"/>
              </w:rPr>
            </w:pPr>
            <w:r w:rsidRPr="00FB0A3A">
              <w:rPr>
                <w:szCs w:val="18"/>
              </w:rPr>
              <w:t>1 265 486,04</w:t>
            </w:r>
          </w:p>
        </w:tc>
        <w:tc>
          <w:tcPr>
            <w:tcW w:w="0" w:type="auto"/>
            <w:tcBorders>
              <w:top w:val="single" w:sz="4" w:space="0" w:color="FFFFFF" w:themeColor="background1"/>
            </w:tcBorders>
            <w:hideMark/>
          </w:tcPr>
          <w:p w14:paraId="033471B2" w14:textId="77777777" w:rsidR="0050761E" w:rsidRPr="00FB0A3A" w:rsidRDefault="0050761E" w:rsidP="007C65E3">
            <w:pPr>
              <w:tabs>
                <w:tab w:val="left" w:pos="1134"/>
              </w:tabs>
              <w:cnfStyle w:val="000000000000" w:firstRow="0" w:lastRow="0" w:firstColumn="0" w:lastColumn="0" w:oddVBand="0" w:evenVBand="0" w:oddHBand="0" w:evenHBand="0" w:firstRowFirstColumn="0" w:firstRowLastColumn="0" w:lastRowFirstColumn="0" w:lastRowLastColumn="0"/>
              <w:rPr>
                <w:szCs w:val="18"/>
              </w:rPr>
            </w:pPr>
            <w:r w:rsidRPr="00FB0A3A">
              <w:rPr>
                <w:szCs w:val="18"/>
              </w:rPr>
              <w:t>1 031 111,20</w:t>
            </w:r>
          </w:p>
        </w:tc>
        <w:tc>
          <w:tcPr>
            <w:tcW w:w="0" w:type="auto"/>
            <w:tcBorders>
              <w:top w:val="single" w:sz="4" w:space="0" w:color="FFFFFF" w:themeColor="background1"/>
            </w:tcBorders>
            <w:hideMark/>
          </w:tcPr>
          <w:p w14:paraId="0DFA7277" w14:textId="77777777" w:rsidR="0050761E" w:rsidRPr="00FB0A3A" w:rsidRDefault="0050761E" w:rsidP="007C65E3">
            <w:pPr>
              <w:tabs>
                <w:tab w:val="left" w:pos="1134"/>
              </w:tabs>
              <w:cnfStyle w:val="000000000000" w:firstRow="0" w:lastRow="0" w:firstColumn="0" w:lastColumn="0" w:oddVBand="0" w:evenVBand="0" w:oddHBand="0" w:evenHBand="0" w:firstRowFirstColumn="0" w:firstRowLastColumn="0" w:lastRowFirstColumn="0" w:lastRowLastColumn="0"/>
              <w:rPr>
                <w:szCs w:val="18"/>
              </w:rPr>
            </w:pPr>
            <w:r w:rsidRPr="00FB0A3A">
              <w:rPr>
                <w:szCs w:val="18"/>
              </w:rPr>
              <w:t>1 054 083,93</w:t>
            </w:r>
          </w:p>
        </w:tc>
        <w:tc>
          <w:tcPr>
            <w:tcW w:w="0" w:type="auto"/>
            <w:tcBorders>
              <w:top w:val="single" w:sz="4" w:space="0" w:color="FFFFFF" w:themeColor="background1"/>
            </w:tcBorders>
            <w:hideMark/>
          </w:tcPr>
          <w:p w14:paraId="5C05E692" w14:textId="77777777" w:rsidR="0050761E" w:rsidRPr="00FB0A3A" w:rsidRDefault="0050761E" w:rsidP="007C65E3">
            <w:pPr>
              <w:tabs>
                <w:tab w:val="left" w:pos="1134"/>
              </w:tabs>
              <w:cnfStyle w:val="000000000000" w:firstRow="0" w:lastRow="0" w:firstColumn="0" w:lastColumn="0" w:oddVBand="0" w:evenVBand="0" w:oddHBand="0" w:evenHBand="0" w:firstRowFirstColumn="0" w:firstRowLastColumn="0" w:lastRowFirstColumn="0" w:lastRowLastColumn="0"/>
              <w:rPr>
                <w:szCs w:val="18"/>
              </w:rPr>
            </w:pPr>
            <w:r w:rsidRPr="00FB0A3A">
              <w:rPr>
                <w:szCs w:val="18"/>
              </w:rPr>
              <w:t>22 972,73</w:t>
            </w:r>
          </w:p>
        </w:tc>
        <w:tc>
          <w:tcPr>
            <w:tcW w:w="0" w:type="auto"/>
            <w:tcBorders>
              <w:top w:val="single" w:sz="4" w:space="0" w:color="FFFFFF" w:themeColor="background1"/>
            </w:tcBorders>
            <w:hideMark/>
          </w:tcPr>
          <w:p w14:paraId="696B4761" w14:textId="2ECF0596" w:rsidR="0050761E" w:rsidRPr="00FB0A3A" w:rsidRDefault="0050761E" w:rsidP="007C65E3">
            <w:pPr>
              <w:tabs>
                <w:tab w:val="left" w:pos="1134"/>
              </w:tabs>
              <w:cnfStyle w:val="000000000000" w:firstRow="0" w:lastRow="0" w:firstColumn="0" w:lastColumn="0" w:oddVBand="0" w:evenVBand="0" w:oddHBand="0" w:evenHBand="0" w:firstRowFirstColumn="0" w:firstRowLastColumn="0" w:lastRowFirstColumn="0" w:lastRowLastColumn="0"/>
              <w:rPr>
                <w:szCs w:val="18"/>
              </w:rPr>
            </w:pPr>
            <w:r w:rsidRPr="00FB0A3A">
              <w:rPr>
                <w:szCs w:val="18"/>
              </w:rPr>
              <w:t>211 402,11</w:t>
            </w:r>
          </w:p>
        </w:tc>
      </w:tr>
    </w:tbl>
    <w:p w14:paraId="16EF6969" w14:textId="446C61FA" w:rsidR="004B0514" w:rsidRPr="00FB0A3A" w:rsidRDefault="00D7737A" w:rsidP="007C65E3">
      <w:pPr>
        <w:tabs>
          <w:tab w:val="left" w:pos="1134"/>
        </w:tabs>
        <w:spacing w:before="240" w:after="0" w:line="360" w:lineRule="auto"/>
        <w:jc w:val="both"/>
        <w:rPr>
          <w:rFonts w:ascii="Myriad Pro" w:eastAsia="Calibri" w:hAnsi="Myriad Pro" w:cs="Times New Roman"/>
          <w:b/>
          <w:i/>
          <w:sz w:val="26"/>
          <w:szCs w:val="26"/>
        </w:rPr>
      </w:pPr>
      <w:r w:rsidRPr="00FB0A3A">
        <w:rPr>
          <w:rFonts w:ascii="Myriad Pro" w:eastAsia="Calibri" w:hAnsi="Myriad Pro" w:cs="Times New Roman"/>
          <w:b/>
          <w:i/>
          <w:sz w:val="26"/>
          <w:szCs w:val="26"/>
        </w:rPr>
        <w:t>Электроэнергия на хозяйственные нужды</w:t>
      </w:r>
    </w:p>
    <w:p w14:paraId="1BFFEB8C" w14:textId="77777777" w:rsidR="00E51B45" w:rsidRPr="00FB0A3A" w:rsidRDefault="00E51B45"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Основания: пункты 17, 18 и 29 (при определении цены) Основ ценообразования в области регулируемых цен (тарифов) в электроэнергетике утвержденных постановлением Правительства РФ от 29.12.2011 N 1178. </w:t>
      </w:r>
    </w:p>
    <w:p w14:paraId="43FC15E1" w14:textId="77777777" w:rsidR="00E51B45" w:rsidRPr="00FB0A3A" w:rsidRDefault="00E51B45" w:rsidP="00726F36">
      <w:pPr>
        <w:pStyle w:val="afff4"/>
        <w:rPr>
          <w:lang w:val="ru-RU"/>
        </w:rPr>
      </w:pPr>
      <w:r w:rsidRPr="00FB0A3A">
        <w:rPr>
          <w:lang w:val="ru-RU"/>
        </w:rPr>
        <w:t>В соответствии с пп. 3 п. 18 Основ ценообразования в необходимую валовую выручку включаются расходы на оплату услуг, оказываемых организациями, осуществляющими регулируемую деятельность. При определении затрат по данной статье руководствоваться необходимо заключенным договором с гарантирующим поставщиком электрической энергии, либо с энергосбытовой организацией.  </w:t>
      </w:r>
    </w:p>
    <w:tbl>
      <w:tblPr>
        <w:tblStyle w:val="afff6"/>
        <w:tblW w:w="5000" w:type="pct"/>
        <w:tblLook w:val="04A0" w:firstRow="1" w:lastRow="0" w:firstColumn="1" w:lastColumn="0" w:noHBand="0" w:noVBand="1"/>
      </w:tblPr>
      <w:tblGrid>
        <w:gridCol w:w="2185"/>
        <w:gridCol w:w="1316"/>
        <w:gridCol w:w="2233"/>
        <w:gridCol w:w="1211"/>
        <w:gridCol w:w="1507"/>
        <w:gridCol w:w="892"/>
      </w:tblGrid>
      <w:tr w:rsidR="00726F36" w:rsidRPr="00FB0A3A" w14:paraId="1362A224" w14:textId="77777777" w:rsidTr="009071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6585D3FC" w14:textId="77777777" w:rsidR="00E51B45" w:rsidRPr="00FB0A3A" w:rsidRDefault="00E51B45" w:rsidP="00726F36">
            <w:pPr>
              <w:tabs>
                <w:tab w:val="left" w:pos="1134"/>
              </w:tabs>
              <w:jc w:val="center"/>
              <w:rPr>
                <w:rFonts w:eastAsia="Calibri" w:cs="Times New Roman"/>
                <w:szCs w:val="18"/>
              </w:rPr>
            </w:pPr>
            <w:r w:rsidRPr="00FB0A3A">
              <w:rPr>
                <w:rFonts w:eastAsia="Calibri" w:cs="Times New Roman"/>
                <w:szCs w:val="18"/>
              </w:rPr>
              <w:t> Наименование статьи</w:t>
            </w:r>
          </w:p>
        </w:tc>
        <w:tc>
          <w:tcPr>
            <w:tcW w:w="7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5A224FEC" w14:textId="4E322135" w:rsidR="00E51B45" w:rsidRPr="00FB0A3A" w:rsidRDefault="00726F36" w:rsidP="00726F36">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Факт за 2017,</w:t>
            </w:r>
            <w:r w:rsidRPr="00FB0A3A">
              <w:rPr>
                <w:rFonts w:eastAsia="Calibri" w:cs="Times New Roman"/>
                <w:szCs w:val="18"/>
              </w:rPr>
              <w:br/>
            </w:r>
            <w:r w:rsidR="00E51B45" w:rsidRPr="00FB0A3A">
              <w:rPr>
                <w:rFonts w:eastAsia="Calibri" w:cs="Times New Roman"/>
                <w:szCs w:val="18"/>
              </w:rPr>
              <w:t>тыс. руб.</w:t>
            </w:r>
          </w:p>
        </w:tc>
        <w:tc>
          <w:tcPr>
            <w:tcW w:w="11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16107B8" w14:textId="46FE1258" w:rsidR="00E51B45" w:rsidRPr="00FB0A3A" w:rsidRDefault="00E51B45" w:rsidP="00726F36">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 xml:space="preserve">Заявлено филиалом ПАО </w:t>
            </w:r>
            <w:r w:rsidR="00655FFA" w:rsidRPr="00FB0A3A">
              <w:rPr>
                <w:rFonts w:eastAsia="Calibri" w:cs="Times New Roman"/>
                <w:szCs w:val="18"/>
              </w:rPr>
              <w:t>«</w:t>
            </w:r>
            <w:r w:rsidR="00F619B6" w:rsidRPr="00FB0A3A">
              <w:rPr>
                <w:rFonts w:eastAsia="Calibri" w:cs="Times New Roman"/>
                <w:szCs w:val="18"/>
              </w:rPr>
              <w:t>МРСК Северо-Запада</w:t>
            </w:r>
            <w:r w:rsidR="00655FFA" w:rsidRPr="00FB0A3A">
              <w:rPr>
                <w:rFonts w:eastAsia="Calibri" w:cs="Times New Roman"/>
                <w:szCs w:val="18"/>
              </w:rPr>
              <w:t>»</w:t>
            </w:r>
            <w:r w:rsidR="00F619B6" w:rsidRPr="00FB0A3A">
              <w:rPr>
                <w:rFonts w:eastAsia="Calibri" w:cs="Times New Roman"/>
                <w:szCs w:val="18"/>
              </w:rPr>
              <w:t xml:space="preserve"> </w:t>
            </w:r>
            <w:r w:rsidR="00655FFA" w:rsidRPr="00FB0A3A">
              <w:rPr>
                <w:rFonts w:eastAsia="Calibri" w:cs="Times New Roman"/>
                <w:szCs w:val="18"/>
              </w:rPr>
              <w:t>«</w:t>
            </w:r>
            <w:r w:rsidRPr="00FB0A3A">
              <w:rPr>
                <w:rFonts w:eastAsia="Calibri" w:cs="Times New Roman"/>
                <w:szCs w:val="18"/>
              </w:rPr>
              <w:t>Колэнерго</w:t>
            </w:r>
            <w:r w:rsidR="00655FFA" w:rsidRPr="00FB0A3A">
              <w:rPr>
                <w:rFonts w:eastAsia="Calibri" w:cs="Times New Roman"/>
                <w:szCs w:val="18"/>
              </w:rPr>
              <w:t>»</w:t>
            </w:r>
            <w:r w:rsidRPr="00FB0A3A">
              <w:rPr>
                <w:rFonts w:eastAsia="Calibri" w:cs="Times New Roman"/>
                <w:szCs w:val="18"/>
              </w:rPr>
              <w:t xml:space="preserve"> на 2019, тыс. руб.</w:t>
            </w:r>
          </w:p>
        </w:tc>
        <w:tc>
          <w:tcPr>
            <w:tcW w:w="6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27208C5" w14:textId="77777777" w:rsidR="00E51B45" w:rsidRPr="00FB0A3A" w:rsidRDefault="00E51B45" w:rsidP="00726F36">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ТБР на 2019, тыс. руб.</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BC728D5" w14:textId="77777777" w:rsidR="00E51B45" w:rsidRPr="00FB0A3A" w:rsidRDefault="00E51B45" w:rsidP="00726F36">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Отклонение ТБР на 2019/ заявка на 2019, %</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2766739" w14:textId="77777777" w:rsidR="00E51B45" w:rsidRPr="00FB0A3A" w:rsidRDefault="00E51B45" w:rsidP="00726F36">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ТБР на 2019 /факт за 2017, %</w:t>
            </w:r>
          </w:p>
        </w:tc>
      </w:tr>
      <w:tr w:rsidR="00726F36" w:rsidRPr="00FB0A3A" w14:paraId="56D29FCE" w14:textId="77777777" w:rsidTr="00907125">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tcBorders>
            <w:hideMark/>
          </w:tcPr>
          <w:p w14:paraId="07F3E169" w14:textId="21B7B381" w:rsidR="00E51B45" w:rsidRPr="00FB0A3A" w:rsidRDefault="00E51B45" w:rsidP="00726F36">
            <w:pPr>
              <w:tabs>
                <w:tab w:val="left" w:pos="1134"/>
              </w:tabs>
              <w:rPr>
                <w:rFonts w:eastAsia="Calibri" w:cs="Times New Roman"/>
                <w:szCs w:val="18"/>
              </w:rPr>
            </w:pPr>
            <w:r w:rsidRPr="00FB0A3A">
              <w:rPr>
                <w:rFonts w:eastAsia="Calibri" w:cs="Times New Roman"/>
                <w:szCs w:val="18"/>
              </w:rPr>
              <w:t>Электроэнергия на хозяйственные нужды</w:t>
            </w:r>
          </w:p>
        </w:tc>
        <w:tc>
          <w:tcPr>
            <w:tcW w:w="704" w:type="pct"/>
            <w:tcBorders>
              <w:top w:val="single" w:sz="4" w:space="0" w:color="FFFFFF" w:themeColor="background1"/>
            </w:tcBorders>
            <w:hideMark/>
          </w:tcPr>
          <w:p w14:paraId="321B2355" w14:textId="77777777" w:rsidR="00E51B45" w:rsidRPr="00FB0A3A" w:rsidRDefault="00E51B45" w:rsidP="00726F3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16 806,39</w:t>
            </w:r>
          </w:p>
        </w:tc>
        <w:tc>
          <w:tcPr>
            <w:tcW w:w="1195" w:type="pct"/>
            <w:tcBorders>
              <w:top w:val="single" w:sz="4" w:space="0" w:color="FFFFFF" w:themeColor="background1"/>
            </w:tcBorders>
            <w:hideMark/>
          </w:tcPr>
          <w:p w14:paraId="56273178" w14:textId="77777777" w:rsidR="00E51B45" w:rsidRPr="00FB0A3A" w:rsidRDefault="00E51B45" w:rsidP="00726F3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19 140,76</w:t>
            </w:r>
          </w:p>
        </w:tc>
        <w:tc>
          <w:tcPr>
            <w:tcW w:w="648" w:type="pct"/>
            <w:tcBorders>
              <w:top w:val="single" w:sz="4" w:space="0" w:color="FFFFFF" w:themeColor="background1"/>
            </w:tcBorders>
            <w:hideMark/>
          </w:tcPr>
          <w:p w14:paraId="38A1AE46" w14:textId="77777777" w:rsidR="00E51B45" w:rsidRPr="00FB0A3A" w:rsidRDefault="00E51B45" w:rsidP="00726F3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17 803,31</w:t>
            </w:r>
          </w:p>
        </w:tc>
        <w:tc>
          <w:tcPr>
            <w:tcW w:w="0" w:type="auto"/>
            <w:tcBorders>
              <w:top w:val="single" w:sz="4" w:space="0" w:color="FFFFFF" w:themeColor="background1"/>
            </w:tcBorders>
            <w:hideMark/>
          </w:tcPr>
          <w:p w14:paraId="2DA77990" w14:textId="77777777" w:rsidR="00E51B45" w:rsidRPr="00FB0A3A" w:rsidRDefault="00E51B45" w:rsidP="00726F3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-7,0</w:t>
            </w:r>
          </w:p>
        </w:tc>
        <w:tc>
          <w:tcPr>
            <w:tcW w:w="0" w:type="auto"/>
            <w:tcBorders>
              <w:top w:val="single" w:sz="4" w:space="0" w:color="FFFFFF" w:themeColor="background1"/>
            </w:tcBorders>
            <w:hideMark/>
          </w:tcPr>
          <w:p w14:paraId="0CEF63C1" w14:textId="77777777" w:rsidR="00E51B45" w:rsidRPr="00FB0A3A" w:rsidRDefault="00E51B45" w:rsidP="00726F3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5,93</w:t>
            </w:r>
          </w:p>
        </w:tc>
      </w:tr>
    </w:tbl>
    <w:p w14:paraId="6BAE2313" w14:textId="4B33A0E0" w:rsidR="004B0514" w:rsidRPr="00FB0A3A" w:rsidRDefault="004B0514" w:rsidP="00A31747">
      <w:pPr>
        <w:tabs>
          <w:tab w:val="left" w:pos="1134"/>
        </w:tabs>
        <w:spacing w:after="0" w:line="360" w:lineRule="auto"/>
        <w:ind w:firstLine="567"/>
        <w:contextualSpacing/>
        <w:jc w:val="both"/>
        <w:rPr>
          <w:rFonts w:ascii="Myriad Pro" w:eastAsia="Calibri" w:hAnsi="Myriad Pro" w:cs="Times New Roman"/>
          <w:sz w:val="26"/>
          <w:szCs w:val="26"/>
        </w:rPr>
      </w:pPr>
    </w:p>
    <w:p w14:paraId="73D638D7" w14:textId="77777777" w:rsidR="000C4EFD" w:rsidRPr="00FB0A3A" w:rsidRDefault="000C4EFD" w:rsidP="00726F36">
      <w:pPr>
        <w:tabs>
          <w:tab w:val="left" w:pos="1134"/>
        </w:tabs>
        <w:spacing w:after="0" w:line="360" w:lineRule="auto"/>
        <w:contextualSpacing/>
        <w:jc w:val="both"/>
        <w:rPr>
          <w:rFonts w:ascii="Myriad Pro" w:eastAsia="Calibri" w:hAnsi="Myriad Pro" w:cs="Times New Roman"/>
          <w:b/>
          <w:sz w:val="26"/>
          <w:szCs w:val="26"/>
        </w:rPr>
      </w:pPr>
      <w:r w:rsidRPr="00FB0A3A">
        <w:rPr>
          <w:rFonts w:ascii="Myriad Pro" w:eastAsia="Calibri" w:hAnsi="Myriad Pro" w:cs="Times New Roman"/>
          <w:b/>
          <w:sz w:val="26"/>
          <w:szCs w:val="26"/>
        </w:rPr>
        <w:t>ПОЗИЦИЯ ТЕРРИТОРИАЛЬНОЙ СЕТЕВОЙ ОРГАНИЗАЦИИ</w:t>
      </w:r>
    </w:p>
    <w:p w14:paraId="7DF961BF" w14:textId="228DFD28" w:rsidR="000C4EFD" w:rsidRPr="00FB0A3A" w:rsidRDefault="000C4EFD"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 xml:space="preserve">Расходы на электроэнергию на хозяйственные нужды определены филиалом ПАО </w:t>
      </w:r>
      <w:r w:rsidR="00655FFA" w:rsidRPr="00FB0A3A">
        <w:rPr>
          <w:rFonts w:ascii="Myriad Pro" w:eastAsia="Calibri" w:hAnsi="Myriad Pro" w:cs="Times New Roman"/>
          <w:sz w:val="26"/>
          <w:szCs w:val="26"/>
        </w:rPr>
        <w:t>«</w:t>
      </w:r>
      <w:r w:rsidR="00597FD5" w:rsidRPr="00FB0A3A">
        <w:rPr>
          <w:rFonts w:ascii="Myriad Pro" w:eastAsia="Calibri" w:hAnsi="Myriad Pro" w:cs="Times New Roman"/>
          <w:sz w:val="26"/>
          <w:szCs w:val="26"/>
        </w:rPr>
        <w:t>МРСК Северо-Запада</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 xml:space="preserve"> </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Колэнерго</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 xml:space="preserve"> в необходимой валовой выручке на 2019 год и предъявлены в составе заявления от 28.04.2018 №МР2/4/02/3129 об установлении тарифов на услуги по передаче электрической энергии в размере 19 140,76 тыс. руб.</w:t>
      </w:r>
    </w:p>
    <w:p w14:paraId="6327E68D" w14:textId="13B32DA6" w:rsidR="000C4EFD" w:rsidRPr="00FB0A3A" w:rsidRDefault="000C4EFD" w:rsidP="00A31747">
      <w:pPr>
        <w:tabs>
          <w:tab w:val="left" w:pos="1134"/>
        </w:tabs>
        <w:spacing w:after="0" w:line="360" w:lineRule="auto"/>
        <w:ind w:firstLine="567"/>
        <w:jc w:val="both"/>
        <w:rPr>
          <w:rFonts w:ascii="Myriad Pro" w:hAnsi="Myriad Pro"/>
          <w:sz w:val="26"/>
          <w:szCs w:val="26"/>
        </w:rPr>
      </w:pPr>
      <w:r w:rsidRPr="00FB0A3A">
        <w:rPr>
          <w:rFonts w:ascii="Myriad Pro" w:hAnsi="Myriad Pro"/>
          <w:sz w:val="26"/>
          <w:szCs w:val="26"/>
        </w:rPr>
        <w:t xml:space="preserve">Для обоснования заявленной суммы расходов на электроэнергию на хозяйственные нужды филиалом </w:t>
      </w:r>
      <w:r w:rsidR="00350B0A" w:rsidRPr="00FB0A3A">
        <w:rPr>
          <w:rFonts w:ascii="Myriad Pro" w:hAnsi="Myriad Pro"/>
          <w:sz w:val="26"/>
          <w:szCs w:val="26"/>
        </w:rPr>
        <w:t xml:space="preserve">ПАО </w:t>
      </w:r>
      <w:r w:rsidR="00655FFA" w:rsidRPr="00FB0A3A">
        <w:rPr>
          <w:rFonts w:ascii="Myriad Pro" w:hAnsi="Myriad Pro"/>
          <w:sz w:val="26"/>
          <w:szCs w:val="26"/>
        </w:rPr>
        <w:t>«</w:t>
      </w:r>
      <w:r w:rsidR="00350B0A" w:rsidRPr="00FB0A3A">
        <w:rPr>
          <w:rFonts w:ascii="Myriad Pro" w:hAnsi="Myriad Pro"/>
          <w:sz w:val="26"/>
          <w:szCs w:val="26"/>
        </w:rPr>
        <w:t>МРСК Северо-Запада</w:t>
      </w:r>
      <w:r w:rsidR="00655FFA" w:rsidRPr="00FB0A3A">
        <w:rPr>
          <w:rFonts w:ascii="Myriad Pro" w:hAnsi="Myriad Pro"/>
          <w:sz w:val="26"/>
          <w:szCs w:val="26"/>
        </w:rPr>
        <w:t>»</w:t>
      </w:r>
      <w:r w:rsidR="00350B0A" w:rsidRPr="00FB0A3A">
        <w:rPr>
          <w:rFonts w:ascii="Myriad Pro" w:hAnsi="Myriad Pro"/>
          <w:sz w:val="26"/>
          <w:szCs w:val="26"/>
        </w:rPr>
        <w:t xml:space="preserve"> </w:t>
      </w:r>
      <w:r w:rsidR="00655FFA" w:rsidRPr="00FB0A3A">
        <w:rPr>
          <w:rFonts w:ascii="Myriad Pro" w:hAnsi="Myriad Pro"/>
          <w:sz w:val="26"/>
          <w:szCs w:val="26"/>
        </w:rPr>
        <w:t>«</w:t>
      </w:r>
      <w:r w:rsidR="00350B0A" w:rsidRPr="00FB0A3A">
        <w:rPr>
          <w:rFonts w:ascii="Myriad Pro" w:hAnsi="Myriad Pro"/>
          <w:sz w:val="26"/>
          <w:szCs w:val="26"/>
        </w:rPr>
        <w:t>Колэнерго</w:t>
      </w:r>
      <w:r w:rsidR="00655FFA" w:rsidRPr="00FB0A3A">
        <w:rPr>
          <w:rFonts w:ascii="Myriad Pro" w:hAnsi="Myriad Pro"/>
          <w:sz w:val="26"/>
          <w:szCs w:val="26"/>
        </w:rPr>
        <w:t>»</w:t>
      </w:r>
      <w:r w:rsidRPr="00FB0A3A">
        <w:rPr>
          <w:rFonts w:ascii="Myriad Pro" w:hAnsi="Myriad Pro"/>
          <w:sz w:val="26"/>
          <w:szCs w:val="26"/>
        </w:rPr>
        <w:t xml:space="preserve"> были представлены следующие документы:</w:t>
      </w:r>
    </w:p>
    <w:p w14:paraId="7CD9E6B1" w14:textId="03B1B35B" w:rsidR="000C4EFD" w:rsidRPr="00FB0A3A" w:rsidRDefault="000C4EFD"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Расчет стоимости электроэнергии на хозяйственные нужды на 2017-2019</w:t>
      </w:r>
      <w:r w:rsidR="00996030">
        <w:rPr>
          <w:rFonts w:ascii="Myriad Pro" w:hAnsi="Myriad Pro"/>
          <w:sz w:val="26"/>
          <w:szCs w:val="26"/>
        </w:rPr>
        <w:t> </w:t>
      </w:r>
      <w:r w:rsidRPr="00FB0A3A">
        <w:rPr>
          <w:rFonts w:ascii="Myriad Pro" w:hAnsi="Myriad Pro"/>
          <w:sz w:val="26"/>
          <w:szCs w:val="26"/>
        </w:rPr>
        <w:t>гг. с указанием объема, стоимости электроэнергии, контрагента и договора;</w:t>
      </w:r>
    </w:p>
    <w:p w14:paraId="4E741C4C" w14:textId="38501430" w:rsidR="000C4EFD" w:rsidRPr="00FB0A3A" w:rsidRDefault="000C4EFD"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 xml:space="preserve">Анализ счета 10.01.01 </w:t>
      </w:r>
      <w:r w:rsidR="00655FFA" w:rsidRPr="00FB0A3A">
        <w:rPr>
          <w:rFonts w:ascii="Myriad Pro" w:hAnsi="Myriad Pro"/>
          <w:sz w:val="26"/>
          <w:szCs w:val="26"/>
        </w:rPr>
        <w:t>«</w:t>
      </w:r>
      <w:r w:rsidRPr="00FB0A3A">
        <w:rPr>
          <w:rFonts w:ascii="Myriad Pro" w:hAnsi="Myriad Pro"/>
          <w:sz w:val="26"/>
          <w:szCs w:val="26"/>
        </w:rPr>
        <w:t>Электроэнергия</w:t>
      </w:r>
      <w:r w:rsidR="00655FFA" w:rsidRPr="00FB0A3A">
        <w:rPr>
          <w:rFonts w:ascii="Myriad Pro" w:hAnsi="Myriad Pro"/>
          <w:sz w:val="26"/>
          <w:szCs w:val="26"/>
        </w:rPr>
        <w:t>»</w:t>
      </w:r>
      <w:r w:rsidRPr="00FB0A3A">
        <w:rPr>
          <w:rFonts w:ascii="Myriad Pro" w:hAnsi="Myriad Pro"/>
          <w:sz w:val="26"/>
          <w:szCs w:val="26"/>
        </w:rPr>
        <w:t xml:space="preserve"> за 2017 г.;</w:t>
      </w:r>
    </w:p>
    <w:p w14:paraId="576E5D29" w14:textId="1A88F3DC" w:rsidR="000C4EFD" w:rsidRPr="00FB0A3A" w:rsidRDefault="000C4EFD"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lastRenderedPageBreak/>
        <w:t xml:space="preserve">Анализ счета 20 </w:t>
      </w:r>
      <w:r w:rsidR="00655FFA" w:rsidRPr="00FB0A3A">
        <w:rPr>
          <w:rFonts w:ascii="Myriad Pro" w:hAnsi="Myriad Pro"/>
          <w:sz w:val="26"/>
          <w:szCs w:val="26"/>
        </w:rPr>
        <w:t>«</w:t>
      </w:r>
      <w:r w:rsidRPr="00FB0A3A">
        <w:rPr>
          <w:rFonts w:ascii="Myriad Pro" w:hAnsi="Myriad Pro"/>
          <w:sz w:val="26"/>
          <w:szCs w:val="26"/>
        </w:rPr>
        <w:t>Основное производство</w:t>
      </w:r>
      <w:r w:rsidR="00655FFA" w:rsidRPr="00FB0A3A">
        <w:rPr>
          <w:rFonts w:ascii="Myriad Pro" w:hAnsi="Myriad Pro"/>
          <w:sz w:val="26"/>
          <w:szCs w:val="26"/>
        </w:rPr>
        <w:t>»</w:t>
      </w:r>
      <w:r w:rsidRPr="00FB0A3A">
        <w:rPr>
          <w:rFonts w:ascii="Myriad Pro" w:hAnsi="Myriad Pro"/>
          <w:sz w:val="26"/>
          <w:szCs w:val="26"/>
        </w:rPr>
        <w:t xml:space="preserve"> за 2017 год;</w:t>
      </w:r>
    </w:p>
    <w:p w14:paraId="3FF8C7A9" w14:textId="6FCCC9B1" w:rsidR="000C4EFD" w:rsidRPr="00FB0A3A" w:rsidRDefault="000C4EFD"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 xml:space="preserve">Анализ счета 23 </w:t>
      </w:r>
      <w:r w:rsidR="00655FFA" w:rsidRPr="00FB0A3A">
        <w:rPr>
          <w:rFonts w:ascii="Myriad Pro" w:hAnsi="Myriad Pro"/>
          <w:sz w:val="26"/>
          <w:szCs w:val="26"/>
        </w:rPr>
        <w:t>«</w:t>
      </w:r>
      <w:r w:rsidRPr="00FB0A3A">
        <w:rPr>
          <w:rFonts w:ascii="Myriad Pro" w:hAnsi="Myriad Pro"/>
          <w:sz w:val="26"/>
          <w:szCs w:val="26"/>
        </w:rPr>
        <w:t>Вспомогательное производство</w:t>
      </w:r>
      <w:r w:rsidR="00655FFA" w:rsidRPr="00FB0A3A">
        <w:rPr>
          <w:rFonts w:ascii="Myriad Pro" w:hAnsi="Myriad Pro"/>
          <w:sz w:val="26"/>
          <w:szCs w:val="26"/>
        </w:rPr>
        <w:t>»</w:t>
      </w:r>
      <w:r w:rsidRPr="00FB0A3A">
        <w:rPr>
          <w:rFonts w:ascii="Myriad Pro" w:hAnsi="Myriad Pro"/>
          <w:sz w:val="26"/>
          <w:szCs w:val="26"/>
        </w:rPr>
        <w:t xml:space="preserve"> за 2017 год;</w:t>
      </w:r>
    </w:p>
    <w:p w14:paraId="46106919" w14:textId="7891C8FF" w:rsidR="000C4EFD" w:rsidRPr="00FB0A3A" w:rsidRDefault="000C4EFD"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 xml:space="preserve">Анализ счета 23 </w:t>
      </w:r>
      <w:r w:rsidR="00655FFA" w:rsidRPr="00FB0A3A">
        <w:rPr>
          <w:rFonts w:ascii="Myriad Pro" w:hAnsi="Myriad Pro"/>
          <w:sz w:val="26"/>
          <w:szCs w:val="26"/>
        </w:rPr>
        <w:t>«</w:t>
      </w:r>
      <w:r w:rsidRPr="00FB0A3A">
        <w:rPr>
          <w:rFonts w:ascii="Myriad Pro" w:hAnsi="Myriad Pro"/>
          <w:sz w:val="26"/>
          <w:szCs w:val="26"/>
        </w:rPr>
        <w:t>Общепроизводственные расходы</w:t>
      </w:r>
      <w:r w:rsidR="00655FFA" w:rsidRPr="00FB0A3A">
        <w:rPr>
          <w:rFonts w:ascii="Myriad Pro" w:hAnsi="Myriad Pro"/>
          <w:sz w:val="26"/>
          <w:szCs w:val="26"/>
        </w:rPr>
        <w:t>»</w:t>
      </w:r>
      <w:r w:rsidRPr="00FB0A3A">
        <w:rPr>
          <w:rFonts w:ascii="Myriad Pro" w:hAnsi="Myriad Pro"/>
          <w:sz w:val="26"/>
          <w:szCs w:val="26"/>
        </w:rPr>
        <w:t xml:space="preserve"> за 2017 год;</w:t>
      </w:r>
    </w:p>
    <w:p w14:paraId="7E9CC197" w14:textId="40973586" w:rsidR="000C4EFD" w:rsidRPr="00FB0A3A" w:rsidRDefault="000C4EFD"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 xml:space="preserve">ОСВ по счету 20 </w:t>
      </w:r>
      <w:r w:rsidR="00655FFA" w:rsidRPr="00FB0A3A">
        <w:rPr>
          <w:rFonts w:ascii="Myriad Pro" w:hAnsi="Myriad Pro"/>
          <w:sz w:val="26"/>
          <w:szCs w:val="26"/>
        </w:rPr>
        <w:t>«</w:t>
      </w:r>
      <w:r w:rsidRPr="00FB0A3A">
        <w:rPr>
          <w:rFonts w:ascii="Myriad Pro" w:hAnsi="Myriad Pro"/>
          <w:sz w:val="26"/>
          <w:szCs w:val="26"/>
        </w:rPr>
        <w:t>Основное производство</w:t>
      </w:r>
      <w:r w:rsidR="00655FFA" w:rsidRPr="00FB0A3A">
        <w:rPr>
          <w:rFonts w:ascii="Myriad Pro" w:hAnsi="Myriad Pro"/>
          <w:sz w:val="26"/>
          <w:szCs w:val="26"/>
        </w:rPr>
        <w:t>»</w:t>
      </w:r>
      <w:r w:rsidRPr="00FB0A3A">
        <w:rPr>
          <w:rFonts w:ascii="Myriad Pro" w:hAnsi="Myriad Pro"/>
          <w:sz w:val="26"/>
          <w:szCs w:val="26"/>
        </w:rPr>
        <w:t xml:space="preserve"> за 2017 год;</w:t>
      </w:r>
    </w:p>
    <w:p w14:paraId="61AB2BE3" w14:textId="77A3FE45" w:rsidR="000C4EFD" w:rsidRPr="00FB0A3A" w:rsidRDefault="000C4EFD"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В пояснительной записке по корректировке и определению НВВ к расчету тарифов на услуги по передаче электрической энергии на период 2019-2023 гг., представленной в материалах тарифного дела даны пояснения по формированию расходов на электроэнергию на хозяйственные нужды. Дано пояснение по увеличению объема планового объема потребления электроэнергии на 260 тыс. кВт</w:t>
      </w:r>
      <w:r w:rsidR="00B93958" w:rsidRPr="00FB0A3A">
        <w:rPr>
          <w:rFonts w:ascii="Myriad Pro" w:eastAsia="Calibri" w:hAnsi="Myriad Pro" w:cs="Times New Roman"/>
          <w:sz w:val="26"/>
          <w:szCs w:val="26"/>
        </w:rPr>
        <w:t>*</w:t>
      </w:r>
      <w:r w:rsidRPr="00FB0A3A">
        <w:rPr>
          <w:rFonts w:ascii="Myriad Pro" w:eastAsia="Calibri" w:hAnsi="Myriad Pro" w:cs="Times New Roman"/>
          <w:sz w:val="26"/>
          <w:szCs w:val="26"/>
        </w:rPr>
        <w:t>ч для организации узлов учета на электроприемниках производственно-хозяйственных нужд подстанций 35 кВ и выше.</w:t>
      </w:r>
    </w:p>
    <w:p w14:paraId="7BD35D61" w14:textId="77777777" w:rsidR="00726F36" w:rsidRPr="00FB0A3A" w:rsidRDefault="00726F36" w:rsidP="00A31747">
      <w:pPr>
        <w:tabs>
          <w:tab w:val="left" w:pos="1134"/>
        </w:tabs>
        <w:spacing w:after="0" w:line="360" w:lineRule="auto"/>
        <w:ind w:firstLine="567"/>
        <w:contextualSpacing/>
        <w:jc w:val="both"/>
        <w:rPr>
          <w:rFonts w:ascii="Myriad Pro" w:eastAsia="Calibri" w:hAnsi="Myriad Pro" w:cs="Times New Roman"/>
          <w:b/>
          <w:sz w:val="26"/>
          <w:szCs w:val="26"/>
        </w:rPr>
      </w:pPr>
    </w:p>
    <w:p w14:paraId="1406B0F3" w14:textId="7EE03EBA" w:rsidR="000C4EFD" w:rsidRPr="00FB0A3A" w:rsidRDefault="000C4EFD" w:rsidP="00726F36">
      <w:pPr>
        <w:tabs>
          <w:tab w:val="left" w:pos="1134"/>
        </w:tabs>
        <w:spacing w:after="0" w:line="360" w:lineRule="auto"/>
        <w:contextualSpacing/>
        <w:jc w:val="both"/>
        <w:rPr>
          <w:rFonts w:ascii="Myriad Pro" w:eastAsia="Calibri" w:hAnsi="Myriad Pro" w:cs="Times New Roman"/>
          <w:b/>
          <w:sz w:val="26"/>
          <w:szCs w:val="26"/>
        </w:rPr>
      </w:pPr>
      <w:r w:rsidRPr="00FB0A3A">
        <w:rPr>
          <w:rFonts w:ascii="Myriad Pro" w:eastAsia="Calibri" w:hAnsi="Myriad Pro" w:cs="Times New Roman"/>
          <w:b/>
          <w:sz w:val="26"/>
          <w:szCs w:val="26"/>
        </w:rPr>
        <w:t>ПОЗИЦИЯ ОРГАНА РЕГУЛИРОВАНИЯ</w:t>
      </w:r>
    </w:p>
    <w:p w14:paraId="39D37DF3" w14:textId="77777777" w:rsidR="000C4EFD" w:rsidRPr="00FB0A3A" w:rsidRDefault="000C4EFD" w:rsidP="00A31747">
      <w:pPr>
        <w:tabs>
          <w:tab w:val="left" w:pos="1134"/>
        </w:tabs>
        <w:spacing w:after="0" w:line="360" w:lineRule="auto"/>
        <w:ind w:firstLine="567"/>
        <w:jc w:val="both"/>
        <w:rPr>
          <w:rFonts w:ascii="Myriad Pro" w:eastAsia="Calibri" w:hAnsi="Myriad Pro" w:cs="Times New Roman"/>
          <w:sz w:val="26"/>
          <w:szCs w:val="26"/>
        </w:rPr>
      </w:pPr>
      <w:r w:rsidRPr="00FB0A3A">
        <w:rPr>
          <w:rFonts w:ascii="Myriad Pro" w:eastAsia="Calibri" w:hAnsi="Myriad Pro" w:cs="Times New Roman"/>
          <w:sz w:val="26"/>
          <w:szCs w:val="26"/>
        </w:rPr>
        <w:t>Величина расходов, принятая регулирующим органом на 2019 год:</w:t>
      </w:r>
    </w:p>
    <w:p w14:paraId="0193B297" w14:textId="66328138" w:rsidR="000C4EFD" w:rsidRPr="00FB0A3A" w:rsidRDefault="000C4EFD" w:rsidP="009B0BC1">
      <w:pPr>
        <w:pStyle w:val="a4"/>
        <w:numPr>
          <w:ilvl w:val="0"/>
          <w:numId w:val="46"/>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экономически обоснованный уровень – 18 492 тыс. руб.;</w:t>
      </w:r>
    </w:p>
    <w:p w14:paraId="1A370022" w14:textId="7FE14DEA" w:rsidR="000C4EFD" w:rsidRPr="00FB0A3A" w:rsidRDefault="000C4EFD" w:rsidP="009B0BC1">
      <w:pPr>
        <w:pStyle w:val="a4"/>
        <w:numPr>
          <w:ilvl w:val="0"/>
          <w:numId w:val="46"/>
        </w:numPr>
        <w:tabs>
          <w:tab w:val="left" w:pos="1134"/>
        </w:tabs>
        <w:spacing w:after="0" w:line="360" w:lineRule="auto"/>
        <w:ind w:left="0" w:firstLine="567"/>
        <w:contextualSpacing w:val="0"/>
        <w:jc w:val="both"/>
        <w:rPr>
          <w:rFonts w:ascii="Myriad Pro" w:hAnsi="Myriad Pro"/>
          <w:sz w:val="26"/>
          <w:szCs w:val="26"/>
        </w:rPr>
      </w:pPr>
      <w:r w:rsidRPr="00FB0A3A">
        <w:rPr>
          <w:rFonts w:ascii="Myriad Pro" w:hAnsi="Myriad Pro"/>
          <w:sz w:val="26"/>
          <w:szCs w:val="26"/>
        </w:rPr>
        <w:t>уровень, принятый при установлении НВВ – 17 803,3 тыс. руб.  (0,7*ЭОУ+0,3*МА)</w:t>
      </w:r>
    </w:p>
    <w:p w14:paraId="6CAEC925" w14:textId="77777777" w:rsidR="00316127" w:rsidRPr="00FB0A3A" w:rsidRDefault="00316127"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Орган регулирования в связи с невозможностью достоверно определить показатели, подлежащие учету, в соответствии с пунктом 24 Правил регулирования принял решение учесть в НВВ на 2019 год расходы в размере фактических расходов за 2017 год с учетом соответствующих индексов.</w:t>
      </w:r>
    </w:p>
    <w:p w14:paraId="005804C9" w14:textId="77777777" w:rsidR="00726F36" w:rsidRPr="00FB0A3A" w:rsidRDefault="00726F36" w:rsidP="00A31747">
      <w:pPr>
        <w:tabs>
          <w:tab w:val="left" w:pos="1134"/>
        </w:tabs>
        <w:spacing w:after="0" w:line="360" w:lineRule="auto"/>
        <w:ind w:firstLine="567"/>
        <w:contextualSpacing/>
        <w:jc w:val="both"/>
        <w:rPr>
          <w:rFonts w:ascii="Myriad Pro" w:eastAsia="Calibri" w:hAnsi="Myriad Pro" w:cs="Times New Roman"/>
          <w:b/>
          <w:sz w:val="26"/>
          <w:szCs w:val="26"/>
        </w:rPr>
      </w:pPr>
    </w:p>
    <w:p w14:paraId="3F293AAA" w14:textId="747EFCBF" w:rsidR="000C4EFD" w:rsidRPr="00FB0A3A" w:rsidRDefault="000C4EFD" w:rsidP="00726F36">
      <w:pPr>
        <w:tabs>
          <w:tab w:val="left" w:pos="1134"/>
        </w:tabs>
        <w:spacing w:after="0" w:line="360" w:lineRule="auto"/>
        <w:contextualSpacing/>
        <w:jc w:val="both"/>
        <w:rPr>
          <w:rFonts w:ascii="Myriad Pro" w:eastAsia="Calibri" w:hAnsi="Myriad Pro" w:cs="Times New Roman"/>
          <w:b/>
          <w:sz w:val="26"/>
          <w:szCs w:val="26"/>
        </w:rPr>
      </w:pPr>
      <w:r w:rsidRPr="00FB0A3A">
        <w:rPr>
          <w:rFonts w:ascii="Myriad Pro" w:eastAsia="Calibri" w:hAnsi="Myriad Pro" w:cs="Times New Roman"/>
          <w:b/>
          <w:sz w:val="26"/>
          <w:szCs w:val="26"/>
        </w:rPr>
        <w:t>ПОЗИЦИЯ ИСПОЛНИТЕЛЯ</w:t>
      </w:r>
    </w:p>
    <w:p w14:paraId="678312BC" w14:textId="43304B1E" w:rsidR="00316127" w:rsidRPr="00FB0A3A" w:rsidRDefault="00316127"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 xml:space="preserve">Фактические расходы по электроэнергии на хозяйственные нужды за 2017 год составили 16 806,4 тыс. руб. за объем </w:t>
      </w:r>
      <w:r w:rsidR="009969EE" w:rsidRPr="00FB0A3A">
        <w:rPr>
          <w:rFonts w:ascii="Myriad Pro" w:eastAsia="Calibri" w:hAnsi="Myriad Pro" w:cs="Times New Roman"/>
          <w:sz w:val="26"/>
          <w:szCs w:val="26"/>
        </w:rPr>
        <w:t>потребления 6 642,58 тыс. кВт</w:t>
      </w:r>
      <w:r w:rsidR="00B93958" w:rsidRPr="00FB0A3A">
        <w:rPr>
          <w:rFonts w:ascii="Myriad Pro" w:eastAsia="Calibri" w:hAnsi="Myriad Pro" w:cs="Times New Roman"/>
          <w:sz w:val="26"/>
          <w:szCs w:val="26"/>
        </w:rPr>
        <w:t>*</w:t>
      </w:r>
      <w:r w:rsidR="009969EE" w:rsidRPr="00FB0A3A">
        <w:rPr>
          <w:rFonts w:ascii="Myriad Pro" w:eastAsia="Calibri" w:hAnsi="Myriad Pro" w:cs="Times New Roman"/>
          <w:sz w:val="26"/>
          <w:szCs w:val="26"/>
        </w:rPr>
        <w:t xml:space="preserve">ч. </w:t>
      </w:r>
      <w:r w:rsidRPr="00FB0A3A">
        <w:rPr>
          <w:rFonts w:ascii="Myriad Pro" w:eastAsia="Calibri" w:hAnsi="Myriad Pro" w:cs="Times New Roman"/>
          <w:sz w:val="26"/>
          <w:szCs w:val="26"/>
        </w:rPr>
        <w:t>(подтверждено бухгалтерскими документами). Филиал заявил увеличению объема планового объема потребления электроэнергии на 260 тыс. кВт</w:t>
      </w:r>
      <w:r w:rsidR="00B93958" w:rsidRPr="00FB0A3A">
        <w:rPr>
          <w:rFonts w:ascii="Myriad Pro" w:eastAsia="Calibri" w:hAnsi="Myriad Pro" w:cs="Times New Roman"/>
          <w:sz w:val="26"/>
          <w:szCs w:val="26"/>
        </w:rPr>
        <w:t>*</w:t>
      </w:r>
      <w:r w:rsidRPr="00FB0A3A">
        <w:rPr>
          <w:rFonts w:ascii="Myriad Pro" w:eastAsia="Calibri" w:hAnsi="Myriad Pro" w:cs="Times New Roman"/>
          <w:sz w:val="26"/>
          <w:szCs w:val="26"/>
        </w:rPr>
        <w:t>ч, которые регулятор не приня</w:t>
      </w:r>
      <w:r w:rsidR="009A7199" w:rsidRPr="00FB0A3A">
        <w:rPr>
          <w:rFonts w:ascii="Myriad Pro" w:eastAsia="Calibri" w:hAnsi="Myriad Pro" w:cs="Times New Roman"/>
          <w:sz w:val="26"/>
          <w:szCs w:val="26"/>
        </w:rPr>
        <w:t>л к учету</w:t>
      </w:r>
      <w:r w:rsidRPr="00FB0A3A">
        <w:rPr>
          <w:rFonts w:ascii="Myriad Pro" w:eastAsia="Calibri" w:hAnsi="Myriad Pro" w:cs="Times New Roman"/>
          <w:sz w:val="26"/>
          <w:szCs w:val="26"/>
        </w:rPr>
        <w:t xml:space="preserve">. </w:t>
      </w:r>
    </w:p>
    <w:p w14:paraId="70C18734" w14:textId="2EBEA6CD" w:rsidR="009A7199" w:rsidRPr="00FB0A3A" w:rsidRDefault="009A7199"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Объём планов</w:t>
      </w:r>
      <w:r w:rsidR="000440C8" w:rsidRPr="00FB0A3A">
        <w:rPr>
          <w:rFonts w:ascii="Myriad Pro" w:eastAsia="Calibri" w:hAnsi="Myriad Pro" w:cs="Times New Roman"/>
          <w:sz w:val="26"/>
          <w:szCs w:val="26"/>
        </w:rPr>
        <w:t xml:space="preserve">ого потребления электроэнергии </w:t>
      </w:r>
      <w:r w:rsidR="009969EE" w:rsidRPr="00FB0A3A">
        <w:rPr>
          <w:rFonts w:ascii="Myriad Pro" w:eastAsia="Calibri" w:hAnsi="Myriad Pro" w:cs="Times New Roman"/>
          <w:sz w:val="26"/>
          <w:szCs w:val="26"/>
        </w:rPr>
        <w:t xml:space="preserve">на </w:t>
      </w:r>
      <w:r w:rsidRPr="00FB0A3A">
        <w:rPr>
          <w:rFonts w:ascii="Myriad Pro" w:eastAsia="Calibri" w:hAnsi="Myriad Pro" w:cs="Times New Roman"/>
          <w:sz w:val="26"/>
          <w:szCs w:val="26"/>
        </w:rPr>
        <w:t xml:space="preserve">хозяйственные нужды в 2018 году Филиалом принят на уровне фактического 2017 года с дополнительным увеличением объемов электроэнергии для организации узлов учета на </w:t>
      </w:r>
      <w:r w:rsidRPr="00FB0A3A">
        <w:rPr>
          <w:rFonts w:ascii="Myriad Pro" w:eastAsia="Calibri" w:hAnsi="Myriad Pro" w:cs="Times New Roman"/>
          <w:sz w:val="26"/>
          <w:szCs w:val="26"/>
        </w:rPr>
        <w:lastRenderedPageBreak/>
        <w:t>электроприемниках производственно-хозяйственных нужд в составе присоединений собственных нужд подстанций 35 кВ и выше, где суммарное потребление в год – 260 тыс. кВт</w:t>
      </w:r>
      <w:r w:rsidR="00B93958" w:rsidRPr="00FB0A3A">
        <w:rPr>
          <w:rFonts w:ascii="Myriad Pro" w:eastAsia="Calibri" w:hAnsi="Myriad Pro" w:cs="Times New Roman"/>
          <w:sz w:val="26"/>
          <w:szCs w:val="26"/>
        </w:rPr>
        <w:t>*</w:t>
      </w:r>
      <w:r w:rsidRPr="00FB0A3A">
        <w:rPr>
          <w:rFonts w:ascii="Myriad Pro" w:eastAsia="Calibri" w:hAnsi="Myriad Pro" w:cs="Times New Roman"/>
          <w:sz w:val="26"/>
          <w:szCs w:val="26"/>
        </w:rPr>
        <w:t xml:space="preserve">ч.  </w:t>
      </w:r>
    </w:p>
    <w:p w14:paraId="32804F9A" w14:textId="5878BD32" w:rsidR="009A7199" w:rsidRPr="00FB0A3A" w:rsidRDefault="009A7199"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Однако</w:t>
      </w:r>
      <w:r w:rsidR="009969EE" w:rsidRPr="00FB0A3A">
        <w:rPr>
          <w:rFonts w:ascii="Myriad Pro" w:eastAsia="Calibri" w:hAnsi="Myriad Pro" w:cs="Times New Roman"/>
          <w:sz w:val="26"/>
          <w:szCs w:val="26"/>
        </w:rPr>
        <w:t>,</w:t>
      </w:r>
      <w:r w:rsidRPr="00FB0A3A">
        <w:rPr>
          <w:rFonts w:ascii="Myriad Pro" w:eastAsia="Calibri" w:hAnsi="Myriad Pro" w:cs="Times New Roman"/>
          <w:sz w:val="26"/>
          <w:szCs w:val="26"/>
        </w:rPr>
        <w:t xml:space="preserve"> никаких пояснений на электроприемниках каких подстанций будет производиться</w:t>
      </w:r>
      <w:r w:rsidR="000440C8" w:rsidRPr="00FB0A3A">
        <w:rPr>
          <w:rFonts w:ascii="Myriad Pro" w:eastAsia="Calibri" w:hAnsi="Myriad Pro" w:cs="Times New Roman"/>
          <w:sz w:val="26"/>
          <w:szCs w:val="26"/>
        </w:rPr>
        <w:t xml:space="preserve"> организация узлов учета</w:t>
      </w:r>
      <w:r w:rsidRPr="00FB0A3A">
        <w:rPr>
          <w:rFonts w:ascii="Myriad Pro" w:eastAsia="Calibri" w:hAnsi="Myriad Pro" w:cs="Times New Roman"/>
          <w:sz w:val="26"/>
          <w:szCs w:val="26"/>
        </w:rPr>
        <w:t>, с какого периода присоединяются подстанции, расчет расхода электроэнергии по новым присоединениям Филиалом не представлено, в связи с чем не представляется возможным сделать однозначный вывод об экономической обоснованности и целесообразности данных расходов.</w:t>
      </w:r>
    </w:p>
    <w:p w14:paraId="2A72AA4A" w14:textId="748BA1CD" w:rsidR="00316127" w:rsidRPr="00FB0A3A" w:rsidRDefault="00F619B6"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Исполнителе</w:t>
      </w:r>
      <w:r w:rsidR="00316127" w:rsidRPr="00FB0A3A">
        <w:rPr>
          <w:rFonts w:ascii="Myriad Pro" w:eastAsia="Calibri" w:hAnsi="Myriad Pro" w:cs="Times New Roman"/>
          <w:sz w:val="26"/>
          <w:szCs w:val="26"/>
        </w:rPr>
        <w:t>м произведен расчет расходов электроэнергии по фактиче</w:t>
      </w:r>
      <w:r w:rsidR="009A7199" w:rsidRPr="00FB0A3A">
        <w:rPr>
          <w:rFonts w:ascii="Myriad Pro" w:eastAsia="Calibri" w:hAnsi="Myriad Pro" w:cs="Times New Roman"/>
          <w:sz w:val="26"/>
          <w:szCs w:val="26"/>
        </w:rPr>
        <w:t>ским</w:t>
      </w:r>
      <w:r w:rsidR="00316127" w:rsidRPr="00FB0A3A">
        <w:rPr>
          <w:rFonts w:ascii="Myriad Pro" w:eastAsia="Calibri" w:hAnsi="Myriad Pro" w:cs="Times New Roman"/>
          <w:sz w:val="26"/>
          <w:szCs w:val="26"/>
        </w:rPr>
        <w:t xml:space="preserve"> </w:t>
      </w:r>
      <w:r w:rsidR="009A7199" w:rsidRPr="00FB0A3A">
        <w:rPr>
          <w:rFonts w:ascii="Myriad Pro" w:eastAsia="Calibri" w:hAnsi="Myriad Pro" w:cs="Times New Roman"/>
          <w:sz w:val="26"/>
          <w:szCs w:val="26"/>
        </w:rPr>
        <w:t>расходам</w:t>
      </w:r>
      <w:r w:rsidR="00316127" w:rsidRPr="00FB0A3A">
        <w:rPr>
          <w:rFonts w:ascii="Myriad Pro" w:eastAsia="Calibri" w:hAnsi="Myriad Pro" w:cs="Times New Roman"/>
          <w:sz w:val="26"/>
          <w:szCs w:val="26"/>
        </w:rPr>
        <w:t xml:space="preserve"> </w:t>
      </w:r>
      <w:r w:rsidR="009A7199" w:rsidRPr="00FB0A3A">
        <w:rPr>
          <w:rFonts w:ascii="Myriad Pro" w:eastAsia="Calibri" w:hAnsi="Myriad Pro" w:cs="Times New Roman"/>
          <w:sz w:val="26"/>
          <w:szCs w:val="26"/>
        </w:rPr>
        <w:t>на электроэнергию</w:t>
      </w:r>
      <w:r w:rsidR="00316127" w:rsidRPr="00FB0A3A">
        <w:rPr>
          <w:rFonts w:ascii="Myriad Pro" w:eastAsia="Calibri" w:hAnsi="Myriad Pro" w:cs="Times New Roman"/>
          <w:sz w:val="26"/>
          <w:szCs w:val="26"/>
        </w:rPr>
        <w:t xml:space="preserve"> в 2017 году </w:t>
      </w:r>
      <w:r w:rsidR="00432442" w:rsidRPr="00FB0A3A">
        <w:rPr>
          <w:rFonts w:ascii="Myriad Pro" w:eastAsia="Calibri" w:hAnsi="Myriad Pro" w:cs="Times New Roman"/>
          <w:sz w:val="26"/>
          <w:szCs w:val="26"/>
        </w:rPr>
        <w:t xml:space="preserve">по виду деятельности – услуги по передаче электрической энергии </w:t>
      </w:r>
      <w:r w:rsidR="00316127" w:rsidRPr="00FB0A3A">
        <w:rPr>
          <w:rFonts w:ascii="Myriad Pro" w:eastAsia="Calibri" w:hAnsi="Myriad Pro" w:cs="Times New Roman"/>
          <w:sz w:val="26"/>
          <w:szCs w:val="26"/>
        </w:rPr>
        <w:t>с учетом индексов цен производителей:</w:t>
      </w:r>
    </w:p>
    <w:p w14:paraId="0BFB9341" w14:textId="2DE7890E" w:rsidR="00316127" w:rsidRPr="00FB0A3A" w:rsidRDefault="00316127" w:rsidP="00726F36">
      <w:pPr>
        <w:pStyle w:val="afff4"/>
        <w:rPr>
          <w:lang w:val="ru-RU"/>
        </w:rPr>
      </w:pPr>
      <w:r w:rsidRPr="00FB0A3A">
        <w:rPr>
          <w:lang w:val="ru-RU"/>
        </w:rPr>
        <w:t>16 </w:t>
      </w:r>
      <w:r w:rsidR="00432442" w:rsidRPr="00FB0A3A">
        <w:rPr>
          <w:lang w:val="ru-RU"/>
        </w:rPr>
        <w:t>806,4</w:t>
      </w:r>
      <w:r w:rsidRPr="00FB0A3A">
        <w:rPr>
          <w:lang w:val="ru-RU"/>
        </w:rPr>
        <w:t xml:space="preserve"> * </w:t>
      </w:r>
      <w:r w:rsidR="00432442" w:rsidRPr="00FB0A3A">
        <w:rPr>
          <w:lang w:val="ru-RU"/>
        </w:rPr>
        <w:t>103,91 *105,88 = 18 490,4 тыс. руб.</w:t>
      </w:r>
    </w:p>
    <w:tbl>
      <w:tblPr>
        <w:tblStyle w:val="afff6"/>
        <w:tblW w:w="5000" w:type="pct"/>
        <w:tblLook w:val="04A0" w:firstRow="1" w:lastRow="0" w:firstColumn="1" w:lastColumn="0" w:noHBand="0" w:noVBand="1"/>
      </w:tblPr>
      <w:tblGrid>
        <w:gridCol w:w="1969"/>
        <w:gridCol w:w="1801"/>
        <w:gridCol w:w="1368"/>
        <w:gridCol w:w="1368"/>
        <w:gridCol w:w="1420"/>
        <w:gridCol w:w="1418"/>
      </w:tblGrid>
      <w:tr w:rsidR="009969EE" w:rsidRPr="00FB0A3A" w14:paraId="25640679" w14:textId="77777777" w:rsidTr="009071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1E0DBCE3" w14:textId="77777777" w:rsidR="009969EE" w:rsidRPr="00FB0A3A" w:rsidRDefault="009969EE" w:rsidP="00726F36">
            <w:pPr>
              <w:tabs>
                <w:tab w:val="left" w:pos="1134"/>
              </w:tabs>
              <w:jc w:val="center"/>
              <w:rPr>
                <w:rFonts w:eastAsia="Calibri" w:cs="Times New Roman"/>
                <w:szCs w:val="18"/>
              </w:rPr>
            </w:pPr>
            <w:r w:rsidRPr="00FB0A3A">
              <w:rPr>
                <w:rFonts w:eastAsia="Calibri" w:cs="Times New Roman"/>
                <w:szCs w:val="18"/>
              </w:rPr>
              <w:t> Наименование статьи</w:t>
            </w:r>
          </w:p>
        </w:tc>
        <w:tc>
          <w:tcPr>
            <w:tcW w:w="7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10140DFC" w14:textId="77777777" w:rsidR="009969EE" w:rsidRPr="00FB0A3A" w:rsidRDefault="009969EE" w:rsidP="00726F36">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Заявлено Филиалом</w:t>
            </w:r>
          </w:p>
        </w:tc>
        <w:tc>
          <w:tcPr>
            <w:tcW w:w="7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C6934E4" w14:textId="77777777" w:rsidR="009969EE" w:rsidRPr="00FB0A3A" w:rsidRDefault="009969EE" w:rsidP="00726F36">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Рассчитано Комитетом (ЭОУ)</w:t>
            </w:r>
          </w:p>
        </w:tc>
        <w:tc>
          <w:tcPr>
            <w:tcW w:w="7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B1EFF73" w14:textId="77777777" w:rsidR="009969EE" w:rsidRPr="00FB0A3A" w:rsidRDefault="009969EE" w:rsidP="00726F36">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Рассчитано Исполнителем (ЭОУ)</w:t>
            </w:r>
          </w:p>
        </w:tc>
        <w:tc>
          <w:tcPr>
            <w:tcW w:w="8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F3A928E" w14:textId="47E598FD" w:rsidR="009969EE" w:rsidRPr="00FB0A3A" w:rsidRDefault="009969EE" w:rsidP="00726F36">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Отклонение между Исполнителем и Комитетом</w:t>
            </w:r>
          </w:p>
        </w:tc>
        <w:tc>
          <w:tcPr>
            <w:tcW w:w="8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51518C4" w14:textId="4E2AFDC6" w:rsidR="009969EE" w:rsidRPr="00FB0A3A" w:rsidRDefault="009969EE" w:rsidP="00726F36">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Отклонение между Исполнителем и Филиалом</w:t>
            </w:r>
          </w:p>
        </w:tc>
      </w:tr>
      <w:tr w:rsidR="009969EE" w:rsidRPr="00FB0A3A" w14:paraId="66888850" w14:textId="77777777" w:rsidTr="00907125">
        <w:tc>
          <w:tcPr>
            <w:cnfStyle w:val="001000000000" w:firstRow="0" w:lastRow="0" w:firstColumn="1" w:lastColumn="0" w:oddVBand="0" w:evenVBand="0" w:oddHBand="0" w:evenHBand="0" w:firstRowFirstColumn="0" w:firstRowLastColumn="0" w:lastRowFirstColumn="0" w:lastRowLastColumn="0"/>
            <w:tcW w:w="1036" w:type="pct"/>
            <w:tcBorders>
              <w:top w:val="single" w:sz="4" w:space="0" w:color="FFFFFF" w:themeColor="background1"/>
            </w:tcBorders>
            <w:hideMark/>
          </w:tcPr>
          <w:p w14:paraId="09591FAF" w14:textId="77777777" w:rsidR="009969EE" w:rsidRPr="00FB0A3A" w:rsidRDefault="009969EE" w:rsidP="00726F36">
            <w:pPr>
              <w:tabs>
                <w:tab w:val="left" w:pos="1134"/>
              </w:tabs>
              <w:rPr>
                <w:rFonts w:eastAsia="Calibri" w:cs="Times New Roman"/>
                <w:szCs w:val="18"/>
              </w:rPr>
            </w:pPr>
            <w:r w:rsidRPr="00FB0A3A">
              <w:rPr>
                <w:rFonts w:eastAsia="Calibri" w:cs="Times New Roman"/>
                <w:szCs w:val="18"/>
              </w:rPr>
              <w:t>Энергия на хозяйственные нужды</w:t>
            </w:r>
          </w:p>
        </w:tc>
        <w:tc>
          <w:tcPr>
            <w:tcW w:w="719" w:type="pct"/>
            <w:tcBorders>
              <w:top w:val="single" w:sz="4" w:space="0" w:color="FFFFFF" w:themeColor="background1"/>
            </w:tcBorders>
            <w:hideMark/>
          </w:tcPr>
          <w:p w14:paraId="3B213A3E" w14:textId="77777777" w:rsidR="009969EE" w:rsidRPr="00FB0A3A" w:rsidRDefault="009969EE" w:rsidP="00726F3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19 140,76</w:t>
            </w:r>
          </w:p>
        </w:tc>
        <w:tc>
          <w:tcPr>
            <w:tcW w:w="798" w:type="pct"/>
            <w:tcBorders>
              <w:top w:val="single" w:sz="4" w:space="0" w:color="FFFFFF" w:themeColor="background1"/>
            </w:tcBorders>
            <w:hideMark/>
          </w:tcPr>
          <w:p w14:paraId="04C422CF" w14:textId="77777777" w:rsidR="009969EE" w:rsidRPr="00FB0A3A" w:rsidRDefault="009969EE" w:rsidP="00726F3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18 492,09</w:t>
            </w:r>
          </w:p>
        </w:tc>
        <w:tc>
          <w:tcPr>
            <w:tcW w:w="798" w:type="pct"/>
            <w:tcBorders>
              <w:top w:val="single" w:sz="4" w:space="0" w:color="FFFFFF" w:themeColor="background1"/>
            </w:tcBorders>
            <w:hideMark/>
          </w:tcPr>
          <w:p w14:paraId="73782135" w14:textId="77777777" w:rsidR="009969EE" w:rsidRPr="00FB0A3A" w:rsidRDefault="009969EE" w:rsidP="00726F3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18 490,40</w:t>
            </w:r>
          </w:p>
        </w:tc>
        <w:tc>
          <w:tcPr>
            <w:tcW w:w="825" w:type="pct"/>
            <w:tcBorders>
              <w:top w:val="single" w:sz="4" w:space="0" w:color="FFFFFF" w:themeColor="background1"/>
            </w:tcBorders>
            <w:hideMark/>
          </w:tcPr>
          <w:p w14:paraId="629EEF6E" w14:textId="77777777" w:rsidR="009969EE" w:rsidRPr="00FB0A3A" w:rsidRDefault="009969EE" w:rsidP="00726F3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-1,69</w:t>
            </w:r>
          </w:p>
        </w:tc>
        <w:tc>
          <w:tcPr>
            <w:tcW w:w="825" w:type="pct"/>
            <w:tcBorders>
              <w:top w:val="single" w:sz="4" w:space="0" w:color="FFFFFF" w:themeColor="background1"/>
            </w:tcBorders>
            <w:hideMark/>
          </w:tcPr>
          <w:p w14:paraId="06542E80" w14:textId="77777777" w:rsidR="009969EE" w:rsidRPr="00FB0A3A" w:rsidRDefault="009969EE" w:rsidP="00726F3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-650,36</w:t>
            </w:r>
          </w:p>
        </w:tc>
      </w:tr>
    </w:tbl>
    <w:p w14:paraId="7456948D" w14:textId="77777777" w:rsidR="00486403" w:rsidRDefault="00486403" w:rsidP="00A54C03">
      <w:pPr>
        <w:tabs>
          <w:tab w:val="left" w:pos="1134"/>
        </w:tabs>
        <w:spacing w:before="240" w:after="0" w:line="360" w:lineRule="auto"/>
        <w:jc w:val="both"/>
        <w:rPr>
          <w:rFonts w:ascii="Myriad Pro" w:eastAsia="Calibri" w:hAnsi="Myriad Pro" w:cs="Times New Roman"/>
          <w:b/>
          <w:i/>
          <w:sz w:val="26"/>
          <w:szCs w:val="26"/>
        </w:rPr>
      </w:pPr>
    </w:p>
    <w:p w14:paraId="3FE7A431" w14:textId="775433DD" w:rsidR="006206BA" w:rsidRPr="00FB0A3A" w:rsidRDefault="006206BA" w:rsidP="00A54C03">
      <w:pPr>
        <w:tabs>
          <w:tab w:val="left" w:pos="1134"/>
        </w:tabs>
        <w:spacing w:before="240" w:after="0" w:line="360" w:lineRule="auto"/>
        <w:jc w:val="both"/>
        <w:rPr>
          <w:rFonts w:ascii="Myriad Pro" w:eastAsia="Calibri" w:hAnsi="Myriad Pro" w:cs="Times New Roman"/>
          <w:b/>
          <w:i/>
          <w:sz w:val="26"/>
          <w:szCs w:val="26"/>
        </w:rPr>
      </w:pPr>
      <w:r w:rsidRPr="00FB0A3A">
        <w:rPr>
          <w:rFonts w:ascii="Myriad Pro" w:eastAsia="Calibri" w:hAnsi="Myriad Pro" w:cs="Times New Roman"/>
          <w:b/>
          <w:i/>
          <w:sz w:val="26"/>
          <w:szCs w:val="26"/>
        </w:rPr>
        <w:t>Расходы на оплату работ и услуг сторонних организаций</w:t>
      </w:r>
    </w:p>
    <w:p w14:paraId="63B89079" w14:textId="23E6A742" w:rsidR="00913CA7" w:rsidRPr="00FB0A3A" w:rsidRDefault="00913CA7" w:rsidP="00A54C03">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Основания: Согласно п. 28 Основ ценообразования № 1178 в необходимую валовую выручку включаются планируемые на расчетный период регулирования расходы на оплату работ и услуг сторонних организаций.</w:t>
      </w:r>
    </w:p>
    <w:p w14:paraId="3A8B5576" w14:textId="77777777" w:rsidR="00913CA7" w:rsidRPr="00FB0A3A" w:rsidRDefault="00913CA7" w:rsidP="00A54C03">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В соответствии с п 29 Основ ценообразования при определении фактических значений расходов (цен) регулирующий орган использует (в порядке очередности, если какой-либо из видов цен не может быть применен по причине отсутствия информации о таких ценах):</w:t>
      </w:r>
    </w:p>
    <w:p w14:paraId="0E5A721A" w14:textId="77777777" w:rsidR="00913CA7" w:rsidRPr="00FB0A3A" w:rsidRDefault="00913CA7" w:rsidP="009B0BC1">
      <w:pPr>
        <w:pStyle w:val="a4"/>
        <w:numPr>
          <w:ilvl w:val="0"/>
          <w:numId w:val="47"/>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w:t>
      </w:r>
    </w:p>
    <w:p w14:paraId="3ED807F1" w14:textId="77777777" w:rsidR="00913CA7" w:rsidRPr="00FB0A3A" w:rsidRDefault="00913CA7" w:rsidP="009B0BC1">
      <w:pPr>
        <w:pStyle w:val="a4"/>
        <w:numPr>
          <w:ilvl w:val="0"/>
          <w:numId w:val="47"/>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lastRenderedPageBreak/>
        <w:t>расходы (цены), установленные в договорах, заключенных в результате проведения торгов;</w:t>
      </w:r>
    </w:p>
    <w:p w14:paraId="00B580BF" w14:textId="77777777" w:rsidR="00913CA7" w:rsidRPr="00FB0A3A" w:rsidRDefault="00913CA7" w:rsidP="009B0BC1">
      <w:pPr>
        <w:pStyle w:val="a4"/>
        <w:numPr>
          <w:ilvl w:val="0"/>
          <w:numId w:val="47"/>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рыночные цены, сложившиеся на организованных торговых площадках, в том числе биржах, функционирующих на территории Российской Федерации;</w:t>
      </w:r>
    </w:p>
    <w:p w14:paraId="4E18CAD8" w14:textId="77777777" w:rsidR="00913CA7" w:rsidRPr="00FB0A3A" w:rsidRDefault="00913CA7" w:rsidP="009B0BC1">
      <w:pPr>
        <w:pStyle w:val="a4"/>
        <w:numPr>
          <w:ilvl w:val="0"/>
          <w:numId w:val="47"/>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рыночные цены, предоставляемые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282AA7CC" w14:textId="77777777" w:rsidR="00913CA7" w:rsidRPr="00FB0A3A" w:rsidRDefault="00913CA7"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При отсутствии указанных данных расчетные значения расходов определяются с использованием официальной статистической информации.</w:t>
      </w:r>
    </w:p>
    <w:p w14:paraId="07740E8F" w14:textId="59F183AC" w:rsidR="00913CA7" w:rsidRPr="00FB0A3A" w:rsidRDefault="00913CA7" w:rsidP="00726F36">
      <w:pPr>
        <w:pStyle w:val="afff4"/>
        <w:rPr>
          <w:lang w:val="ru-RU"/>
        </w:rPr>
      </w:pPr>
      <w:r w:rsidRPr="00FB0A3A">
        <w:rPr>
          <w:lang w:val="ru-RU"/>
        </w:rPr>
        <w:t>При отсутствии нормативов по отдельным статьям расходов допускается использование в расчетах экспертных оценок, основанных на отчетных данных, представляемых организацией, осуществляющей регулируемую деятельность. (п. 31 Основ ценообразования)</w:t>
      </w:r>
    </w:p>
    <w:tbl>
      <w:tblPr>
        <w:tblStyle w:val="afff6"/>
        <w:tblW w:w="5000" w:type="pct"/>
        <w:tblLayout w:type="fixed"/>
        <w:tblLook w:val="04A0" w:firstRow="1" w:lastRow="0" w:firstColumn="1" w:lastColumn="0" w:noHBand="0" w:noVBand="1"/>
      </w:tblPr>
      <w:tblGrid>
        <w:gridCol w:w="2785"/>
        <w:gridCol w:w="1329"/>
        <w:gridCol w:w="1397"/>
        <w:gridCol w:w="1153"/>
        <w:gridCol w:w="1627"/>
        <w:gridCol w:w="1053"/>
      </w:tblGrid>
      <w:tr w:rsidR="00726F36" w:rsidRPr="00FB0A3A" w14:paraId="30418D62" w14:textId="77777777" w:rsidTr="009071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476BE2CC" w14:textId="77777777" w:rsidR="006206BA" w:rsidRPr="00FB0A3A" w:rsidRDefault="006206BA" w:rsidP="00726F36">
            <w:pPr>
              <w:tabs>
                <w:tab w:val="left" w:pos="1134"/>
              </w:tabs>
              <w:jc w:val="center"/>
              <w:rPr>
                <w:rFonts w:eastAsia="Calibri" w:cs="Times New Roman"/>
                <w:szCs w:val="18"/>
              </w:rPr>
            </w:pPr>
            <w:r w:rsidRPr="00FB0A3A">
              <w:rPr>
                <w:rFonts w:eastAsia="Calibri" w:cs="Times New Roman"/>
                <w:szCs w:val="18"/>
              </w:rPr>
              <w:t> Наименование статьи</w:t>
            </w:r>
          </w:p>
        </w:tc>
        <w:tc>
          <w:tcPr>
            <w:tcW w:w="13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10E8940A" w14:textId="494B8C09" w:rsidR="006206BA" w:rsidRPr="00FB0A3A" w:rsidRDefault="00726F36" w:rsidP="00726F36">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Факт за 2017,</w:t>
            </w:r>
            <w:r w:rsidRPr="00FB0A3A">
              <w:rPr>
                <w:rFonts w:eastAsia="Calibri" w:cs="Times New Roman"/>
                <w:szCs w:val="18"/>
              </w:rPr>
              <w:br/>
            </w:r>
            <w:r w:rsidR="006206BA" w:rsidRPr="00FB0A3A">
              <w:rPr>
                <w:rFonts w:eastAsia="Calibri" w:cs="Times New Roman"/>
                <w:szCs w:val="18"/>
              </w:rPr>
              <w:t>тыс. руб.</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583F4A3" w14:textId="4D31030C" w:rsidR="006206BA" w:rsidRPr="00FB0A3A" w:rsidRDefault="006206BA" w:rsidP="00726F36">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 xml:space="preserve">Заявлено филиалом ПАО </w:t>
            </w:r>
            <w:r w:rsidR="00655FFA" w:rsidRPr="00FB0A3A">
              <w:rPr>
                <w:rFonts w:eastAsia="Calibri" w:cs="Times New Roman"/>
                <w:szCs w:val="18"/>
              </w:rPr>
              <w:t>«</w:t>
            </w:r>
            <w:r w:rsidR="00F619B6" w:rsidRPr="00FB0A3A">
              <w:rPr>
                <w:rFonts w:eastAsia="Calibri" w:cs="Times New Roman"/>
                <w:szCs w:val="18"/>
              </w:rPr>
              <w:t>МРСК Северо-Запада</w:t>
            </w:r>
            <w:r w:rsidR="00655FFA" w:rsidRPr="00FB0A3A">
              <w:rPr>
                <w:rFonts w:eastAsia="Calibri" w:cs="Times New Roman"/>
                <w:szCs w:val="18"/>
              </w:rPr>
              <w:t>»</w:t>
            </w:r>
            <w:r w:rsidR="00F619B6" w:rsidRPr="00FB0A3A">
              <w:rPr>
                <w:rFonts w:eastAsia="Calibri" w:cs="Times New Roman"/>
                <w:szCs w:val="18"/>
              </w:rPr>
              <w:t xml:space="preserve"> </w:t>
            </w:r>
            <w:r w:rsidR="00655FFA" w:rsidRPr="00FB0A3A">
              <w:rPr>
                <w:rFonts w:eastAsia="Calibri" w:cs="Times New Roman"/>
                <w:szCs w:val="18"/>
              </w:rPr>
              <w:t>«</w:t>
            </w:r>
            <w:r w:rsidRPr="00FB0A3A">
              <w:rPr>
                <w:rFonts w:eastAsia="Calibri" w:cs="Times New Roman"/>
                <w:szCs w:val="18"/>
              </w:rPr>
              <w:t>Колэнерго</w:t>
            </w:r>
            <w:r w:rsidR="00655FFA" w:rsidRPr="00FB0A3A">
              <w:rPr>
                <w:rFonts w:eastAsia="Calibri" w:cs="Times New Roman"/>
                <w:szCs w:val="18"/>
              </w:rPr>
              <w:t>»</w:t>
            </w:r>
            <w:r w:rsidRPr="00FB0A3A">
              <w:rPr>
                <w:rFonts w:eastAsia="Calibri" w:cs="Times New Roman"/>
                <w:szCs w:val="18"/>
              </w:rPr>
              <w:t xml:space="preserve"> на 2019, тыс. руб.</w:t>
            </w:r>
          </w:p>
        </w:tc>
        <w:tc>
          <w:tcPr>
            <w:tcW w:w="11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24CE31C" w14:textId="77777777" w:rsidR="006206BA" w:rsidRPr="00FB0A3A" w:rsidRDefault="006206BA" w:rsidP="00726F36">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ТБР на 2019, тыс. руб.</w:t>
            </w:r>
          </w:p>
        </w:tc>
        <w:tc>
          <w:tcPr>
            <w:tcW w:w="16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AB19778" w14:textId="77777777" w:rsidR="006206BA" w:rsidRPr="00FB0A3A" w:rsidRDefault="006206BA" w:rsidP="00726F36">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Отклонение ТБР на 2019/ заявка на 2019, %</w:t>
            </w:r>
          </w:p>
        </w:tc>
        <w:tc>
          <w:tcPr>
            <w:tcW w:w="10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A0C9874" w14:textId="77777777" w:rsidR="006206BA" w:rsidRPr="00FB0A3A" w:rsidRDefault="006206BA" w:rsidP="00726F36">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ТБР на 2019 /факт за 2017, %</w:t>
            </w:r>
          </w:p>
        </w:tc>
      </w:tr>
      <w:tr w:rsidR="00726F36" w:rsidRPr="00FB0A3A" w14:paraId="7A787B45" w14:textId="77777777" w:rsidTr="00907125">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FFFFFF" w:themeColor="background1"/>
            </w:tcBorders>
            <w:hideMark/>
          </w:tcPr>
          <w:p w14:paraId="6FDBF8FE" w14:textId="77777777" w:rsidR="006206BA" w:rsidRPr="00FB0A3A" w:rsidRDefault="006206BA" w:rsidP="00726F36">
            <w:pPr>
              <w:tabs>
                <w:tab w:val="left" w:pos="1134"/>
              </w:tabs>
              <w:rPr>
                <w:rFonts w:eastAsia="Calibri" w:cs="Times New Roman"/>
                <w:szCs w:val="18"/>
              </w:rPr>
            </w:pPr>
            <w:r w:rsidRPr="00FB0A3A">
              <w:rPr>
                <w:rFonts w:eastAsia="Calibri" w:cs="Times New Roman"/>
                <w:szCs w:val="18"/>
              </w:rPr>
              <w:t>Оплата работ и услуг сторонних организаций</w:t>
            </w:r>
          </w:p>
        </w:tc>
        <w:tc>
          <w:tcPr>
            <w:tcW w:w="1349" w:type="dxa"/>
            <w:tcBorders>
              <w:top w:val="single" w:sz="4" w:space="0" w:color="FFFFFF" w:themeColor="background1"/>
            </w:tcBorders>
            <w:hideMark/>
          </w:tcPr>
          <w:p w14:paraId="64EC09AE" w14:textId="77777777" w:rsidR="006206BA" w:rsidRPr="00FB0A3A" w:rsidRDefault="006206BA" w:rsidP="00726F3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134 027,52</w:t>
            </w:r>
          </w:p>
        </w:tc>
        <w:tc>
          <w:tcPr>
            <w:tcW w:w="1418" w:type="dxa"/>
            <w:tcBorders>
              <w:top w:val="single" w:sz="4" w:space="0" w:color="FFFFFF" w:themeColor="background1"/>
            </w:tcBorders>
            <w:hideMark/>
          </w:tcPr>
          <w:p w14:paraId="4E3C3725" w14:textId="77777777" w:rsidR="006206BA" w:rsidRPr="00FB0A3A" w:rsidRDefault="006206BA" w:rsidP="00726F3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178 111,73</w:t>
            </w:r>
          </w:p>
        </w:tc>
        <w:tc>
          <w:tcPr>
            <w:tcW w:w="1169" w:type="dxa"/>
            <w:tcBorders>
              <w:top w:val="single" w:sz="4" w:space="0" w:color="FFFFFF" w:themeColor="background1"/>
            </w:tcBorders>
            <w:hideMark/>
          </w:tcPr>
          <w:p w14:paraId="771C6599" w14:textId="77777777" w:rsidR="006206BA" w:rsidRPr="00FB0A3A" w:rsidRDefault="006206BA" w:rsidP="00726F3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133 625,28</w:t>
            </w:r>
          </w:p>
        </w:tc>
        <w:tc>
          <w:tcPr>
            <w:tcW w:w="1652" w:type="dxa"/>
            <w:tcBorders>
              <w:top w:val="single" w:sz="4" w:space="0" w:color="FFFFFF" w:themeColor="background1"/>
            </w:tcBorders>
            <w:hideMark/>
          </w:tcPr>
          <w:p w14:paraId="177292A6" w14:textId="77777777" w:rsidR="006206BA" w:rsidRPr="00FB0A3A" w:rsidRDefault="006206BA" w:rsidP="00726F3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-25,0</w:t>
            </w:r>
          </w:p>
        </w:tc>
        <w:tc>
          <w:tcPr>
            <w:tcW w:w="1068" w:type="dxa"/>
            <w:tcBorders>
              <w:top w:val="single" w:sz="4" w:space="0" w:color="FFFFFF" w:themeColor="background1"/>
            </w:tcBorders>
            <w:hideMark/>
          </w:tcPr>
          <w:p w14:paraId="2170ABB8" w14:textId="77777777" w:rsidR="006206BA" w:rsidRPr="00FB0A3A" w:rsidRDefault="006206BA" w:rsidP="00726F3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-0,30</w:t>
            </w:r>
          </w:p>
        </w:tc>
      </w:tr>
      <w:tr w:rsidR="00726F36" w:rsidRPr="00FB0A3A" w14:paraId="100CCFE1" w14:textId="77777777" w:rsidTr="00726F36">
        <w:tc>
          <w:tcPr>
            <w:cnfStyle w:val="001000000000" w:firstRow="0" w:lastRow="0" w:firstColumn="1" w:lastColumn="0" w:oddVBand="0" w:evenVBand="0" w:oddHBand="0" w:evenHBand="0" w:firstRowFirstColumn="0" w:firstRowLastColumn="0" w:lastRowFirstColumn="0" w:lastRowLastColumn="0"/>
            <w:tcW w:w="2830" w:type="dxa"/>
            <w:hideMark/>
          </w:tcPr>
          <w:p w14:paraId="7B1E0691" w14:textId="77777777" w:rsidR="006206BA" w:rsidRPr="00FB0A3A" w:rsidRDefault="006206BA" w:rsidP="00726F36">
            <w:pPr>
              <w:tabs>
                <w:tab w:val="left" w:pos="1134"/>
              </w:tabs>
              <w:ind w:left="164"/>
              <w:rPr>
                <w:rFonts w:eastAsia="Calibri" w:cs="Times New Roman"/>
                <w:szCs w:val="18"/>
              </w:rPr>
            </w:pPr>
            <w:r w:rsidRPr="00FB0A3A">
              <w:rPr>
                <w:rFonts w:eastAsia="Calibri" w:cs="Times New Roman"/>
                <w:szCs w:val="18"/>
              </w:rPr>
              <w:t>услуги связи</w:t>
            </w:r>
          </w:p>
        </w:tc>
        <w:tc>
          <w:tcPr>
            <w:tcW w:w="1349" w:type="dxa"/>
            <w:hideMark/>
          </w:tcPr>
          <w:p w14:paraId="49EED64C" w14:textId="77777777" w:rsidR="006206BA" w:rsidRPr="00FB0A3A" w:rsidRDefault="006206BA" w:rsidP="00726F3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13 464,97</w:t>
            </w:r>
          </w:p>
        </w:tc>
        <w:tc>
          <w:tcPr>
            <w:tcW w:w="1418" w:type="dxa"/>
            <w:hideMark/>
          </w:tcPr>
          <w:p w14:paraId="6A9FF18E" w14:textId="77777777" w:rsidR="006206BA" w:rsidRPr="00FB0A3A" w:rsidRDefault="006206BA" w:rsidP="00726F3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20 480,54</w:t>
            </w:r>
          </w:p>
        </w:tc>
        <w:tc>
          <w:tcPr>
            <w:tcW w:w="1169" w:type="dxa"/>
            <w:hideMark/>
          </w:tcPr>
          <w:p w14:paraId="1502CD86" w14:textId="77777777" w:rsidR="006206BA" w:rsidRPr="00FB0A3A" w:rsidRDefault="006206BA" w:rsidP="00726F3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17 136,83</w:t>
            </w:r>
          </w:p>
        </w:tc>
        <w:tc>
          <w:tcPr>
            <w:tcW w:w="1652" w:type="dxa"/>
            <w:hideMark/>
          </w:tcPr>
          <w:p w14:paraId="2793479A" w14:textId="77777777" w:rsidR="006206BA" w:rsidRPr="00FB0A3A" w:rsidRDefault="006206BA" w:rsidP="00726F3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-16,3</w:t>
            </w:r>
          </w:p>
        </w:tc>
        <w:tc>
          <w:tcPr>
            <w:tcW w:w="1068" w:type="dxa"/>
            <w:hideMark/>
          </w:tcPr>
          <w:p w14:paraId="582EA214" w14:textId="77777777" w:rsidR="006206BA" w:rsidRPr="00FB0A3A" w:rsidRDefault="006206BA" w:rsidP="00726F3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27,27</w:t>
            </w:r>
          </w:p>
        </w:tc>
      </w:tr>
      <w:tr w:rsidR="00726F36" w:rsidRPr="00FB0A3A" w14:paraId="0E439619" w14:textId="77777777" w:rsidTr="00726F36">
        <w:tc>
          <w:tcPr>
            <w:cnfStyle w:val="001000000000" w:firstRow="0" w:lastRow="0" w:firstColumn="1" w:lastColumn="0" w:oddVBand="0" w:evenVBand="0" w:oddHBand="0" w:evenHBand="0" w:firstRowFirstColumn="0" w:firstRowLastColumn="0" w:lastRowFirstColumn="0" w:lastRowLastColumn="0"/>
            <w:tcW w:w="2830" w:type="dxa"/>
            <w:hideMark/>
          </w:tcPr>
          <w:p w14:paraId="568FB2D1" w14:textId="77777777" w:rsidR="006206BA" w:rsidRPr="00FB0A3A" w:rsidRDefault="006206BA" w:rsidP="00726F36">
            <w:pPr>
              <w:tabs>
                <w:tab w:val="left" w:pos="1134"/>
              </w:tabs>
              <w:ind w:left="164"/>
              <w:rPr>
                <w:rFonts w:eastAsia="Calibri" w:cs="Times New Roman"/>
                <w:szCs w:val="18"/>
              </w:rPr>
            </w:pPr>
            <w:r w:rsidRPr="00FB0A3A">
              <w:rPr>
                <w:rFonts w:eastAsia="Calibri" w:cs="Times New Roman"/>
                <w:szCs w:val="18"/>
              </w:rPr>
              <w:t>расходы на услуги вневедомственной охраны и коммунального хозяйства</w:t>
            </w:r>
          </w:p>
        </w:tc>
        <w:tc>
          <w:tcPr>
            <w:tcW w:w="1349" w:type="dxa"/>
            <w:hideMark/>
          </w:tcPr>
          <w:p w14:paraId="61CBF216" w14:textId="77777777" w:rsidR="006206BA" w:rsidRPr="00FB0A3A" w:rsidRDefault="006206BA" w:rsidP="00726F3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37 980,01</w:t>
            </w:r>
          </w:p>
        </w:tc>
        <w:tc>
          <w:tcPr>
            <w:tcW w:w="1418" w:type="dxa"/>
            <w:hideMark/>
          </w:tcPr>
          <w:p w14:paraId="681320FD" w14:textId="77777777" w:rsidR="006206BA" w:rsidRPr="00FB0A3A" w:rsidRDefault="006206BA" w:rsidP="00726F3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48 492,84</w:t>
            </w:r>
          </w:p>
        </w:tc>
        <w:tc>
          <w:tcPr>
            <w:tcW w:w="1169" w:type="dxa"/>
            <w:hideMark/>
          </w:tcPr>
          <w:p w14:paraId="40E5726F" w14:textId="77777777" w:rsidR="006206BA" w:rsidRPr="00FB0A3A" w:rsidRDefault="006206BA" w:rsidP="00726F3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38 418,11</w:t>
            </w:r>
          </w:p>
        </w:tc>
        <w:tc>
          <w:tcPr>
            <w:tcW w:w="1652" w:type="dxa"/>
            <w:hideMark/>
          </w:tcPr>
          <w:p w14:paraId="3D63F513" w14:textId="77777777" w:rsidR="006206BA" w:rsidRPr="00FB0A3A" w:rsidRDefault="006206BA" w:rsidP="00726F3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-20,8</w:t>
            </w:r>
          </w:p>
        </w:tc>
        <w:tc>
          <w:tcPr>
            <w:tcW w:w="1068" w:type="dxa"/>
            <w:hideMark/>
          </w:tcPr>
          <w:p w14:paraId="3EBDB132" w14:textId="77777777" w:rsidR="006206BA" w:rsidRPr="00FB0A3A" w:rsidRDefault="006206BA" w:rsidP="00726F3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1,15</w:t>
            </w:r>
          </w:p>
        </w:tc>
      </w:tr>
      <w:tr w:rsidR="00726F36" w:rsidRPr="00FB0A3A" w14:paraId="35B899CB" w14:textId="77777777" w:rsidTr="00726F36">
        <w:tc>
          <w:tcPr>
            <w:cnfStyle w:val="001000000000" w:firstRow="0" w:lastRow="0" w:firstColumn="1" w:lastColumn="0" w:oddVBand="0" w:evenVBand="0" w:oddHBand="0" w:evenHBand="0" w:firstRowFirstColumn="0" w:firstRowLastColumn="0" w:lastRowFirstColumn="0" w:lastRowLastColumn="0"/>
            <w:tcW w:w="2830" w:type="dxa"/>
            <w:hideMark/>
          </w:tcPr>
          <w:p w14:paraId="51E1E2C5" w14:textId="77777777" w:rsidR="006206BA" w:rsidRPr="00FB0A3A" w:rsidRDefault="006206BA" w:rsidP="00726F36">
            <w:pPr>
              <w:tabs>
                <w:tab w:val="left" w:pos="1134"/>
              </w:tabs>
              <w:ind w:left="164"/>
              <w:rPr>
                <w:rFonts w:eastAsia="Calibri" w:cs="Times New Roman"/>
                <w:szCs w:val="18"/>
              </w:rPr>
            </w:pPr>
            <w:r w:rsidRPr="00FB0A3A">
              <w:rPr>
                <w:rFonts w:eastAsia="Calibri" w:cs="Times New Roman"/>
                <w:szCs w:val="18"/>
              </w:rPr>
              <w:t>расходы на юридические и информационные услуги</w:t>
            </w:r>
          </w:p>
        </w:tc>
        <w:tc>
          <w:tcPr>
            <w:tcW w:w="1349" w:type="dxa"/>
            <w:hideMark/>
          </w:tcPr>
          <w:p w14:paraId="61C5876A" w14:textId="77777777" w:rsidR="006206BA" w:rsidRPr="00FB0A3A" w:rsidRDefault="006206BA" w:rsidP="00726F3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24 261,75</w:t>
            </w:r>
          </w:p>
        </w:tc>
        <w:tc>
          <w:tcPr>
            <w:tcW w:w="1418" w:type="dxa"/>
            <w:hideMark/>
          </w:tcPr>
          <w:p w14:paraId="71E8E444" w14:textId="77777777" w:rsidR="006206BA" w:rsidRPr="00FB0A3A" w:rsidRDefault="006206BA" w:rsidP="00726F3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37 670,85</w:t>
            </w:r>
          </w:p>
        </w:tc>
        <w:tc>
          <w:tcPr>
            <w:tcW w:w="1169" w:type="dxa"/>
            <w:hideMark/>
          </w:tcPr>
          <w:p w14:paraId="0E8A0116" w14:textId="77777777" w:rsidR="006206BA" w:rsidRPr="00FB0A3A" w:rsidRDefault="006206BA" w:rsidP="00726F3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22 971,71</w:t>
            </w:r>
          </w:p>
        </w:tc>
        <w:tc>
          <w:tcPr>
            <w:tcW w:w="1652" w:type="dxa"/>
            <w:hideMark/>
          </w:tcPr>
          <w:p w14:paraId="5F58708C" w14:textId="77777777" w:rsidR="006206BA" w:rsidRPr="00FB0A3A" w:rsidRDefault="006206BA" w:rsidP="00726F3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-39,0</w:t>
            </w:r>
          </w:p>
        </w:tc>
        <w:tc>
          <w:tcPr>
            <w:tcW w:w="1068" w:type="dxa"/>
            <w:hideMark/>
          </w:tcPr>
          <w:p w14:paraId="5EE2969B" w14:textId="77777777" w:rsidR="006206BA" w:rsidRPr="00FB0A3A" w:rsidRDefault="006206BA" w:rsidP="00726F3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-5,32</w:t>
            </w:r>
          </w:p>
        </w:tc>
      </w:tr>
      <w:tr w:rsidR="00726F36" w:rsidRPr="00FB0A3A" w14:paraId="2E7C12DB" w14:textId="77777777" w:rsidTr="00726F36">
        <w:tc>
          <w:tcPr>
            <w:cnfStyle w:val="001000000000" w:firstRow="0" w:lastRow="0" w:firstColumn="1" w:lastColumn="0" w:oddVBand="0" w:evenVBand="0" w:oddHBand="0" w:evenHBand="0" w:firstRowFirstColumn="0" w:firstRowLastColumn="0" w:lastRowFirstColumn="0" w:lastRowLastColumn="0"/>
            <w:tcW w:w="2830" w:type="dxa"/>
            <w:hideMark/>
          </w:tcPr>
          <w:p w14:paraId="05F0C04A" w14:textId="77777777" w:rsidR="006206BA" w:rsidRPr="00FB0A3A" w:rsidRDefault="006206BA" w:rsidP="00726F36">
            <w:pPr>
              <w:tabs>
                <w:tab w:val="left" w:pos="1134"/>
              </w:tabs>
              <w:ind w:left="164"/>
              <w:rPr>
                <w:rFonts w:eastAsia="Calibri" w:cs="Times New Roman"/>
                <w:szCs w:val="18"/>
              </w:rPr>
            </w:pPr>
            <w:r w:rsidRPr="00FB0A3A">
              <w:rPr>
                <w:rFonts w:eastAsia="Calibri" w:cs="Times New Roman"/>
                <w:szCs w:val="18"/>
              </w:rPr>
              <w:t>расходы на аудиторские и консультационные услуги</w:t>
            </w:r>
          </w:p>
        </w:tc>
        <w:tc>
          <w:tcPr>
            <w:tcW w:w="1349" w:type="dxa"/>
            <w:hideMark/>
          </w:tcPr>
          <w:p w14:paraId="000D8B90" w14:textId="77777777" w:rsidR="006206BA" w:rsidRPr="00FB0A3A" w:rsidRDefault="006206BA" w:rsidP="00726F3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248,03</w:t>
            </w:r>
          </w:p>
        </w:tc>
        <w:tc>
          <w:tcPr>
            <w:tcW w:w="1418" w:type="dxa"/>
            <w:hideMark/>
          </w:tcPr>
          <w:p w14:paraId="22AFBB07" w14:textId="77777777" w:rsidR="006206BA" w:rsidRPr="00FB0A3A" w:rsidRDefault="006206BA" w:rsidP="00726F3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475,49</w:t>
            </w:r>
          </w:p>
        </w:tc>
        <w:tc>
          <w:tcPr>
            <w:tcW w:w="1169" w:type="dxa"/>
            <w:hideMark/>
          </w:tcPr>
          <w:p w14:paraId="4AA6B95C" w14:textId="77777777" w:rsidR="006206BA" w:rsidRPr="00FB0A3A" w:rsidRDefault="006206BA" w:rsidP="00726F3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419,02</w:t>
            </w:r>
          </w:p>
        </w:tc>
        <w:tc>
          <w:tcPr>
            <w:tcW w:w="1652" w:type="dxa"/>
            <w:hideMark/>
          </w:tcPr>
          <w:p w14:paraId="7921E046" w14:textId="77777777" w:rsidR="006206BA" w:rsidRPr="00FB0A3A" w:rsidRDefault="006206BA" w:rsidP="00726F3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-11,9</w:t>
            </w:r>
          </w:p>
        </w:tc>
        <w:tc>
          <w:tcPr>
            <w:tcW w:w="1068" w:type="dxa"/>
            <w:hideMark/>
          </w:tcPr>
          <w:p w14:paraId="23A5E62D" w14:textId="77777777" w:rsidR="006206BA" w:rsidRPr="00FB0A3A" w:rsidRDefault="006206BA" w:rsidP="00726F3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68,94</w:t>
            </w:r>
          </w:p>
        </w:tc>
      </w:tr>
      <w:tr w:rsidR="00726F36" w:rsidRPr="00FB0A3A" w14:paraId="1C1BD92F" w14:textId="77777777" w:rsidTr="00726F36">
        <w:tc>
          <w:tcPr>
            <w:cnfStyle w:val="001000000000" w:firstRow="0" w:lastRow="0" w:firstColumn="1" w:lastColumn="0" w:oddVBand="0" w:evenVBand="0" w:oddHBand="0" w:evenHBand="0" w:firstRowFirstColumn="0" w:firstRowLastColumn="0" w:lastRowFirstColumn="0" w:lastRowLastColumn="0"/>
            <w:tcW w:w="2830" w:type="dxa"/>
            <w:hideMark/>
          </w:tcPr>
          <w:p w14:paraId="68EC3279" w14:textId="77777777" w:rsidR="006206BA" w:rsidRPr="00FB0A3A" w:rsidRDefault="006206BA" w:rsidP="00726F36">
            <w:pPr>
              <w:tabs>
                <w:tab w:val="left" w:pos="1134"/>
              </w:tabs>
              <w:ind w:left="164"/>
              <w:rPr>
                <w:rFonts w:eastAsia="Calibri" w:cs="Times New Roman"/>
                <w:szCs w:val="18"/>
              </w:rPr>
            </w:pPr>
            <w:r w:rsidRPr="00FB0A3A">
              <w:rPr>
                <w:rFonts w:eastAsia="Calibri" w:cs="Times New Roman"/>
                <w:szCs w:val="18"/>
              </w:rPr>
              <w:t>транспортные услуги</w:t>
            </w:r>
          </w:p>
        </w:tc>
        <w:tc>
          <w:tcPr>
            <w:tcW w:w="1349" w:type="dxa"/>
            <w:hideMark/>
          </w:tcPr>
          <w:p w14:paraId="485940C5" w14:textId="77777777" w:rsidR="006206BA" w:rsidRPr="00FB0A3A" w:rsidRDefault="006206BA" w:rsidP="00726F3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2 493,86</w:t>
            </w:r>
          </w:p>
        </w:tc>
        <w:tc>
          <w:tcPr>
            <w:tcW w:w="1418" w:type="dxa"/>
            <w:hideMark/>
          </w:tcPr>
          <w:p w14:paraId="2316A63A" w14:textId="77777777" w:rsidR="006206BA" w:rsidRPr="00FB0A3A" w:rsidRDefault="006206BA" w:rsidP="00726F3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3 856,28</w:t>
            </w:r>
          </w:p>
        </w:tc>
        <w:tc>
          <w:tcPr>
            <w:tcW w:w="1169" w:type="dxa"/>
            <w:hideMark/>
          </w:tcPr>
          <w:p w14:paraId="36F3BEAF" w14:textId="77777777" w:rsidR="006206BA" w:rsidRPr="00FB0A3A" w:rsidRDefault="006206BA" w:rsidP="00726F3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3 178,10</w:t>
            </w:r>
          </w:p>
        </w:tc>
        <w:tc>
          <w:tcPr>
            <w:tcW w:w="1652" w:type="dxa"/>
            <w:hideMark/>
          </w:tcPr>
          <w:p w14:paraId="3FE72195" w14:textId="77777777" w:rsidR="006206BA" w:rsidRPr="00FB0A3A" w:rsidRDefault="006206BA" w:rsidP="00726F3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-17,6</w:t>
            </w:r>
          </w:p>
        </w:tc>
        <w:tc>
          <w:tcPr>
            <w:tcW w:w="1068" w:type="dxa"/>
            <w:hideMark/>
          </w:tcPr>
          <w:p w14:paraId="21001B16" w14:textId="77777777" w:rsidR="006206BA" w:rsidRPr="00FB0A3A" w:rsidRDefault="006206BA" w:rsidP="00726F3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27,44</w:t>
            </w:r>
          </w:p>
        </w:tc>
      </w:tr>
      <w:tr w:rsidR="00726F36" w:rsidRPr="00FB0A3A" w14:paraId="21FD0D75" w14:textId="77777777" w:rsidTr="00726F36">
        <w:tc>
          <w:tcPr>
            <w:cnfStyle w:val="001000000000" w:firstRow="0" w:lastRow="0" w:firstColumn="1" w:lastColumn="0" w:oddVBand="0" w:evenVBand="0" w:oddHBand="0" w:evenHBand="0" w:firstRowFirstColumn="0" w:firstRowLastColumn="0" w:lastRowFirstColumn="0" w:lastRowLastColumn="0"/>
            <w:tcW w:w="2830" w:type="dxa"/>
            <w:hideMark/>
          </w:tcPr>
          <w:p w14:paraId="7367B0C5" w14:textId="77777777" w:rsidR="006206BA" w:rsidRPr="00FB0A3A" w:rsidRDefault="006206BA" w:rsidP="00726F36">
            <w:pPr>
              <w:tabs>
                <w:tab w:val="left" w:pos="1134"/>
              </w:tabs>
              <w:ind w:left="164"/>
              <w:rPr>
                <w:rFonts w:eastAsia="Calibri" w:cs="Times New Roman"/>
                <w:szCs w:val="18"/>
              </w:rPr>
            </w:pPr>
            <w:r w:rsidRPr="00FB0A3A">
              <w:rPr>
                <w:rFonts w:eastAsia="Calibri" w:cs="Times New Roman"/>
                <w:szCs w:val="18"/>
              </w:rPr>
              <w:t>прочие услуги сторонних организаций</w:t>
            </w:r>
          </w:p>
        </w:tc>
        <w:tc>
          <w:tcPr>
            <w:tcW w:w="1349" w:type="dxa"/>
            <w:hideMark/>
          </w:tcPr>
          <w:p w14:paraId="6BF56774" w14:textId="77777777" w:rsidR="006206BA" w:rsidRPr="00FB0A3A" w:rsidRDefault="006206BA" w:rsidP="00726F3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55 578,90</w:t>
            </w:r>
          </w:p>
        </w:tc>
        <w:tc>
          <w:tcPr>
            <w:tcW w:w="1418" w:type="dxa"/>
            <w:hideMark/>
          </w:tcPr>
          <w:p w14:paraId="408ED0F1" w14:textId="77777777" w:rsidR="006206BA" w:rsidRPr="00FB0A3A" w:rsidRDefault="006206BA" w:rsidP="00726F3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67 135,73</w:t>
            </w:r>
          </w:p>
        </w:tc>
        <w:tc>
          <w:tcPr>
            <w:tcW w:w="1169" w:type="dxa"/>
            <w:hideMark/>
          </w:tcPr>
          <w:p w14:paraId="41F27482" w14:textId="77777777" w:rsidR="006206BA" w:rsidRPr="00FB0A3A" w:rsidRDefault="006206BA" w:rsidP="00726F3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51 501,51</w:t>
            </w:r>
          </w:p>
        </w:tc>
        <w:tc>
          <w:tcPr>
            <w:tcW w:w="1652" w:type="dxa"/>
            <w:hideMark/>
          </w:tcPr>
          <w:p w14:paraId="0D6C7998" w14:textId="77777777" w:rsidR="006206BA" w:rsidRPr="00FB0A3A" w:rsidRDefault="006206BA" w:rsidP="00726F3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-23,3</w:t>
            </w:r>
          </w:p>
        </w:tc>
        <w:tc>
          <w:tcPr>
            <w:tcW w:w="1068" w:type="dxa"/>
            <w:hideMark/>
          </w:tcPr>
          <w:p w14:paraId="158171F2" w14:textId="77777777" w:rsidR="006206BA" w:rsidRPr="00FB0A3A" w:rsidRDefault="006206BA" w:rsidP="00726F3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-7,34</w:t>
            </w:r>
          </w:p>
        </w:tc>
      </w:tr>
    </w:tbl>
    <w:p w14:paraId="352629AD" w14:textId="77777777" w:rsidR="00486403" w:rsidRDefault="00486403" w:rsidP="00A54C03">
      <w:pPr>
        <w:pStyle w:val="afff7"/>
        <w:ind w:firstLine="0"/>
        <w:rPr>
          <w:b/>
          <w:i/>
        </w:rPr>
      </w:pPr>
    </w:p>
    <w:p w14:paraId="355B4D73" w14:textId="77777777" w:rsidR="00486403" w:rsidRDefault="00486403" w:rsidP="00A54C03">
      <w:pPr>
        <w:pStyle w:val="afff7"/>
        <w:ind w:firstLine="0"/>
        <w:rPr>
          <w:b/>
          <w:i/>
        </w:rPr>
      </w:pPr>
    </w:p>
    <w:p w14:paraId="552E3618" w14:textId="14199AFB" w:rsidR="000A200C" w:rsidRPr="00C04ABD" w:rsidRDefault="000A200C" w:rsidP="00A54C03">
      <w:pPr>
        <w:pStyle w:val="afff7"/>
        <w:ind w:firstLine="0"/>
        <w:rPr>
          <w:b/>
          <w:i/>
        </w:rPr>
      </w:pPr>
      <w:r w:rsidRPr="00C04ABD">
        <w:rPr>
          <w:b/>
          <w:i/>
        </w:rPr>
        <w:lastRenderedPageBreak/>
        <w:t>Расходы на услуги связи</w:t>
      </w:r>
    </w:p>
    <w:p w14:paraId="746CE3F5" w14:textId="2D9FE52B" w:rsidR="006206BA" w:rsidRPr="00C04ABD" w:rsidRDefault="006206BA" w:rsidP="00726F36">
      <w:pPr>
        <w:tabs>
          <w:tab w:val="left" w:pos="1134"/>
        </w:tabs>
        <w:spacing w:after="0" w:line="360" w:lineRule="auto"/>
        <w:contextualSpacing/>
        <w:jc w:val="both"/>
        <w:rPr>
          <w:rFonts w:ascii="Myriad Pro" w:eastAsia="Calibri" w:hAnsi="Myriad Pro" w:cs="Times New Roman"/>
          <w:b/>
          <w:sz w:val="26"/>
          <w:szCs w:val="26"/>
        </w:rPr>
      </w:pPr>
      <w:r w:rsidRPr="00C04ABD">
        <w:rPr>
          <w:rFonts w:ascii="Myriad Pro" w:eastAsia="Calibri" w:hAnsi="Myriad Pro" w:cs="Times New Roman"/>
          <w:b/>
          <w:sz w:val="26"/>
          <w:szCs w:val="26"/>
        </w:rPr>
        <w:t>ПОЗИЦИЯ ТЕРРИТОРИАЛЬНОЙ СЕТЕВОЙ ОРГАНИЗАЦИИ</w:t>
      </w:r>
    </w:p>
    <w:p w14:paraId="38FC635E" w14:textId="7160CE1C" w:rsidR="000A200C" w:rsidRPr="00C04ABD" w:rsidRDefault="006206BA"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Расходы на</w:t>
      </w:r>
      <w:r w:rsidR="00913CA7" w:rsidRPr="00C04ABD">
        <w:rPr>
          <w:rFonts w:ascii="Myriad Pro" w:eastAsia="Calibri" w:hAnsi="Myriad Pro" w:cs="Times New Roman"/>
          <w:sz w:val="26"/>
          <w:szCs w:val="26"/>
        </w:rPr>
        <w:t xml:space="preserve"> </w:t>
      </w:r>
      <w:r w:rsidR="000A200C" w:rsidRPr="00C04ABD">
        <w:rPr>
          <w:rFonts w:ascii="Myriad Pro" w:eastAsia="Calibri" w:hAnsi="Myriad Pro" w:cs="Times New Roman"/>
          <w:sz w:val="26"/>
          <w:szCs w:val="26"/>
        </w:rPr>
        <w:t>услуги связи</w:t>
      </w:r>
      <w:r w:rsidR="00913CA7" w:rsidRPr="00C04ABD">
        <w:rPr>
          <w:rFonts w:ascii="Myriad Pro" w:eastAsia="Calibri" w:hAnsi="Myriad Pro" w:cs="Times New Roman"/>
          <w:sz w:val="26"/>
          <w:szCs w:val="26"/>
        </w:rPr>
        <w:t xml:space="preserve"> </w:t>
      </w:r>
      <w:r w:rsidRPr="00C04ABD">
        <w:rPr>
          <w:rFonts w:ascii="Myriad Pro" w:eastAsia="Calibri" w:hAnsi="Myriad Pro" w:cs="Times New Roman"/>
          <w:sz w:val="26"/>
          <w:szCs w:val="26"/>
        </w:rPr>
        <w:t xml:space="preserve">определены филиалом </w:t>
      </w:r>
      <w:r w:rsidR="00350B0A" w:rsidRPr="00C04ABD">
        <w:rPr>
          <w:rFonts w:ascii="Myriad Pro" w:eastAsia="Calibri" w:hAnsi="Myriad Pro" w:cs="Times New Roman"/>
          <w:sz w:val="26"/>
          <w:szCs w:val="26"/>
        </w:rPr>
        <w:t xml:space="preserve">ПАО </w:t>
      </w:r>
      <w:r w:rsidR="00655FFA" w:rsidRPr="00C04ABD">
        <w:rPr>
          <w:rFonts w:ascii="Myriad Pro" w:eastAsia="Calibri" w:hAnsi="Myriad Pro" w:cs="Times New Roman"/>
          <w:sz w:val="26"/>
          <w:szCs w:val="26"/>
        </w:rPr>
        <w:t>«</w:t>
      </w:r>
      <w:r w:rsidR="00350B0A" w:rsidRPr="00C04ABD">
        <w:rPr>
          <w:rFonts w:ascii="Myriad Pro" w:eastAsia="Calibri" w:hAnsi="Myriad Pro" w:cs="Times New Roman"/>
          <w:sz w:val="26"/>
          <w:szCs w:val="26"/>
        </w:rPr>
        <w:t>МРСК Северо-Запада</w:t>
      </w:r>
      <w:r w:rsidR="00655FFA" w:rsidRPr="00C04ABD">
        <w:rPr>
          <w:rFonts w:ascii="Myriad Pro" w:eastAsia="Calibri" w:hAnsi="Myriad Pro" w:cs="Times New Roman"/>
          <w:sz w:val="26"/>
          <w:szCs w:val="26"/>
        </w:rPr>
        <w:t>»</w:t>
      </w:r>
      <w:r w:rsidR="00350B0A" w:rsidRPr="00C04ABD">
        <w:rPr>
          <w:rFonts w:ascii="Myriad Pro" w:eastAsia="Calibri" w:hAnsi="Myriad Pro" w:cs="Times New Roman"/>
          <w:sz w:val="26"/>
          <w:szCs w:val="26"/>
        </w:rPr>
        <w:t xml:space="preserve"> </w:t>
      </w:r>
      <w:r w:rsidR="00655FFA" w:rsidRPr="00C04ABD">
        <w:rPr>
          <w:rFonts w:ascii="Myriad Pro" w:eastAsia="Calibri" w:hAnsi="Myriad Pro" w:cs="Times New Roman"/>
          <w:sz w:val="26"/>
          <w:szCs w:val="26"/>
        </w:rPr>
        <w:t>«</w:t>
      </w:r>
      <w:r w:rsidR="00350B0A" w:rsidRPr="00C04ABD">
        <w:rPr>
          <w:rFonts w:ascii="Myriad Pro" w:eastAsia="Calibri" w:hAnsi="Myriad Pro" w:cs="Times New Roman"/>
          <w:sz w:val="26"/>
          <w:szCs w:val="26"/>
        </w:rPr>
        <w:t>Колэнерго</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 xml:space="preserve"> в необходимой валовой выручке на 2019 год и предъявлены в составе заявления от 28.04.2018 №МР2/4/02/3129 об установлении тарифов на услуги по передаче электрической энергии в размере </w:t>
      </w:r>
      <w:r w:rsidR="000A200C" w:rsidRPr="00C04ABD">
        <w:rPr>
          <w:rFonts w:ascii="Myriad Pro" w:eastAsia="Calibri" w:hAnsi="Myriad Pro" w:cs="Times New Roman"/>
          <w:sz w:val="26"/>
          <w:szCs w:val="26"/>
        </w:rPr>
        <w:t>20 480,5</w:t>
      </w:r>
      <w:r w:rsidRPr="00C04ABD">
        <w:rPr>
          <w:rFonts w:ascii="Myriad Pro" w:eastAsia="Calibri" w:hAnsi="Myriad Pro" w:cs="Times New Roman"/>
          <w:sz w:val="26"/>
          <w:szCs w:val="26"/>
        </w:rPr>
        <w:t xml:space="preserve"> тыс. руб.</w:t>
      </w:r>
      <w:r w:rsidR="000A200C" w:rsidRPr="00C04ABD">
        <w:rPr>
          <w:rFonts w:ascii="Myriad Pro" w:eastAsia="Calibri" w:hAnsi="Myriad Pro" w:cs="Times New Roman"/>
          <w:sz w:val="26"/>
          <w:szCs w:val="26"/>
        </w:rPr>
        <w:t xml:space="preserve"> (в том числе: услуги сотовой и стационарной связи </w:t>
      </w:r>
      <w:r w:rsidR="00E663D3">
        <w:rPr>
          <w:rFonts w:ascii="Myriad Pro" w:eastAsia="Calibri" w:hAnsi="Myriad Pro" w:cs="Times New Roman"/>
          <w:sz w:val="26"/>
          <w:szCs w:val="26"/>
        </w:rPr>
        <w:t>в размере</w:t>
      </w:r>
      <w:r w:rsidR="000A200C" w:rsidRPr="00C04ABD">
        <w:rPr>
          <w:rFonts w:ascii="Myriad Pro" w:eastAsia="Calibri" w:hAnsi="Myriad Pro" w:cs="Times New Roman"/>
          <w:sz w:val="26"/>
          <w:szCs w:val="26"/>
        </w:rPr>
        <w:t xml:space="preserve"> </w:t>
      </w:r>
      <w:r w:rsidR="00824C0B" w:rsidRPr="00C04ABD">
        <w:rPr>
          <w:rFonts w:ascii="Myriad Pro" w:eastAsia="Calibri" w:hAnsi="Myriad Pro" w:cs="Times New Roman"/>
          <w:sz w:val="26"/>
          <w:szCs w:val="26"/>
        </w:rPr>
        <w:t>–</w:t>
      </w:r>
      <w:r w:rsidR="000A200C" w:rsidRPr="00C04ABD">
        <w:rPr>
          <w:rFonts w:ascii="Myriad Pro" w:eastAsia="Calibri" w:hAnsi="Myriad Pro" w:cs="Times New Roman"/>
          <w:sz w:val="26"/>
          <w:szCs w:val="26"/>
        </w:rPr>
        <w:t xml:space="preserve"> 9</w:t>
      </w:r>
      <w:r w:rsidR="00824C0B" w:rsidRPr="00C04ABD">
        <w:rPr>
          <w:rFonts w:ascii="Myriad Pro" w:eastAsia="Calibri" w:hAnsi="Myriad Pro" w:cs="Times New Roman"/>
          <w:sz w:val="26"/>
          <w:szCs w:val="26"/>
        </w:rPr>
        <w:t> </w:t>
      </w:r>
      <w:r w:rsidR="000A200C" w:rsidRPr="00C04ABD">
        <w:rPr>
          <w:rFonts w:ascii="Myriad Pro" w:eastAsia="Calibri" w:hAnsi="Myriad Pro" w:cs="Times New Roman"/>
          <w:sz w:val="26"/>
          <w:szCs w:val="26"/>
        </w:rPr>
        <w:t>867,34 тыс. руб., аренда каналов св</w:t>
      </w:r>
      <w:r w:rsidR="00824C0B" w:rsidRPr="00C04ABD">
        <w:rPr>
          <w:rFonts w:ascii="Myriad Pro" w:eastAsia="Calibri" w:hAnsi="Myriad Pro" w:cs="Times New Roman"/>
          <w:sz w:val="26"/>
          <w:szCs w:val="26"/>
        </w:rPr>
        <w:t>я</w:t>
      </w:r>
      <w:r w:rsidR="000A200C" w:rsidRPr="00C04ABD">
        <w:rPr>
          <w:rFonts w:ascii="Myriad Pro" w:eastAsia="Calibri" w:hAnsi="Myriad Pro" w:cs="Times New Roman"/>
          <w:sz w:val="26"/>
          <w:szCs w:val="26"/>
        </w:rPr>
        <w:t xml:space="preserve">зи </w:t>
      </w:r>
      <w:r w:rsidR="00E663D3">
        <w:rPr>
          <w:rFonts w:ascii="Myriad Pro" w:eastAsia="Calibri" w:hAnsi="Myriad Pro" w:cs="Times New Roman"/>
          <w:sz w:val="26"/>
          <w:szCs w:val="26"/>
        </w:rPr>
        <w:t>в размере</w:t>
      </w:r>
      <w:r w:rsidR="000A200C" w:rsidRPr="00C04ABD">
        <w:rPr>
          <w:rFonts w:ascii="Myriad Pro" w:eastAsia="Calibri" w:hAnsi="Myriad Pro" w:cs="Times New Roman"/>
          <w:sz w:val="26"/>
          <w:szCs w:val="26"/>
        </w:rPr>
        <w:t xml:space="preserve"> </w:t>
      </w:r>
      <w:r w:rsidR="00824C0B" w:rsidRPr="00C04ABD">
        <w:rPr>
          <w:rFonts w:ascii="Myriad Pro" w:eastAsia="Calibri" w:hAnsi="Myriad Pro" w:cs="Times New Roman"/>
          <w:sz w:val="26"/>
          <w:szCs w:val="26"/>
        </w:rPr>
        <w:t>–</w:t>
      </w:r>
      <w:r w:rsidR="000A200C" w:rsidRPr="00C04ABD">
        <w:rPr>
          <w:rFonts w:ascii="Myriad Pro" w:eastAsia="Calibri" w:hAnsi="Myriad Pro" w:cs="Times New Roman"/>
          <w:sz w:val="26"/>
          <w:szCs w:val="26"/>
        </w:rPr>
        <w:t xml:space="preserve"> 8</w:t>
      </w:r>
      <w:r w:rsidR="00824C0B" w:rsidRPr="00C04ABD">
        <w:rPr>
          <w:rFonts w:ascii="Myriad Pro" w:eastAsia="Calibri" w:hAnsi="Myriad Pro" w:cs="Times New Roman"/>
          <w:sz w:val="26"/>
          <w:szCs w:val="26"/>
        </w:rPr>
        <w:t> </w:t>
      </w:r>
      <w:r w:rsidR="000A200C" w:rsidRPr="00C04ABD">
        <w:rPr>
          <w:rFonts w:ascii="Myriad Pro" w:eastAsia="Calibri" w:hAnsi="Myriad Pro" w:cs="Times New Roman"/>
          <w:sz w:val="26"/>
          <w:szCs w:val="26"/>
        </w:rPr>
        <w:t xml:space="preserve">965,8 тыс. руб., почтово-телеграфные расходы </w:t>
      </w:r>
      <w:r w:rsidR="00E663D3">
        <w:rPr>
          <w:rFonts w:ascii="Myriad Pro" w:eastAsia="Calibri" w:hAnsi="Myriad Pro" w:cs="Times New Roman"/>
          <w:sz w:val="26"/>
          <w:szCs w:val="26"/>
        </w:rPr>
        <w:t>в размере</w:t>
      </w:r>
      <w:r w:rsidR="000A200C" w:rsidRPr="00C04ABD">
        <w:rPr>
          <w:rFonts w:ascii="Myriad Pro" w:eastAsia="Calibri" w:hAnsi="Myriad Pro" w:cs="Times New Roman"/>
          <w:sz w:val="26"/>
          <w:szCs w:val="26"/>
        </w:rPr>
        <w:t xml:space="preserve"> -1</w:t>
      </w:r>
      <w:r w:rsidR="00824C0B" w:rsidRPr="00C04ABD">
        <w:rPr>
          <w:rFonts w:ascii="Myriad Pro" w:eastAsia="Calibri" w:hAnsi="Myriad Pro" w:cs="Times New Roman"/>
          <w:sz w:val="26"/>
          <w:szCs w:val="26"/>
        </w:rPr>
        <w:t> </w:t>
      </w:r>
      <w:r w:rsidR="000A200C" w:rsidRPr="00C04ABD">
        <w:rPr>
          <w:rFonts w:ascii="Myriad Pro" w:eastAsia="Calibri" w:hAnsi="Myriad Pro" w:cs="Times New Roman"/>
          <w:sz w:val="26"/>
          <w:szCs w:val="26"/>
        </w:rPr>
        <w:t>647,4 тыс. руб.)</w:t>
      </w:r>
    </w:p>
    <w:p w14:paraId="0538B20A" w14:textId="30104BB9" w:rsidR="006206BA" w:rsidRPr="00C04ABD" w:rsidRDefault="006206BA"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Для обоснован</w:t>
      </w:r>
      <w:r w:rsidR="00913CA7" w:rsidRPr="00C04ABD">
        <w:rPr>
          <w:rFonts w:ascii="Myriad Pro" w:eastAsia="Calibri" w:hAnsi="Myriad Pro" w:cs="Times New Roman"/>
          <w:sz w:val="26"/>
          <w:szCs w:val="26"/>
        </w:rPr>
        <w:t>ия заявленной суммы расходов на оплату работ и услуг сторонних организаций</w:t>
      </w:r>
      <w:r w:rsidRPr="00C04ABD">
        <w:rPr>
          <w:rFonts w:ascii="Myriad Pro" w:eastAsia="Calibri" w:hAnsi="Myriad Pro" w:cs="Times New Roman"/>
          <w:sz w:val="26"/>
          <w:szCs w:val="26"/>
        </w:rPr>
        <w:t xml:space="preserve"> филиалом </w:t>
      </w:r>
      <w:r w:rsidR="00655FFA" w:rsidRPr="00C04ABD">
        <w:rPr>
          <w:rFonts w:ascii="Myriad Pro" w:eastAsia="Calibri" w:hAnsi="Myriad Pro" w:cs="Times New Roman"/>
          <w:sz w:val="26"/>
          <w:szCs w:val="26"/>
        </w:rPr>
        <w:t xml:space="preserve">ПАО «МРСК </w:t>
      </w:r>
      <w:r w:rsidR="00D076DA" w:rsidRPr="00C04ABD">
        <w:rPr>
          <w:rFonts w:ascii="Myriad Pro" w:eastAsia="Calibri" w:hAnsi="Myriad Pro" w:cs="Times New Roman"/>
          <w:sz w:val="26"/>
          <w:szCs w:val="26"/>
        </w:rPr>
        <w:t>Северо-Запада</w:t>
      </w:r>
      <w:r w:rsidR="00655FFA" w:rsidRPr="00C04ABD">
        <w:rPr>
          <w:rFonts w:ascii="Myriad Pro" w:eastAsia="Calibri" w:hAnsi="Myriad Pro" w:cs="Times New Roman"/>
          <w:sz w:val="26"/>
          <w:szCs w:val="26"/>
        </w:rPr>
        <w:t>»</w:t>
      </w:r>
      <w:r w:rsidR="00D076DA" w:rsidRPr="00C04ABD">
        <w:rPr>
          <w:rFonts w:ascii="Myriad Pro" w:eastAsia="Calibri" w:hAnsi="Myriad Pro" w:cs="Times New Roman"/>
          <w:sz w:val="26"/>
          <w:szCs w:val="26"/>
        </w:rPr>
        <w:t xml:space="preserve"> </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Колэнерго</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 xml:space="preserve"> были представлены следующие документы:</w:t>
      </w:r>
    </w:p>
    <w:p w14:paraId="2C32A9D9" w14:textId="44C8CA43" w:rsidR="000A200C" w:rsidRPr="00C04ABD" w:rsidRDefault="006206BA"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 xml:space="preserve">Расчет </w:t>
      </w:r>
      <w:r w:rsidR="000A200C" w:rsidRPr="00C04ABD">
        <w:rPr>
          <w:rFonts w:ascii="Myriad Pro" w:hAnsi="Myriad Pro"/>
          <w:sz w:val="26"/>
          <w:szCs w:val="26"/>
        </w:rPr>
        <w:t>плановых расходов по статье услуги связи на 2019 год с указанием фактических расходов за 2017 год и планируемых расходов за 2018 год;</w:t>
      </w:r>
    </w:p>
    <w:p w14:paraId="2EAAC0D3" w14:textId="57315D5D" w:rsidR="000A200C" w:rsidRPr="00C04ABD" w:rsidRDefault="000A200C"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Расчет плановых расходов по статье услуги связи на 2019 год с указанием наименования организации оказывающей услуги, вида услуг, номера и даты договора оказания услуг</w:t>
      </w:r>
      <w:r w:rsidR="00B130B1" w:rsidRPr="00C04ABD">
        <w:rPr>
          <w:rFonts w:ascii="Myriad Pro" w:hAnsi="Myriad Pro"/>
          <w:sz w:val="26"/>
          <w:szCs w:val="26"/>
        </w:rPr>
        <w:t>;</w:t>
      </w:r>
    </w:p>
    <w:p w14:paraId="67B43412" w14:textId="7BC1A859" w:rsidR="000A200C" w:rsidRPr="00C04ABD" w:rsidRDefault="000A200C"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Копии заключенных договоров оказания услуг</w:t>
      </w:r>
      <w:r w:rsidR="00B130B1" w:rsidRPr="00C04ABD">
        <w:rPr>
          <w:rFonts w:ascii="Myriad Pro" w:hAnsi="Myriad Pro"/>
          <w:sz w:val="26"/>
          <w:szCs w:val="26"/>
        </w:rPr>
        <w:t>;</w:t>
      </w:r>
    </w:p>
    <w:p w14:paraId="073E7314" w14:textId="0ECA4B10" w:rsidR="000A200C" w:rsidRPr="00C04ABD" w:rsidRDefault="000A200C"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Пояснительная записка по изменению затрат на услуги связи</w:t>
      </w:r>
      <w:r w:rsidR="00B130B1" w:rsidRPr="00C04ABD">
        <w:rPr>
          <w:rFonts w:ascii="Myriad Pro" w:hAnsi="Myriad Pro"/>
          <w:sz w:val="26"/>
          <w:szCs w:val="26"/>
        </w:rPr>
        <w:t>;</w:t>
      </w:r>
    </w:p>
    <w:p w14:paraId="01D18642" w14:textId="738D0F3B" w:rsidR="000A200C" w:rsidRPr="00C04ABD" w:rsidRDefault="000A200C"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 xml:space="preserve">Анализы счетов 20,23,25 по элементу затрат </w:t>
      </w:r>
      <w:r w:rsidR="00655FFA" w:rsidRPr="00C04ABD">
        <w:rPr>
          <w:rFonts w:ascii="Myriad Pro" w:hAnsi="Myriad Pro"/>
          <w:sz w:val="26"/>
          <w:szCs w:val="26"/>
        </w:rPr>
        <w:t>«</w:t>
      </w:r>
      <w:r w:rsidRPr="00C04ABD">
        <w:rPr>
          <w:rFonts w:ascii="Myriad Pro" w:hAnsi="Myriad Pro"/>
          <w:sz w:val="26"/>
          <w:szCs w:val="26"/>
        </w:rPr>
        <w:t>Расходы на услуги связи и почтово-телеграфные расходы</w:t>
      </w:r>
      <w:r w:rsidR="00655FFA" w:rsidRPr="00C04ABD">
        <w:rPr>
          <w:rFonts w:ascii="Myriad Pro" w:hAnsi="Myriad Pro"/>
          <w:sz w:val="26"/>
          <w:szCs w:val="26"/>
        </w:rPr>
        <w:t>»</w:t>
      </w:r>
      <w:r w:rsidRPr="00C04ABD">
        <w:rPr>
          <w:rFonts w:ascii="Myriad Pro" w:hAnsi="Myriad Pro"/>
          <w:sz w:val="26"/>
          <w:szCs w:val="26"/>
        </w:rPr>
        <w:t xml:space="preserve"> по виду деятельности </w:t>
      </w:r>
      <w:r w:rsidR="00655FFA" w:rsidRPr="00C04ABD">
        <w:rPr>
          <w:rFonts w:ascii="Myriad Pro" w:hAnsi="Myriad Pro"/>
          <w:sz w:val="26"/>
          <w:szCs w:val="26"/>
        </w:rPr>
        <w:t>«</w:t>
      </w:r>
      <w:r w:rsidRPr="00C04ABD">
        <w:rPr>
          <w:rFonts w:ascii="Myriad Pro" w:hAnsi="Myriad Pro"/>
          <w:sz w:val="26"/>
          <w:szCs w:val="26"/>
        </w:rPr>
        <w:t>Услуги по передаче электроэнергии по сетям</w:t>
      </w:r>
      <w:r w:rsidR="00655FFA" w:rsidRPr="00C04ABD">
        <w:rPr>
          <w:rFonts w:ascii="Myriad Pro" w:hAnsi="Myriad Pro"/>
          <w:sz w:val="26"/>
          <w:szCs w:val="26"/>
        </w:rPr>
        <w:t>»</w:t>
      </w:r>
      <w:r w:rsidR="00B130B1" w:rsidRPr="00C04ABD">
        <w:rPr>
          <w:rFonts w:ascii="Myriad Pro" w:hAnsi="Myriad Pro"/>
          <w:sz w:val="26"/>
          <w:szCs w:val="26"/>
        </w:rPr>
        <w:t>.</w:t>
      </w:r>
    </w:p>
    <w:p w14:paraId="3EC8A034" w14:textId="77777777" w:rsidR="000A200C" w:rsidRPr="00C04ABD" w:rsidRDefault="000A200C" w:rsidP="00A31747">
      <w:pPr>
        <w:pStyle w:val="a4"/>
        <w:tabs>
          <w:tab w:val="left" w:pos="1134"/>
        </w:tabs>
        <w:spacing w:after="0" w:line="360" w:lineRule="auto"/>
        <w:ind w:left="0" w:firstLine="567"/>
        <w:jc w:val="both"/>
        <w:rPr>
          <w:rFonts w:ascii="Myriad Pro" w:hAnsi="Myriad Pro"/>
          <w:b/>
          <w:sz w:val="26"/>
          <w:szCs w:val="26"/>
        </w:rPr>
      </w:pPr>
    </w:p>
    <w:p w14:paraId="4E34E748" w14:textId="69692A28" w:rsidR="006206BA" w:rsidRPr="00C04ABD" w:rsidRDefault="006206BA" w:rsidP="001C033D">
      <w:pPr>
        <w:tabs>
          <w:tab w:val="left" w:pos="1134"/>
        </w:tabs>
        <w:spacing w:after="0" w:line="360" w:lineRule="auto"/>
        <w:contextualSpacing/>
        <w:jc w:val="both"/>
        <w:rPr>
          <w:rFonts w:ascii="Myriad Pro" w:eastAsia="Calibri" w:hAnsi="Myriad Pro" w:cs="Times New Roman"/>
          <w:b/>
          <w:sz w:val="26"/>
          <w:szCs w:val="26"/>
        </w:rPr>
      </w:pPr>
      <w:r w:rsidRPr="00C04ABD">
        <w:rPr>
          <w:rFonts w:ascii="Myriad Pro" w:eastAsia="Calibri" w:hAnsi="Myriad Pro" w:cs="Times New Roman"/>
          <w:b/>
          <w:sz w:val="26"/>
          <w:szCs w:val="26"/>
        </w:rPr>
        <w:t>ПОЗИЦИЯ ОРГАНА РЕГУЛИРОВАНИЯ</w:t>
      </w:r>
    </w:p>
    <w:p w14:paraId="350ED1F8" w14:textId="3DC4958F" w:rsidR="000A200C" w:rsidRPr="00C04ABD" w:rsidRDefault="000A200C"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Величина расходов</w:t>
      </w:r>
      <w:r w:rsidR="000B067A" w:rsidRPr="00C04ABD">
        <w:rPr>
          <w:rFonts w:ascii="Myriad Pro" w:eastAsia="Calibri" w:hAnsi="Myriad Pro" w:cs="Times New Roman"/>
          <w:sz w:val="26"/>
          <w:szCs w:val="26"/>
        </w:rPr>
        <w:t>, принятая регулирующим органом</w:t>
      </w:r>
      <w:r w:rsidRPr="00C04ABD">
        <w:rPr>
          <w:rFonts w:ascii="Myriad Pro" w:eastAsia="Calibri" w:hAnsi="Myriad Pro" w:cs="Times New Roman"/>
          <w:sz w:val="26"/>
          <w:szCs w:val="26"/>
        </w:rPr>
        <w:t xml:space="preserve"> на 2019 год:</w:t>
      </w:r>
    </w:p>
    <w:p w14:paraId="1499ECAA" w14:textId="144E2F32" w:rsidR="000A200C" w:rsidRPr="00C04ABD" w:rsidRDefault="000A200C" w:rsidP="009B0BC1">
      <w:pPr>
        <w:pStyle w:val="a4"/>
        <w:numPr>
          <w:ilvl w:val="2"/>
          <w:numId w:val="48"/>
        </w:numPr>
        <w:tabs>
          <w:tab w:val="clear" w:pos="720"/>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экономически обоснованный уровень – 17 799,82 тыс. руб.</w:t>
      </w:r>
    </w:p>
    <w:p w14:paraId="157A37A4" w14:textId="73D137EE" w:rsidR="000A200C" w:rsidRPr="00C04ABD" w:rsidRDefault="000A200C" w:rsidP="009B0BC1">
      <w:pPr>
        <w:pStyle w:val="a4"/>
        <w:numPr>
          <w:ilvl w:val="2"/>
          <w:numId w:val="48"/>
        </w:numPr>
        <w:tabs>
          <w:tab w:val="clear" w:pos="720"/>
          <w:tab w:val="left" w:pos="1134"/>
        </w:tabs>
        <w:spacing w:after="0" w:line="360" w:lineRule="auto"/>
        <w:ind w:left="0" w:firstLine="567"/>
        <w:contextualSpacing w:val="0"/>
        <w:jc w:val="both"/>
        <w:rPr>
          <w:rFonts w:ascii="Myriad Pro" w:hAnsi="Myriad Pro"/>
          <w:sz w:val="26"/>
          <w:szCs w:val="26"/>
        </w:rPr>
      </w:pPr>
      <w:r w:rsidRPr="00C04ABD">
        <w:rPr>
          <w:rFonts w:ascii="Myriad Pro" w:hAnsi="Myriad Pro"/>
          <w:sz w:val="26"/>
          <w:szCs w:val="26"/>
        </w:rPr>
        <w:t>уровень, принятый при установлении НВВ – 17 136,8 тыс. руб.  (0,7*ЭОУ+0,3*МА)</w:t>
      </w:r>
    </w:p>
    <w:p w14:paraId="7018F9DD" w14:textId="77777777" w:rsidR="000A200C" w:rsidRPr="00C04ABD" w:rsidRDefault="000A200C"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 xml:space="preserve">В связи со значительным количеством договоров и неравномерностью фактических расходов на 2014-2017 гг., Комитетом расходы приняты исходя из </w:t>
      </w:r>
      <w:r w:rsidRPr="00C04ABD">
        <w:rPr>
          <w:rFonts w:ascii="Myriad Pro" w:eastAsia="Calibri" w:hAnsi="Myriad Pro" w:cs="Times New Roman"/>
          <w:sz w:val="26"/>
          <w:szCs w:val="26"/>
        </w:rPr>
        <w:lastRenderedPageBreak/>
        <w:t>фактических данных за 2014-2017 гг., приведенных к уровню цен 2017 года, с учетом ИПЦ.</w:t>
      </w:r>
    </w:p>
    <w:p w14:paraId="69B4C51B" w14:textId="77777777" w:rsidR="006206BA" w:rsidRPr="00C04ABD" w:rsidRDefault="006206BA" w:rsidP="00A31747">
      <w:pPr>
        <w:tabs>
          <w:tab w:val="left" w:pos="1134"/>
        </w:tabs>
        <w:spacing w:after="0" w:line="360" w:lineRule="auto"/>
        <w:ind w:firstLine="567"/>
        <w:contextualSpacing/>
        <w:jc w:val="both"/>
        <w:rPr>
          <w:rFonts w:ascii="Myriad Pro" w:eastAsia="Calibri" w:hAnsi="Myriad Pro" w:cs="Times New Roman"/>
          <w:b/>
          <w:sz w:val="26"/>
          <w:szCs w:val="26"/>
        </w:rPr>
      </w:pPr>
    </w:p>
    <w:p w14:paraId="56FA7E24" w14:textId="77777777" w:rsidR="006206BA" w:rsidRPr="00C04ABD" w:rsidRDefault="006206BA" w:rsidP="001C033D">
      <w:pPr>
        <w:tabs>
          <w:tab w:val="left" w:pos="1134"/>
        </w:tabs>
        <w:spacing w:after="0" w:line="360" w:lineRule="auto"/>
        <w:contextualSpacing/>
        <w:jc w:val="both"/>
        <w:rPr>
          <w:rFonts w:ascii="Myriad Pro" w:eastAsia="Calibri" w:hAnsi="Myriad Pro" w:cs="Times New Roman"/>
          <w:b/>
          <w:sz w:val="26"/>
          <w:szCs w:val="26"/>
        </w:rPr>
      </w:pPr>
      <w:r w:rsidRPr="00C04ABD">
        <w:rPr>
          <w:rFonts w:ascii="Myriad Pro" w:eastAsia="Calibri" w:hAnsi="Myriad Pro" w:cs="Times New Roman"/>
          <w:b/>
          <w:sz w:val="26"/>
          <w:szCs w:val="26"/>
        </w:rPr>
        <w:t>ПОЗИЦИЯ ИСПОЛНИТЕЛЯ</w:t>
      </w:r>
    </w:p>
    <w:p w14:paraId="218BA9E8" w14:textId="77777777" w:rsidR="000A200C" w:rsidRPr="00C04ABD" w:rsidRDefault="000A200C"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 xml:space="preserve">Организацией был направлен расчет расходов на услуги связи на плановый период 2019 г. с пояснением обоснований по увеличению расходов по данной статье. </w:t>
      </w:r>
    </w:p>
    <w:p w14:paraId="5D608B8B" w14:textId="368D2A33" w:rsidR="000A200C" w:rsidRPr="00C04ABD" w:rsidRDefault="000A200C"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 xml:space="preserve">Экономически обоснованная сумма расходов по мнению </w:t>
      </w:r>
      <w:r w:rsidR="00F619B6" w:rsidRPr="00C04ABD">
        <w:rPr>
          <w:rFonts w:ascii="Myriad Pro" w:eastAsia="Calibri" w:hAnsi="Myriad Pro" w:cs="Times New Roman"/>
          <w:sz w:val="26"/>
          <w:szCs w:val="26"/>
        </w:rPr>
        <w:t>Исполнителя</w:t>
      </w:r>
      <w:r w:rsidRPr="00C04ABD">
        <w:rPr>
          <w:rFonts w:ascii="Myriad Pro" w:eastAsia="Calibri" w:hAnsi="Myriad Pro" w:cs="Times New Roman"/>
          <w:sz w:val="26"/>
          <w:szCs w:val="26"/>
        </w:rPr>
        <w:t xml:space="preserve"> 17 997,9 тыс. руб. (в том числе: услуги сотовой и стационарной связи </w:t>
      </w:r>
      <w:r w:rsidR="00E663D3">
        <w:rPr>
          <w:rFonts w:ascii="Myriad Pro" w:eastAsia="Calibri" w:hAnsi="Myriad Pro" w:cs="Times New Roman"/>
          <w:sz w:val="26"/>
          <w:szCs w:val="26"/>
        </w:rPr>
        <w:t>в размере</w:t>
      </w:r>
      <w:r w:rsidRPr="00C04ABD">
        <w:rPr>
          <w:rFonts w:ascii="Myriad Pro" w:eastAsia="Calibri" w:hAnsi="Myriad Pro" w:cs="Times New Roman"/>
          <w:sz w:val="26"/>
          <w:szCs w:val="26"/>
        </w:rPr>
        <w:t xml:space="preserve"> – 8 103,9 тыс. руб., аренда каналов свази </w:t>
      </w:r>
      <w:r w:rsidR="00E663D3">
        <w:rPr>
          <w:rFonts w:ascii="Myriad Pro" w:eastAsia="Calibri" w:hAnsi="Myriad Pro" w:cs="Times New Roman"/>
          <w:sz w:val="26"/>
          <w:szCs w:val="26"/>
        </w:rPr>
        <w:t>в размере</w:t>
      </w:r>
      <w:r w:rsidRPr="00C04ABD">
        <w:rPr>
          <w:rFonts w:ascii="Myriad Pro" w:eastAsia="Calibri" w:hAnsi="Myriad Pro" w:cs="Times New Roman"/>
          <w:sz w:val="26"/>
          <w:szCs w:val="26"/>
        </w:rPr>
        <w:t xml:space="preserve"> </w:t>
      </w:r>
      <w:r w:rsidR="00824C0B" w:rsidRPr="00C04ABD">
        <w:rPr>
          <w:rFonts w:ascii="Myriad Pro" w:eastAsia="Calibri" w:hAnsi="Myriad Pro" w:cs="Times New Roman"/>
          <w:sz w:val="26"/>
          <w:szCs w:val="26"/>
        </w:rPr>
        <w:t>–</w:t>
      </w:r>
      <w:r w:rsidRPr="00C04ABD">
        <w:rPr>
          <w:rFonts w:ascii="Myriad Pro" w:eastAsia="Calibri" w:hAnsi="Myriad Pro" w:cs="Times New Roman"/>
          <w:sz w:val="26"/>
          <w:szCs w:val="26"/>
        </w:rPr>
        <w:t xml:space="preserve"> 8</w:t>
      </w:r>
      <w:r w:rsidR="00824C0B" w:rsidRPr="00C04ABD">
        <w:rPr>
          <w:rFonts w:ascii="Myriad Pro" w:eastAsia="Calibri" w:hAnsi="Myriad Pro" w:cs="Times New Roman"/>
          <w:sz w:val="26"/>
          <w:szCs w:val="26"/>
        </w:rPr>
        <w:t> </w:t>
      </w:r>
      <w:r w:rsidRPr="00C04ABD">
        <w:rPr>
          <w:rFonts w:ascii="Myriad Pro" w:eastAsia="Calibri" w:hAnsi="Myriad Pro" w:cs="Times New Roman"/>
          <w:sz w:val="26"/>
          <w:szCs w:val="26"/>
        </w:rPr>
        <w:t xml:space="preserve">965,8 тыс. руб., почтово-телеграфные расходы </w:t>
      </w:r>
      <w:r w:rsidR="00E663D3">
        <w:rPr>
          <w:rFonts w:ascii="Myriad Pro" w:eastAsia="Calibri" w:hAnsi="Myriad Pro" w:cs="Times New Roman"/>
          <w:sz w:val="26"/>
          <w:szCs w:val="26"/>
        </w:rPr>
        <w:t>в размере</w:t>
      </w:r>
      <w:r w:rsidRPr="00C04ABD">
        <w:rPr>
          <w:rFonts w:ascii="Myriad Pro" w:eastAsia="Calibri" w:hAnsi="Myriad Pro" w:cs="Times New Roman"/>
          <w:sz w:val="26"/>
          <w:szCs w:val="26"/>
        </w:rPr>
        <w:t xml:space="preserve"> -928 тыс. руб.)</w:t>
      </w:r>
    </w:p>
    <w:p w14:paraId="5BD64EC1" w14:textId="305DA4BE" w:rsidR="000A200C" w:rsidRPr="00C04ABD" w:rsidRDefault="000A200C"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ab/>
      </w:r>
      <w:r w:rsidR="00F619B6" w:rsidRPr="00C04ABD">
        <w:rPr>
          <w:rFonts w:ascii="Myriad Pro" w:eastAsia="Calibri" w:hAnsi="Myriad Pro" w:cs="Times New Roman"/>
          <w:sz w:val="26"/>
          <w:szCs w:val="26"/>
        </w:rPr>
        <w:t>Исполнителе</w:t>
      </w:r>
      <w:r w:rsidRPr="00C04ABD">
        <w:rPr>
          <w:rFonts w:ascii="Myriad Pro" w:eastAsia="Calibri" w:hAnsi="Myriad Pro" w:cs="Times New Roman"/>
          <w:sz w:val="26"/>
          <w:szCs w:val="26"/>
        </w:rPr>
        <w:t xml:space="preserve">м не приняты к учету расходы по приобретению сим-карт для целей обеспечения слежения за автотранспортом и услуги подвижной спутниковой связи для слежения за автотранспортом, которые должны по мнению </w:t>
      </w:r>
      <w:r w:rsidR="00F619B6" w:rsidRPr="00C04ABD">
        <w:rPr>
          <w:rFonts w:ascii="Myriad Pro" w:eastAsia="Calibri" w:hAnsi="Myriad Pro" w:cs="Times New Roman"/>
          <w:sz w:val="26"/>
          <w:szCs w:val="26"/>
        </w:rPr>
        <w:t>Исполнителя</w:t>
      </w:r>
      <w:r w:rsidRPr="00C04ABD">
        <w:rPr>
          <w:rFonts w:ascii="Myriad Pro" w:eastAsia="Calibri" w:hAnsi="Myriad Pro" w:cs="Times New Roman"/>
          <w:sz w:val="26"/>
          <w:szCs w:val="26"/>
        </w:rPr>
        <w:t xml:space="preserve"> компенсироваться за счет экономии транспортных расходов, которые подразумеваются при внедрении указанных мероприятий.</w:t>
      </w:r>
    </w:p>
    <w:p w14:paraId="402336A9" w14:textId="77777777" w:rsidR="00911ED4" w:rsidRPr="00C04ABD" w:rsidRDefault="00911ED4"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Сумма 17 997,9 принятая Исполнителем на 198,1 тыс. руб. выше рассчитанного Комитетом и на 2 482,6 тыс. руб. ниже заявленного Филиалом.</w:t>
      </w:r>
    </w:p>
    <w:p w14:paraId="2FC57409" w14:textId="78DCDEE0" w:rsidR="00000712" w:rsidRPr="00C04ABD" w:rsidRDefault="00000712" w:rsidP="001C033D">
      <w:pPr>
        <w:tabs>
          <w:tab w:val="left" w:pos="1134"/>
        </w:tabs>
        <w:spacing w:before="240" w:after="0" w:line="360" w:lineRule="auto"/>
        <w:jc w:val="both"/>
        <w:rPr>
          <w:rFonts w:ascii="Myriad Pro" w:eastAsia="Calibri" w:hAnsi="Myriad Pro" w:cs="Times New Roman"/>
          <w:b/>
          <w:i/>
          <w:sz w:val="26"/>
          <w:szCs w:val="26"/>
        </w:rPr>
      </w:pPr>
      <w:r w:rsidRPr="00C04ABD">
        <w:rPr>
          <w:rFonts w:ascii="Myriad Pro" w:eastAsia="Calibri" w:hAnsi="Myriad Pro" w:cs="Times New Roman"/>
          <w:b/>
          <w:i/>
          <w:sz w:val="26"/>
          <w:szCs w:val="26"/>
        </w:rPr>
        <w:t>Расходы на услуги вневедомственной охраны</w:t>
      </w:r>
    </w:p>
    <w:p w14:paraId="45013730" w14:textId="77777777" w:rsidR="00000712" w:rsidRPr="00C04ABD" w:rsidRDefault="00000712" w:rsidP="001C033D">
      <w:pPr>
        <w:tabs>
          <w:tab w:val="left" w:pos="1134"/>
        </w:tabs>
        <w:spacing w:after="0" w:line="360" w:lineRule="auto"/>
        <w:contextualSpacing/>
        <w:jc w:val="both"/>
        <w:rPr>
          <w:rFonts w:ascii="Myriad Pro" w:eastAsia="Calibri" w:hAnsi="Myriad Pro" w:cs="Times New Roman"/>
          <w:b/>
          <w:sz w:val="26"/>
          <w:szCs w:val="26"/>
        </w:rPr>
      </w:pPr>
      <w:r w:rsidRPr="00C04ABD">
        <w:rPr>
          <w:rFonts w:ascii="Myriad Pro" w:eastAsia="Calibri" w:hAnsi="Myriad Pro" w:cs="Times New Roman"/>
          <w:b/>
          <w:sz w:val="26"/>
          <w:szCs w:val="26"/>
        </w:rPr>
        <w:t>ПОЗИЦИЯ ТЕРРИТОРИАЛЬНОЙ СЕТЕВОЙ ОРГАНИЗАЦИИ</w:t>
      </w:r>
    </w:p>
    <w:p w14:paraId="5AAF15EF" w14:textId="00096F1F" w:rsidR="00000712" w:rsidRPr="00C04ABD" w:rsidRDefault="00000712"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 xml:space="preserve">Расходы на услуги </w:t>
      </w:r>
      <w:r w:rsidR="00860C00" w:rsidRPr="00C04ABD">
        <w:rPr>
          <w:rFonts w:ascii="Myriad Pro" w:eastAsia="Calibri" w:hAnsi="Myriad Pro" w:cs="Times New Roman"/>
          <w:sz w:val="26"/>
          <w:szCs w:val="26"/>
        </w:rPr>
        <w:t>вневедомственной охраны</w:t>
      </w:r>
      <w:r w:rsidRPr="00C04ABD">
        <w:rPr>
          <w:rFonts w:ascii="Myriad Pro" w:eastAsia="Calibri" w:hAnsi="Myriad Pro" w:cs="Times New Roman"/>
          <w:sz w:val="26"/>
          <w:szCs w:val="26"/>
        </w:rPr>
        <w:t xml:space="preserve"> определены филиалом </w:t>
      </w:r>
      <w:r w:rsidR="00655FFA" w:rsidRPr="00C04ABD">
        <w:rPr>
          <w:rFonts w:ascii="Myriad Pro" w:eastAsia="Calibri" w:hAnsi="Myriad Pro" w:cs="Times New Roman"/>
          <w:sz w:val="26"/>
          <w:szCs w:val="26"/>
        </w:rPr>
        <w:t>ПАО</w:t>
      </w:r>
      <w:r w:rsidR="00996030" w:rsidRPr="00C04ABD">
        <w:rPr>
          <w:rFonts w:ascii="Myriad Pro" w:eastAsia="Calibri" w:hAnsi="Myriad Pro" w:cs="Times New Roman"/>
          <w:sz w:val="26"/>
          <w:szCs w:val="26"/>
        </w:rPr>
        <w:t> </w:t>
      </w:r>
      <w:r w:rsidR="00655FFA" w:rsidRPr="00C04ABD">
        <w:rPr>
          <w:rFonts w:ascii="Myriad Pro" w:eastAsia="Calibri" w:hAnsi="Myriad Pro" w:cs="Times New Roman"/>
          <w:sz w:val="26"/>
          <w:szCs w:val="26"/>
        </w:rPr>
        <w:t xml:space="preserve">«МРСК </w:t>
      </w:r>
      <w:r w:rsidR="00350B0A" w:rsidRPr="00C04ABD">
        <w:rPr>
          <w:rFonts w:ascii="Myriad Pro" w:eastAsia="Calibri" w:hAnsi="Myriad Pro" w:cs="Times New Roman"/>
          <w:sz w:val="26"/>
          <w:szCs w:val="26"/>
        </w:rPr>
        <w:t>Северо-Запада</w:t>
      </w:r>
      <w:r w:rsidR="00655FFA" w:rsidRPr="00C04ABD">
        <w:rPr>
          <w:rFonts w:ascii="Myriad Pro" w:eastAsia="Calibri" w:hAnsi="Myriad Pro" w:cs="Times New Roman"/>
          <w:sz w:val="26"/>
          <w:szCs w:val="26"/>
        </w:rPr>
        <w:t>»</w:t>
      </w:r>
      <w:r w:rsidR="00350B0A" w:rsidRPr="00C04ABD">
        <w:rPr>
          <w:rFonts w:ascii="Myriad Pro" w:eastAsia="Calibri" w:hAnsi="Myriad Pro" w:cs="Times New Roman"/>
          <w:sz w:val="26"/>
          <w:szCs w:val="26"/>
        </w:rPr>
        <w:t xml:space="preserve"> </w:t>
      </w:r>
      <w:r w:rsidR="00655FFA" w:rsidRPr="00C04ABD">
        <w:rPr>
          <w:rFonts w:ascii="Myriad Pro" w:eastAsia="Calibri" w:hAnsi="Myriad Pro" w:cs="Times New Roman"/>
          <w:sz w:val="26"/>
          <w:szCs w:val="26"/>
        </w:rPr>
        <w:t>«</w:t>
      </w:r>
      <w:r w:rsidR="00350B0A" w:rsidRPr="00C04ABD">
        <w:rPr>
          <w:rFonts w:ascii="Myriad Pro" w:eastAsia="Calibri" w:hAnsi="Myriad Pro" w:cs="Times New Roman"/>
          <w:sz w:val="26"/>
          <w:szCs w:val="26"/>
        </w:rPr>
        <w:t>Колэнерго</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 xml:space="preserve"> в необходимой валовой выручке на 2019 год и предъявлены в составе заявления от 28.04.2018 №МР2/4/02/3129 об установлении тарифов на услуги по передаче электрической энергии в размере </w:t>
      </w:r>
      <w:r w:rsidR="00860C00" w:rsidRPr="00C04ABD">
        <w:rPr>
          <w:rFonts w:ascii="Myriad Pro" w:eastAsia="Calibri" w:hAnsi="Myriad Pro" w:cs="Times New Roman"/>
          <w:sz w:val="26"/>
          <w:szCs w:val="26"/>
        </w:rPr>
        <w:t>48 492,6</w:t>
      </w:r>
      <w:r w:rsidRPr="00C04ABD">
        <w:rPr>
          <w:rFonts w:ascii="Myriad Pro" w:eastAsia="Calibri" w:hAnsi="Myriad Pro" w:cs="Times New Roman"/>
          <w:sz w:val="26"/>
          <w:szCs w:val="26"/>
        </w:rPr>
        <w:t xml:space="preserve"> тыс. руб. </w:t>
      </w:r>
    </w:p>
    <w:p w14:paraId="09E96870" w14:textId="143E63D0" w:rsidR="00000712" w:rsidRPr="00C04ABD" w:rsidRDefault="00000712"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 xml:space="preserve">Для обоснования заявленной суммы расходов на оплату работ и услуг сторонних организаций филиалом </w:t>
      </w:r>
      <w:r w:rsidR="00350B0A" w:rsidRPr="00C04ABD">
        <w:rPr>
          <w:rFonts w:ascii="Myriad Pro" w:eastAsia="Calibri" w:hAnsi="Myriad Pro" w:cs="Times New Roman"/>
          <w:sz w:val="26"/>
          <w:szCs w:val="26"/>
        </w:rPr>
        <w:t xml:space="preserve">ПАО </w:t>
      </w:r>
      <w:r w:rsidR="00655FFA" w:rsidRPr="00C04ABD">
        <w:rPr>
          <w:rFonts w:ascii="Myriad Pro" w:eastAsia="Calibri" w:hAnsi="Myriad Pro" w:cs="Times New Roman"/>
          <w:sz w:val="26"/>
          <w:szCs w:val="26"/>
        </w:rPr>
        <w:t>«</w:t>
      </w:r>
      <w:r w:rsidR="00350B0A" w:rsidRPr="00C04ABD">
        <w:rPr>
          <w:rFonts w:ascii="Myriad Pro" w:eastAsia="Calibri" w:hAnsi="Myriad Pro" w:cs="Times New Roman"/>
          <w:sz w:val="26"/>
          <w:szCs w:val="26"/>
        </w:rPr>
        <w:t>МРСК Северо-Запада</w:t>
      </w:r>
      <w:r w:rsidR="00655FFA" w:rsidRPr="00C04ABD">
        <w:rPr>
          <w:rFonts w:ascii="Myriad Pro" w:eastAsia="Calibri" w:hAnsi="Myriad Pro" w:cs="Times New Roman"/>
          <w:sz w:val="26"/>
          <w:szCs w:val="26"/>
        </w:rPr>
        <w:t>»</w:t>
      </w:r>
      <w:r w:rsidR="00350B0A" w:rsidRPr="00C04ABD">
        <w:rPr>
          <w:rFonts w:ascii="Myriad Pro" w:eastAsia="Calibri" w:hAnsi="Myriad Pro" w:cs="Times New Roman"/>
          <w:sz w:val="26"/>
          <w:szCs w:val="26"/>
        </w:rPr>
        <w:t xml:space="preserve"> </w:t>
      </w:r>
      <w:r w:rsidR="00655FFA" w:rsidRPr="00C04ABD">
        <w:rPr>
          <w:rFonts w:ascii="Myriad Pro" w:eastAsia="Calibri" w:hAnsi="Myriad Pro" w:cs="Times New Roman"/>
          <w:sz w:val="26"/>
          <w:szCs w:val="26"/>
        </w:rPr>
        <w:t>«</w:t>
      </w:r>
      <w:r w:rsidR="00350B0A" w:rsidRPr="00C04ABD">
        <w:rPr>
          <w:rFonts w:ascii="Myriad Pro" w:eastAsia="Calibri" w:hAnsi="Myriad Pro" w:cs="Times New Roman"/>
          <w:sz w:val="26"/>
          <w:szCs w:val="26"/>
        </w:rPr>
        <w:t>Колэнерго</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 xml:space="preserve"> были представлены следующие документы:</w:t>
      </w:r>
    </w:p>
    <w:p w14:paraId="2D2F55C4" w14:textId="77777777" w:rsidR="00FA1383" w:rsidRPr="00C04ABD" w:rsidRDefault="00FA1383"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Расчет плановых расходов по статье услуги охраны на 2019 год с указанием фактических расходов за 2017 год и планируемых расходов за 2018 год;</w:t>
      </w:r>
    </w:p>
    <w:p w14:paraId="0BFA13C0" w14:textId="2FE8045A" w:rsidR="00FA1383" w:rsidRPr="00C04ABD" w:rsidRDefault="00FA1383"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lastRenderedPageBreak/>
        <w:t>Расчет плановых расходов по статье услуги охраны на 2019 год с указанием наименования организации оказывающей услуги, вида услуг, номера и даты договора оказания услуг</w:t>
      </w:r>
    </w:p>
    <w:p w14:paraId="13D47489" w14:textId="77777777" w:rsidR="00FA1383" w:rsidRPr="00C04ABD" w:rsidRDefault="00FA1383"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Копии заключенных договоров оказания услуг</w:t>
      </w:r>
    </w:p>
    <w:p w14:paraId="58875FB2" w14:textId="42AA72BB" w:rsidR="00FA1383" w:rsidRPr="00C04ABD" w:rsidRDefault="00FA1383"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Пояснительная записка по изменению затрат на услуги охраны</w:t>
      </w:r>
    </w:p>
    <w:p w14:paraId="5C6F04C8" w14:textId="145A92FB" w:rsidR="00FA1383" w:rsidRPr="00C04ABD" w:rsidRDefault="00FA1383"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 xml:space="preserve">Анализы счетов 20,23,25 по виду деятельности </w:t>
      </w:r>
      <w:r w:rsidR="00655FFA" w:rsidRPr="00C04ABD">
        <w:rPr>
          <w:rFonts w:ascii="Myriad Pro" w:hAnsi="Myriad Pro"/>
          <w:sz w:val="26"/>
          <w:szCs w:val="26"/>
        </w:rPr>
        <w:t>«</w:t>
      </w:r>
      <w:r w:rsidRPr="00C04ABD">
        <w:rPr>
          <w:rFonts w:ascii="Myriad Pro" w:hAnsi="Myriad Pro"/>
          <w:sz w:val="26"/>
          <w:szCs w:val="26"/>
        </w:rPr>
        <w:t>Услуги по передаче электроэнергии по сетям</w:t>
      </w:r>
      <w:r w:rsidR="00655FFA" w:rsidRPr="00C04ABD">
        <w:rPr>
          <w:rFonts w:ascii="Myriad Pro" w:hAnsi="Myriad Pro"/>
          <w:sz w:val="26"/>
          <w:szCs w:val="26"/>
        </w:rPr>
        <w:t>»</w:t>
      </w:r>
    </w:p>
    <w:p w14:paraId="75F0301B" w14:textId="77777777" w:rsidR="00A54C03" w:rsidRPr="00C04ABD" w:rsidRDefault="00A54C03" w:rsidP="00A31747">
      <w:pPr>
        <w:pStyle w:val="a4"/>
        <w:tabs>
          <w:tab w:val="left" w:pos="1134"/>
        </w:tabs>
        <w:spacing w:after="0" w:line="360" w:lineRule="auto"/>
        <w:ind w:left="0" w:firstLine="567"/>
        <w:jc w:val="both"/>
        <w:rPr>
          <w:rFonts w:ascii="Myriad Pro" w:hAnsi="Myriad Pro"/>
          <w:sz w:val="26"/>
          <w:szCs w:val="26"/>
        </w:rPr>
      </w:pPr>
    </w:p>
    <w:p w14:paraId="01C4139E" w14:textId="77777777" w:rsidR="00DF542A" w:rsidRPr="00C04ABD" w:rsidRDefault="00DF542A" w:rsidP="001C033D">
      <w:pPr>
        <w:tabs>
          <w:tab w:val="left" w:pos="1134"/>
        </w:tabs>
        <w:spacing w:after="0" w:line="360" w:lineRule="auto"/>
        <w:contextualSpacing/>
        <w:jc w:val="both"/>
        <w:rPr>
          <w:rFonts w:ascii="Myriad Pro" w:eastAsia="Calibri" w:hAnsi="Myriad Pro" w:cs="Times New Roman"/>
          <w:b/>
          <w:sz w:val="26"/>
          <w:szCs w:val="26"/>
        </w:rPr>
      </w:pPr>
      <w:r w:rsidRPr="00C04ABD">
        <w:rPr>
          <w:rFonts w:ascii="Myriad Pro" w:eastAsia="Calibri" w:hAnsi="Myriad Pro" w:cs="Times New Roman"/>
          <w:b/>
          <w:sz w:val="26"/>
          <w:szCs w:val="26"/>
        </w:rPr>
        <w:t>ПОЗИЦИЯ ОРГАНА РЕГУЛИРОВАНИЯ</w:t>
      </w:r>
    </w:p>
    <w:p w14:paraId="5A313BF6" w14:textId="48F5CBBD" w:rsidR="00DF542A" w:rsidRPr="00C04ABD" w:rsidRDefault="00DF542A"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Величина расходов, принятая регулирующим органом на 2019 год:</w:t>
      </w:r>
    </w:p>
    <w:p w14:paraId="2DD6229D" w14:textId="457BE67B" w:rsidR="00DF542A" w:rsidRPr="00C04ABD" w:rsidRDefault="00DF542A" w:rsidP="009B0BC1">
      <w:pPr>
        <w:pStyle w:val="a4"/>
        <w:numPr>
          <w:ilvl w:val="0"/>
          <w:numId w:val="49"/>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экономически обоснованный уровень – 39 904,4 тыс. руб.</w:t>
      </w:r>
    </w:p>
    <w:p w14:paraId="0AFAAE24" w14:textId="79867381" w:rsidR="00DF542A" w:rsidRPr="00C04ABD" w:rsidRDefault="00DF542A" w:rsidP="009B0BC1">
      <w:pPr>
        <w:pStyle w:val="a4"/>
        <w:numPr>
          <w:ilvl w:val="0"/>
          <w:numId w:val="49"/>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уровень, принятый при установлении НВВ – 38 418 тыс. руб.  (0,7*ЭОУ+0,3*МА)</w:t>
      </w:r>
    </w:p>
    <w:p w14:paraId="7ADEC81E" w14:textId="3684B1D8" w:rsidR="00DF542A" w:rsidRPr="00C04ABD" w:rsidRDefault="00DF542A"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Комитетом расходы приняты исходя из средних фактических данных за 2014-2017 гг., приведенных к уровню цен 2017 года, с учетом ИПЦ.</w:t>
      </w:r>
    </w:p>
    <w:p w14:paraId="1BA77C05" w14:textId="77777777" w:rsidR="005872C7" w:rsidRPr="00C04ABD" w:rsidRDefault="005872C7" w:rsidP="00A31747">
      <w:pPr>
        <w:tabs>
          <w:tab w:val="left" w:pos="1134"/>
        </w:tabs>
        <w:spacing w:after="0" w:line="360" w:lineRule="auto"/>
        <w:ind w:firstLine="567"/>
        <w:contextualSpacing/>
        <w:jc w:val="both"/>
        <w:rPr>
          <w:rFonts w:ascii="Myriad Pro" w:eastAsia="Calibri" w:hAnsi="Myriad Pro" w:cs="Times New Roman"/>
          <w:sz w:val="26"/>
          <w:szCs w:val="26"/>
        </w:rPr>
      </w:pPr>
    </w:p>
    <w:p w14:paraId="0D303256" w14:textId="77777777" w:rsidR="00DF542A" w:rsidRPr="00C04ABD" w:rsidRDefault="00DF542A" w:rsidP="001C033D">
      <w:pPr>
        <w:tabs>
          <w:tab w:val="left" w:pos="1134"/>
        </w:tabs>
        <w:spacing w:after="0" w:line="360" w:lineRule="auto"/>
        <w:contextualSpacing/>
        <w:jc w:val="both"/>
        <w:rPr>
          <w:rFonts w:ascii="Myriad Pro" w:eastAsia="Calibri" w:hAnsi="Myriad Pro" w:cs="Times New Roman"/>
          <w:b/>
          <w:sz w:val="26"/>
          <w:szCs w:val="26"/>
        </w:rPr>
      </w:pPr>
      <w:r w:rsidRPr="00C04ABD">
        <w:rPr>
          <w:rFonts w:ascii="Myriad Pro" w:eastAsia="Calibri" w:hAnsi="Myriad Pro" w:cs="Times New Roman"/>
          <w:b/>
          <w:sz w:val="26"/>
          <w:szCs w:val="26"/>
        </w:rPr>
        <w:t>ПОЗИЦИЯ ИСПОЛНИТЕЛЯ</w:t>
      </w:r>
    </w:p>
    <w:p w14:paraId="2E1BFFF8" w14:textId="7450DE5D" w:rsidR="005872C7" w:rsidRPr="00C04ABD" w:rsidRDefault="005872C7"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Организацией был направлен расчет расходов на услуги охраны на плановый период 2019 г. с пояснением обоснований по увеличению расходов по данной статье. В соответствии с пунктом 2</w:t>
      </w:r>
      <w:r w:rsidR="003B26F9" w:rsidRPr="00C04ABD">
        <w:rPr>
          <w:rFonts w:ascii="Myriad Pro" w:eastAsia="Calibri" w:hAnsi="Myriad Pro" w:cs="Times New Roman"/>
          <w:sz w:val="26"/>
          <w:szCs w:val="26"/>
        </w:rPr>
        <w:t>8</w:t>
      </w:r>
      <w:r w:rsidRPr="00C04ABD">
        <w:rPr>
          <w:rFonts w:ascii="Myriad Pro" w:eastAsia="Calibri" w:hAnsi="Myriad Pro" w:cs="Times New Roman"/>
          <w:sz w:val="26"/>
          <w:szCs w:val="26"/>
        </w:rPr>
        <w:t xml:space="preserve"> Правил регулирования Основания, по которым отказано во включении в тарифы отдельных расходов, предложенных организацией, осуществляющей регулируемую деятельность, указываются в протоколе.</w:t>
      </w:r>
    </w:p>
    <w:p w14:paraId="4EB5E47F" w14:textId="74AA3133" w:rsidR="005872C7" w:rsidRPr="00C04ABD" w:rsidRDefault="005872C7"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Комитетом не учтено дополнительное соглашение №2 от 24.01.2018 к договору №170/550/17 от 2</w:t>
      </w:r>
      <w:r w:rsidR="00D076DA" w:rsidRPr="00C04ABD">
        <w:rPr>
          <w:rFonts w:ascii="Myriad Pro" w:eastAsia="Calibri" w:hAnsi="Myriad Pro" w:cs="Times New Roman"/>
          <w:sz w:val="26"/>
          <w:szCs w:val="26"/>
        </w:rPr>
        <w:t xml:space="preserve">4.05.2017г., заключенное с ООО </w:t>
      </w:r>
      <w:r w:rsidR="00655FFA" w:rsidRPr="00C04ABD">
        <w:rPr>
          <w:rFonts w:ascii="Myriad Pro" w:eastAsia="Calibri" w:hAnsi="Myriad Pro" w:cs="Times New Roman"/>
          <w:sz w:val="26"/>
          <w:szCs w:val="26"/>
        </w:rPr>
        <w:t>«</w:t>
      </w:r>
      <w:r w:rsidR="00D076DA" w:rsidRPr="00C04ABD">
        <w:rPr>
          <w:rFonts w:ascii="Myriad Pro" w:eastAsia="Calibri" w:hAnsi="Myriad Pro" w:cs="Times New Roman"/>
          <w:sz w:val="26"/>
          <w:szCs w:val="26"/>
        </w:rPr>
        <w:t xml:space="preserve">ЧОО </w:t>
      </w:r>
      <w:r w:rsidR="00655FFA" w:rsidRPr="00C04ABD">
        <w:rPr>
          <w:rFonts w:ascii="Myriad Pro" w:eastAsia="Calibri" w:hAnsi="Myriad Pro" w:cs="Times New Roman"/>
          <w:sz w:val="26"/>
          <w:szCs w:val="26"/>
        </w:rPr>
        <w:t>«</w:t>
      </w:r>
      <w:r w:rsidR="00D076DA" w:rsidRPr="00C04ABD">
        <w:rPr>
          <w:rFonts w:ascii="Myriad Pro" w:eastAsia="Calibri" w:hAnsi="Myriad Pro" w:cs="Times New Roman"/>
          <w:sz w:val="26"/>
          <w:szCs w:val="26"/>
        </w:rPr>
        <w:t>СТАФ</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 xml:space="preserve">, в котором предусматривается дополнительный объект охраны: </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К</w:t>
      </w:r>
      <w:r w:rsidR="00D076DA" w:rsidRPr="00C04ABD">
        <w:rPr>
          <w:rFonts w:ascii="Myriad Pro" w:eastAsia="Calibri" w:hAnsi="Myriad Pro" w:cs="Times New Roman"/>
          <w:sz w:val="26"/>
          <w:szCs w:val="26"/>
        </w:rPr>
        <w:t xml:space="preserve">омплекс зданий и сооружений ПО </w:t>
      </w:r>
      <w:r w:rsidR="00655FFA" w:rsidRPr="00C04ABD">
        <w:rPr>
          <w:rFonts w:ascii="Myriad Pro" w:eastAsia="Calibri" w:hAnsi="Myriad Pro" w:cs="Times New Roman"/>
          <w:sz w:val="26"/>
          <w:szCs w:val="26"/>
        </w:rPr>
        <w:t>«</w:t>
      </w:r>
      <w:r w:rsidR="00D076DA" w:rsidRPr="00C04ABD">
        <w:rPr>
          <w:rFonts w:ascii="Myriad Pro" w:eastAsia="Calibri" w:hAnsi="Myriad Pro" w:cs="Times New Roman"/>
          <w:sz w:val="26"/>
          <w:szCs w:val="26"/>
        </w:rPr>
        <w:t>ЦЭС</w:t>
      </w:r>
      <w:r w:rsidR="00655FFA" w:rsidRPr="00C04ABD">
        <w:rPr>
          <w:rFonts w:ascii="Myriad Pro" w:eastAsia="Calibri" w:hAnsi="Myriad Pro" w:cs="Times New Roman"/>
          <w:sz w:val="26"/>
          <w:szCs w:val="26"/>
        </w:rPr>
        <w:t>»</w:t>
      </w:r>
      <w:r w:rsidR="00D076DA" w:rsidRPr="00C04ABD">
        <w:rPr>
          <w:rFonts w:ascii="Myriad Pro" w:eastAsia="Calibri" w:hAnsi="Myriad Pro" w:cs="Times New Roman"/>
          <w:sz w:val="26"/>
          <w:szCs w:val="26"/>
        </w:rPr>
        <w:t xml:space="preserve"> г.</w:t>
      </w:r>
      <w:r w:rsidR="00824C0B" w:rsidRPr="00C04ABD">
        <w:rPr>
          <w:rFonts w:ascii="Myriad Pro" w:eastAsia="Calibri" w:hAnsi="Myriad Pro" w:cs="Times New Roman"/>
          <w:sz w:val="26"/>
          <w:szCs w:val="26"/>
        </w:rPr>
        <w:t> </w:t>
      </w:r>
      <w:r w:rsidR="00D076DA" w:rsidRPr="00C04ABD">
        <w:rPr>
          <w:rFonts w:ascii="Myriad Pro" w:eastAsia="Calibri" w:hAnsi="Myriad Pro" w:cs="Times New Roman"/>
          <w:sz w:val="26"/>
          <w:szCs w:val="26"/>
        </w:rPr>
        <w:t xml:space="preserve">Апатиты </w:t>
      </w:r>
      <w:r w:rsidR="00EF43EF" w:rsidRPr="00C04ABD">
        <w:rPr>
          <w:rFonts w:ascii="Myriad Pro" w:eastAsia="Calibri" w:hAnsi="Myriad Pro" w:cs="Times New Roman"/>
          <w:sz w:val="26"/>
          <w:szCs w:val="26"/>
        </w:rPr>
        <w:t>Промплощадка</w:t>
      </w:r>
      <w:r w:rsidR="00655FFA" w:rsidRPr="00C04ABD">
        <w:rPr>
          <w:rFonts w:ascii="Myriad Pro" w:eastAsia="Calibri" w:hAnsi="Myriad Pro" w:cs="Times New Roman"/>
          <w:sz w:val="26"/>
          <w:szCs w:val="26"/>
        </w:rPr>
        <w:t>»</w:t>
      </w:r>
      <w:r w:rsidR="00EF43EF" w:rsidRPr="00C04ABD">
        <w:rPr>
          <w:rFonts w:ascii="Myriad Pro" w:eastAsia="Calibri" w:hAnsi="Myriad Pro" w:cs="Times New Roman"/>
          <w:sz w:val="26"/>
          <w:szCs w:val="26"/>
        </w:rPr>
        <w:t xml:space="preserve"> без указания</w:t>
      </w:r>
      <w:r w:rsidRPr="00C04ABD">
        <w:rPr>
          <w:rFonts w:ascii="Myriad Pro" w:eastAsia="Calibri" w:hAnsi="Myriad Pro" w:cs="Times New Roman"/>
          <w:sz w:val="26"/>
          <w:szCs w:val="26"/>
        </w:rPr>
        <w:t xml:space="preserve"> причин. </w:t>
      </w:r>
    </w:p>
    <w:p w14:paraId="330BAE69" w14:textId="117872DD" w:rsidR="005872C7" w:rsidRPr="00C04ABD" w:rsidRDefault="005872C7"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 xml:space="preserve">Также Комитетом не учтен договор № 41/1002-2017/10 от 06.02.2018, заключенный с АО </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УНИХИМТЕК</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 xml:space="preserve"> по огнезащитной обработке зданий и ка</w:t>
      </w:r>
      <w:r w:rsidR="00EF43EF" w:rsidRPr="00C04ABD">
        <w:rPr>
          <w:rFonts w:ascii="Myriad Pro" w:eastAsia="Calibri" w:hAnsi="Myriad Pro" w:cs="Times New Roman"/>
          <w:sz w:val="26"/>
          <w:szCs w:val="26"/>
        </w:rPr>
        <w:t>бельных линий ПС без указания</w:t>
      </w:r>
      <w:r w:rsidRPr="00C04ABD">
        <w:rPr>
          <w:rFonts w:ascii="Myriad Pro" w:eastAsia="Calibri" w:hAnsi="Myriad Pro" w:cs="Times New Roman"/>
          <w:sz w:val="26"/>
          <w:szCs w:val="26"/>
        </w:rPr>
        <w:t xml:space="preserve"> причин. </w:t>
      </w:r>
    </w:p>
    <w:p w14:paraId="6A5254B6" w14:textId="6005F678" w:rsidR="00FA1383" w:rsidRPr="00C04ABD" w:rsidRDefault="005872C7" w:rsidP="00A31747">
      <w:pPr>
        <w:tabs>
          <w:tab w:val="left" w:pos="1134"/>
        </w:tabs>
        <w:spacing w:after="0" w:line="360" w:lineRule="auto"/>
        <w:ind w:firstLine="567"/>
        <w:contextualSpacing/>
        <w:jc w:val="both"/>
        <w:rPr>
          <w:rFonts w:ascii="Myriad Pro" w:hAnsi="Myriad Pro"/>
          <w:sz w:val="26"/>
          <w:szCs w:val="26"/>
        </w:rPr>
      </w:pPr>
      <w:r w:rsidRPr="00C04ABD">
        <w:rPr>
          <w:rFonts w:ascii="Myriad Pro" w:eastAsia="Calibri" w:hAnsi="Myriad Pro" w:cs="Times New Roman"/>
          <w:sz w:val="26"/>
          <w:szCs w:val="26"/>
        </w:rPr>
        <w:lastRenderedPageBreak/>
        <w:t xml:space="preserve">С учетом обоснований и заключенных договоров с контрагентами экономически обоснованная сумма </w:t>
      </w:r>
      <w:r w:rsidRPr="00C04ABD">
        <w:rPr>
          <w:rFonts w:ascii="Myriad Pro" w:hAnsi="Myriad Pro"/>
          <w:sz w:val="26"/>
          <w:szCs w:val="26"/>
        </w:rPr>
        <w:t>по статье услуги охраны 48 492,4 тыс. руб.</w:t>
      </w:r>
      <w:r w:rsidR="00911ED4" w:rsidRPr="00C04ABD">
        <w:rPr>
          <w:rFonts w:ascii="Myriad Pro" w:hAnsi="Myriad Pro"/>
          <w:sz w:val="26"/>
          <w:szCs w:val="26"/>
        </w:rPr>
        <w:t xml:space="preserve">, что </w:t>
      </w:r>
      <w:r w:rsidR="00911ED4" w:rsidRPr="00C04ABD">
        <w:rPr>
          <w:rFonts w:ascii="Myriad Pro" w:eastAsia="Calibri" w:hAnsi="Myriad Pro" w:cs="Times New Roman"/>
          <w:sz w:val="26"/>
          <w:szCs w:val="26"/>
        </w:rPr>
        <w:t>выше на 8 588,2 тыс. руб. рассчитанного Комитетом и соответствует заявленному Филиалом</w:t>
      </w:r>
      <w:r w:rsidR="00911ED4" w:rsidRPr="00C04ABD">
        <w:rPr>
          <w:rFonts w:ascii="Myriad Pro" w:hAnsi="Myriad Pro"/>
          <w:sz w:val="26"/>
          <w:szCs w:val="26"/>
        </w:rPr>
        <w:t>.</w:t>
      </w:r>
    </w:p>
    <w:p w14:paraId="641C7170" w14:textId="583CD7CF" w:rsidR="00EE3E30" w:rsidRPr="00C04ABD" w:rsidRDefault="00EE3E30" w:rsidP="001C033D">
      <w:pPr>
        <w:tabs>
          <w:tab w:val="left" w:pos="1134"/>
        </w:tabs>
        <w:spacing w:before="240" w:after="0" w:line="360" w:lineRule="auto"/>
        <w:jc w:val="both"/>
        <w:rPr>
          <w:rFonts w:ascii="Myriad Pro" w:eastAsia="Calibri" w:hAnsi="Myriad Pro" w:cs="Times New Roman"/>
          <w:b/>
          <w:i/>
          <w:sz w:val="26"/>
          <w:szCs w:val="26"/>
        </w:rPr>
      </w:pPr>
      <w:r w:rsidRPr="00C04ABD">
        <w:rPr>
          <w:rFonts w:ascii="Myriad Pro" w:eastAsia="Calibri" w:hAnsi="Myriad Pro" w:cs="Times New Roman"/>
          <w:b/>
          <w:i/>
          <w:sz w:val="26"/>
          <w:szCs w:val="26"/>
        </w:rPr>
        <w:t>Расходы на юридические и информационные услуги</w:t>
      </w:r>
    </w:p>
    <w:p w14:paraId="2ACE9C6C" w14:textId="77777777" w:rsidR="00EE3E30" w:rsidRPr="00C04ABD" w:rsidRDefault="00EE3E30" w:rsidP="001C033D">
      <w:pPr>
        <w:tabs>
          <w:tab w:val="left" w:pos="1134"/>
        </w:tabs>
        <w:spacing w:after="0" w:line="360" w:lineRule="auto"/>
        <w:contextualSpacing/>
        <w:jc w:val="both"/>
        <w:rPr>
          <w:rFonts w:ascii="Myriad Pro" w:eastAsia="Calibri" w:hAnsi="Myriad Pro" w:cs="Times New Roman"/>
          <w:b/>
          <w:sz w:val="26"/>
          <w:szCs w:val="26"/>
        </w:rPr>
      </w:pPr>
      <w:r w:rsidRPr="00C04ABD">
        <w:rPr>
          <w:rFonts w:ascii="Myriad Pro" w:eastAsia="Calibri" w:hAnsi="Myriad Pro" w:cs="Times New Roman"/>
          <w:b/>
          <w:sz w:val="26"/>
          <w:szCs w:val="26"/>
        </w:rPr>
        <w:t>ПОЗИЦИЯ ТЕРРИТОРИАЛЬНОЙ СЕТЕВОЙ ОРГАНИЗАЦИИ</w:t>
      </w:r>
    </w:p>
    <w:p w14:paraId="5353A3EA" w14:textId="4A857305" w:rsidR="00EE3E30" w:rsidRPr="00C04ABD" w:rsidRDefault="00FF3091"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Расходы на юридические и информационные услуги</w:t>
      </w:r>
      <w:r w:rsidR="00EE3E30" w:rsidRPr="00C04ABD">
        <w:rPr>
          <w:rFonts w:ascii="Myriad Pro" w:eastAsia="Calibri" w:hAnsi="Myriad Pro" w:cs="Times New Roman"/>
          <w:sz w:val="26"/>
          <w:szCs w:val="26"/>
        </w:rPr>
        <w:t xml:space="preserve"> определены филиалом </w:t>
      </w:r>
      <w:r w:rsidR="00350B0A" w:rsidRPr="00C04ABD">
        <w:rPr>
          <w:rFonts w:ascii="Myriad Pro" w:eastAsia="Calibri" w:hAnsi="Myriad Pro" w:cs="Times New Roman"/>
          <w:sz w:val="26"/>
          <w:szCs w:val="26"/>
        </w:rPr>
        <w:t xml:space="preserve">ПАО </w:t>
      </w:r>
      <w:r w:rsidR="00655FFA" w:rsidRPr="00C04ABD">
        <w:rPr>
          <w:rFonts w:ascii="Myriad Pro" w:eastAsia="Calibri" w:hAnsi="Myriad Pro" w:cs="Times New Roman"/>
          <w:sz w:val="26"/>
          <w:szCs w:val="26"/>
        </w:rPr>
        <w:t>«</w:t>
      </w:r>
      <w:r w:rsidR="00350B0A" w:rsidRPr="00C04ABD">
        <w:rPr>
          <w:rFonts w:ascii="Myriad Pro" w:eastAsia="Calibri" w:hAnsi="Myriad Pro" w:cs="Times New Roman"/>
          <w:sz w:val="26"/>
          <w:szCs w:val="26"/>
        </w:rPr>
        <w:t>МРСК Северо-Запада</w:t>
      </w:r>
      <w:r w:rsidR="00655FFA" w:rsidRPr="00C04ABD">
        <w:rPr>
          <w:rFonts w:ascii="Myriad Pro" w:eastAsia="Calibri" w:hAnsi="Myriad Pro" w:cs="Times New Roman"/>
          <w:sz w:val="26"/>
          <w:szCs w:val="26"/>
        </w:rPr>
        <w:t>»</w:t>
      </w:r>
      <w:r w:rsidR="00350B0A" w:rsidRPr="00C04ABD">
        <w:rPr>
          <w:rFonts w:ascii="Myriad Pro" w:eastAsia="Calibri" w:hAnsi="Myriad Pro" w:cs="Times New Roman"/>
          <w:sz w:val="26"/>
          <w:szCs w:val="26"/>
        </w:rPr>
        <w:t xml:space="preserve"> </w:t>
      </w:r>
      <w:r w:rsidR="00655FFA" w:rsidRPr="00C04ABD">
        <w:rPr>
          <w:rFonts w:ascii="Myriad Pro" w:eastAsia="Calibri" w:hAnsi="Myriad Pro" w:cs="Times New Roman"/>
          <w:sz w:val="26"/>
          <w:szCs w:val="26"/>
        </w:rPr>
        <w:t>«</w:t>
      </w:r>
      <w:r w:rsidR="00350B0A" w:rsidRPr="00C04ABD">
        <w:rPr>
          <w:rFonts w:ascii="Myriad Pro" w:eastAsia="Calibri" w:hAnsi="Myriad Pro" w:cs="Times New Roman"/>
          <w:sz w:val="26"/>
          <w:szCs w:val="26"/>
        </w:rPr>
        <w:t>Колэнерго</w:t>
      </w:r>
      <w:r w:rsidR="00655FFA" w:rsidRPr="00C04ABD">
        <w:rPr>
          <w:rFonts w:ascii="Myriad Pro" w:eastAsia="Calibri" w:hAnsi="Myriad Pro" w:cs="Times New Roman"/>
          <w:sz w:val="26"/>
          <w:szCs w:val="26"/>
        </w:rPr>
        <w:t>»</w:t>
      </w:r>
      <w:r w:rsidR="00EE3E30" w:rsidRPr="00C04ABD">
        <w:rPr>
          <w:rFonts w:ascii="Myriad Pro" w:eastAsia="Calibri" w:hAnsi="Myriad Pro" w:cs="Times New Roman"/>
          <w:sz w:val="26"/>
          <w:szCs w:val="26"/>
        </w:rPr>
        <w:t xml:space="preserve"> в необходимой валовой выручке на 2019 год и предъявлены в составе заявления от 28.04.2018 №МР2/4/02/3129 об установлении тарифов на услуги по передаче электрической энергии в размере </w:t>
      </w:r>
      <w:r w:rsidRPr="00C04ABD">
        <w:rPr>
          <w:rFonts w:ascii="Myriad Pro" w:eastAsia="Calibri" w:hAnsi="Myriad Pro" w:cs="Times New Roman"/>
          <w:sz w:val="26"/>
          <w:szCs w:val="26"/>
        </w:rPr>
        <w:t>37 670,9</w:t>
      </w:r>
      <w:r w:rsidR="00EE3E30" w:rsidRPr="00C04ABD">
        <w:rPr>
          <w:rFonts w:ascii="Myriad Pro" w:eastAsia="Calibri" w:hAnsi="Myriad Pro" w:cs="Times New Roman"/>
          <w:sz w:val="26"/>
          <w:szCs w:val="26"/>
        </w:rPr>
        <w:t xml:space="preserve"> тыс. руб.</w:t>
      </w:r>
      <w:r w:rsidRPr="00C04ABD">
        <w:rPr>
          <w:rFonts w:ascii="Myriad Pro" w:eastAsia="Calibri" w:hAnsi="Myriad Pro" w:cs="Times New Roman"/>
          <w:sz w:val="26"/>
          <w:szCs w:val="26"/>
        </w:rPr>
        <w:t xml:space="preserve"> (в том числе: </w:t>
      </w:r>
      <w:r w:rsidR="008268F0" w:rsidRPr="00C04ABD">
        <w:rPr>
          <w:rFonts w:ascii="Myriad Pro" w:eastAsia="Calibri" w:hAnsi="Myriad Pro" w:cs="Times New Roman"/>
          <w:sz w:val="26"/>
          <w:szCs w:val="26"/>
        </w:rPr>
        <w:t xml:space="preserve">юридические и нотариальные услуги </w:t>
      </w:r>
      <w:r w:rsidR="00E663D3">
        <w:rPr>
          <w:rFonts w:ascii="Myriad Pro" w:eastAsia="Calibri" w:hAnsi="Myriad Pro" w:cs="Times New Roman"/>
          <w:sz w:val="26"/>
          <w:szCs w:val="26"/>
        </w:rPr>
        <w:t>в размере</w:t>
      </w:r>
      <w:r w:rsidR="008268F0" w:rsidRPr="00C04ABD">
        <w:rPr>
          <w:rFonts w:ascii="Myriad Pro" w:eastAsia="Calibri" w:hAnsi="Myriad Pro" w:cs="Times New Roman"/>
          <w:sz w:val="26"/>
          <w:szCs w:val="26"/>
        </w:rPr>
        <w:t xml:space="preserve"> 6</w:t>
      </w:r>
      <w:r w:rsidR="00824C0B" w:rsidRPr="00C04ABD">
        <w:rPr>
          <w:rFonts w:ascii="Myriad Pro" w:eastAsia="Calibri" w:hAnsi="Myriad Pro" w:cs="Times New Roman"/>
          <w:sz w:val="26"/>
          <w:szCs w:val="26"/>
        </w:rPr>
        <w:t> </w:t>
      </w:r>
      <w:r w:rsidR="008268F0" w:rsidRPr="00C04ABD">
        <w:rPr>
          <w:rFonts w:ascii="Myriad Pro" w:eastAsia="Calibri" w:hAnsi="Myriad Pro" w:cs="Times New Roman"/>
          <w:sz w:val="26"/>
          <w:szCs w:val="26"/>
        </w:rPr>
        <w:t xml:space="preserve">214,6 тыс. руб.; информационные услуги – 1,29 тыс. руб.; </w:t>
      </w:r>
      <w:r w:rsidRPr="00C04ABD">
        <w:rPr>
          <w:rFonts w:ascii="Myriad Pro" w:eastAsia="Calibri" w:hAnsi="Myriad Pro" w:cs="Times New Roman"/>
          <w:sz w:val="26"/>
          <w:szCs w:val="26"/>
        </w:rPr>
        <w:t xml:space="preserve">IT </w:t>
      </w:r>
      <w:r w:rsidR="008268F0" w:rsidRPr="00C04ABD">
        <w:rPr>
          <w:rFonts w:ascii="Myriad Pro" w:eastAsia="Calibri" w:hAnsi="Myriad Pro" w:cs="Times New Roman"/>
          <w:sz w:val="26"/>
          <w:szCs w:val="26"/>
        </w:rPr>
        <w:t>–</w:t>
      </w:r>
      <w:r w:rsidRPr="00C04ABD">
        <w:rPr>
          <w:rFonts w:ascii="Myriad Pro" w:eastAsia="Calibri" w:hAnsi="Myriad Pro" w:cs="Times New Roman"/>
          <w:sz w:val="26"/>
          <w:szCs w:val="26"/>
        </w:rPr>
        <w:t xml:space="preserve"> услуги</w:t>
      </w:r>
      <w:r w:rsidR="008268F0" w:rsidRPr="00C04ABD">
        <w:rPr>
          <w:rFonts w:ascii="Myriad Pro" w:eastAsia="Calibri" w:hAnsi="Myriad Pro" w:cs="Times New Roman"/>
          <w:sz w:val="26"/>
          <w:szCs w:val="26"/>
        </w:rPr>
        <w:t xml:space="preserve"> </w:t>
      </w:r>
      <w:r w:rsidR="00E663D3">
        <w:rPr>
          <w:rFonts w:ascii="Myriad Pro" w:eastAsia="Calibri" w:hAnsi="Myriad Pro" w:cs="Times New Roman"/>
          <w:sz w:val="26"/>
          <w:szCs w:val="26"/>
        </w:rPr>
        <w:t>в размере</w:t>
      </w:r>
      <w:r w:rsidR="008268F0" w:rsidRPr="00C04ABD">
        <w:rPr>
          <w:rFonts w:ascii="Myriad Pro" w:eastAsia="Calibri" w:hAnsi="Myriad Pro" w:cs="Times New Roman"/>
          <w:sz w:val="26"/>
          <w:szCs w:val="26"/>
        </w:rPr>
        <w:t xml:space="preserve"> 31 455 тыс. руб.)</w:t>
      </w:r>
    </w:p>
    <w:p w14:paraId="4AC42931" w14:textId="50186368" w:rsidR="00EE3E30" w:rsidRPr="00C04ABD" w:rsidRDefault="00EE3E30"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Для обоснования</w:t>
      </w:r>
      <w:r w:rsidR="00B376BC" w:rsidRPr="00C04ABD">
        <w:rPr>
          <w:rFonts w:ascii="Myriad Pro" w:eastAsia="Calibri" w:hAnsi="Myriad Pro" w:cs="Times New Roman"/>
          <w:sz w:val="26"/>
          <w:szCs w:val="26"/>
        </w:rPr>
        <w:t xml:space="preserve"> заявленной суммы расходов на 2019 год</w:t>
      </w:r>
      <w:r w:rsidRPr="00C04ABD">
        <w:rPr>
          <w:rFonts w:ascii="Myriad Pro" w:eastAsia="Calibri" w:hAnsi="Myriad Pro" w:cs="Times New Roman"/>
          <w:sz w:val="26"/>
          <w:szCs w:val="26"/>
        </w:rPr>
        <w:t xml:space="preserve"> филиалом </w:t>
      </w:r>
      <w:r w:rsidR="00655FFA" w:rsidRPr="00C04ABD">
        <w:rPr>
          <w:rFonts w:ascii="Myriad Pro" w:eastAsia="Calibri" w:hAnsi="Myriad Pro" w:cs="Times New Roman"/>
          <w:sz w:val="26"/>
          <w:szCs w:val="26"/>
        </w:rPr>
        <w:t>ПАО</w:t>
      </w:r>
      <w:r w:rsidR="00996030" w:rsidRPr="00C04ABD">
        <w:rPr>
          <w:rFonts w:ascii="Myriad Pro" w:eastAsia="Calibri" w:hAnsi="Myriad Pro" w:cs="Times New Roman"/>
          <w:sz w:val="26"/>
          <w:szCs w:val="26"/>
        </w:rPr>
        <w:t> </w:t>
      </w:r>
      <w:r w:rsidR="00655FFA" w:rsidRPr="00C04ABD">
        <w:rPr>
          <w:rFonts w:ascii="Myriad Pro" w:eastAsia="Calibri" w:hAnsi="Myriad Pro" w:cs="Times New Roman"/>
          <w:sz w:val="26"/>
          <w:szCs w:val="26"/>
        </w:rPr>
        <w:t xml:space="preserve">«МРСК </w:t>
      </w:r>
      <w:r w:rsidR="00350B0A" w:rsidRPr="00C04ABD">
        <w:rPr>
          <w:rFonts w:ascii="Myriad Pro" w:eastAsia="Calibri" w:hAnsi="Myriad Pro" w:cs="Times New Roman"/>
          <w:sz w:val="26"/>
          <w:szCs w:val="26"/>
        </w:rPr>
        <w:t>Северо-Запада</w:t>
      </w:r>
      <w:r w:rsidR="00655FFA" w:rsidRPr="00C04ABD">
        <w:rPr>
          <w:rFonts w:ascii="Myriad Pro" w:eastAsia="Calibri" w:hAnsi="Myriad Pro" w:cs="Times New Roman"/>
          <w:sz w:val="26"/>
          <w:szCs w:val="26"/>
        </w:rPr>
        <w:t>»</w:t>
      </w:r>
      <w:r w:rsidR="00350B0A" w:rsidRPr="00C04ABD">
        <w:rPr>
          <w:rFonts w:ascii="Myriad Pro" w:eastAsia="Calibri" w:hAnsi="Myriad Pro" w:cs="Times New Roman"/>
          <w:sz w:val="26"/>
          <w:szCs w:val="26"/>
        </w:rPr>
        <w:t xml:space="preserve"> </w:t>
      </w:r>
      <w:r w:rsidR="00655FFA" w:rsidRPr="00C04ABD">
        <w:rPr>
          <w:rFonts w:ascii="Myriad Pro" w:eastAsia="Calibri" w:hAnsi="Myriad Pro" w:cs="Times New Roman"/>
          <w:sz w:val="26"/>
          <w:szCs w:val="26"/>
        </w:rPr>
        <w:t>«</w:t>
      </w:r>
      <w:r w:rsidR="00350B0A" w:rsidRPr="00C04ABD">
        <w:rPr>
          <w:rFonts w:ascii="Myriad Pro" w:eastAsia="Calibri" w:hAnsi="Myriad Pro" w:cs="Times New Roman"/>
          <w:sz w:val="26"/>
          <w:szCs w:val="26"/>
        </w:rPr>
        <w:t>Колэнерго</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 xml:space="preserve"> были представлены следующие документы:</w:t>
      </w:r>
    </w:p>
    <w:p w14:paraId="25B93B21" w14:textId="585FD711" w:rsidR="008268F0" w:rsidRPr="00C04ABD" w:rsidRDefault="008268F0"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Расчет плановых расходов по статьям на 2019 год с указанием фактических расходов за 2017 год и планируемых расходов за 2018 год;</w:t>
      </w:r>
    </w:p>
    <w:p w14:paraId="4E1E28B2" w14:textId="50929281" w:rsidR="008268F0" w:rsidRPr="00C04ABD" w:rsidRDefault="008268F0"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Расчет плановых расходов по статье услуги охраны на 2019 год с указанием наименования организации оказывающей услуги, вида услуг, номера и даты договора оказания услуг;</w:t>
      </w:r>
    </w:p>
    <w:p w14:paraId="760C07FB" w14:textId="223B4350" w:rsidR="008268F0" w:rsidRPr="00C04ABD" w:rsidRDefault="008268F0"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Копии заключенных договоров оказания услуг;</w:t>
      </w:r>
    </w:p>
    <w:p w14:paraId="495230BF" w14:textId="095C4D7E" w:rsidR="008268F0" w:rsidRPr="00C04ABD" w:rsidRDefault="008268F0"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 xml:space="preserve">Анализы счетов 20,23,25 по виду деятельности </w:t>
      </w:r>
      <w:r w:rsidR="00655FFA" w:rsidRPr="00C04ABD">
        <w:rPr>
          <w:rFonts w:ascii="Myriad Pro" w:hAnsi="Myriad Pro"/>
          <w:sz w:val="26"/>
          <w:szCs w:val="26"/>
        </w:rPr>
        <w:t>«</w:t>
      </w:r>
      <w:r w:rsidRPr="00C04ABD">
        <w:rPr>
          <w:rFonts w:ascii="Myriad Pro" w:hAnsi="Myriad Pro"/>
          <w:sz w:val="26"/>
          <w:szCs w:val="26"/>
        </w:rPr>
        <w:t>Услуги по передаче электроэнергии по сетям</w:t>
      </w:r>
      <w:r w:rsidR="00655FFA" w:rsidRPr="00C04ABD">
        <w:rPr>
          <w:rFonts w:ascii="Myriad Pro" w:hAnsi="Myriad Pro"/>
          <w:sz w:val="26"/>
          <w:szCs w:val="26"/>
        </w:rPr>
        <w:t>»</w:t>
      </w:r>
      <w:r w:rsidR="001C033D" w:rsidRPr="00C04ABD">
        <w:rPr>
          <w:rFonts w:ascii="Myriad Pro" w:hAnsi="Myriad Pro"/>
          <w:sz w:val="26"/>
          <w:szCs w:val="26"/>
        </w:rPr>
        <w:t>.</w:t>
      </w:r>
    </w:p>
    <w:p w14:paraId="3168FABD" w14:textId="77777777" w:rsidR="00A54C03" w:rsidRDefault="00A54C03" w:rsidP="001C033D">
      <w:pPr>
        <w:tabs>
          <w:tab w:val="left" w:pos="1134"/>
        </w:tabs>
        <w:spacing w:after="0" w:line="360" w:lineRule="auto"/>
        <w:contextualSpacing/>
        <w:jc w:val="both"/>
        <w:rPr>
          <w:rFonts w:ascii="Myriad Pro" w:eastAsia="Calibri" w:hAnsi="Myriad Pro" w:cs="Times New Roman"/>
          <w:b/>
          <w:sz w:val="26"/>
          <w:szCs w:val="26"/>
        </w:rPr>
      </w:pPr>
    </w:p>
    <w:p w14:paraId="0BABDE8B" w14:textId="1A7263BD" w:rsidR="00EE3E30" w:rsidRPr="00C04ABD" w:rsidRDefault="00EE3E30" w:rsidP="001C033D">
      <w:pPr>
        <w:tabs>
          <w:tab w:val="left" w:pos="1134"/>
        </w:tabs>
        <w:spacing w:after="0" w:line="360" w:lineRule="auto"/>
        <w:contextualSpacing/>
        <w:jc w:val="both"/>
        <w:rPr>
          <w:rFonts w:ascii="Myriad Pro" w:eastAsia="Calibri" w:hAnsi="Myriad Pro" w:cs="Times New Roman"/>
          <w:b/>
          <w:sz w:val="26"/>
          <w:szCs w:val="26"/>
        </w:rPr>
      </w:pPr>
      <w:r w:rsidRPr="00C04ABD">
        <w:rPr>
          <w:rFonts w:ascii="Myriad Pro" w:eastAsia="Calibri" w:hAnsi="Myriad Pro" w:cs="Times New Roman"/>
          <w:b/>
          <w:sz w:val="26"/>
          <w:szCs w:val="26"/>
        </w:rPr>
        <w:t>ПОЗИЦИЯ ОРГАНА РЕГУЛИРОВАНИЯ</w:t>
      </w:r>
    </w:p>
    <w:p w14:paraId="5B8520B5" w14:textId="77777777" w:rsidR="00EE3E30" w:rsidRPr="00C04ABD" w:rsidRDefault="00EE3E30" w:rsidP="00A31747">
      <w:pPr>
        <w:tabs>
          <w:tab w:val="left" w:pos="1134"/>
        </w:tabs>
        <w:spacing w:after="0" w:line="360" w:lineRule="auto"/>
        <w:ind w:firstLine="567"/>
        <w:jc w:val="both"/>
        <w:rPr>
          <w:rFonts w:ascii="Myriad Pro" w:eastAsia="Calibri" w:hAnsi="Myriad Pro" w:cs="Times New Roman"/>
          <w:sz w:val="26"/>
          <w:szCs w:val="26"/>
        </w:rPr>
      </w:pPr>
      <w:r w:rsidRPr="00C04ABD">
        <w:rPr>
          <w:rFonts w:ascii="Myriad Pro" w:eastAsia="Calibri" w:hAnsi="Myriad Pro" w:cs="Times New Roman"/>
          <w:sz w:val="26"/>
          <w:szCs w:val="26"/>
        </w:rPr>
        <w:t>Величина расходов, принятая регулирующим органом на 2019 год:</w:t>
      </w:r>
    </w:p>
    <w:p w14:paraId="1D44B206" w14:textId="16761599" w:rsidR="00EE3E30" w:rsidRPr="00C04ABD" w:rsidRDefault="00EE3E30" w:rsidP="009B0BC1">
      <w:pPr>
        <w:pStyle w:val="a4"/>
        <w:numPr>
          <w:ilvl w:val="0"/>
          <w:numId w:val="50"/>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экономически о</w:t>
      </w:r>
      <w:r w:rsidR="008268F0" w:rsidRPr="00C04ABD">
        <w:rPr>
          <w:rFonts w:ascii="Myriad Pro" w:hAnsi="Myriad Pro"/>
          <w:sz w:val="26"/>
          <w:szCs w:val="26"/>
        </w:rPr>
        <w:t>боснованный уровень – 23 860,45</w:t>
      </w:r>
      <w:r w:rsidRPr="00C04ABD">
        <w:rPr>
          <w:rFonts w:ascii="Myriad Pro" w:hAnsi="Myriad Pro"/>
          <w:sz w:val="26"/>
          <w:szCs w:val="26"/>
        </w:rPr>
        <w:t xml:space="preserve"> тыс. руб.;</w:t>
      </w:r>
    </w:p>
    <w:p w14:paraId="6F6E43BA" w14:textId="7398272B" w:rsidR="00EE3E30" w:rsidRPr="00C04ABD" w:rsidRDefault="00EE3E30" w:rsidP="009B0BC1">
      <w:pPr>
        <w:pStyle w:val="a4"/>
        <w:numPr>
          <w:ilvl w:val="0"/>
          <w:numId w:val="50"/>
        </w:numPr>
        <w:tabs>
          <w:tab w:val="left" w:pos="1134"/>
        </w:tabs>
        <w:spacing w:after="0" w:line="360" w:lineRule="auto"/>
        <w:ind w:left="0" w:firstLine="567"/>
        <w:contextualSpacing w:val="0"/>
        <w:jc w:val="both"/>
        <w:rPr>
          <w:rFonts w:ascii="Myriad Pro" w:hAnsi="Myriad Pro"/>
          <w:sz w:val="26"/>
          <w:szCs w:val="26"/>
        </w:rPr>
      </w:pPr>
      <w:r w:rsidRPr="00C04ABD">
        <w:rPr>
          <w:rFonts w:ascii="Myriad Pro" w:hAnsi="Myriad Pro"/>
          <w:sz w:val="26"/>
          <w:szCs w:val="26"/>
        </w:rPr>
        <w:t>уровень, приняты</w:t>
      </w:r>
      <w:r w:rsidR="008268F0" w:rsidRPr="00C04ABD">
        <w:rPr>
          <w:rFonts w:ascii="Myriad Pro" w:hAnsi="Myriad Pro"/>
          <w:sz w:val="26"/>
          <w:szCs w:val="26"/>
        </w:rPr>
        <w:t xml:space="preserve">й при установлении НВВ – 22 971,7 </w:t>
      </w:r>
      <w:r w:rsidRPr="00C04ABD">
        <w:rPr>
          <w:rFonts w:ascii="Myriad Pro" w:hAnsi="Myriad Pro"/>
          <w:sz w:val="26"/>
          <w:szCs w:val="26"/>
        </w:rPr>
        <w:t>тыс. руб.  (0,7*ЭОУ+0,3*МА)</w:t>
      </w:r>
      <w:r w:rsidR="001C033D" w:rsidRPr="00C04ABD">
        <w:rPr>
          <w:rFonts w:ascii="Myriad Pro" w:hAnsi="Myriad Pro"/>
          <w:sz w:val="26"/>
          <w:szCs w:val="26"/>
        </w:rPr>
        <w:t>.</w:t>
      </w:r>
    </w:p>
    <w:p w14:paraId="3810DDB5" w14:textId="0D846FD1" w:rsidR="008268F0" w:rsidRPr="00C04ABD" w:rsidRDefault="008268F0"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lastRenderedPageBreak/>
        <w:t>В связи неравномерностью фактических расходов в 2014-2017 гг., Комитетом расходы приняты исходя из следующего:</w:t>
      </w:r>
    </w:p>
    <w:p w14:paraId="527FAFD3" w14:textId="27276D23" w:rsidR="008268F0" w:rsidRPr="00C04ABD" w:rsidRDefault="008268F0" w:rsidP="009B0BC1">
      <w:pPr>
        <w:pStyle w:val="a4"/>
        <w:numPr>
          <w:ilvl w:val="0"/>
          <w:numId w:val="50"/>
        </w:numPr>
        <w:tabs>
          <w:tab w:val="left" w:pos="1134"/>
        </w:tabs>
        <w:spacing w:after="0" w:line="360" w:lineRule="auto"/>
        <w:ind w:left="0" w:firstLine="567"/>
        <w:contextualSpacing w:val="0"/>
        <w:jc w:val="both"/>
        <w:rPr>
          <w:rFonts w:ascii="Myriad Pro" w:hAnsi="Myriad Pro"/>
          <w:sz w:val="26"/>
          <w:szCs w:val="26"/>
        </w:rPr>
      </w:pPr>
      <w:r w:rsidRPr="00C04ABD">
        <w:rPr>
          <w:rFonts w:ascii="Myriad Pro" w:hAnsi="Myriad Pro"/>
          <w:sz w:val="26"/>
          <w:szCs w:val="26"/>
        </w:rPr>
        <w:t>расходы на нотариальные услуги приняты в размере 88,28 тыс. руб., исходя из фактически понесенных расходов в 2017 году с учетом ИПЦ;</w:t>
      </w:r>
    </w:p>
    <w:p w14:paraId="5B700846" w14:textId="66531526" w:rsidR="008268F0" w:rsidRPr="00C04ABD" w:rsidRDefault="008268F0" w:rsidP="009B0BC1">
      <w:pPr>
        <w:pStyle w:val="a4"/>
        <w:numPr>
          <w:ilvl w:val="0"/>
          <w:numId w:val="50"/>
        </w:numPr>
        <w:tabs>
          <w:tab w:val="left" w:pos="1134"/>
        </w:tabs>
        <w:spacing w:after="0" w:line="360" w:lineRule="auto"/>
        <w:ind w:left="0" w:firstLine="567"/>
        <w:contextualSpacing w:val="0"/>
        <w:jc w:val="both"/>
        <w:rPr>
          <w:rFonts w:ascii="Myriad Pro" w:hAnsi="Myriad Pro"/>
          <w:sz w:val="26"/>
          <w:szCs w:val="26"/>
        </w:rPr>
      </w:pPr>
      <w:r w:rsidRPr="00C04ABD">
        <w:rPr>
          <w:rFonts w:ascii="Myriad Pro" w:hAnsi="Myriad Pro"/>
          <w:sz w:val="26"/>
          <w:szCs w:val="26"/>
        </w:rPr>
        <w:t xml:space="preserve">расходы на </w:t>
      </w:r>
      <w:r w:rsidR="00172C7E" w:rsidRPr="00C04ABD">
        <w:rPr>
          <w:rFonts w:ascii="Myriad Pro" w:hAnsi="Myriad Pro"/>
          <w:sz w:val="26"/>
          <w:szCs w:val="26"/>
        </w:rPr>
        <w:t>информационные услуги</w:t>
      </w:r>
      <w:r w:rsidRPr="00C04ABD">
        <w:rPr>
          <w:rFonts w:ascii="Myriad Pro" w:hAnsi="Myriad Pro"/>
          <w:sz w:val="26"/>
          <w:szCs w:val="26"/>
        </w:rPr>
        <w:t xml:space="preserve"> приняты в размере 1,29 тыс. руб. по предложению Филиала, исходя из </w:t>
      </w:r>
      <w:r w:rsidR="000C1DD9" w:rsidRPr="00C04ABD">
        <w:rPr>
          <w:rFonts w:ascii="Myriad Pro" w:hAnsi="Myriad Pro"/>
          <w:sz w:val="26"/>
          <w:szCs w:val="26"/>
        </w:rPr>
        <w:t>фактически понесенных расх</w:t>
      </w:r>
      <w:r w:rsidRPr="00C04ABD">
        <w:rPr>
          <w:rFonts w:ascii="Myriad Pro" w:hAnsi="Myriad Pro"/>
          <w:sz w:val="26"/>
          <w:szCs w:val="26"/>
        </w:rPr>
        <w:t>одов в 2017 году с учетом ИПЦ;</w:t>
      </w:r>
    </w:p>
    <w:p w14:paraId="2EA5A348" w14:textId="262FD891" w:rsidR="008268F0" w:rsidRPr="00C04ABD" w:rsidRDefault="008F01C2" w:rsidP="009B0BC1">
      <w:pPr>
        <w:pStyle w:val="a4"/>
        <w:numPr>
          <w:ilvl w:val="0"/>
          <w:numId w:val="50"/>
        </w:numPr>
        <w:tabs>
          <w:tab w:val="left" w:pos="1134"/>
        </w:tabs>
        <w:spacing w:after="0" w:line="360" w:lineRule="auto"/>
        <w:ind w:left="0" w:firstLine="567"/>
        <w:contextualSpacing w:val="0"/>
        <w:jc w:val="both"/>
        <w:rPr>
          <w:rFonts w:ascii="Myriad Pro" w:hAnsi="Myriad Pro"/>
          <w:sz w:val="26"/>
          <w:szCs w:val="26"/>
        </w:rPr>
      </w:pPr>
      <w:r w:rsidRPr="00C04ABD">
        <w:rPr>
          <w:rFonts w:ascii="Myriad Pro" w:hAnsi="Myriad Pro"/>
          <w:sz w:val="26"/>
          <w:szCs w:val="26"/>
        </w:rPr>
        <w:t>расходы на IT- услуги приняты в размере 23 770,88 тыс. руб., исходя из средних фактических д</w:t>
      </w:r>
      <w:r w:rsidR="008268F0" w:rsidRPr="00C04ABD">
        <w:rPr>
          <w:rFonts w:ascii="Myriad Pro" w:hAnsi="Myriad Pro"/>
          <w:sz w:val="26"/>
          <w:szCs w:val="26"/>
        </w:rPr>
        <w:t>анных за 2014-2017 гг., приведенных к уровню цен 2017 года, с учетом ИПЦ.</w:t>
      </w:r>
    </w:p>
    <w:p w14:paraId="74293592" w14:textId="77777777" w:rsidR="00EE3E30" w:rsidRPr="00C04ABD" w:rsidRDefault="00EE3E30" w:rsidP="00A31747">
      <w:pPr>
        <w:tabs>
          <w:tab w:val="left" w:pos="1134"/>
        </w:tabs>
        <w:spacing w:after="0" w:line="360" w:lineRule="auto"/>
        <w:ind w:firstLine="567"/>
        <w:contextualSpacing/>
        <w:jc w:val="both"/>
        <w:rPr>
          <w:rFonts w:ascii="Myriad Pro" w:eastAsia="Calibri" w:hAnsi="Myriad Pro" w:cs="Times New Roman"/>
          <w:b/>
          <w:sz w:val="26"/>
          <w:szCs w:val="26"/>
        </w:rPr>
      </w:pPr>
    </w:p>
    <w:p w14:paraId="6BF91DBE" w14:textId="77777777" w:rsidR="00EE3E30" w:rsidRPr="00C04ABD" w:rsidRDefault="00EE3E30" w:rsidP="001C033D">
      <w:pPr>
        <w:tabs>
          <w:tab w:val="left" w:pos="1134"/>
        </w:tabs>
        <w:spacing w:after="0" w:line="360" w:lineRule="auto"/>
        <w:contextualSpacing/>
        <w:jc w:val="both"/>
        <w:rPr>
          <w:rFonts w:ascii="Myriad Pro" w:eastAsia="Calibri" w:hAnsi="Myriad Pro" w:cs="Times New Roman"/>
          <w:b/>
          <w:sz w:val="26"/>
          <w:szCs w:val="26"/>
        </w:rPr>
      </w:pPr>
      <w:r w:rsidRPr="00C04ABD">
        <w:rPr>
          <w:rFonts w:ascii="Myriad Pro" w:eastAsia="Calibri" w:hAnsi="Myriad Pro" w:cs="Times New Roman"/>
          <w:b/>
          <w:sz w:val="26"/>
          <w:szCs w:val="26"/>
        </w:rPr>
        <w:t>ПОЗИЦИЯ ИСПОЛНИТЕЛЯ</w:t>
      </w:r>
    </w:p>
    <w:p w14:paraId="7D0D9545" w14:textId="156C9D0B" w:rsidR="00EE3E30" w:rsidRPr="00C04ABD" w:rsidRDefault="008F01C2" w:rsidP="00A31747">
      <w:pPr>
        <w:tabs>
          <w:tab w:val="left" w:pos="1134"/>
        </w:tabs>
        <w:spacing w:after="0" w:line="360" w:lineRule="auto"/>
        <w:ind w:firstLine="567"/>
        <w:contextualSpacing/>
        <w:jc w:val="both"/>
        <w:rPr>
          <w:rFonts w:ascii="Myriad Pro" w:hAnsi="Myriad Pro"/>
          <w:sz w:val="26"/>
          <w:szCs w:val="26"/>
        </w:rPr>
      </w:pPr>
      <w:r w:rsidRPr="00C04ABD">
        <w:rPr>
          <w:rFonts w:ascii="Myriad Pro" w:hAnsi="Myriad Pro"/>
          <w:sz w:val="26"/>
          <w:szCs w:val="26"/>
        </w:rPr>
        <w:t>Комитетом не приняты расходы на оказание юридических услуг, оказываемых Балтийской коллегией адвокатов имени Анатолия Собчака, заявленные в размере 6 125,9 тыс. руб. по фактически понесенным расходам 2017 года с учетом ИПЦ.</w:t>
      </w:r>
      <w:r w:rsidR="000C1DD9" w:rsidRPr="00C04ABD">
        <w:rPr>
          <w:rFonts w:ascii="Myriad Pro" w:hAnsi="Myriad Pro"/>
          <w:sz w:val="26"/>
          <w:szCs w:val="26"/>
        </w:rPr>
        <w:t xml:space="preserve"> Ра</w:t>
      </w:r>
      <w:r w:rsidR="00EF43EF" w:rsidRPr="00C04ABD">
        <w:rPr>
          <w:rFonts w:ascii="Myriad Pro" w:hAnsi="Myriad Pro"/>
          <w:sz w:val="26"/>
          <w:szCs w:val="26"/>
        </w:rPr>
        <w:t>сходы не приняты без указания</w:t>
      </w:r>
      <w:r w:rsidR="000C1DD9" w:rsidRPr="00C04ABD">
        <w:rPr>
          <w:rFonts w:ascii="Myriad Pro" w:hAnsi="Myriad Pro"/>
          <w:sz w:val="26"/>
          <w:szCs w:val="26"/>
        </w:rPr>
        <w:t xml:space="preserve"> причин.</w:t>
      </w:r>
    </w:p>
    <w:p w14:paraId="12C75DA8" w14:textId="090C8F79" w:rsidR="00900C1E" w:rsidRPr="00C04ABD" w:rsidRDefault="000C1DD9" w:rsidP="00A31747">
      <w:pPr>
        <w:tabs>
          <w:tab w:val="left" w:pos="1134"/>
        </w:tabs>
        <w:spacing w:after="0" w:line="360" w:lineRule="auto"/>
        <w:ind w:firstLine="567"/>
        <w:contextualSpacing/>
        <w:jc w:val="both"/>
        <w:rPr>
          <w:rFonts w:ascii="Myriad Pro" w:hAnsi="Myriad Pro"/>
          <w:sz w:val="26"/>
          <w:szCs w:val="26"/>
        </w:rPr>
      </w:pPr>
      <w:r w:rsidRPr="00C04ABD">
        <w:rPr>
          <w:rFonts w:ascii="Myriad Pro" w:hAnsi="Myriad Pro"/>
          <w:sz w:val="26"/>
          <w:szCs w:val="26"/>
        </w:rPr>
        <w:t xml:space="preserve">Филиалом произведен расчет плановых расходов на 2019 год по фактическим данным за 2017 год с учетом ИПЦ. По мнению Исполнителя Филиалу необходимо было произвести расчет расходов с учетом необходимости привлечения </w:t>
      </w:r>
      <w:r w:rsidR="00AA2FE5" w:rsidRPr="00C04ABD">
        <w:rPr>
          <w:rFonts w:ascii="Myriad Pro" w:hAnsi="Myriad Pro"/>
          <w:sz w:val="26"/>
          <w:szCs w:val="26"/>
        </w:rPr>
        <w:t xml:space="preserve">в 2019 году </w:t>
      </w:r>
      <w:r w:rsidRPr="00C04ABD">
        <w:rPr>
          <w:rFonts w:ascii="Myriad Pro" w:hAnsi="Myriad Pro"/>
          <w:sz w:val="26"/>
          <w:szCs w:val="26"/>
        </w:rPr>
        <w:t>Балтийской коллегии адвокатов имени Анатолия Собчака</w:t>
      </w:r>
      <w:r w:rsidR="00900C1E" w:rsidRPr="00C04ABD">
        <w:rPr>
          <w:rFonts w:ascii="Myriad Pro" w:hAnsi="Myriad Pro"/>
          <w:sz w:val="26"/>
          <w:szCs w:val="26"/>
        </w:rPr>
        <w:t>, обоснования необходимости оказания юридических услуг, обоснования стоимости услуг.</w:t>
      </w:r>
    </w:p>
    <w:p w14:paraId="0EED2335" w14:textId="05AD0E5A" w:rsidR="00900C1E" w:rsidRPr="00C04ABD" w:rsidRDefault="00900C1E" w:rsidP="00A31747">
      <w:pPr>
        <w:tabs>
          <w:tab w:val="left" w:pos="1134"/>
        </w:tabs>
        <w:spacing w:after="0" w:line="360" w:lineRule="auto"/>
        <w:ind w:firstLine="567"/>
        <w:contextualSpacing/>
        <w:jc w:val="both"/>
        <w:rPr>
          <w:rFonts w:ascii="Myriad Pro" w:hAnsi="Myriad Pro"/>
          <w:sz w:val="26"/>
          <w:szCs w:val="26"/>
        </w:rPr>
      </w:pPr>
      <w:r w:rsidRPr="00C04ABD">
        <w:rPr>
          <w:rFonts w:ascii="Myriad Pro" w:hAnsi="Myriad Pro"/>
          <w:sz w:val="26"/>
          <w:szCs w:val="26"/>
        </w:rPr>
        <w:t xml:space="preserve">Фактические расходы в 2017 году </w:t>
      </w:r>
      <w:r w:rsidR="003C1E36" w:rsidRPr="00C04ABD">
        <w:rPr>
          <w:rFonts w:ascii="Myriad Pro" w:hAnsi="Myriad Pro"/>
          <w:sz w:val="26"/>
          <w:szCs w:val="26"/>
        </w:rPr>
        <w:t xml:space="preserve">Филиалом </w:t>
      </w:r>
      <w:r w:rsidRPr="00C04ABD">
        <w:rPr>
          <w:rFonts w:ascii="Myriad Pro" w:hAnsi="Myriad Pro"/>
          <w:sz w:val="26"/>
          <w:szCs w:val="26"/>
        </w:rPr>
        <w:t xml:space="preserve">понесены в рамках заключенного договора от 30.10.2015 </w:t>
      </w:r>
      <w:r w:rsidR="003C1E36" w:rsidRPr="00C04ABD">
        <w:rPr>
          <w:rFonts w:ascii="Myriad Pro" w:hAnsi="Myriad Pro"/>
          <w:sz w:val="26"/>
          <w:szCs w:val="26"/>
        </w:rPr>
        <w:t>№ 466/1086/15</w:t>
      </w:r>
      <w:r w:rsidR="00824C0B" w:rsidRPr="00C04ABD">
        <w:rPr>
          <w:rFonts w:ascii="Myriad Pro" w:hAnsi="Myriad Pro"/>
          <w:sz w:val="26"/>
          <w:szCs w:val="26"/>
        </w:rPr>
        <w:t xml:space="preserve"> и</w:t>
      </w:r>
      <w:r w:rsidR="003C1E36" w:rsidRPr="00C04ABD">
        <w:rPr>
          <w:rFonts w:ascii="Myriad Pro" w:hAnsi="Myriad Pro"/>
          <w:sz w:val="26"/>
          <w:szCs w:val="26"/>
        </w:rPr>
        <w:t xml:space="preserve"> связаны с оказанием юридических услуг и представлением интересов ПАО </w:t>
      </w:r>
      <w:r w:rsidR="00655FFA" w:rsidRPr="00C04ABD">
        <w:rPr>
          <w:rFonts w:ascii="Myriad Pro" w:hAnsi="Myriad Pro"/>
          <w:sz w:val="26"/>
          <w:szCs w:val="26"/>
        </w:rPr>
        <w:t>«</w:t>
      </w:r>
      <w:r w:rsidR="003C1E36" w:rsidRPr="00C04ABD">
        <w:rPr>
          <w:rFonts w:ascii="Myriad Pro" w:hAnsi="Myriad Pro"/>
          <w:sz w:val="26"/>
          <w:szCs w:val="26"/>
        </w:rPr>
        <w:t>МРСК Северо-Запада</w:t>
      </w:r>
      <w:r w:rsidR="00655FFA" w:rsidRPr="00C04ABD">
        <w:rPr>
          <w:rFonts w:ascii="Myriad Pro" w:hAnsi="Myriad Pro"/>
          <w:sz w:val="26"/>
          <w:szCs w:val="26"/>
        </w:rPr>
        <w:t>»</w:t>
      </w:r>
      <w:r w:rsidR="003C1E36" w:rsidRPr="00C04ABD">
        <w:rPr>
          <w:rFonts w:ascii="Myriad Pro" w:hAnsi="Myriad Pro"/>
          <w:sz w:val="26"/>
          <w:szCs w:val="26"/>
        </w:rPr>
        <w:t xml:space="preserve"> по судебному делу А42-1874/2013 с ОАО </w:t>
      </w:r>
      <w:r w:rsidR="00655FFA" w:rsidRPr="00C04ABD">
        <w:rPr>
          <w:rFonts w:ascii="Myriad Pro" w:hAnsi="Myriad Pro"/>
          <w:sz w:val="26"/>
          <w:szCs w:val="26"/>
        </w:rPr>
        <w:t>«</w:t>
      </w:r>
      <w:r w:rsidR="003C1E36" w:rsidRPr="00C04ABD">
        <w:rPr>
          <w:rFonts w:ascii="Myriad Pro" w:hAnsi="Myriad Pro"/>
          <w:sz w:val="26"/>
          <w:szCs w:val="26"/>
        </w:rPr>
        <w:t>Кольская энергосбытовая компания</w:t>
      </w:r>
      <w:r w:rsidR="00655FFA" w:rsidRPr="00C04ABD">
        <w:rPr>
          <w:rFonts w:ascii="Myriad Pro" w:hAnsi="Myriad Pro"/>
          <w:sz w:val="26"/>
          <w:szCs w:val="26"/>
        </w:rPr>
        <w:t>»</w:t>
      </w:r>
      <w:r w:rsidR="003C1E36" w:rsidRPr="00C04ABD">
        <w:rPr>
          <w:rFonts w:ascii="Myriad Pro" w:hAnsi="Myriad Pro"/>
          <w:sz w:val="26"/>
          <w:szCs w:val="26"/>
        </w:rPr>
        <w:t xml:space="preserve">. </w:t>
      </w:r>
    </w:p>
    <w:p w14:paraId="38467268" w14:textId="0D24335D" w:rsidR="003C1E36" w:rsidRPr="00C04ABD" w:rsidRDefault="003C1E36"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В рамках судебного процесса было рассмотрено и вынесено определение</w:t>
      </w:r>
      <w:r w:rsidR="00B608B8" w:rsidRPr="00C04ABD">
        <w:rPr>
          <w:rFonts w:ascii="Myriad Pro" w:eastAsia="Calibri" w:hAnsi="Myriad Pro" w:cs="Times New Roman"/>
          <w:sz w:val="26"/>
          <w:szCs w:val="26"/>
        </w:rPr>
        <w:t xml:space="preserve"> Арбитражного суда Мурманской области </w:t>
      </w:r>
      <w:r w:rsidR="000C1DD9" w:rsidRPr="00C04ABD">
        <w:rPr>
          <w:rFonts w:ascii="Myriad Pro" w:eastAsia="Calibri" w:hAnsi="Myriad Pro" w:cs="Times New Roman"/>
          <w:sz w:val="26"/>
          <w:szCs w:val="26"/>
        </w:rPr>
        <w:t>от 08.02.2018</w:t>
      </w:r>
      <w:r w:rsidR="00B608B8" w:rsidRPr="00C04ABD">
        <w:rPr>
          <w:rFonts w:ascii="Myriad Pro" w:eastAsia="Calibri" w:hAnsi="Myriad Pro" w:cs="Times New Roman"/>
          <w:sz w:val="26"/>
          <w:szCs w:val="26"/>
        </w:rPr>
        <w:t>. С</w:t>
      </w:r>
      <w:r w:rsidRPr="00C04ABD">
        <w:rPr>
          <w:rFonts w:ascii="Myriad Pro" w:eastAsia="Calibri" w:hAnsi="Myriad Pro" w:cs="Times New Roman"/>
          <w:sz w:val="26"/>
          <w:szCs w:val="26"/>
        </w:rPr>
        <w:t>уд посчитал согласованный договором размер платы за исследование документов, сбор доказательств, обзор судебной практики, подготовку отзывов и представление интересов в суде</w:t>
      </w:r>
      <w:r w:rsidR="00AA2FE5" w:rsidRPr="00C04ABD">
        <w:rPr>
          <w:rFonts w:ascii="Myriad Pro" w:eastAsia="Calibri" w:hAnsi="Myriad Pro" w:cs="Times New Roman"/>
          <w:sz w:val="26"/>
          <w:szCs w:val="26"/>
        </w:rPr>
        <w:t>бных заседаниях не соответствующем</w:t>
      </w:r>
      <w:r w:rsidRPr="00C04ABD">
        <w:rPr>
          <w:rFonts w:ascii="Myriad Pro" w:eastAsia="Calibri" w:hAnsi="Myriad Pro" w:cs="Times New Roman"/>
          <w:sz w:val="26"/>
          <w:szCs w:val="26"/>
        </w:rPr>
        <w:t xml:space="preserve"> критериям разумност</w:t>
      </w:r>
      <w:r w:rsidR="00C9721F" w:rsidRPr="00C04ABD">
        <w:rPr>
          <w:rFonts w:ascii="Myriad Pro" w:eastAsia="Calibri" w:hAnsi="Myriad Pro" w:cs="Times New Roman"/>
          <w:sz w:val="26"/>
          <w:szCs w:val="26"/>
        </w:rPr>
        <w:t xml:space="preserve">и и подлежащими </w:t>
      </w:r>
      <w:r w:rsidRPr="00C04ABD">
        <w:rPr>
          <w:rFonts w:ascii="Myriad Pro" w:eastAsia="Calibri" w:hAnsi="Myriad Pro" w:cs="Times New Roman"/>
          <w:sz w:val="26"/>
          <w:szCs w:val="26"/>
        </w:rPr>
        <w:t xml:space="preserve">снижению. В этой связи суд, сопоставив условия договора о </w:t>
      </w:r>
      <w:r w:rsidRPr="00C04ABD">
        <w:rPr>
          <w:rFonts w:ascii="Myriad Pro" w:eastAsia="Calibri" w:hAnsi="Myriad Pro" w:cs="Times New Roman"/>
          <w:sz w:val="26"/>
          <w:szCs w:val="26"/>
        </w:rPr>
        <w:lastRenderedPageBreak/>
        <w:t>стоимости услуг с объемом проделанной представителями работы и уровнем сложности дела, пришел к выводу о наличии оснований для снижения суммы расходов, на оплату услуг до 400 000 руб.</w:t>
      </w:r>
    </w:p>
    <w:p w14:paraId="5CC11D62" w14:textId="0A0FC719" w:rsidR="00B608B8" w:rsidRPr="00C04ABD" w:rsidRDefault="00B608B8"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Судами дана надлежащая оценка необходимости возмещения расходов, понесенных в рамках заключенного договора.</w:t>
      </w:r>
      <w:r w:rsidR="0044660E" w:rsidRPr="00C04ABD">
        <w:rPr>
          <w:rFonts w:ascii="Myriad Pro" w:eastAsia="Calibri" w:hAnsi="Myriad Pro" w:cs="Times New Roman"/>
          <w:sz w:val="26"/>
          <w:szCs w:val="26"/>
        </w:rPr>
        <w:t xml:space="preserve"> П</w:t>
      </w:r>
      <w:r w:rsidR="00EB0CCB" w:rsidRPr="00C04ABD">
        <w:rPr>
          <w:rFonts w:ascii="Myriad Pro" w:eastAsia="Calibri" w:hAnsi="Myriad Pro" w:cs="Times New Roman"/>
          <w:sz w:val="26"/>
          <w:szCs w:val="26"/>
        </w:rPr>
        <w:t>ри имеющихся обстоятельствах у Ф</w:t>
      </w:r>
      <w:r w:rsidR="0044660E" w:rsidRPr="00C04ABD">
        <w:rPr>
          <w:rFonts w:ascii="Myriad Pro" w:eastAsia="Calibri" w:hAnsi="Myriad Pro" w:cs="Times New Roman"/>
          <w:sz w:val="26"/>
          <w:szCs w:val="26"/>
        </w:rPr>
        <w:t>илиала не было оснований включать расходы на 2019 год по фактическим затратам 2017 г.</w:t>
      </w:r>
    </w:p>
    <w:p w14:paraId="1B3931EC" w14:textId="6E196C6A" w:rsidR="003C1E36" w:rsidRPr="00C04ABD" w:rsidRDefault="0044660E" w:rsidP="00A31747">
      <w:pPr>
        <w:tabs>
          <w:tab w:val="left" w:pos="1134"/>
        </w:tabs>
        <w:spacing w:after="0" w:line="360" w:lineRule="auto"/>
        <w:ind w:firstLine="567"/>
        <w:contextualSpacing/>
        <w:jc w:val="both"/>
        <w:rPr>
          <w:rFonts w:ascii="Myriad Pro" w:hAnsi="Myriad Pro"/>
          <w:sz w:val="26"/>
          <w:szCs w:val="26"/>
        </w:rPr>
      </w:pPr>
      <w:r w:rsidRPr="00C04ABD">
        <w:rPr>
          <w:rFonts w:ascii="Myriad Pro" w:eastAsia="Calibri" w:hAnsi="Myriad Pro" w:cs="Times New Roman"/>
          <w:sz w:val="26"/>
          <w:szCs w:val="26"/>
        </w:rPr>
        <w:t xml:space="preserve">На основании вышеизложенного Исполнитель считает расходы 2019 года, связанные </w:t>
      </w:r>
      <w:r w:rsidRPr="00C04ABD">
        <w:rPr>
          <w:rFonts w:ascii="Myriad Pro" w:hAnsi="Myriad Pro"/>
          <w:sz w:val="26"/>
          <w:szCs w:val="26"/>
        </w:rPr>
        <w:t xml:space="preserve">с оказанием юридических услуг и представлением интересов </w:t>
      </w:r>
      <w:r w:rsidR="00655FFA" w:rsidRPr="00C04ABD">
        <w:rPr>
          <w:rFonts w:ascii="Myriad Pro" w:hAnsi="Myriad Pro"/>
          <w:sz w:val="26"/>
          <w:szCs w:val="26"/>
        </w:rPr>
        <w:t>ПАО</w:t>
      </w:r>
      <w:r w:rsidR="00996030" w:rsidRPr="00C04ABD">
        <w:rPr>
          <w:rFonts w:ascii="Myriad Pro" w:hAnsi="Myriad Pro"/>
          <w:sz w:val="26"/>
          <w:szCs w:val="26"/>
        </w:rPr>
        <w:t> </w:t>
      </w:r>
      <w:r w:rsidR="00655FFA" w:rsidRPr="00C04ABD">
        <w:rPr>
          <w:rFonts w:ascii="Myriad Pro" w:hAnsi="Myriad Pro"/>
          <w:sz w:val="26"/>
          <w:szCs w:val="26"/>
        </w:rPr>
        <w:t xml:space="preserve">«МРСК </w:t>
      </w:r>
      <w:r w:rsidRPr="00C04ABD">
        <w:rPr>
          <w:rFonts w:ascii="Myriad Pro" w:hAnsi="Myriad Pro"/>
          <w:sz w:val="26"/>
          <w:szCs w:val="26"/>
        </w:rPr>
        <w:t>Северо-Запада</w:t>
      </w:r>
      <w:r w:rsidR="00655FFA" w:rsidRPr="00C04ABD">
        <w:rPr>
          <w:rFonts w:ascii="Myriad Pro" w:hAnsi="Myriad Pro"/>
          <w:sz w:val="26"/>
          <w:szCs w:val="26"/>
        </w:rPr>
        <w:t>»</w:t>
      </w:r>
      <w:r w:rsidRPr="00C04ABD">
        <w:rPr>
          <w:rFonts w:ascii="Myriad Pro" w:hAnsi="Myriad Pro"/>
          <w:sz w:val="26"/>
          <w:szCs w:val="26"/>
        </w:rPr>
        <w:t xml:space="preserve"> по судебному делу А42-1874/2013 не подлежат включению в НВВ при установлении тарифов на 2019 год.</w:t>
      </w:r>
    </w:p>
    <w:p w14:paraId="42D8B3DA" w14:textId="178B46CB" w:rsidR="00172C7E" w:rsidRPr="00C04ABD" w:rsidRDefault="00172C7E"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Расходы на IT- услуги заявлены Филиалом с превышением фактических расходов 2017 года в 1,7 раза.</w:t>
      </w:r>
    </w:p>
    <w:p w14:paraId="325CC24E" w14:textId="05CD4AFD" w:rsidR="00D72938" w:rsidRPr="00C04ABD" w:rsidRDefault="00172C7E"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В расчете расходов по статье IT – услуги на пл</w:t>
      </w:r>
      <w:r w:rsidR="00C9721F" w:rsidRPr="00C04ABD">
        <w:rPr>
          <w:rFonts w:ascii="Myriad Pro" w:eastAsia="Calibri" w:hAnsi="Myriad Pro" w:cs="Times New Roman"/>
          <w:sz w:val="26"/>
          <w:szCs w:val="26"/>
        </w:rPr>
        <w:t xml:space="preserve">ановый период 2019 года указаны </w:t>
      </w:r>
      <w:r w:rsidRPr="00C04ABD">
        <w:rPr>
          <w:rFonts w:ascii="Myriad Pro" w:eastAsia="Calibri" w:hAnsi="Myriad Pro" w:cs="Times New Roman"/>
          <w:sz w:val="26"/>
          <w:szCs w:val="26"/>
        </w:rPr>
        <w:t xml:space="preserve">новые договоры по созданию единого информационно-вычислительного комплекса верхнего уровня ПАО </w:t>
      </w:r>
      <w:r w:rsidR="00655FFA" w:rsidRPr="00C04ABD">
        <w:rPr>
          <w:rFonts w:ascii="Myriad Pro" w:eastAsia="Calibri" w:hAnsi="Myriad Pro" w:cs="Times New Roman"/>
          <w:sz w:val="26"/>
          <w:szCs w:val="26"/>
        </w:rPr>
        <w:t>«</w:t>
      </w:r>
      <w:r w:rsidR="00597FD5" w:rsidRPr="00C04ABD">
        <w:rPr>
          <w:rFonts w:ascii="Myriad Pro" w:eastAsia="Calibri" w:hAnsi="Myriad Pro" w:cs="Times New Roman"/>
          <w:sz w:val="26"/>
          <w:szCs w:val="26"/>
        </w:rPr>
        <w:t>МРСК Северо-Запада</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 xml:space="preserve"> на сумм</w:t>
      </w:r>
      <w:r w:rsidR="00C9721F" w:rsidRPr="00C04ABD">
        <w:rPr>
          <w:rFonts w:ascii="Myriad Pro" w:eastAsia="Calibri" w:hAnsi="Myriad Pro" w:cs="Times New Roman"/>
          <w:sz w:val="26"/>
          <w:szCs w:val="26"/>
        </w:rPr>
        <w:t>у 2 483,0 тыс. руб. и разработке</w:t>
      </w:r>
      <w:r w:rsidRPr="00C04ABD">
        <w:rPr>
          <w:rFonts w:ascii="Myriad Pro" w:eastAsia="Calibri" w:hAnsi="Myriad Pro" w:cs="Times New Roman"/>
          <w:sz w:val="26"/>
          <w:szCs w:val="26"/>
        </w:rPr>
        <w:t xml:space="preserve"> программного обеспечения паспортов ВЛЭП-35-110-150кВ на основе нормативных документов на сумму 3076 тыс. руб.</w:t>
      </w:r>
      <w:r w:rsidR="00C921D2" w:rsidRPr="00C04ABD">
        <w:rPr>
          <w:rFonts w:ascii="Myriad Pro" w:eastAsia="Calibri" w:hAnsi="Myriad Pro" w:cs="Times New Roman"/>
          <w:sz w:val="26"/>
          <w:szCs w:val="26"/>
        </w:rPr>
        <w:t xml:space="preserve"> Однако оснований с ссылками на нормат</w:t>
      </w:r>
      <w:r w:rsidR="00C9721F" w:rsidRPr="00C04ABD">
        <w:rPr>
          <w:rFonts w:ascii="Myriad Pro" w:eastAsia="Calibri" w:hAnsi="Myriad Pro" w:cs="Times New Roman"/>
          <w:sz w:val="26"/>
          <w:szCs w:val="26"/>
        </w:rPr>
        <w:t>ивные документы либо обоснование</w:t>
      </w:r>
      <w:r w:rsidR="00C921D2" w:rsidRPr="00C04ABD">
        <w:rPr>
          <w:rFonts w:ascii="Myriad Pro" w:eastAsia="Calibri" w:hAnsi="Myriad Pro" w:cs="Times New Roman"/>
          <w:sz w:val="26"/>
          <w:szCs w:val="26"/>
        </w:rPr>
        <w:t xml:space="preserve"> </w:t>
      </w:r>
      <w:r w:rsidR="007D443B" w:rsidRPr="00C04ABD">
        <w:rPr>
          <w:rFonts w:ascii="Myriad Pro" w:eastAsia="Calibri" w:hAnsi="Myriad Pro" w:cs="Times New Roman"/>
          <w:sz w:val="26"/>
          <w:szCs w:val="26"/>
        </w:rPr>
        <w:t>необходимости проведения указанных мероприятий Филиало</w:t>
      </w:r>
      <w:r w:rsidR="00D72938" w:rsidRPr="00C04ABD">
        <w:rPr>
          <w:rFonts w:ascii="Myriad Pro" w:eastAsia="Calibri" w:hAnsi="Myriad Pro" w:cs="Times New Roman"/>
          <w:sz w:val="26"/>
          <w:szCs w:val="26"/>
        </w:rPr>
        <w:t>м не представлено, в связи с чем Исполнитель считает, что Филиалом не подтверждена экономическая обоснованность расходов по рассматриваемой статье.</w:t>
      </w:r>
    </w:p>
    <w:p w14:paraId="05D3DEAA" w14:textId="545E03D5" w:rsidR="00172C7E" w:rsidRPr="00C04ABD" w:rsidRDefault="007D443B"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 xml:space="preserve">В связи с отсутствием должного обоснования </w:t>
      </w:r>
      <w:r w:rsidRPr="0003782D">
        <w:rPr>
          <w:rFonts w:ascii="Myriad Pro" w:eastAsia="Calibri" w:hAnsi="Myriad Pro" w:cs="Times New Roman"/>
          <w:sz w:val="26"/>
          <w:szCs w:val="26"/>
        </w:rPr>
        <w:t>Исполнитель соглашается с позицией регулирующего органа по включению расходов на плановый</w:t>
      </w:r>
      <w:r w:rsidRPr="00C04ABD">
        <w:rPr>
          <w:rFonts w:ascii="Myriad Pro" w:eastAsia="Calibri" w:hAnsi="Myriad Pro" w:cs="Times New Roman"/>
          <w:sz w:val="26"/>
          <w:szCs w:val="26"/>
        </w:rPr>
        <w:t xml:space="preserve"> 2019 год на основании фактически понесенных расходов за 2014-2017 гг.</w:t>
      </w:r>
    </w:p>
    <w:p w14:paraId="3C8EDCDF" w14:textId="0800C93D" w:rsidR="00172C7E" w:rsidRPr="00C04ABD" w:rsidRDefault="001B78A7" w:rsidP="001C033D">
      <w:pPr>
        <w:tabs>
          <w:tab w:val="left" w:pos="1134"/>
        </w:tabs>
        <w:spacing w:before="240" w:after="0" w:line="360" w:lineRule="auto"/>
        <w:jc w:val="both"/>
        <w:rPr>
          <w:rFonts w:ascii="Myriad Pro" w:eastAsia="Calibri" w:hAnsi="Myriad Pro" w:cs="Times New Roman"/>
          <w:b/>
          <w:i/>
          <w:sz w:val="26"/>
          <w:szCs w:val="26"/>
        </w:rPr>
      </w:pPr>
      <w:r w:rsidRPr="00C04ABD">
        <w:rPr>
          <w:rFonts w:ascii="Myriad Pro" w:eastAsia="Calibri" w:hAnsi="Myriad Pro" w:cs="Times New Roman"/>
          <w:b/>
          <w:i/>
          <w:sz w:val="26"/>
          <w:szCs w:val="26"/>
        </w:rPr>
        <w:t xml:space="preserve">Расходы на прочие транспортные услуги </w:t>
      </w:r>
    </w:p>
    <w:p w14:paraId="24E96CE6" w14:textId="77777777" w:rsidR="001B78A7" w:rsidRPr="00C04ABD" w:rsidRDefault="001B78A7" w:rsidP="001C033D">
      <w:pPr>
        <w:tabs>
          <w:tab w:val="left" w:pos="1134"/>
        </w:tabs>
        <w:spacing w:after="0" w:line="360" w:lineRule="auto"/>
        <w:contextualSpacing/>
        <w:jc w:val="both"/>
        <w:rPr>
          <w:rFonts w:ascii="Myriad Pro" w:eastAsia="Calibri" w:hAnsi="Myriad Pro" w:cs="Times New Roman"/>
          <w:b/>
          <w:sz w:val="26"/>
          <w:szCs w:val="26"/>
        </w:rPr>
      </w:pPr>
      <w:r w:rsidRPr="00C04ABD">
        <w:rPr>
          <w:rFonts w:ascii="Myriad Pro" w:eastAsia="Calibri" w:hAnsi="Myriad Pro" w:cs="Times New Roman"/>
          <w:b/>
          <w:sz w:val="26"/>
          <w:szCs w:val="26"/>
        </w:rPr>
        <w:t>ПОЗИЦИЯ ТЕРРИТОРИАЛЬНОЙ СЕТЕВОЙ ОРГАНИЗАЦИИ</w:t>
      </w:r>
    </w:p>
    <w:p w14:paraId="2A03708C" w14:textId="25A4CC60" w:rsidR="001B78A7" w:rsidRPr="00C04ABD" w:rsidRDefault="001B78A7"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 xml:space="preserve">Расходы на </w:t>
      </w:r>
      <w:r w:rsidR="009E6E55" w:rsidRPr="00C04ABD">
        <w:rPr>
          <w:rFonts w:ascii="Myriad Pro" w:eastAsia="Calibri" w:hAnsi="Myriad Pro" w:cs="Times New Roman"/>
          <w:sz w:val="26"/>
          <w:szCs w:val="26"/>
        </w:rPr>
        <w:t>прочие транспортные услуги</w:t>
      </w:r>
      <w:r w:rsidRPr="00C04ABD">
        <w:rPr>
          <w:rFonts w:ascii="Myriad Pro" w:eastAsia="Calibri" w:hAnsi="Myriad Pro" w:cs="Times New Roman"/>
          <w:sz w:val="26"/>
          <w:szCs w:val="26"/>
        </w:rPr>
        <w:t xml:space="preserve"> определены филиалом </w:t>
      </w:r>
      <w:r w:rsidR="00350B0A" w:rsidRPr="00C04ABD">
        <w:rPr>
          <w:rFonts w:ascii="Myriad Pro" w:eastAsia="Calibri" w:hAnsi="Myriad Pro" w:cs="Times New Roman"/>
          <w:sz w:val="26"/>
          <w:szCs w:val="26"/>
        </w:rPr>
        <w:t xml:space="preserve">ПАО </w:t>
      </w:r>
      <w:r w:rsidR="00655FFA" w:rsidRPr="00C04ABD">
        <w:rPr>
          <w:rFonts w:ascii="Myriad Pro" w:eastAsia="Calibri" w:hAnsi="Myriad Pro" w:cs="Times New Roman"/>
          <w:sz w:val="26"/>
          <w:szCs w:val="26"/>
        </w:rPr>
        <w:t>«</w:t>
      </w:r>
      <w:r w:rsidR="00350B0A" w:rsidRPr="00C04ABD">
        <w:rPr>
          <w:rFonts w:ascii="Myriad Pro" w:eastAsia="Calibri" w:hAnsi="Myriad Pro" w:cs="Times New Roman"/>
          <w:sz w:val="26"/>
          <w:szCs w:val="26"/>
        </w:rPr>
        <w:t>МРСК Северо-Запада</w:t>
      </w:r>
      <w:r w:rsidR="00655FFA" w:rsidRPr="00C04ABD">
        <w:rPr>
          <w:rFonts w:ascii="Myriad Pro" w:eastAsia="Calibri" w:hAnsi="Myriad Pro" w:cs="Times New Roman"/>
          <w:sz w:val="26"/>
          <w:szCs w:val="26"/>
        </w:rPr>
        <w:t>»</w:t>
      </w:r>
      <w:r w:rsidR="00350B0A" w:rsidRPr="00C04ABD">
        <w:rPr>
          <w:rFonts w:ascii="Myriad Pro" w:eastAsia="Calibri" w:hAnsi="Myriad Pro" w:cs="Times New Roman"/>
          <w:sz w:val="26"/>
          <w:szCs w:val="26"/>
        </w:rPr>
        <w:t xml:space="preserve"> </w:t>
      </w:r>
      <w:r w:rsidR="00655FFA" w:rsidRPr="00C04ABD">
        <w:rPr>
          <w:rFonts w:ascii="Myriad Pro" w:eastAsia="Calibri" w:hAnsi="Myriad Pro" w:cs="Times New Roman"/>
          <w:sz w:val="26"/>
          <w:szCs w:val="26"/>
        </w:rPr>
        <w:t>«</w:t>
      </w:r>
      <w:r w:rsidR="00350B0A" w:rsidRPr="00C04ABD">
        <w:rPr>
          <w:rFonts w:ascii="Myriad Pro" w:eastAsia="Calibri" w:hAnsi="Myriad Pro" w:cs="Times New Roman"/>
          <w:sz w:val="26"/>
          <w:szCs w:val="26"/>
        </w:rPr>
        <w:t>Колэнерго</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 xml:space="preserve"> в необходимой валовой выручке на 2019 год и </w:t>
      </w:r>
      <w:r w:rsidRPr="00C04ABD">
        <w:rPr>
          <w:rFonts w:ascii="Myriad Pro" w:eastAsia="Calibri" w:hAnsi="Myriad Pro" w:cs="Times New Roman"/>
          <w:sz w:val="26"/>
          <w:szCs w:val="26"/>
        </w:rPr>
        <w:lastRenderedPageBreak/>
        <w:t xml:space="preserve">предъявлены в составе заявления от 28.04.2018 №МР2/4/02/3129 об установлении тарифов на услуги по передаче электрической энергии в размере </w:t>
      </w:r>
      <w:r w:rsidR="009E6E55" w:rsidRPr="00C04ABD">
        <w:rPr>
          <w:rFonts w:ascii="Myriad Pro" w:eastAsia="Calibri" w:hAnsi="Myriad Pro" w:cs="Times New Roman"/>
          <w:sz w:val="26"/>
          <w:szCs w:val="26"/>
        </w:rPr>
        <w:t xml:space="preserve">3 856,28 </w:t>
      </w:r>
      <w:r w:rsidRPr="00C04ABD">
        <w:rPr>
          <w:rFonts w:ascii="Myriad Pro" w:eastAsia="Calibri" w:hAnsi="Myriad Pro" w:cs="Times New Roman"/>
          <w:sz w:val="26"/>
          <w:szCs w:val="26"/>
        </w:rPr>
        <w:t>тыс. руб.</w:t>
      </w:r>
    </w:p>
    <w:p w14:paraId="61017F27" w14:textId="269FD91D" w:rsidR="001B78A7" w:rsidRPr="00C04ABD" w:rsidRDefault="001B78A7"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Для обоснования заявленной суммы расходов на</w:t>
      </w:r>
      <w:r w:rsidR="009E6E55" w:rsidRPr="00C04ABD">
        <w:rPr>
          <w:rFonts w:ascii="Myriad Pro" w:eastAsia="Calibri" w:hAnsi="Myriad Pro" w:cs="Times New Roman"/>
          <w:sz w:val="26"/>
          <w:szCs w:val="26"/>
        </w:rPr>
        <w:t xml:space="preserve"> прочие транспортные услуги </w:t>
      </w:r>
      <w:r w:rsidRPr="00C04ABD">
        <w:rPr>
          <w:rFonts w:ascii="Myriad Pro" w:eastAsia="Calibri" w:hAnsi="Myriad Pro" w:cs="Times New Roman"/>
          <w:sz w:val="26"/>
          <w:szCs w:val="26"/>
        </w:rPr>
        <w:t xml:space="preserve">филиалом </w:t>
      </w:r>
      <w:r w:rsidR="00350B0A" w:rsidRPr="00C04ABD">
        <w:rPr>
          <w:rFonts w:ascii="Myriad Pro" w:eastAsia="Calibri" w:hAnsi="Myriad Pro" w:cs="Times New Roman"/>
          <w:sz w:val="26"/>
          <w:szCs w:val="26"/>
        </w:rPr>
        <w:t xml:space="preserve">ПАО </w:t>
      </w:r>
      <w:r w:rsidR="00655FFA" w:rsidRPr="00C04ABD">
        <w:rPr>
          <w:rFonts w:ascii="Myriad Pro" w:eastAsia="Calibri" w:hAnsi="Myriad Pro" w:cs="Times New Roman"/>
          <w:sz w:val="26"/>
          <w:szCs w:val="26"/>
        </w:rPr>
        <w:t>«</w:t>
      </w:r>
      <w:r w:rsidR="00350B0A" w:rsidRPr="00C04ABD">
        <w:rPr>
          <w:rFonts w:ascii="Myriad Pro" w:eastAsia="Calibri" w:hAnsi="Myriad Pro" w:cs="Times New Roman"/>
          <w:sz w:val="26"/>
          <w:szCs w:val="26"/>
        </w:rPr>
        <w:t>МРСК Северо-Запада</w:t>
      </w:r>
      <w:r w:rsidR="00655FFA" w:rsidRPr="00C04ABD">
        <w:rPr>
          <w:rFonts w:ascii="Myriad Pro" w:eastAsia="Calibri" w:hAnsi="Myriad Pro" w:cs="Times New Roman"/>
          <w:sz w:val="26"/>
          <w:szCs w:val="26"/>
        </w:rPr>
        <w:t>»</w:t>
      </w:r>
      <w:r w:rsidR="00350B0A" w:rsidRPr="00C04ABD">
        <w:rPr>
          <w:rFonts w:ascii="Myriad Pro" w:eastAsia="Calibri" w:hAnsi="Myriad Pro" w:cs="Times New Roman"/>
          <w:sz w:val="26"/>
          <w:szCs w:val="26"/>
        </w:rPr>
        <w:t xml:space="preserve"> </w:t>
      </w:r>
      <w:r w:rsidR="00655FFA" w:rsidRPr="00C04ABD">
        <w:rPr>
          <w:rFonts w:ascii="Myriad Pro" w:eastAsia="Calibri" w:hAnsi="Myriad Pro" w:cs="Times New Roman"/>
          <w:sz w:val="26"/>
          <w:szCs w:val="26"/>
        </w:rPr>
        <w:t>«</w:t>
      </w:r>
      <w:r w:rsidR="00350B0A" w:rsidRPr="00C04ABD">
        <w:rPr>
          <w:rFonts w:ascii="Myriad Pro" w:eastAsia="Calibri" w:hAnsi="Myriad Pro" w:cs="Times New Roman"/>
          <w:sz w:val="26"/>
          <w:szCs w:val="26"/>
        </w:rPr>
        <w:t>Колэнерго</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 xml:space="preserve"> были представлены следующие документы:</w:t>
      </w:r>
    </w:p>
    <w:p w14:paraId="1177E246" w14:textId="1BB6FF26" w:rsidR="001B78A7" w:rsidRPr="00C04ABD" w:rsidRDefault="001B78A7" w:rsidP="009B0BC1">
      <w:pPr>
        <w:pStyle w:val="a4"/>
        <w:numPr>
          <w:ilvl w:val="0"/>
          <w:numId w:val="6"/>
        </w:numPr>
        <w:tabs>
          <w:tab w:val="left" w:pos="1134"/>
        </w:tabs>
        <w:spacing w:after="0" w:line="360" w:lineRule="auto"/>
        <w:ind w:left="0" w:firstLine="567"/>
        <w:jc w:val="both"/>
        <w:rPr>
          <w:rFonts w:ascii="Myriad Pro" w:hAnsi="Myriad Pro"/>
          <w:b/>
          <w:sz w:val="26"/>
          <w:szCs w:val="26"/>
        </w:rPr>
      </w:pPr>
      <w:r w:rsidRPr="00C04ABD">
        <w:rPr>
          <w:rFonts w:ascii="Myriad Pro" w:hAnsi="Myriad Pro"/>
          <w:sz w:val="26"/>
          <w:szCs w:val="26"/>
        </w:rPr>
        <w:t xml:space="preserve">Расчет </w:t>
      </w:r>
      <w:r w:rsidR="009E6E55" w:rsidRPr="00C04ABD">
        <w:rPr>
          <w:rFonts w:ascii="Myriad Pro" w:hAnsi="Myriad Pro"/>
          <w:sz w:val="26"/>
          <w:szCs w:val="26"/>
        </w:rPr>
        <w:t xml:space="preserve">расходов по статье </w:t>
      </w:r>
      <w:r w:rsidR="00655FFA" w:rsidRPr="00C04ABD">
        <w:rPr>
          <w:rFonts w:ascii="Myriad Pro" w:hAnsi="Myriad Pro"/>
          <w:sz w:val="26"/>
          <w:szCs w:val="26"/>
        </w:rPr>
        <w:t>«</w:t>
      </w:r>
      <w:r w:rsidR="009E6E55" w:rsidRPr="00C04ABD">
        <w:rPr>
          <w:rFonts w:ascii="Myriad Pro" w:hAnsi="Myriad Pro"/>
          <w:sz w:val="26"/>
          <w:szCs w:val="26"/>
        </w:rPr>
        <w:t>Прочие транспортные услуги непроизводственного характера</w:t>
      </w:r>
      <w:r w:rsidR="00655FFA" w:rsidRPr="00C04ABD">
        <w:rPr>
          <w:rFonts w:ascii="Myriad Pro" w:hAnsi="Myriad Pro"/>
          <w:sz w:val="26"/>
          <w:szCs w:val="26"/>
        </w:rPr>
        <w:t>»</w:t>
      </w:r>
      <w:r w:rsidR="009E6E55" w:rsidRPr="00C04ABD">
        <w:rPr>
          <w:rFonts w:ascii="Myriad Pro" w:hAnsi="Myriad Pro"/>
          <w:sz w:val="26"/>
          <w:szCs w:val="26"/>
        </w:rPr>
        <w:t>;</w:t>
      </w:r>
    </w:p>
    <w:p w14:paraId="01DC4BC6" w14:textId="500854AC" w:rsidR="009E6E55" w:rsidRPr="00C04ABD" w:rsidRDefault="009E6E55"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Договор № 41/10-05-2017/1 от 29.12.2017, заключенный с ИП Лазуненко Руслан Борисович;</w:t>
      </w:r>
    </w:p>
    <w:p w14:paraId="26BC8922" w14:textId="4E202D31" w:rsidR="009E6E55" w:rsidRPr="00C04ABD" w:rsidRDefault="009E6E55"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 xml:space="preserve">Анализы счетов 20,23,25 по виду деятельности </w:t>
      </w:r>
      <w:r w:rsidR="00655FFA" w:rsidRPr="00C04ABD">
        <w:rPr>
          <w:rFonts w:ascii="Myriad Pro" w:hAnsi="Myriad Pro"/>
          <w:sz w:val="26"/>
          <w:szCs w:val="26"/>
        </w:rPr>
        <w:t>«</w:t>
      </w:r>
      <w:r w:rsidRPr="00C04ABD">
        <w:rPr>
          <w:rFonts w:ascii="Myriad Pro" w:hAnsi="Myriad Pro"/>
          <w:sz w:val="26"/>
          <w:szCs w:val="26"/>
        </w:rPr>
        <w:t>Услуги по передаче электроэнергии по сетям</w:t>
      </w:r>
      <w:r w:rsidR="00655FFA" w:rsidRPr="00C04ABD">
        <w:rPr>
          <w:rFonts w:ascii="Myriad Pro" w:hAnsi="Myriad Pro"/>
          <w:sz w:val="26"/>
          <w:szCs w:val="26"/>
        </w:rPr>
        <w:t>»</w:t>
      </w:r>
    </w:p>
    <w:p w14:paraId="6AA52778" w14:textId="77777777" w:rsidR="009E6E55" w:rsidRPr="00C04ABD" w:rsidRDefault="009E6E55" w:rsidP="00A31747">
      <w:pPr>
        <w:pStyle w:val="a4"/>
        <w:tabs>
          <w:tab w:val="left" w:pos="1134"/>
        </w:tabs>
        <w:spacing w:after="0" w:line="360" w:lineRule="auto"/>
        <w:ind w:left="0" w:firstLine="567"/>
        <w:jc w:val="both"/>
        <w:rPr>
          <w:rFonts w:ascii="Myriad Pro" w:hAnsi="Myriad Pro"/>
          <w:b/>
          <w:sz w:val="26"/>
          <w:szCs w:val="26"/>
        </w:rPr>
      </w:pPr>
    </w:p>
    <w:p w14:paraId="3F304882" w14:textId="77777777" w:rsidR="001B78A7" w:rsidRPr="00C04ABD" w:rsidRDefault="001B78A7" w:rsidP="001C033D">
      <w:pPr>
        <w:tabs>
          <w:tab w:val="left" w:pos="1134"/>
        </w:tabs>
        <w:spacing w:after="0" w:line="360" w:lineRule="auto"/>
        <w:contextualSpacing/>
        <w:jc w:val="both"/>
        <w:rPr>
          <w:rFonts w:ascii="Myriad Pro" w:eastAsia="Calibri" w:hAnsi="Myriad Pro" w:cs="Times New Roman"/>
          <w:b/>
          <w:sz w:val="26"/>
          <w:szCs w:val="26"/>
        </w:rPr>
      </w:pPr>
      <w:r w:rsidRPr="00C04ABD">
        <w:rPr>
          <w:rFonts w:ascii="Myriad Pro" w:eastAsia="Calibri" w:hAnsi="Myriad Pro" w:cs="Times New Roman"/>
          <w:b/>
          <w:sz w:val="26"/>
          <w:szCs w:val="26"/>
        </w:rPr>
        <w:t>ПОЗИЦИЯ ОРГАНА РЕГУЛИРОВАНИЯ</w:t>
      </w:r>
    </w:p>
    <w:p w14:paraId="3A5A7C18" w14:textId="77777777" w:rsidR="001B78A7" w:rsidRPr="00C04ABD" w:rsidRDefault="001B78A7" w:rsidP="00A31747">
      <w:pPr>
        <w:tabs>
          <w:tab w:val="left" w:pos="1134"/>
        </w:tabs>
        <w:spacing w:after="0" w:line="360" w:lineRule="auto"/>
        <w:ind w:firstLine="567"/>
        <w:jc w:val="both"/>
        <w:rPr>
          <w:rFonts w:ascii="Myriad Pro" w:eastAsia="Calibri" w:hAnsi="Myriad Pro" w:cs="Times New Roman"/>
          <w:sz w:val="26"/>
          <w:szCs w:val="26"/>
        </w:rPr>
      </w:pPr>
      <w:r w:rsidRPr="00C04ABD">
        <w:rPr>
          <w:rFonts w:ascii="Myriad Pro" w:eastAsia="Calibri" w:hAnsi="Myriad Pro" w:cs="Times New Roman"/>
          <w:sz w:val="26"/>
          <w:szCs w:val="26"/>
        </w:rPr>
        <w:t>Величина расходов, принятая регулирующим органом на 2019 год:</w:t>
      </w:r>
    </w:p>
    <w:p w14:paraId="3C576888" w14:textId="5CEEBB05" w:rsidR="001B78A7" w:rsidRPr="00C04ABD" w:rsidRDefault="001B78A7"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экономически о</w:t>
      </w:r>
      <w:r w:rsidR="009E6E55" w:rsidRPr="00C04ABD">
        <w:rPr>
          <w:rFonts w:ascii="Myriad Pro" w:hAnsi="Myriad Pro"/>
          <w:sz w:val="26"/>
          <w:szCs w:val="26"/>
        </w:rPr>
        <w:t>боснованный уровень –3 301,05</w:t>
      </w:r>
      <w:r w:rsidRPr="00C04ABD">
        <w:rPr>
          <w:rFonts w:ascii="Myriad Pro" w:hAnsi="Myriad Pro"/>
          <w:sz w:val="26"/>
          <w:szCs w:val="26"/>
        </w:rPr>
        <w:t xml:space="preserve"> тыс. руб.;</w:t>
      </w:r>
    </w:p>
    <w:p w14:paraId="0051EBA6" w14:textId="390FF1E1" w:rsidR="001B78A7" w:rsidRPr="00C04ABD" w:rsidRDefault="001B78A7"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уровень, приняты</w:t>
      </w:r>
      <w:r w:rsidR="009E6E55" w:rsidRPr="00C04ABD">
        <w:rPr>
          <w:rFonts w:ascii="Myriad Pro" w:hAnsi="Myriad Pro"/>
          <w:sz w:val="26"/>
          <w:szCs w:val="26"/>
        </w:rPr>
        <w:t>й при установлении НВВ – 3 178,1</w:t>
      </w:r>
      <w:r w:rsidRPr="00C04ABD">
        <w:rPr>
          <w:rFonts w:ascii="Myriad Pro" w:hAnsi="Myriad Pro"/>
          <w:sz w:val="26"/>
          <w:szCs w:val="26"/>
        </w:rPr>
        <w:t xml:space="preserve"> тыс. руб.  (0,7*ЭОУ+0,3*МА)</w:t>
      </w:r>
    </w:p>
    <w:p w14:paraId="54AF1631" w14:textId="07996CAA" w:rsidR="009E6E55" w:rsidRPr="00C04ABD" w:rsidRDefault="009E6E55"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В связи с неравномерностью фактических расходов в 2014-2017 гг., Комитетом расходы приняты исходя из средних фактических данных за 2014-2017</w:t>
      </w:r>
      <w:r w:rsidR="00996030" w:rsidRPr="00C04ABD">
        <w:rPr>
          <w:rFonts w:ascii="Myriad Pro" w:eastAsia="Calibri" w:hAnsi="Myriad Pro" w:cs="Times New Roman"/>
          <w:sz w:val="26"/>
          <w:szCs w:val="26"/>
        </w:rPr>
        <w:t> </w:t>
      </w:r>
      <w:r w:rsidRPr="00C04ABD">
        <w:rPr>
          <w:rFonts w:ascii="Myriad Pro" w:eastAsia="Calibri" w:hAnsi="Myriad Pro" w:cs="Times New Roman"/>
          <w:sz w:val="26"/>
          <w:szCs w:val="26"/>
        </w:rPr>
        <w:t>гг., приведенных к уровню цен 2017 года, с учетом ИПЦ.</w:t>
      </w:r>
    </w:p>
    <w:p w14:paraId="61C9E24B" w14:textId="77777777" w:rsidR="001B78A7" w:rsidRPr="00C04ABD" w:rsidRDefault="001B78A7" w:rsidP="00A31747">
      <w:pPr>
        <w:tabs>
          <w:tab w:val="left" w:pos="1134"/>
        </w:tabs>
        <w:spacing w:after="0" w:line="360" w:lineRule="auto"/>
        <w:ind w:firstLine="567"/>
        <w:contextualSpacing/>
        <w:jc w:val="both"/>
        <w:rPr>
          <w:rFonts w:ascii="Myriad Pro" w:eastAsia="Calibri" w:hAnsi="Myriad Pro" w:cs="Times New Roman"/>
          <w:b/>
          <w:sz w:val="26"/>
          <w:szCs w:val="26"/>
        </w:rPr>
      </w:pPr>
    </w:p>
    <w:p w14:paraId="18FB50C9" w14:textId="026BFC86" w:rsidR="001B78A7" w:rsidRPr="00C04ABD" w:rsidRDefault="001B78A7" w:rsidP="001C033D">
      <w:pPr>
        <w:tabs>
          <w:tab w:val="left" w:pos="1134"/>
        </w:tabs>
        <w:spacing w:after="0" w:line="360" w:lineRule="auto"/>
        <w:contextualSpacing/>
        <w:jc w:val="both"/>
        <w:rPr>
          <w:rFonts w:ascii="Myriad Pro" w:eastAsia="Calibri" w:hAnsi="Myriad Pro" w:cs="Times New Roman"/>
          <w:b/>
          <w:sz w:val="26"/>
          <w:szCs w:val="26"/>
        </w:rPr>
      </w:pPr>
      <w:r w:rsidRPr="00C04ABD">
        <w:rPr>
          <w:rFonts w:ascii="Myriad Pro" w:eastAsia="Calibri" w:hAnsi="Myriad Pro" w:cs="Times New Roman"/>
          <w:b/>
          <w:sz w:val="26"/>
          <w:szCs w:val="26"/>
        </w:rPr>
        <w:t>ПОЗИЦИЯ ИСПОЛНИТЕЛЯ</w:t>
      </w:r>
    </w:p>
    <w:p w14:paraId="5B3468B7" w14:textId="7DC98110" w:rsidR="009E6E55" w:rsidRPr="00C04ABD" w:rsidRDefault="009E6E55"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hAnsi="Myriad Pro"/>
          <w:sz w:val="26"/>
          <w:szCs w:val="26"/>
        </w:rPr>
        <w:t>В материалах дела приложен</w:t>
      </w:r>
      <w:r w:rsidRPr="00C04ABD">
        <w:rPr>
          <w:rFonts w:ascii="Myriad Pro" w:eastAsia="Calibri" w:hAnsi="Myriad Pro" w:cs="Times New Roman"/>
          <w:b/>
          <w:sz w:val="26"/>
          <w:szCs w:val="26"/>
        </w:rPr>
        <w:t xml:space="preserve"> </w:t>
      </w:r>
      <w:r w:rsidRPr="00C04ABD">
        <w:rPr>
          <w:rFonts w:ascii="Myriad Pro" w:eastAsia="Calibri" w:hAnsi="Myriad Pro" w:cs="Times New Roman"/>
          <w:sz w:val="26"/>
          <w:szCs w:val="26"/>
        </w:rPr>
        <w:t>договор № 41/10-05-2017/1 от 29.12.2017</w:t>
      </w:r>
      <w:r w:rsidRPr="00C04ABD">
        <w:rPr>
          <w:rFonts w:ascii="Myriad Pro" w:hAnsi="Myriad Pro"/>
          <w:sz w:val="26"/>
          <w:szCs w:val="26"/>
        </w:rPr>
        <w:t>, заключенный с</w:t>
      </w:r>
      <w:r w:rsidRPr="00C04ABD">
        <w:rPr>
          <w:rFonts w:ascii="Myriad Pro" w:eastAsia="Calibri" w:hAnsi="Myriad Pro" w:cs="Times New Roman"/>
          <w:sz w:val="26"/>
          <w:szCs w:val="26"/>
        </w:rPr>
        <w:t xml:space="preserve"> ИП Лазуненко Руслан Борисович</w:t>
      </w:r>
      <w:r w:rsidR="00241898" w:rsidRPr="00C04ABD">
        <w:rPr>
          <w:rFonts w:ascii="Myriad Pro" w:eastAsia="Calibri" w:hAnsi="Myriad Pro" w:cs="Times New Roman"/>
          <w:sz w:val="26"/>
          <w:szCs w:val="26"/>
        </w:rPr>
        <w:t xml:space="preserve"> (перевозка персонала аппарата управления филиала)</w:t>
      </w:r>
      <w:r w:rsidRPr="00C04ABD">
        <w:rPr>
          <w:rFonts w:ascii="Myriad Pro" w:eastAsia="Calibri" w:hAnsi="Myriad Pro" w:cs="Times New Roman"/>
          <w:sz w:val="26"/>
          <w:szCs w:val="26"/>
        </w:rPr>
        <w:t>, в котором указана стоимость услуги –</w:t>
      </w:r>
      <w:r w:rsidR="0002786A" w:rsidRPr="00C04ABD">
        <w:rPr>
          <w:rFonts w:ascii="Myriad Pro" w:eastAsia="Calibri" w:hAnsi="Myriad Pro" w:cs="Times New Roman"/>
          <w:sz w:val="26"/>
          <w:szCs w:val="26"/>
        </w:rPr>
        <w:t xml:space="preserve"> 3 600 </w:t>
      </w:r>
      <w:r w:rsidRPr="00C04ABD">
        <w:rPr>
          <w:rFonts w:ascii="Myriad Pro" w:eastAsia="Calibri" w:hAnsi="Myriad Pro" w:cs="Times New Roman"/>
          <w:sz w:val="26"/>
          <w:szCs w:val="26"/>
        </w:rPr>
        <w:t>025 руб. (НДС не облагается).</w:t>
      </w:r>
      <w:r w:rsidR="0002786A" w:rsidRPr="00C04ABD">
        <w:rPr>
          <w:rFonts w:ascii="Myriad Pro" w:eastAsia="Calibri" w:hAnsi="Myriad Pro" w:cs="Times New Roman"/>
          <w:sz w:val="26"/>
          <w:szCs w:val="26"/>
        </w:rPr>
        <w:t xml:space="preserve"> </w:t>
      </w:r>
      <w:r w:rsidR="00241898" w:rsidRPr="00C04ABD">
        <w:rPr>
          <w:rFonts w:ascii="Myriad Pro" w:eastAsia="Calibri" w:hAnsi="Myriad Pro" w:cs="Times New Roman"/>
          <w:sz w:val="26"/>
          <w:szCs w:val="26"/>
        </w:rPr>
        <w:t xml:space="preserve">Срок действия заключенного договора с 09.01.2018 по 31.12.2018. </w:t>
      </w:r>
      <w:r w:rsidR="0002786A" w:rsidRPr="00C04ABD">
        <w:rPr>
          <w:rFonts w:ascii="Myriad Pro" w:eastAsia="Calibri" w:hAnsi="Myriad Pro" w:cs="Times New Roman"/>
          <w:sz w:val="26"/>
          <w:szCs w:val="26"/>
        </w:rPr>
        <w:t>Филиал документально подтвердил сумму транспортных расходов.</w:t>
      </w:r>
    </w:p>
    <w:p w14:paraId="33C91C44" w14:textId="73951C1E" w:rsidR="009E6E55" w:rsidRPr="00C04ABD" w:rsidRDefault="009E6E55"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 xml:space="preserve">Стоимость услуги </w:t>
      </w:r>
      <w:r w:rsidR="0002786A" w:rsidRPr="00C04ABD">
        <w:rPr>
          <w:rFonts w:ascii="Myriad Pro" w:eastAsia="Calibri" w:hAnsi="Myriad Pro" w:cs="Times New Roman"/>
          <w:sz w:val="26"/>
          <w:szCs w:val="26"/>
        </w:rPr>
        <w:t>в 2019 году составит с учетом ИПЦ 3 767,4 тыс. руб.</w:t>
      </w:r>
    </w:p>
    <w:p w14:paraId="3A64AD59" w14:textId="2E0D011D" w:rsidR="0002786A" w:rsidRPr="00C04ABD" w:rsidRDefault="0002786A"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При указанных обстоятельствам Комитету необходимо было учесть стоимость, указанную в договоре.</w:t>
      </w:r>
    </w:p>
    <w:p w14:paraId="43F07F7D" w14:textId="37F79B61" w:rsidR="0002786A" w:rsidRPr="00C04ABD" w:rsidRDefault="0002786A"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lastRenderedPageBreak/>
        <w:t>Пояснения Комитета о принятых расходах исходя из средних фактических данных за 2014-2017 гг. не соответствуют действительности. Фактические расходы по статье составили:</w:t>
      </w:r>
    </w:p>
    <w:p w14:paraId="31109C80" w14:textId="10463CC8" w:rsidR="0002786A" w:rsidRPr="00C04ABD" w:rsidRDefault="0002786A" w:rsidP="009B0BC1">
      <w:pPr>
        <w:pStyle w:val="a4"/>
        <w:numPr>
          <w:ilvl w:val="0"/>
          <w:numId w:val="51"/>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в 2014 году – 4</w:t>
      </w:r>
      <w:r w:rsidR="00824C0B" w:rsidRPr="00C04ABD">
        <w:rPr>
          <w:rFonts w:ascii="Myriad Pro" w:hAnsi="Myriad Pro"/>
          <w:sz w:val="26"/>
          <w:szCs w:val="26"/>
        </w:rPr>
        <w:t> </w:t>
      </w:r>
      <w:r w:rsidRPr="00C04ABD">
        <w:rPr>
          <w:rFonts w:ascii="Myriad Pro" w:hAnsi="Myriad Pro"/>
          <w:sz w:val="26"/>
          <w:szCs w:val="26"/>
        </w:rPr>
        <w:t xml:space="preserve">789 тыс. руб., (с учетом приведенных к 2017 году * 1,1553*1,0706*1,0368 – </w:t>
      </w:r>
      <w:r w:rsidR="00540F52" w:rsidRPr="00C04ABD">
        <w:rPr>
          <w:rFonts w:ascii="Myriad Pro" w:hAnsi="Myriad Pro"/>
          <w:sz w:val="26"/>
          <w:szCs w:val="26"/>
        </w:rPr>
        <w:t xml:space="preserve">6 141,3 </w:t>
      </w:r>
      <w:r w:rsidRPr="00C04ABD">
        <w:rPr>
          <w:rFonts w:ascii="Myriad Pro" w:hAnsi="Myriad Pro"/>
          <w:sz w:val="26"/>
          <w:szCs w:val="26"/>
        </w:rPr>
        <w:t>тыс. руб.</w:t>
      </w:r>
      <w:r w:rsidR="00540F52" w:rsidRPr="00C04ABD">
        <w:rPr>
          <w:rFonts w:ascii="Myriad Pro" w:hAnsi="Myriad Pro"/>
          <w:sz w:val="26"/>
          <w:szCs w:val="26"/>
        </w:rPr>
        <w:t>);</w:t>
      </w:r>
    </w:p>
    <w:p w14:paraId="1C856B89" w14:textId="43732044" w:rsidR="00540F52" w:rsidRPr="00C04ABD" w:rsidRDefault="0002786A" w:rsidP="009B0BC1">
      <w:pPr>
        <w:pStyle w:val="a4"/>
        <w:numPr>
          <w:ilvl w:val="0"/>
          <w:numId w:val="51"/>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в 2015 году – 6</w:t>
      </w:r>
      <w:r w:rsidR="00824C0B" w:rsidRPr="00C04ABD">
        <w:rPr>
          <w:rFonts w:ascii="Myriad Pro" w:hAnsi="Myriad Pro"/>
          <w:sz w:val="26"/>
          <w:szCs w:val="26"/>
        </w:rPr>
        <w:t> </w:t>
      </w:r>
      <w:r w:rsidRPr="00C04ABD">
        <w:rPr>
          <w:rFonts w:ascii="Myriad Pro" w:hAnsi="Myriad Pro"/>
          <w:sz w:val="26"/>
          <w:szCs w:val="26"/>
        </w:rPr>
        <w:t xml:space="preserve">440,6 </w:t>
      </w:r>
      <w:r w:rsidR="00540F52" w:rsidRPr="00C04ABD">
        <w:rPr>
          <w:rFonts w:ascii="Myriad Pro" w:hAnsi="Myriad Pro"/>
          <w:sz w:val="26"/>
          <w:szCs w:val="26"/>
        </w:rPr>
        <w:t>тыс. руб. (с учетом приведенных к 2017 году *1,0706*1,0368 – 7 149,1 тыс. руб.);</w:t>
      </w:r>
    </w:p>
    <w:p w14:paraId="735947A8" w14:textId="554C0145" w:rsidR="00540F52" w:rsidRPr="00C04ABD" w:rsidRDefault="0002786A" w:rsidP="009B0BC1">
      <w:pPr>
        <w:pStyle w:val="a4"/>
        <w:numPr>
          <w:ilvl w:val="0"/>
          <w:numId w:val="51"/>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в 2016 году – 6</w:t>
      </w:r>
      <w:r w:rsidR="00824C0B" w:rsidRPr="00C04ABD">
        <w:rPr>
          <w:rFonts w:ascii="Myriad Pro" w:hAnsi="Myriad Pro"/>
          <w:sz w:val="26"/>
          <w:szCs w:val="26"/>
        </w:rPr>
        <w:t> </w:t>
      </w:r>
      <w:r w:rsidRPr="00C04ABD">
        <w:rPr>
          <w:rFonts w:ascii="Myriad Pro" w:hAnsi="Myriad Pro"/>
          <w:sz w:val="26"/>
          <w:szCs w:val="26"/>
        </w:rPr>
        <w:t xml:space="preserve">678,9 </w:t>
      </w:r>
      <w:r w:rsidR="00540F52" w:rsidRPr="00C04ABD">
        <w:rPr>
          <w:rFonts w:ascii="Myriad Pro" w:hAnsi="Myriad Pro"/>
          <w:sz w:val="26"/>
          <w:szCs w:val="26"/>
        </w:rPr>
        <w:t>тыс. руб. (с учетом приведенных к 2017 году *1,0368 – 6924,7 тыс. руб.)</w:t>
      </w:r>
    </w:p>
    <w:p w14:paraId="7B964890" w14:textId="2E260F86" w:rsidR="0002786A" w:rsidRPr="00C04ABD" w:rsidRDefault="0002786A" w:rsidP="009B0BC1">
      <w:pPr>
        <w:pStyle w:val="a4"/>
        <w:numPr>
          <w:ilvl w:val="0"/>
          <w:numId w:val="51"/>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в 2017 году – 2493,86</w:t>
      </w:r>
      <w:r w:rsidR="00540F52" w:rsidRPr="00C04ABD">
        <w:rPr>
          <w:rFonts w:ascii="Myriad Pro" w:hAnsi="Myriad Pro"/>
          <w:sz w:val="26"/>
          <w:szCs w:val="26"/>
        </w:rPr>
        <w:t xml:space="preserve"> тыс. руб.</w:t>
      </w:r>
    </w:p>
    <w:p w14:paraId="2E16290A" w14:textId="0A85892A" w:rsidR="0002786A" w:rsidRPr="00C04ABD" w:rsidRDefault="00540F52"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 xml:space="preserve">Средне фактическая стоимость </w:t>
      </w:r>
      <w:r w:rsidR="00AA2FE5" w:rsidRPr="00C04ABD">
        <w:rPr>
          <w:rFonts w:ascii="Myriad Pro" w:eastAsia="Calibri" w:hAnsi="Myriad Pro" w:cs="Times New Roman"/>
          <w:sz w:val="26"/>
          <w:szCs w:val="26"/>
        </w:rPr>
        <w:t xml:space="preserve">транспортных </w:t>
      </w:r>
      <w:r w:rsidRPr="00C04ABD">
        <w:rPr>
          <w:rFonts w:ascii="Myriad Pro" w:eastAsia="Calibri" w:hAnsi="Myriad Pro" w:cs="Times New Roman"/>
          <w:sz w:val="26"/>
          <w:szCs w:val="26"/>
        </w:rPr>
        <w:t>услуг за 2014-2017 гг. – 5 677,2 тыс. руб.</w:t>
      </w:r>
    </w:p>
    <w:p w14:paraId="43A4D578" w14:textId="0E3AE62A" w:rsidR="00E03911" w:rsidRPr="00C04ABD" w:rsidRDefault="00E03911"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 xml:space="preserve">Таким образом, у Комитета не было оснований для принятия к учету расходов в </w:t>
      </w:r>
      <w:r w:rsidR="00AA2FE5" w:rsidRPr="00C04ABD">
        <w:rPr>
          <w:rFonts w:ascii="Myriad Pro" w:eastAsia="Calibri" w:hAnsi="Myriad Pro" w:cs="Times New Roman"/>
          <w:sz w:val="26"/>
          <w:szCs w:val="26"/>
        </w:rPr>
        <w:t xml:space="preserve">заниженном </w:t>
      </w:r>
      <w:r w:rsidRPr="00C04ABD">
        <w:rPr>
          <w:rFonts w:ascii="Myriad Pro" w:eastAsia="Calibri" w:hAnsi="Myriad Pro" w:cs="Times New Roman"/>
          <w:sz w:val="26"/>
          <w:szCs w:val="26"/>
        </w:rPr>
        <w:t>размере 3 301,05 тыс. руб.</w:t>
      </w:r>
    </w:p>
    <w:p w14:paraId="049C8A57" w14:textId="4B55295D" w:rsidR="003C364D" w:rsidRPr="00C04ABD" w:rsidRDefault="00D809F5"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 xml:space="preserve">Исполнителем рассчитаны расходы на транспортные услуги </w:t>
      </w:r>
      <w:r w:rsidR="00E663D3">
        <w:rPr>
          <w:rFonts w:ascii="Myriad Pro" w:eastAsia="Calibri" w:hAnsi="Myriad Pro" w:cs="Times New Roman"/>
          <w:sz w:val="26"/>
          <w:szCs w:val="26"/>
        </w:rPr>
        <w:t>в размере</w:t>
      </w:r>
      <w:r w:rsidRPr="00C04ABD">
        <w:rPr>
          <w:rFonts w:ascii="Myriad Pro" w:eastAsia="Calibri" w:hAnsi="Myriad Pro" w:cs="Times New Roman"/>
          <w:sz w:val="26"/>
          <w:szCs w:val="26"/>
        </w:rPr>
        <w:t xml:space="preserve"> 3</w:t>
      </w:r>
      <w:r w:rsidR="00824C0B" w:rsidRPr="00C04ABD">
        <w:rPr>
          <w:rFonts w:ascii="Myriad Pro" w:eastAsia="Calibri" w:hAnsi="Myriad Pro" w:cs="Times New Roman"/>
          <w:sz w:val="26"/>
          <w:szCs w:val="26"/>
        </w:rPr>
        <w:t> </w:t>
      </w:r>
      <w:r w:rsidRPr="00C04ABD">
        <w:rPr>
          <w:rFonts w:ascii="Myriad Pro" w:eastAsia="Calibri" w:hAnsi="Myriad Pro" w:cs="Times New Roman"/>
          <w:sz w:val="26"/>
          <w:szCs w:val="26"/>
        </w:rPr>
        <w:t>767,43 тыс. руб., что выше на 446,4 тыс. руб. учтенных Комитетом и ниже на 88,9 тыс. руб. заявленных Филиалом.</w:t>
      </w:r>
    </w:p>
    <w:p w14:paraId="6CDCB838" w14:textId="19763512" w:rsidR="001B78A7" w:rsidRPr="00C04ABD" w:rsidRDefault="001B78A7" w:rsidP="001C033D">
      <w:pPr>
        <w:tabs>
          <w:tab w:val="left" w:pos="1134"/>
        </w:tabs>
        <w:spacing w:before="240" w:after="0" w:line="360" w:lineRule="auto"/>
        <w:jc w:val="both"/>
        <w:rPr>
          <w:rFonts w:ascii="Myriad Pro" w:eastAsia="Calibri" w:hAnsi="Myriad Pro" w:cs="Times New Roman"/>
          <w:b/>
          <w:i/>
          <w:sz w:val="26"/>
          <w:szCs w:val="26"/>
        </w:rPr>
      </w:pPr>
      <w:r w:rsidRPr="00C04ABD">
        <w:rPr>
          <w:rFonts w:ascii="Myriad Pro" w:eastAsia="Calibri" w:hAnsi="Myriad Pro" w:cs="Times New Roman"/>
          <w:b/>
          <w:i/>
          <w:sz w:val="26"/>
          <w:szCs w:val="26"/>
        </w:rPr>
        <w:t>Расходы на</w:t>
      </w:r>
      <w:r w:rsidR="009B120B" w:rsidRPr="00C04ABD">
        <w:rPr>
          <w:rFonts w:ascii="Myriad Pro" w:eastAsia="Calibri" w:hAnsi="Myriad Pro" w:cs="Times New Roman"/>
          <w:b/>
          <w:i/>
          <w:sz w:val="26"/>
          <w:szCs w:val="26"/>
        </w:rPr>
        <w:t xml:space="preserve"> прочие услуги сторонних организаций</w:t>
      </w:r>
    </w:p>
    <w:p w14:paraId="1E9E684D" w14:textId="77777777" w:rsidR="001B78A7" w:rsidRPr="00C04ABD" w:rsidRDefault="001B78A7" w:rsidP="001C033D">
      <w:pPr>
        <w:tabs>
          <w:tab w:val="left" w:pos="1134"/>
        </w:tabs>
        <w:spacing w:after="0" w:line="360" w:lineRule="auto"/>
        <w:contextualSpacing/>
        <w:jc w:val="both"/>
        <w:rPr>
          <w:rFonts w:ascii="Myriad Pro" w:eastAsia="Calibri" w:hAnsi="Myriad Pro" w:cs="Times New Roman"/>
          <w:b/>
          <w:sz w:val="26"/>
          <w:szCs w:val="26"/>
        </w:rPr>
      </w:pPr>
      <w:r w:rsidRPr="00C04ABD">
        <w:rPr>
          <w:rFonts w:ascii="Myriad Pro" w:eastAsia="Calibri" w:hAnsi="Myriad Pro" w:cs="Times New Roman"/>
          <w:b/>
          <w:sz w:val="26"/>
          <w:szCs w:val="26"/>
        </w:rPr>
        <w:t>ПОЗИЦИЯ ТЕРРИТОРИАЛЬНОЙ СЕТЕВОЙ ОРГАНИЗАЦИИ</w:t>
      </w:r>
    </w:p>
    <w:p w14:paraId="1D9169FC" w14:textId="47A5F2B5" w:rsidR="00EF4639" w:rsidRPr="00C04ABD" w:rsidRDefault="001B78A7"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 xml:space="preserve">Расходы на </w:t>
      </w:r>
      <w:r w:rsidR="009B120B" w:rsidRPr="00C04ABD">
        <w:rPr>
          <w:rFonts w:ascii="Myriad Pro" w:eastAsia="Calibri" w:hAnsi="Myriad Pro" w:cs="Times New Roman"/>
          <w:sz w:val="26"/>
          <w:szCs w:val="26"/>
        </w:rPr>
        <w:t>прочие услуги сторонних организаций</w:t>
      </w:r>
      <w:r w:rsidRPr="00C04ABD">
        <w:rPr>
          <w:rFonts w:ascii="Myriad Pro" w:eastAsia="Calibri" w:hAnsi="Myriad Pro" w:cs="Times New Roman"/>
          <w:sz w:val="26"/>
          <w:szCs w:val="26"/>
        </w:rPr>
        <w:t xml:space="preserve"> определены филиалом </w:t>
      </w:r>
      <w:r w:rsidR="00350B0A" w:rsidRPr="00C04ABD">
        <w:rPr>
          <w:rFonts w:ascii="Myriad Pro" w:eastAsia="Calibri" w:hAnsi="Myriad Pro" w:cs="Times New Roman"/>
          <w:sz w:val="26"/>
          <w:szCs w:val="26"/>
        </w:rPr>
        <w:t xml:space="preserve">ПАО </w:t>
      </w:r>
      <w:r w:rsidR="00655FFA" w:rsidRPr="00C04ABD">
        <w:rPr>
          <w:rFonts w:ascii="Myriad Pro" w:eastAsia="Calibri" w:hAnsi="Myriad Pro" w:cs="Times New Roman"/>
          <w:sz w:val="26"/>
          <w:szCs w:val="26"/>
        </w:rPr>
        <w:t>«</w:t>
      </w:r>
      <w:r w:rsidR="00350B0A" w:rsidRPr="00C04ABD">
        <w:rPr>
          <w:rFonts w:ascii="Myriad Pro" w:eastAsia="Calibri" w:hAnsi="Myriad Pro" w:cs="Times New Roman"/>
          <w:sz w:val="26"/>
          <w:szCs w:val="26"/>
        </w:rPr>
        <w:t>МРСК Северо-Запада</w:t>
      </w:r>
      <w:r w:rsidR="00655FFA" w:rsidRPr="00C04ABD">
        <w:rPr>
          <w:rFonts w:ascii="Myriad Pro" w:eastAsia="Calibri" w:hAnsi="Myriad Pro" w:cs="Times New Roman"/>
          <w:sz w:val="26"/>
          <w:szCs w:val="26"/>
        </w:rPr>
        <w:t>»</w:t>
      </w:r>
      <w:r w:rsidR="00350B0A" w:rsidRPr="00C04ABD">
        <w:rPr>
          <w:rFonts w:ascii="Myriad Pro" w:eastAsia="Calibri" w:hAnsi="Myriad Pro" w:cs="Times New Roman"/>
          <w:sz w:val="26"/>
          <w:szCs w:val="26"/>
        </w:rPr>
        <w:t xml:space="preserve"> </w:t>
      </w:r>
      <w:r w:rsidR="00655FFA" w:rsidRPr="00C04ABD">
        <w:rPr>
          <w:rFonts w:ascii="Myriad Pro" w:eastAsia="Calibri" w:hAnsi="Myriad Pro" w:cs="Times New Roman"/>
          <w:sz w:val="26"/>
          <w:szCs w:val="26"/>
        </w:rPr>
        <w:t>«</w:t>
      </w:r>
      <w:r w:rsidR="00350B0A" w:rsidRPr="00C04ABD">
        <w:rPr>
          <w:rFonts w:ascii="Myriad Pro" w:eastAsia="Calibri" w:hAnsi="Myriad Pro" w:cs="Times New Roman"/>
          <w:sz w:val="26"/>
          <w:szCs w:val="26"/>
        </w:rPr>
        <w:t>Колэнерго</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 xml:space="preserve"> в необходимой валовой выручке на 2019 год и предъявлены в составе заявления от 28.04.2018 №МР2/4/02/3129 об установлении тарифов на услуги по передаче электрической энергии в размере </w:t>
      </w:r>
      <w:r w:rsidR="009B120B" w:rsidRPr="00C04ABD">
        <w:rPr>
          <w:rFonts w:ascii="Myriad Pro" w:eastAsia="Calibri" w:hAnsi="Myriad Pro" w:cs="Times New Roman"/>
          <w:sz w:val="26"/>
          <w:szCs w:val="26"/>
        </w:rPr>
        <w:t>67 135,7</w:t>
      </w:r>
      <w:r w:rsidRPr="00C04ABD">
        <w:rPr>
          <w:rFonts w:ascii="Myriad Pro" w:eastAsia="Calibri" w:hAnsi="Myriad Pro" w:cs="Times New Roman"/>
          <w:sz w:val="26"/>
          <w:szCs w:val="26"/>
        </w:rPr>
        <w:t xml:space="preserve"> тыс. руб.</w:t>
      </w:r>
      <w:r w:rsidR="009B120B" w:rsidRPr="00C04ABD">
        <w:rPr>
          <w:rFonts w:ascii="Myriad Pro" w:eastAsia="Calibri" w:hAnsi="Myriad Pro" w:cs="Times New Roman"/>
          <w:sz w:val="26"/>
          <w:szCs w:val="26"/>
        </w:rPr>
        <w:t xml:space="preserve"> (в том числе:</w:t>
      </w:r>
    </w:p>
    <w:p w14:paraId="3E1419FB" w14:textId="0B5EF036" w:rsidR="001B78A7" w:rsidRPr="00C04ABD" w:rsidRDefault="009B120B"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 xml:space="preserve"> </w:t>
      </w:r>
      <w:r w:rsidR="00EF4639" w:rsidRPr="00C04ABD">
        <w:rPr>
          <w:rFonts w:ascii="Myriad Pro" w:hAnsi="Myriad Pro"/>
          <w:sz w:val="26"/>
          <w:szCs w:val="26"/>
        </w:rPr>
        <w:t xml:space="preserve">Услуги PR </w:t>
      </w:r>
      <w:r w:rsidR="00E663D3">
        <w:rPr>
          <w:rFonts w:ascii="Myriad Pro" w:hAnsi="Myriad Pro"/>
          <w:sz w:val="26"/>
          <w:szCs w:val="26"/>
        </w:rPr>
        <w:t>в размере</w:t>
      </w:r>
      <w:r w:rsidR="00EF4639" w:rsidRPr="00C04ABD">
        <w:rPr>
          <w:rFonts w:ascii="Myriad Pro" w:hAnsi="Myriad Pro"/>
          <w:sz w:val="26"/>
          <w:szCs w:val="26"/>
        </w:rPr>
        <w:t xml:space="preserve"> 847,2 тыс. руб.;</w:t>
      </w:r>
    </w:p>
    <w:p w14:paraId="354472DA" w14:textId="1EA8404E" w:rsidR="00EF4639" w:rsidRPr="00C04ABD" w:rsidRDefault="00EF4639"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 xml:space="preserve">Коммунальные услуги </w:t>
      </w:r>
      <w:r w:rsidR="00E663D3">
        <w:rPr>
          <w:rFonts w:ascii="Myriad Pro" w:hAnsi="Myriad Pro"/>
          <w:sz w:val="26"/>
          <w:szCs w:val="26"/>
        </w:rPr>
        <w:t>в размере</w:t>
      </w:r>
      <w:r w:rsidRPr="00C04ABD">
        <w:rPr>
          <w:rFonts w:ascii="Myriad Pro" w:hAnsi="Myriad Pro"/>
          <w:sz w:val="26"/>
          <w:szCs w:val="26"/>
        </w:rPr>
        <w:t xml:space="preserve"> 17 136,3 тыс. руб.;</w:t>
      </w:r>
    </w:p>
    <w:p w14:paraId="1853A573" w14:textId="1BEEAA68" w:rsidR="00EF4639" w:rsidRPr="00C04ABD" w:rsidRDefault="00EF4639"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 xml:space="preserve">Другие расходы, относимые на себестоимость </w:t>
      </w:r>
      <w:r w:rsidR="00E663D3">
        <w:rPr>
          <w:rFonts w:ascii="Myriad Pro" w:hAnsi="Myriad Pro"/>
          <w:sz w:val="26"/>
          <w:szCs w:val="26"/>
        </w:rPr>
        <w:t>в размере</w:t>
      </w:r>
      <w:r w:rsidRPr="00C04ABD">
        <w:rPr>
          <w:rFonts w:ascii="Myriad Pro" w:hAnsi="Myriad Pro"/>
          <w:sz w:val="26"/>
          <w:szCs w:val="26"/>
        </w:rPr>
        <w:t xml:space="preserve"> 5 396,6 тыс. руб.;</w:t>
      </w:r>
    </w:p>
    <w:p w14:paraId="405C1148" w14:textId="23D5BE13" w:rsidR="00EF4639" w:rsidRPr="00C04ABD" w:rsidRDefault="00EF4639"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 xml:space="preserve">Затраты на приобретение прав собственности </w:t>
      </w:r>
      <w:r w:rsidR="00E663D3">
        <w:rPr>
          <w:rFonts w:ascii="Myriad Pro" w:hAnsi="Myriad Pro"/>
          <w:sz w:val="26"/>
          <w:szCs w:val="26"/>
        </w:rPr>
        <w:t>в размере</w:t>
      </w:r>
      <w:r w:rsidRPr="00C04ABD">
        <w:rPr>
          <w:rFonts w:ascii="Myriad Pro" w:hAnsi="Myriad Pro"/>
          <w:sz w:val="26"/>
          <w:szCs w:val="26"/>
        </w:rPr>
        <w:t xml:space="preserve"> 30 721,3 тыс. руб.;</w:t>
      </w:r>
    </w:p>
    <w:p w14:paraId="7282EE2C" w14:textId="74673974" w:rsidR="00EF4639" w:rsidRPr="00C04ABD" w:rsidRDefault="00EF4639"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lastRenderedPageBreak/>
        <w:t xml:space="preserve">Техосмотр, регистрация и пропуски автотранспорта </w:t>
      </w:r>
      <w:r w:rsidR="00E663D3">
        <w:rPr>
          <w:rFonts w:ascii="Myriad Pro" w:hAnsi="Myriad Pro"/>
          <w:sz w:val="26"/>
          <w:szCs w:val="26"/>
        </w:rPr>
        <w:t>в размере</w:t>
      </w:r>
      <w:r w:rsidRPr="00C04ABD">
        <w:rPr>
          <w:rFonts w:ascii="Myriad Pro" w:hAnsi="Myriad Pro"/>
          <w:sz w:val="26"/>
          <w:szCs w:val="26"/>
        </w:rPr>
        <w:t xml:space="preserve"> 645,9 тыс. руб.;</w:t>
      </w:r>
    </w:p>
    <w:p w14:paraId="741BC981" w14:textId="183523B4" w:rsidR="00EF4639" w:rsidRPr="00C04ABD" w:rsidRDefault="00EF4639"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 xml:space="preserve">Метеорология </w:t>
      </w:r>
      <w:r w:rsidR="00E663D3">
        <w:rPr>
          <w:rFonts w:ascii="Myriad Pro" w:hAnsi="Myriad Pro"/>
          <w:sz w:val="26"/>
          <w:szCs w:val="26"/>
        </w:rPr>
        <w:t>в размере</w:t>
      </w:r>
      <w:r w:rsidRPr="00C04ABD">
        <w:rPr>
          <w:rFonts w:ascii="Myriad Pro" w:hAnsi="Myriad Pro"/>
          <w:sz w:val="26"/>
          <w:szCs w:val="26"/>
        </w:rPr>
        <w:t xml:space="preserve"> 841,8 тыс. руб.;</w:t>
      </w:r>
    </w:p>
    <w:p w14:paraId="5E524882" w14:textId="3583EF43" w:rsidR="00EF4639" w:rsidRPr="00C04ABD" w:rsidRDefault="00EF4639"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 xml:space="preserve">Услуги по подписке </w:t>
      </w:r>
      <w:r w:rsidR="00E663D3">
        <w:rPr>
          <w:rFonts w:ascii="Myriad Pro" w:hAnsi="Myriad Pro"/>
          <w:sz w:val="26"/>
          <w:szCs w:val="26"/>
        </w:rPr>
        <w:t>в размере</w:t>
      </w:r>
      <w:r w:rsidRPr="00C04ABD">
        <w:rPr>
          <w:rFonts w:ascii="Myriad Pro" w:hAnsi="Myriad Pro"/>
          <w:sz w:val="26"/>
          <w:szCs w:val="26"/>
        </w:rPr>
        <w:t xml:space="preserve"> 400,7 тыс. руб.;</w:t>
      </w:r>
    </w:p>
    <w:p w14:paraId="63A91C82" w14:textId="12F8EBE6" w:rsidR="00EF4639" w:rsidRPr="00C04ABD" w:rsidRDefault="00EF4639"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 xml:space="preserve">Обеспечение промышленной безопасности – </w:t>
      </w:r>
      <w:r w:rsidR="00E663D3">
        <w:rPr>
          <w:rFonts w:ascii="Myriad Pro" w:hAnsi="Myriad Pro"/>
          <w:sz w:val="26"/>
          <w:szCs w:val="26"/>
        </w:rPr>
        <w:t>в размере</w:t>
      </w:r>
      <w:r w:rsidRPr="00C04ABD">
        <w:rPr>
          <w:rFonts w:ascii="Myriad Pro" w:hAnsi="Myriad Pro"/>
          <w:sz w:val="26"/>
          <w:szCs w:val="26"/>
        </w:rPr>
        <w:t xml:space="preserve"> 1 140,1 тыс. руб.</w:t>
      </w:r>
      <w:r w:rsidR="00EB0CCB" w:rsidRPr="00C04ABD">
        <w:rPr>
          <w:rFonts w:ascii="Myriad Pro" w:hAnsi="Myriad Pro"/>
          <w:sz w:val="26"/>
          <w:szCs w:val="26"/>
        </w:rPr>
        <w:t>;</w:t>
      </w:r>
    </w:p>
    <w:p w14:paraId="3841ACF5" w14:textId="7B9085EE" w:rsidR="00EF4639" w:rsidRPr="00C04ABD" w:rsidRDefault="00EF4639"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 xml:space="preserve">Прочие услуги </w:t>
      </w:r>
      <w:r w:rsidR="00E663D3">
        <w:rPr>
          <w:rFonts w:ascii="Myriad Pro" w:hAnsi="Myriad Pro"/>
          <w:sz w:val="26"/>
          <w:szCs w:val="26"/>
        </w:rPr>
        <w:t>в размере</w:t>
      </w:r>
      <w:r w:rsidRPr="00C04ABD">
        <w:rPr>
          <w:rFonts w:ascii="Myriad Pro" w:hAnsi="Myriad Pro"/>
          <w:sz w:val="26"/>
          <w:szCs w:val="26"/>
        </w:rPr>
        <w:t xml:space="preserve"> 7 456 тыс. руб.;</w:t>
      </w:r>
    </w:p>
    <w:p w14:paraId="26E0E91D" w14:textId="23949EB8" w:rsidR="00EF4639" w:rsidRPr="00C04ABD" w:rsidRDefault="00EF4639"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 xml:space="preserve">НИОКР </w:t>
      </w:r>
      <w:r w:rsidR="00E663D3">
        <w:rPr>
          <w:rFonts w:ascii="Myriad Pro" w:hAnsi="Myriad Pro"/>
          <w:sz w:val="26"/>
          <w:szCs w:val="26"/>
        </w:rPr>
        <w:t>в размере</w:t>
      </w:r>
      <w:r w:rsidRPr="00C04ABD">
        <w:rPr>
          <w:rFonts w:ascii="Myriad Pro" w:hAnsi="Myriad Pro"/>
          <w:sz w:val="26"/>
          <w:szCs w:val="26"/>
        </w:rPr>
        <w:t xml:space="preserve"> – 2549,9 тыс. руб.</w:t>
      </w:r>
    </w:p>
    <w:p w14:paraId="24357B04" w14:textId="0E13D708" w:rsidR="001B78A7" w:rsidRPr="00C04ABD" w:rsidRDefault="001B78A7"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Для обоснован</w:t>
      </w:r>
      <w:r w:rsidR="00B25696" w:rsidRPr="00C04ABD">
        <w:rPr>
          <w:rFonts w:ascii="Myriad Pro" w:eastAsia="Calibri" w:hAnsi="Myriad Pro" w:cs="Times New Roman"/>
          <w:sz w:val="26"/>
          <w:szCs w:val="26"/>
        </w:rPr>
        <w:t>ия заявленной суммы расходов</w:t>
      </w:r>
      <w:r w:rsidRPr="00C04ABD">
        <w:rPr>
          <w:rFonts w:ascii="Myriad Pro" w:eastAsia="Calibri" w:hAnsi="Myriad Pro" w:cs="Times New Roman"/>
          <w:sz w:val="26"/>
          <w:szCs w:val="26"/>
        </w:rPr>
        <w:t xml:space="preserve"> филиалом </w:t>
      </w:r>
      <w:r w:rsidR="00350B0A" w:rsidRPr="00C04ABD">
        <w:rPr>
          <w:rFonts w:ascii="Myriad Pro" w:eastAsia="Calibri" w:hAnsi="Myriad Pro" w:cs="Times New Roman"/>
          <w:sz w:val="26"/>
          <w:szCs w:val="26"/>
        </w:rPr>
        <w:t xml:space="preserve">ПАО </w:t>
      </w:r>
      <w:r w:rsidR="00655FFA" w:rsidRPr="00C04ABD">
        <w:rPr>
          <w:rFonts w:ascii="Myriad Pro" w:eastAsia="Calibri" w:hAnsi="Myriad Pro" w:cs="Times New Roman"/>
          <w:sz w:val="26"/>
          <w:szCs w:val="26"/>
        </w:rPr>
        <w:t>«</w:t>
      </w:r>
      <w:r w:rsidR="00350B0A" w:rsidRPr="00C04ABD">
        <w:rPr>
          <w:rFonts w:ascii="Myriad Pro" w:eastAsia="Calibri" w:hAnsi="Myriad Pro" w:cs="Times New Roman"/>
          <w:sz w:val="26"/>
          <w:szCs w:val="26"/>
        </w:rPr>
        <w:t>МРСК Северо-Запада</w:t>
      </w:r>
      <w:r w:rsidR="00655FFA" w:rsidRPr="00C04ABD">
        <w:rPr>
          <w:rFonts w:ascii="Myriad Pro" w:eastAsia="Calibri" w:hAnsi="Myriad Pro" w:cs="Times New Roman"/>
          <w:sz w:val="26"/>
          <w:szCs w:val="26"/>
        </w:rPr>
        <w:t>»</w:t>
      </w:r>
      <w:r w:rsidR="00350B0A" w:rsidRPr="00C04ABD">
        <w:rPr>
          <w:rFonts w:ascii="Myriad Pro" w:eastAsia="Calibri" w:hAnsi="Myriad Pro" w:cs="Times New Roman"/>
          <w:sz w:val="26"/>
          <w:szCs w:val="26"/>
        </w:rPr>
        <w:t xml:space="preserve"> </w:t>
      </w:r>
      <w:r w:rsidR="00655FFA" w:rsidRPr="00C04ABD">
        <w:rPr>
          <w:rFonts w:ascii="Myriad Pro" w:eastAsia="Calibri" w:hAnsi="Myriad Pro" w:cs="Times New Roman"/>
          <w:sz w:val="26"/>
          <w:szCs w:val="26"/>
        </w:rPr>
        <w:t>«</w:t>
      </w:r>
      <w:r w:rsidR="00350B0A" w:rsidRPr="00C04ABD">
        <w:rPr>
          <w:rFonts w:ascii="Myriad Pro" w:eastAsia="Calibri" w:hAnsi="Myriad Pro" w:cs="Times New Roman"/>
          <w:sz w:val="26"/>
          <w:szCs w:val="26"/>
        </w:rPr>
        <w:t>Колэнерго</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 xml:space="preserve"> были представлены следующие документы:</w:t>
      </w:r>
    </w:p>
    <w:p w14:paraId="2CDF7155" w14:textId="1D1632DA" w:rsidR="00EF749B" w:rsidRPr="00C04ABD" w:rsidRDefault="00EF749B"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Таблица – расчет расходов на услуги сторонних организаций с указанием утвержденных и фактических данных за 2017 год, утвержденных и ожидаемых данных за 2018 год, прогнозных данных на 2019 год в целом по филиалу и отнесенных на услуги по передаче электрической энергии;</w:t>
      </w:r>
    </w:p>
    <w:p w14:paraId="54A159B3" w14:textId="4E9F2575" w:rsidR="00EF749B" w:rsidRPr="00C04ABD" w:rsidRDefault="00EF749B"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Расче</w:t>
      </w:r>
      <w:r w:rsidR="00B25696" w:rsidRPr="00C04ABD">
        <w:rPr>
          <w:rFonts w:ascii="Myriad Pro" w:hAnsi="Myriad Pro"/>
          <w:sz w:val="26"/>
          <w:szCs w:val="26"/>
        </w:rPr>
        <w:t>т затрат на обеспечение промышленной</w:t>
      </w:r>
      <w:r w:rsidRPr="00C04ABD">
        <w:rPr>
          <w:rFonts w:ascii="Myriad Pro" w:hAnsi="Myriad Pro"/>
          <w:sz w:val="26"/>
          <w:szCs w:val="26"/>
        </w:rPr>
        <w:t xml:space="preserve"> безопасности;</w:t>
      </w:r>
    </w:p>
    <w:p w14:paraId="4CFB16C5" w14:textId="0451EA72" w:rsidR="00EF749B" w:rsidRPr="00C04ABD" w:rsidRDefault="00EF749B"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 xml:space="preserve">Реестр договоров по статье обеспечение </w:t>
      </w:r>
      <w:r w:rsidR="00B25696" w:rsidRPr="00C04ABD">
        <w:rPr>
          <w:rFonts w:ascii="Myriad Pro" w:hAnsi="Myriad Pro"/>
          <w:sz w:val="26"/>
          <w:szCs w:val="26"/>
        </w:rPr>
        <w:t>промышленной</w:t>
      </w:r>
      <w:r w:rsidRPr="00C04ABD">
        <w:rPr>
          <w:rFonts w:ascii="Myriad Pro" w:hAnsi="Myriad Pro"/>
          <w:sz w:val="26"/>
          <w:szCs w:val="26"/>
        </w:rPr>
        <w:t xml:space="preserve"> безопасности;</w:t>
      </w:r>
    </w:p>
    <w:p w14:paraId="57A56F3D" w14:textId="2B920A31" w:rsidR="00EF749B" w:rsidRPr="00C04ABD" w:rsidRDefault="00EF749B"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 xml:space="preserve">Копии договоров по статье обеспечение </w:t>
      </w:r>
      <w:r w:rsidR="00B25696" w:rsidRPr="00C04ABD">
        <w:rPr>
          <w:rFonts w:ascii="Myriad Pro" w:hAnsi="Myriad Pro"/>
          <w:sz w:val="26"/>
          <w:szCs w:val="26"/>
        </w:rPr>
        <w:t>промышленной</w:t>
      </w:r>
      <w:r w:rsidRPr="00C04ABD">
        <w:rPr>
          <w:rFonts w:ascii="Myriad Pro" w:hAnsi="Myriad Pro"/>
          <w:sz w:val="26"/>
          <w:szCs w:val="26"/>
        </w:rPr>
        <w:t xml:space="preserve"> безопасности, конкурсная документация;</w:t>
      </w:r>
    </w:p>
    <w:p w14:paraId="2B0BDEE4" w14:textId="2B03212F" w:rsidR="00EF749B" w:rsidRPr="00C04ABD" w:rsidRDefault="00EF749B"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Расчет затрат на оформление земельно</w:t>
      </w:r>
      <w:r w:rsidR="001C033D" w:rsidRPr="00C04ABD">
        <w:rPr>
          <w:rFonts w:ascii="Myriad Pro" w:hAnsi="Myriad Pro"/>
          <w:sz w:val="26"/>
          <w:szCs w:val="26"/>
        </w:rPr>
        <w:t>-</w:t>
      </w:r>
      <w:r w:rsidRPr="00C04ABD">
        <w:rPr>
          <w:rFonts w:ascii="Myriad Pro" w:hAnsi="Myriad Pro"/>
          <w:sz w:val="26"/>
          <w:szCs w:val="26"/>
        </w:rPr>
        <w:t>правовых документов;</w:t>
      </w:r>
    </w:p>
    <w:p w14:paraId="556FE171" w14:textId="40288F8E" w:rsidR="00B25696" w:rsidRPr="00C04ABD" w:rsidRDefault="00B25696"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Расчет затрат по статье техосмотр, регистрация и пропуску автотранспорта;</w:t>
      </w:r>
    </w:p>
    <w:p w14:paraId="418BFF53" w14:textId="0BDF157C" w:rsidR="00EF749B" w:rsidRPr="00C04ABD" w:rsidRDefault="00EF749B"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Реестр договоров по статье техосмотр, регистрация и пропуску автотранспорта;</w:t>
      </w:r>
    </w:p>
    <w:p w14:paraId="6ACFC386" w14:textId="609EB8B4" w:rsidR="00B25696" w:rsidRPr="00C04ABD" w:rsidRDefault="00B25696"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Расчет затрат по статье метеорология</w:t>
      </w:r>
    </w:p>
    <w:p w14:paraId="3F8CE3B7" w14:textId="0EC3160D" w:rsidR="00B25696" w:rsidRPr="00C04ABD" w:rsidRDefault="00B25696"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Реестр договоров по статье метеорология;</w:t>
      </w:r>
    </w:p>
    <w:p w14:paraId="32CEFD5D" w14:textId="2F47EDA2" w:rsidR="00EF749B" w:rsidRPr="00C04ABD" w:rsidRDefault="00EF749B"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 xml:space="preserve">Копии договоров на услуги </w:t>
      </w:r>
      <w:r w:rsidR="00B25696" w:rsidRPr="00C04ABD">
        <w:rPr>
          <w:rFonts w:ascii="Myriad Pro" w:hAnsi="Myriad Pro"/>
          <w:sz w:val="26"/>
          <w:szCs w:val="26"/>
        </w:rPr>
        <w:t>метеорологии</w:t>
      </w:r>
      <w:r w:rsidRPr="00C04ABD">
        <w:rPr>
          <w:rFonts w:ascii="Myriad Pro" w:hAnsi="Myriad Pro"/>
          <w:sz w:val="26"/>
          <w:szCs w:val="26"/>
        </w:rPr>
        <w:t>;</w:t>
      </w:r>
    </w:p>
    <w:p w14:paraId="757429A7" w14:textId="4E595037" w:rsidR="00B25696" w:rsidRPr="00C04ABD" w:rsidRDefault="00B25696"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Расчет затрат по прочим услугам;</w:t>
      </w:r>
    </w:p>
    <w:p w14:paraId="53671A42" w14:textId="73074B3D" w:rsidR="00B25696" w:rsidRPr="00C04ABD" w:rsidRDefault="00B25696"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Копии дого</w:t>
      </w:r>
      <w:r w:rsidR="00EB0CCB" w:rsidRPr="00C04ABD">
        <w:rPr>
          <w:rFonts w:ascii="Myriad Pro" w:hAnsi="Myriad Pro"/>
          <w:sz w:val="26"/>
          <w:szCs w:val="26"/>
        </w:rPr>
        <w:t>воров по проч</w:t>
      </w:r>
      <w:r w:rsidRPr="00C04ABD">
        <w:rPr>
          <w:rFonts w:ascii="Myriad Pro" w:hAnsi="Myriad Pro"/>
          <w:sz w:val="26"/>
          <w:szCs w:val="26"/>
        </w:rPr>
        <w:t>им услугам;</w:t>
      </w:r>
    </w:p>
    <w:p w14:paraId="06346C89" w14:textId="74CAFDD5" w:rsidR="00EF749B" w:rsidRPr="00C04ABD" w:rsidRDefault="00EF749B"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 xml:space="preserve">Бухгалтерская отчетность: Обороты по счету 20, 23, 25 за 2017 год по деятельности </w:t>
      </w:r>
      <w:r w:rsidR="00655FFA" w:rsidRPr="00C04ABD">
        <w:rPr>
          <w:rFonts w:ascii="Myriad Pro" w:hAnsi="Myriad Pro"/>
          <w:sz w:val="26"/>
          <w:szCs w:val="26"/>
        </w:rPr>
        <w:t>«</w:t>
      </w:r>
      <w:r w:rsidRPr="00C04ABD">
        <w:rPr>
          <w:rFonts w:ascii="Myriad Pro" w:hAnsi="Myriad Pro"/>
          <w:sz w:val="26"/>
          <w:szCs w:val="26"/>
        </w:rPr>
        <w:t>услуги по передачи электрической энергии</w:t>
      </w:r>
      <w:r w:rsidR="00655FFA" w:rsidRPr="00C04ABD">
        <w:rPr>
          <w:rFonts w:ascii="Myriad Pro" w:hAnsi="Myriad Pro"/>
          <w:sz w:val="26"/>
          <w:szCs w:val="26"/>
        </w:rPr>
        <w:t>»</w:t>
      </w:r>
      <w:r w:rsidRPr="00C04ABD">
        <w:rPr>
          <w:rFonts w:ascii="Myriad Pro" w:hAnsi="Myriad Pro"/>
          <w:sz w:val="26"/>
          <w:szCs w:val="26"/>
        </w:rPr>
        <w:t xml:space="preserve"> п</w:t>
      </w:r>
      <w:r w:rsidR="00B25696" w:rsidRPr="00C04ABD">
        <w:rPr>
          <w:rFonts w:ascii="Myriad Pro" w:hAnsi="Myriad Pro"/>
          <w:sz w:val="26"/>
          <w:szCs w:val="26"/>
        </w:rPr>
        <w:t>о филиалу ПАО</w:t>
      </w:r>
      <w:r w:rsidR="00996030" w:rsidRPr="00C04ABD">
        <w:rPr>
          <w:rFonts w:ascii="Myriad Pro" w:hAnsi="Myriad Pro"/>
          <w:sz w:val="26"/>
          <w:szCs w:val="26"/>
        </w:rPr>
        <w:t> </w:t>
      </w:r>
      <w:r w:rsidR="00655FFA" w:rsidRPr="00C04ABD">
        <w:rPr>
          <w:rFonts w:ascii="Myriad Pro" w:hAnsi="Myriad Pro"/>
          <w:sz w:val="26"/>
          <w:szCs w:val="26"/>
        </w:rPr>
        <w:t>«</w:t>
      </w:r>
      <w:r w:rsidR="00597FD5" w:rsidRPr="00C04ABD">
        <w:rPr>
          <w:rFonts w:ascii="Myriad Pro" w:hAnsi="Myriad Pro"/>
          <w:sz w:val="26"/>
          <w:szCs w:val="26"/>
        </w:rPr>
        <w:t>МРСК Северо-Запада</w:t>
      </w:r>
      <w:r w:rsidR="00655FFA" w:rsidRPr="00C04ABD">
        <w:rPr>
          <w:rFonts w:ascii="Myriad Pro" w:hAnsi="Myriad Pro"/>
          <w:sz w:val="26"/>
          <w:szCs w:val="26"/>
        </w:rPr>
        <w:t>»</w:t>
      </w:r>
      <w:r w:rsidR="00B25696" w:rsidRPr="00C04ABD">
        <w:rPr>
          <w:rFonts w:ascii="Myriad Pro" w:hAnsi="Myriad Pro"/>
          <w:sz w:val="26"/>
          <w:szCs w:val="26"/>
        </w:rPr>
        <w:t xml:space="preserve"> </w:t>
      </w:r>
      <w:r w:rsidR="00655FFA" w:rsidRPr="00C04ABD">
        <w:rPr>
          <w:rFonts w:ascii="Myriad Pro" w:hAnsi="Myriad Pro"/>
          <w:sz w:val="26"/>
          <w:szCs w:val="26"/>
        </w:rPr>
        <w:t>«</w:t>
      </w:r>
      <w:r w:rsidR="00B25696" w:rsidRPr="00C04ABD">
        <w:rPr>
          <w:rFonts w:ascii="Myriad Pro" w:hAnsi="Myriad Pro"/>
          <w:sz w:val="26"/>
          <w:szCs w:val="26"/>
        </w:rPr>
        <w:t>Кол</w:t>
      </w:r>
      <w:r w:rsidRPr="00C04ABD">
        <w:rPr>
          <w:rFonts w:ascii="Myriad Pro" w:hAnsi="Myriad Pro"/>
          <w:sz w:val="26"/>
          <w:szCs w:val="26"/>
        </w:rPr>
        <w:t>энерго</w:t>
      </w:r>
      <w:r w:rsidR="00655FFA" w:rsidRPr="00C04ABD">
        <w:rPr>
          <w:rFonts w:ascii="Myriad Pro" w:hAnsi="Myriad Pro"/>
          <w:sz w:val="26"/>
          <w:szCs w:val="26"/>
        </w:rPr>
        <w:t>»</w:t>
      </w:r>
      <w:r w:rsidRPr="00C04ABD">
        <w:rPr>
          <w:rFonts w:ascii="Myriad Pro" w:hAnsi="Myriad Pro"/>
          <w:sz w:val="26"/>
          <w:szCs w:val="26"/>
        </w:rPr>
        <w:t>.</w:t>
      </w:r>
    </w:p>
    <w:p w14:paraId="0143089F" w14:textId="77777777" w:rsidR="00EF4639" w:rsidRPr="00C04ABD" w:rsidRDefault="00EF4639" w:rsidP="00A31747">
      <w:pPr>
        <w:pStyle w:val="a4"/>
        <w:tabs>
          <w:tab w:val="left" w:pos="1134"/>
        </w:tabs>
        <w:spacing w:after="0" w:line="360" w:lineRule="auto"/>
        <w:ind w:left="0" w:firstLine="567"/>
        <w:jc w:val="both"/>
        <w:rPr>
          <w:rFonts w:ascii="Myriad Pro" w:hAnsi="Myriad Pro"/>
          <w:b/>
          <w:sz w:val="26"/>
          <w:szCs w:val="26"/>
        </w:rPr>
      </w:pPr>
    </w:p>
    <w:p w14:paraId="1A4A0668" w14:textId="77777777" w:rsidR="001B78A7" w:rsidRPr="00C04ABD" w:rsidRDefault="001B78A7" w:rsidP="001C033D">
      <w:pPr>
        <w:tabs>
          <w:tab w:val="left" w:pos="1134"/>
        </w:tabs>
        <w:spacing w:after="0" w:line="360" w:lineRule="auto"/>
        <w:contextualSpacing/>
        <w:jc w:val="both"/>
        <w:rPr>
          <w:rFonts w:ascii="Myriad Pro" w:eastAsia="Calibri" w:hAnsi="Myriad Pro" w:cs="Times New Roman"/>
          <w:b/>
          <w:sz w:val="26"/>
          <w:szCs w:val="26"/>
        </w:rPr>
      </w:pPr>
      <w:r w:rsidRPr="00C04ABD">
        <w:rPr>
          <w:rFonts w:ascii="Myriad Pro" w:eastAsia="Calibri" w:hAnsi="Myriad Pro" w:cs="Times New Roman"/>
          <w:b/>
          <w:sz w:val="26"/>
          <w:szCs w:val="26"/>
        </w:rPr>
        <w:lastRenderedPageBreak/>
        <w:t>ПОЗИЦИЯ ОРГАНА РЕГУЛИРОВАНИЯ</w:t>
      </w:r>
    </w:p>
    <w:p w14:paraId="24E489B1" w14:textId="77777777" w:rsidR="001B78A7" w:rsidRPr="00C04ABD" w:rsidRDefault="001B78A7" w:rsidP="00A31747">
      <w:pPr>
        <w:tabs>
          <w:tab w:val="left" w:pos="1134"/>
        </w:tabs>
        <w:spacing w:after="0" w:line="360" w:lineRule="auto"/>
        <w:ind w:firstLine="567"/>
        <w:jc w:val="both"/>
        <w:rPr>
          <w:rFonts w:ascii="Myriad Pro" w:eastAsia="Calibri" w:hAnsi="Myriad Pro" w:cs="Times New Roman"/>
          <w:sz w:val="26"/>
          <w:szCs w:val="26"/>
        </w:rPr>
      </w:pPr>
      <w:r w:rsidRPr="00C04ABD">
        <w:rPr>
          <w:rFonts w:ascii="Myriad Pro" w:eastAsia="Calibri" w:hAnsi="Myriad Pro" w:cs="Times New Roman"/>
          <w:sz w:val="26"/>
          <w:szCs w:val="26"/>
        </w:rPr>
        <w:t>Величина расходов, принятая регулирующим органом на 2019 год:</w:t>
      </w:r>
    </w:p>
    <w:p w14:paraId="6E8310D5" w14:textId="1536732B" w:rsidR="001B78A7" w:rsidRPr="00C04ABD" w:rsidRDefault="001B78A7"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экономически о</w:t>
      </w:r>
      <w:r w:rsidR="00B25696" w:rsidRPr="00C04ABD">
        <w:rPr>
          <w:rFonts w:ascii="Myriad Pro" w:hAnsi="Myriad Pro"/>
          <w:sz w:val="26"/>
          <w:szCs w:val="26"/>
        </w:rPr>
        <w:t>боснованный уровень – 53 494,02</w:t>
      </w:r>
      <w:r w:rsidRPr="00C04ABD">
        <w:rPr>
          <w:rFonts w:ascii="Myriad Pro" w:hAnsi="Myriad Pro"/>
          <w:sz w:val="26"/>
          <w:szCs w:val="26"/>
        </w:rPr>
        <w:t xml:space="preserve"> тыс. руб.;</w:t>
      </w:r>
    </w:p>
    <w:p w14:paraId="3529AACC" w14:textId="00CADAD9" w:rsidR="001B78A7" w:rsidRPr="00C04ABD" w:rsidRDefault="001B78A7"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уровень, приняты</w:t>
      </w:r>
      <w:r w:rsidR="00B25696" w:rsidRPr="00C04ABD">
        <w:rPr>
          <w:rFonts w:ascii="Myriad Pro" w:hAnsi="Myriad Pro"/>
          <w:sz w:val="26"/>
          <w:szCs w:val="26"/>
        </w:rPr>
        <w:t>й при установлении НВВ – 51 501,47</w:t>
      </w:r>
      <w:r w:rsidRPr="00C04ABD">
        <w:rPr>
          <w:rFonts w:ascii="Myriad Pro" w:hAnsi="Myriad Pro"/>
          <w:sz w:val="26"/>
          <w:szCs w:val="26"/>
        </w:rPr>
        <w:t xml:space="preserve"> тыс. руб.  (0,7*ЭОУ+0,3*МА)</w:t>
      </w:r>
      <w:r w:rsidR="005E7952" w:rsidRPr="00C04ABD">
        <w:rPr>
          <w:rFonts w:ascii="Myriad Pro" w:hAnsi="Myriad Pro"/>
          <w:sz w:val="26"/>
          <w:szCs w:val="26"/>
        </w:rPr>
        <w:t>.</w:t>
      </w:r>
    </w:p>
    <w:p w14:paraId="4D355EF5" w14:textId="32CE2334" w:rsidR="0045324B" w:rsidRPr="00C04ABD" w:rsidRDefault="0045324B" w:rsidP="001C033D">
      <w:pPr>
        <w:tabs>
          <w:tab w:val="left" w:pos="1134"/>
        </w:tabs>
        <w:spacing w:after="0" w:line="360" w:lineRule="auto"/>
        <w:ind w:firstLine="567"/>
        <w:jc w:val="both"/>
        <w:rPr>
          <w:rFonts w:ascii="Myriad Pro" w:hAnsi="Myriad Pro"/>
          <w:sz w:val="26"/>
          <w:szCs w:val="26"/>
        </w:rPr>
      </w:pPr>
      <w:r w:rsidRPr="00C04ABD">
        <w:rPr>
          <w:rFonts w:ascii="Myriad Pro" w:hAnsi="Myriad Pro"/>
          <w:sz w:val="26"/>
          <w:szCs w:val="26"/>
        </w:rPr>
        <w:t xml:space="preserve"> Расходы </w:t>
      </w:r>
      <w:r w:rsidR="00671D4C" w:rsidRPr="00C04ABD">
        <w:rPr>
          <w:rFonts w:ascii="Myriad Pro" w:hAnsi="Myriad Pro"/>
          <w:sz w:val="26"/>
          <w:szCs w:val="26"/>
        </w:rPr>
        <w:t xml:space="preserve">на </w:t>
      </w:r>
      <w:r w:rsidRPr="00C04ABD">
        <w:rPr>
          <w:rFonts w:ascii="Myriad Pro" w:hAnsi="Myriad Pro"/>
          <w:sz w:val="26"/>
          <w:szCs w:val="26"/>
        </w:rPr>
        <w:t>коммунальные услуги, другие расходы, относимые на себестоимость, затраты на приобретение прав собственности, техосмотр, регистрация и пропуски автотранспорта, метеорология, НИОКР Комитетом приняты по предложению Филиала.</w:t>
      </w:r>
    </w:p>
    <w:p w14:paraId="74C6D42E" w14:textId="2F73DC7A" w:rsidR="0045324B" w:rsidRPr="00C04ABD" w:rsidRDefault="0045324B"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Услуги PR, услуги по подписке, обеспечение промышленной безопасности, прочие услуги исключены как экономически не обоснованные.</w:t>
      </w:r>
    </w:p>
    <w:p w14:paraId="1A8A31D9" w14:textId="77777777" w:rsidR="001B78A7" w:rsidRPr="00C04ABD" w:rsidRDefault="001B78A7" w:rsidP="00A31747">
      <w:pPr>
        <w:tabs>
          <w:tab w:val="left" w:pos="1134"/>
        </w:tabs>
        <w:spacing w:after="0" w:line="360" w:lineRule="auto"/>
        <w:ind w:firstLine="567"/>
        <w:contextualSpacing/>
        <w:jc w:val="both"/>
        <w:rPr>
          <w:rFonts w:ascii="Myriad Pro" w:eastAsia="Calibri" w:hAnsi="Myriad Pro" w:cs="Times New Roman"/>
          <w:b/>
          <w:sz w:val="26"/>
          <w:szCs w:val="26"/>
        </w:rPr>
      </w:pPr>
    </w:p>
    <w:p w14:paraId="42A70E39" w14:textId="77777777" w:rsidR="001B78A7" w:rsidRPr="00C04ABD" w:rsidRDefault="001B78A7" w:rsidP="00671D4C">
      <w:pPr>
        <w:tabs>
          <w:tab w:val="left" w:pos="1134"/>
        </w:tabs>
        <w:spacing w:after="0" w:line="360" w:lineRule="auto"/>
        <w:contextualSpacing/>
        <w:jc w:val="both"/>
        <w:rPr>
          <w:rFonts w:ascii="Myriad Pro" w:eastAsia="Calibri" w:hAnsi="Myriad Pro" w:cs="Times New Roman"/>
          <w:b/>
          <w:sz w:val="26"/>
          <w:szCs w:val="26"/>
        </w:rPr>
      </w:pPr>
      <w:r w:rsidRPr="00C04ABD">
        <w:rPr>
          <w:rFonts w:ascii="Myriad Pro" w:eastAsia="Calibri" w:hAnsi="Myriad Pro" w:cs="Times New Roman"/>
          <w:b/>
          <w:sz w:val="26"/>
          <w:szCs w:val="26"/>
        </w:rPr>
        <w:t>ПОЗИЦИЯ ИСПОЛНИТЕЛЯ</w:t>
      </w:r>
    </w:p>
    <w:p w14:paraId="179A1703" w14:textId="69B2C43C" w:rsidR="005535E2" w:rsidRPr="00C04ABD" w:rsidRDefault="005535E2" w:rsidP="00A31747">
      <w:pPr>
        <w:tabs>
          <w:tab w:val="left" w:pos="1134"/>
        </w:tabs>
        <w:autoSpaceDE w:val="0"/>
        <w:autoSpaceDN w:val="0"/>
        <w:adjustRightInd w:val="0"/>
        <w:spacing w:after="0" w:line="360" w:lineRule="auto"/>
        <w:ind w:firstLine="567"/>
        <w:jc w:val="both"/>
        <w:rPr>
          <w:rFonts w:ascii="Myriad Pro" w:eastAsia="Calibri" w:hAnsi="Myriad Pro" w:cs="Times New Roman"/>
          <w:sz w:val="26"/>
          <w:szCs w:val="26"/>
        </w:rPr>
      </w:pPr>
      <w:r w:rsidRPr="00C04ABD">
        <w:rPr>
          <w:rFonts w:ascii="Myriad Pro" w:eastAsia="Calibri" w:hAnsi="Myriad Pro" w:cs="Times New Roman"/>
          <w:sz w:val="26"/>
          <w:szCs w:val="26"/>
        </w:rPr>
        <w:t>В состав расходов на услуги PR включены затраты на размещение информационных материалов, изготовлению буклетов, а также расходы на реализацию специальных проектов имиджевого характера. Со стороны регулирующего органа при планировании экономически обоснованного уровня расходов на 2019 год данные расходы не учитывались.</w:t>
      </w:r>
    </w:p>
    <w:p w14:paraId="0737DF07" w14:textId="306F4305" w:rsidR="001B78A7" w:rsidRPr="00C04ABD" w:rsidRDefault="005535E2"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Исполнитель считает необходимым согласиться с мнением регулирующего органа, основываясь на следующем. Включение заявленных расходов на услуги PR и услуг по подписке не предусмотрены действующими Основами ценообразования. Данные расходы направлены на формирование корпоративной</w:t>
      </w:r>
      <w:r w:rsidR="007550D1" w:rsidRPr="00C04ABD">
        <w:rPr>
          <w:rFonts w:ascii="Myriad Pro" w:eastAsia="Calibri" w:hAnsi="Myriad Pro" w:cs="Times New Roman"/>
          <w:sz w:val="26"/>
          <w:szCs w:val="26"/>
        </w:rPr>
        <w:t xml:space="preserve">, </w:t>
      </w:r>
      <w:r w:rsidRPr="00C04ABD">
        <w:rPr>
          <w:rFonts w:ascii="Myriad Pro" w:eastAsia="Calibri" w:hAnsi="Myriad Pro" w:cs="Times New Roman"/>
          <w:sz w:val="26"/>
          <w:szCs w:val="26"/>
        </w:rPr>
        <w:t xml:space="preserve">презентационной продукции, </w:t>
      </w:r>
      <w:r w:rsidR="007550D1" w:rsidRPr="00C04ABD">
        <w:rPr>
          <w:rFonts w:ascii="Myriad Pro" w:eastAsia="Calibri" w:hAnsi="Myriad Pro" w:cs="Times New Roman"/>
          <w:sz w:val="26"/>
          <w:szCs w:val="26"/>
        </w:rPr>
        <w:t>информационное обслуживание</w:t>
      </w:r>
      <w:r w:rsidRPr="00C04ABD">
        <w:rPr>
          <w:rFonts w:ascii="Myriad Pro" w:eastAsia="Calibri" w:hAnsi="Myriad Pro" w:cs="Times New Roman"/>
          <w:sz w:val="26"/>
          <w:szCs w:val="26"/>
        </w:rPr>
        <w:t xml:space="preserve"> и не имеют отношения к деятельности по передаче электрической энергии.</w:t>
      </w:r>
    </w:p>
    <w:p w14:paraId="376AD4C8" w14:textId="59339695" w:rsidR="007550D1" w:rsidRPr="00C04ABD" w:rsidRDefault="007550D1"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Исполнитель не может согласиться с Комитетом в части исключения расходов по обеспечению промышленной безопасности.</w:t>
      </w:r>
    </w:p>
    <w:p w14:paraId="42CF2C6B" w14:textId="773E1981" w:rsidR="005535E2" w:rsidRPr="00C04ABD" w:rsidRDefault="007550D1"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Экспертиза промышленной безопасности проводится в силу закона, в порядке, установленном федеральными </w:t>
      </w:r>
      <w:hyperlink r:id="rId34" w:anchor="dst100026" w:history="1">
        <w:r w:rsidRPr="00C04ABD">
          <w:rPr>
            <w:rFonts w:ascii="Myriad Pro" w:eastAsia="Calibri" w:hAnsi="Myriad Pro" w:cs="Times New Roman"/>
            <w:sz w:val="26"/>
            <w:szCs w:val="26"/>
          </w:rPr>
          <w:t>нормами и правилами</w:t>
        </w:r>
      </w:hyperlink>
      <w:r w:rsidRPr="00C04ABD">
        <w:rPr>
          <w:rFonts w:ascii="Myriad Pro" w:eastAsia="Calibri" w:hAnsi="Myriad Pro" w:cs="Times New Roman"/>
          <w:sz w:val="26"/>
          <w:szCs w:val="26"/>
        </w:rPr>
        <w:t> в области промышленной безопасности.</w:t>
      </w:r>
    </w:p>
    <w:p w14:paraId="65FEE9D3" w14:textId="2B6538D3" w:rsidR="007550D1" w:rsidRPr="00C04ABD" w:rsidRDefault="007550D1"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В соответствии со статьей 9.1. КоАП РФ</w:t>
      </w:r>
      <w:r w:rsidR="00486403">
        <w:rPr>
          <w:rFonts w:ascii="Myriad Pro" w:eastAsia="Calibri" w:hAnsi="Myriad Pro" w:cs="Times New Roman"/>
          <w:sz w:val="26"/>
          <w:szCs w:val="26"/>
        </w:rPr>
        <w:t xml:space="preserve"> </w:t>
      </w:r>
      <w:r w:rsidRPr="00C04ABD">
        <w:rPr>
          <w:rFonts w:ascii="Myriad Pro" w:eastAsia="Calibri" w:hAnsi="Myriad Pro" w:cs="Times New Roman"/>
          <w:sz w:val="26"/>
          <w:szCs w:val="26"/>
        </w:rPr>
        <w:t>нарушение </w:t>
      </w:r>
      <w:hyperlink r:id="rId35" w:anchor="dst100005" w:history="1">
        <w:r w:rsidRPr="00C04ABD">
          <w:rPr>
            <w:rFonts w:ascii="Myriad Pro" w:eastAsia="Calibri" w:hAnsi="Myriad Pro" w:cs="Times New Roman"/>
            <w:sz w:val="26"/>
            <w:szCs w:val="26"/>
          </w:rPr>
          <w:t>требований</w:t>
        </w:r>
      </w:hyperlink>
      <w:r w:rsidRPr="00C04ABD">
        <w:rPr>
          <w:rFonts w:ascii="Myriad Pro" w:eastAsia="Calibri" w:hAnsi="Myriad Pro" w:cs="Times New Roman"/>
          <w:sz w:val="26"/>
          <w:szCs w:val="26"/>
        </w:rPr>
        <w:t xml:space="preserve"> промышленной безопасности или условий лицензий на </w:t>
      </w:r>
      <w:r w:rsidRPr="00C04ABD">
        <w:rPr>
          <w:rFonts w:ascii="Myriad Pro" w:eastAsia="Calibri" w:hAnsi="Myriad Pro" w:cs="Times New Roman"/>
          <w:sz w:val="26"/>
          <w:szCs w:val="26"/>
        </w:rPr>
        <w:lastRenderedPageBreak/>
        <w:t>осуществление видов деятельности в области промышленной безопасности </w:t>
      </w:r>
      <w:hyperlink r:id="rId36" w:anchor="dst100156" w:history="1">
        <w:r w:rsidRPr="00C04ABD">
          <w:rPr>
            <w:rFonts w:ascii="Myriad Pro" w:eastAsia="Calibri" w:hAnsi="Myriad Pro" w:cs="Times New Roman"/>
            <w:sz w:val="26"/>
            <w:szCs w:val="26"/>
          </w:rPr>
          <w:t>опасных производственных объектов</w:t>
        </w:r>
      </w:hyperlink>
      <w:r w:rsidRPr="00C04ABD">
        <w:rPr>
          <w:rFonts w:ascii="Myriad Pro" w:eastAsia="Calibri" w:hAnsi="Myriad Pro" w:cs="Times New Roman"/>
          <w:sz w:val="26"/>
          <w:szCs w:val="26"/>
        </w:rPr>
        <w:t> </w:t>
      </w:r>
      <w:bookmarkStart w:id="41" w:name="dst2315"/>
      <w:bookmarkEnd w:id="41"/>
      <w:r w:rsidRPr="00C04ABD">
        <w:rPr>
          <w:rFonts w:ascii="Myriad Pro" w:eastAsia="Calibri" w:hAnsi="Myriad Pro" w:cs="Times New Roman"/>
          <w:sz w:val="26"/>
          <w:szCs w:val="26"/>
        </w:rPr>
        <w:t>влечет наложение административного штрафа на граждан в размере от двух тысяч до трех тысяч рублей; на должностных лиц - от двадцати тысяч до тридцати тысяч рублей или дисквалификацию на срок от шести месяцев до одного года; на юридических лиц - от двухсот тысяч до трехсот тысяч рублей или административное приостановление деятельности на срок до девяноста суток.</w:t>
      </w:r>
    </w:p>
    <w:p w14:paraId="0ECF2AE4" w14:textId="0D1DC9DD" w:rsidR="00D06853" w:rsidRPr="00C04ABD" w:rsidRDefault="00D06853"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Комитет необоснованно исключил из НВВ расходы по обеспечению промышленной безопасности.</w:t>
      </w:r>
    </w:p>
    <w:p w14:paraId="63545988" w14:textId="4AD5DD34" w:rsidR="00C65E73" w:rsidRPr="00C04ABD" w:rsidRDefault="00623A54"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Также Исполнитель не может согласиться с исключением прочих услуг в полном объеме. Экономически обоснованные, ежегодно проводимые расходы, документально подтвержденные бухгалтерскими документами и договорами</w:t>
      </w:r>
      <w:r w:rsidR="00D5027E" w:rsidRPr="00C04ABD">
        <w:rPr>
          <w:rFonts w:ascii="Myriad Pro" w:eastAsia="Calibri" w:hAnsi="Myriad Pro" w:cs="Times New Roman"/>
          <w:sz w:val="26"/>
          <w:szCs w:val="26"/>
        </w:rPr>
        <w:t>,</w:t>
      </w:r>
      <w:r w:rsidRPr="00C04ABD">
        <w:rPr>
          <w:rFonts w:ascii="Myriad Pro" w:eastAsia="Calibri" w:hAnsi="Myriad Pro" w:cs="Times New Roman"/>
          <w:sz w:val="26"/>
          <w:szCs w:val="26"/>
        </w:rPr>
        <w:t xml:space="preserve"> необходимо включить в НВВ при установлении базового уровня операционных расходов. </w:t>
      </w:r>
      <w:r w:rsidR="0032269E" w:rsidRPr="00C04ABD">
        <w:rPr>
          <w:rFonts w:ascii="Myriad Pro" w:eastAsia="Calibri" w:hAnsi="Myriad Pro" w:cs="Times New Roman"/>
          <w:sz w:val="26"/>
          <w:szCs w:val="26"/>
        </w:rPr>
        <w:t>По мнению Исполнителя</w:t>
      </w:r>
      <w:r w:rsidR="003216A1" w:rsidRPr="00C04ABD">
        <w:rPr>
          <w:rFonts w:ascii="Myriad Pro" w:eastAsia="Calibri" w:hAnsi="Myriad Pro" w:cs="Times New Roman"/>
          <w:sz w:val="26"/>
          <w:szCs w:val="26"/>
        </w:rPr>
        <w:t>,</w:t>
      </w:r>
      <w:r w:rsidR="0032269E" w:rsidRPr="00C04ABD">
        <w:rPr>
          <w:rFonts w:ascii="Myriad Pro" w:eastAsia="Calibri" w:hAnsi="Myriad Pro" w:cs="Times New Roman"/>
          <w:sz w:val="26"/>
          <w:szCs w:val="26"/>
        </w:rPr>
        <w:t xml:space="preserve"> </w:t>
      </w:r>
      <w:r w:rsidRPr="00C04ABD">
        <w:rPr>
          <w:rFonts w:ascii="Myriad Pro" w:eastAsia="Calibri" w:hAnsi="Myriad Pro" w:cs="Times New Roman"/>
          <w:sz w:val="26"/>
          <w:szCs w:val="26"/>
        </w:rPr>
        <w:t>экономически обоснованные расходы составили сумму 1 146,5 тыс. руб.</w:t>
      </w:r>
      <w:r w:rsidR="00C65E73" w:rsidRPr="00C04ABD">
        <w:rPr>
          <w:rFonts w:ascii="Myriad Pro" w:eastAsia="Calibri" w:hAnsi="Myriad Pro" w:cs="Times New Roman"/>
          <w:sz w:val="26"/>
          <w:szCs w:val="26"/>
        </w:rPr>
        <w:t>, что выше на 1</w:t>
      </w:r>
      <w:r w:rsidR="00D72938" w:rsidRPr="00C04ABD">
        <w:rPr>
          <w:rFonts w:ascii="Myriad Pro" w:eastAsia="Calibri" w:hAnsi="Myriad Pro" w:cs="Times New Roman"/>
          <w:sz w:val="26"/>
          <w:szCs w:val="26"/>
        </w:rPr>
        <w:t xml:space="preserve"> 1</w:t>
      </w:r>
      <w:r w:rsidR="00C65E73" w:rsidRPr="00C04ABD">
        <w:rPr>
          <w:rFonts w:ascii="Myriad Pro" w:eastAsia="Calibri" w:hAnsi="Myriad Pro" w:cs="Times New Roman"/>
          <w:sz w:val="26"/>
          <w:szCs w:val="26"/>
        </w:rPr>
        <w:t>46,5 тыс. руб. учтенных Комитетом и ниже на 6</w:t>
      </w:r>
      <w:r w:rsidR="00D5027E" w:rsidRPr="00C04ABD">
        <w:rPr>
          <w:rFonts w:ascii="Myriad Pro" w:eastAsia="Calibri" w:hAnsi="Myriad Pro" w:cs="Times New Roman"/>
          <w:sz w:val="26"/>
          <w:szCs w:val="26"/>
        </w:rPr>
        <w:t> </w:t>
      </w:r>
      <w:r w:rsidR="00C65E73" w:rsidRPr="00C04ABD">
        <w:rPr>
          <w:rFonts w:ascii="Myriad Pro" w:eastAsia="Calibri" w:hAnsi="Myriad Pro" w:cs="Times New Roman"/>
          <w:sz w:val="26"/>
          <w:szCs w:val="26"/>
        </w:rPr>
        <w:t>309,53 тыс. руб. заявленных Филиалом.</w:t>
      </w:r>
    </w:p>
    <w:p w14:paraId="752012DD" w14:textId="1E7EB6D9" w:rsidR="005D3470" w:rsidRPr="00C04ABD" w:rsidRDefault="005D3470"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Расходы на НИОКР Филиалом заявлены в размере 2</w:t>
      </w:r>
      <w:r w:rsidR="00D5027E" w:rsidRPr="00C04ABD">
        <w:rPr>
          <w:rFonts w:ascii="Myriad Pro" w:eastAsia="Calibri" w:hAnsi="Myriad Pro" w:cs="Times New Roman"/>
          <w:sz w:val="26"/>
          <w:szCs w:val="26"/>
        </w:rPr>
        <w:t> </w:t>
      </w:r>
      <w:r w:rsidRPr="00C04ABD">
        <w:rPr>
          <w:rFonts w:ascii="Myriad Pro" w:eastAsia="Calibri" w:hAnsi="Myriad Pro" w:cs="Times New Roman"/>
          <w:sz w:val="26"/>
          <w:szCs w:val="26"/>
        </w:rPr>
        <w:t>454,9 тыс. руб., что выше на 309% фактических расходов за 2017 г. в размере 794,3 тыс. руб. В обоснование приложен договор № 339/1336/17 от 01.09.2017</w:t>
      </w:r>
      <w:r w:rsidR="003A222B" w:rsidRPr="00C04ABD">
        <w:rPr>
          <w:rFonts w:ascii="Myriad Pro" w:eastAsia="Calibri" w:hAnsi="Myriad Pro" w:cs="Times New Roman"/>
          <w:sz w:val="26"/>
          <w:szCs w:val="26"/>
        </w:rPr>
        <w:t>, со сроком окончания работ – декабрь 2017. Други</w:t>
      </w:r>
      <w:r w:rsidR="00D5027E" w:rsidRPr="00C04ABD">
        <w:rPr>
          <w:rFonts w:ascii="Myriad Pro" w:eastAsia="Calibri" w:hAnsi="Myriad Pro" w:cs="Times New Roman"/>
          <w:sz w:val="26"/>
          <w:szCs w:val="26"/>
        </w:rPr>
        <w:t>е</w:t>
      </w:r>
      <w:r w:rsidR="003A222B" w:rsidRPr="00C04ABD">
        <w:rPr>
          <w:rFonts w:ascii="Myriad Pro" w:eastAsia="Calibri" w:hAnsi="Myriad Pro" w:cs="Times New Roman"/>
          <w:sz w:val="26"/>
          <w:szCs w:val="26"/>
        </w:rPr>
        <w:t xml:space="preserve"> договор</w:t>
      </w:r>
      <w:r w:rsidR="00D5027E" w:rsidRPr="00C04ABD">
        <w:rPr>
          <w:rFonts w:ascii="Myriad Pro" w:eastAsia="Calibri" w:hAnsi="Myriad Pro" w:cs="Times New Roman"/>
          <w:sz w:val="26"/>
          <w:szCs w:val="26"/>
        </w:rPr>
        <w:t>ы</w:t>
      </w:r>
      <w:r w:rsidR="003A222B" w:rsidRPr="00C04ABD">
        <w:rPr>
          <w:rFonts w:ascii="Myriad Pro" w:eastAsia="Calibri" w:hAnsi="Myriad Pro" w:cs="Times New Roman"/>
          <w:sz w:val="26"/>
          <w:szCs w:val="26"/>
        </w:rPr>
        <w:t xml:space="preserve"> Филиалом не приложены, обоснования расходов на 2019 год в размере 2</w:t>
      </w:r>
      <w:r w:rsidR="00D5027E" w:rsidRPr="00C04ABD">
        <w:rPr>
          <w:rFonts w:ascii="Myriad Pro" w:eastAsia="Calibri" w:hAnsi="Myriad Pro" w:cs="Times New Roman"/>
          <w:sz w:val="26"/>
          <w:szCs w:val="26"/>
        </w:rPr>
        <w:t> </w:t>
      </w:r>
      <w:r w:rsidR="003A222B" w:rsidRPr="00C04ABD">
        <w:rPr>
          <w:rFonts w:ascii="Myriad Pro" w:eastAsia="Calibri" w:hAnsi="Myriad Pro" w:cs="Times New Roman"/>
          <w:sz w:val="26"/>
          <w:szCs w:val="26"/>
        </w:rPr>
        <w:t>454,9 тыс. руб. отсутствуют</w:t>
      </w:r>
      <w:r w:rsidR="00D5027E" w:rsidRPr="00C04ABD">
        <w:rPr>
          <w:rFonts w:ascii="Myriad Pro" w:eastAsia="Calibri" w:hAnsi="Myriad Pro" w:cs="Times New Roman"/>
          <w:sz w:val="26"/>
          <w:szCs w:val="26"/>
        </w:rPr>
        <w:t>.</w:t>
      </w:r>
      <w:r w:rsidR="003A222B" w:rsidRPr="00C04ABD">
        <w:rPr>
          <w:rFonts w:ascii="Myriad Pro" w:eastAsia="Calibri" w:hAnsi="Myriad Pro" w:cs="Times New Roman"/>
          <w:sz w:val="26"/>
          <w:szCs w:val="26"/>
        </w:rPr>
        <w:t xml:space="preserve"> Расчет экономической эффективности расходов на НИОКР отсутствует.</w:t>
      </w:r>
    </w:p>
    <w:p w14:paraId="46176951" w14:textId="7996FD41" w:rsidR="003A222B" w:rsidRPr="00C04ABD" w:rsidRDefault="003A222B"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 xml:space="preserve">Для подтверждения обоснованности заявленных расходов филиалу </w:t>
      </w:r>
      <w:r w:rsidR="00655FFA" w:rsidRPr="00C04ABD">
        <w:rPr>
          <w:rFonts w:ascii="Myriad Pro" w:eastAsia="Calibri" w:hAnsi="Myriad Pro" w:cs="Times New Roman"/>
          <w:sz w:val="26"/>
          <w:szCs w:val="26"/>
        </w:rPr>
        <w:t>ПАО</w:t>
      </w:r>
      <w:r w:rsidR="00996030" w:rsidRPr="00C04ABD">
        <w:rPr>
          <w:rFonts w:ascii="Myriad Pro" w:eastAsia="Calibri" w:hAnsi="Myriad Pro" w:cs="Times New Roman"/>
          <w:sz w:val="26"/>
          <w:szCs w:val="26"/>
        </w:rPr>
        <w:t> </w:t>
      </w:r>
      <w:r w:rsidR="00655FFA" w:rsidRPr="00C04ABD">
        <w:rPr>
          <w:rFonts w:ascii="Myriad Pro" w:eastAsia="Calibri" w:hAnsi="Myriad Pro" w:cs="Times New Roman"/>
          <w:sz w:val="26"/>
          <w:szCs w:val="26"/>
        </w:rPr>
        <w:t xml:space="preserve">«МРСК </w:t>
      </w:r>
      <w:r w:rsidRPr="00C04ABD">
        <w:rPr>
          <w:rFonts w:ascii="Myriad Pro" w:eastAsia="Calibri" w:hAnsi="Myriad Pro" w:cs="Times New Roman"/>
          <w:sz w:val="26"/>
          <w:szCs w:val="26"/>
        </w:rPr>
        <w:t>Северо-Запада</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 xml:space="preserve"> </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Колэнерго</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 xml:space="preserve"> Исполнитель рекомендует в составе тарифной представлять:</w:t>
      </w:r>
    </w:p>
    <w:p w14:paraId="0B302185" w14:textId="49AAD2F9" w:rsidR="003A222B" w:rsidRPr="00C04ABD" w:rsidRDefault="00EB0CCB" w:rsidP="009B0BC1">
      <w:pPr>
        <w:pStyle w:val="a4"/>
        <w:numPr>
          <w:ilvl w:val="0"/>
          <w:numId w:val="52"/>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д</w:t>
      </w:r>
      <w:r w:rsidR="003A222B" w:rsidRPr="00C04ABD">
        <w:rPr>
          <w:rFonts w:ascii="Myriad Pro" w:hAnsi="Myriad Pro"/>
          <w:sz w:val="26"/>
          <w:szCs w:val="26"/>
        </w:rPr>
        <w:t>окументы, подтверждающие продление сроков действия существующих договоров или проекты новых договоров на предстоящий период регулирования;</w:t>
      </w:r>
    </w:p>
    <w:p w14:paraId="50829DAB" w14:textId="14DB6D41" w:rsidR="003A222B" w:rsidRPr="00C04ABD" w:rsidRDefault="00EB0CCB" w:rsidP="009B0BC1">
      <w:pPr>
        <w:pStyle w:val="a4"/>
        <w:numPr>
          <w:ilvl w:val="0"/>
          <w:numId w:val="52"/>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п</w:t>
      </w:r>
      <w:r w:rsidR="003A222B" w:rsidRPr="00C04ABD">
        <w:rPr>
          <w:rFonts w:ascii="Myriad Pro" w:hAnsi="Myriad Pro"/>
          <w:sz w:val="26"/>
          <w:szCs w:val="26"/>
        </w:rPr>
        <w:t>ояснительную записку с отражением информации о том, каким образом научно – исследовательские работы будут применены в производственной деятельности по передаче электрической энергии;</w:t>
      </w:r>
    </w:p>
    <w:p w14:paraId="3DE7855C" w14:textId="2E1C84B8" w:rsidR="003A222B" w:rsidRPr="00C04ABD" w:rsidRDefault="00EB0CCB" w:rsidP="009B0BC1">
      <w:pPr>
        <w:pStyle w:val="a4"/>
        <w:numPr>
          <w:ilvl w:val="0"/>
          <w:numId w:val="52"/>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lastRenderedPageBreak/>
        <w:t>р</w:t>
      </w:r>
      <w:r w:rsidR="003A222B" w:rsidRPr="00C04ABD">
        <w:rPr>
          <w:rFonts w:ascii="Myriad Pro" w:hAnsi="Myriad Pro"/>
          <w:sz w:val="26"/>
          <w:szCs w:val="26"/>
        </w:rPr>
        <w:t>езультаты научно – исследовательских разработок за предшествующие периоды;</w:t>
      </w:r>
    </w:p>
    <w:p w14:paraId="23EE532D" w14:textId="2DC21EBF" w:rsidR="003A222B" w:rsidRPr="00C04ABD" w:rsidRDefault="00EB0CCB" w:rsidP="009B0BC1">
      <w:pPr>
        <w:pStyle w:val="a4"/>
        <w:numPr>
          <w:ilvl w:val="0"/>
          <w:numId w:val="52"/>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о</w:t>
      </w:r>
      <w:r w:rsidR="003A222B" w:rsidRPr="00C04ABD">
        <w:rPr>
          <w:rFonts w:ascii="Myriad Pro" w:hAnsi="Myriad Pro"/>
          <w:sz w:val="26"/>
          <w:szCs w:val="26"/>
        </w:rPr>
        <w:t>боснование стоимости расходов на НИОКР (коммерческие предложения, прайс-листы, счета, первичные документы бухгалтерского учета).</w:t>
      </w:r>
    </w:p>
    <w:tbl>
      <w:tblPr>
        <w:tblStyle w:val="afff6"/>
        <w:tblW w:w="5000" w:type="pct"/>
        <w:tblLook w:val="04A0" w:firstRow="1" w:lastRow="0" w:firstColumn="1" w:lastColumn="0" w:noHBand="0" w:noVBand="1"/>
      </w:tblPr>
      <w:tblGrid>
        <w:gridCol w:w="2101"/>
        <w:gridCol w:w="1801"/>
        <w:gridCol w:w="1153"/>
        <w:gridCol w:w="1405"/>
        <w:gridCol w:w="1443"/>
        <w:gridCol w:w="1441"/>
      </w:tblGrid>
      <w:tr w:rsidR="00EB0CCB" w:rsidRPr="00FB0A3A" w14:paraId="41F1F79D" w14:textId="77777777" w:rsidTr="009071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2548CFAC" w14:textId="77777777" w:rsidR="00EB0CCB" w:rsidRPr="00FB0A3A" w:rsidRDefault="00EB0CCB" w:rsidP="00671D4C">
            <w:pPr>
              <w:tabs>
                <w:tab w:val="left" w:pos="1134"/>
              </w:tabs>
              <w:jc w:val="center"/>
              <w:rPr>
                <w:rFonts w:eastAsia="Calibri" w:cs="Times New Roman"/>
                <w:szCs w:val="18"/>
              </w:rPr>
            </w:pPr>
            <w:r w:rsidRPr="00FB0A3A">
              <w:rPr>
                <w:rFonts w:eastAsia="Calibri" w:cs="Times New Roman"/>
                <w:szCs w:val="18"/>
              </w:rPr>
              <w:t> Наименование статьи</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7553C875" w14:textId="77777777" w:rsidR="00EB0CCB" w:rsidRPr="00FB0A3A" w:rsidRDefault="00EB0CCB" w:rsidP="00671D4C">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Заявлено Филиалом</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A3E1B94" w14:textId="77777777" w:rsidR="00EB0CCB" w:rsidRPr="00FB0A3A" w:rsidRDefault="00EB0CCB" w:rsidP="00671D4C">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Рассчитано Комитетом (ЭОУ)</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BB4C5F9" w14:textId="77777777" w:rsidR="00EB0CCB" w:rsidRPr="00FB0A3A" w:rsidRDefault="00EB0CCB" w:rsidP="00671D4C">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Рассчитано Исполнителем (ЭОУ)</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11BA6B1" w14:textId="77777777" w:rsidR="00EB0CCB" w:rsidRPr="00FB0A3A" w:rsidRDefault="00EB0CCB" w:rsidP="00671D4C">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Отклонение  между Исполнителем и Комитетом</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CD6A7D9" w14:textId="77777777" w:rsidR="00EB0CCB" w:rsidRPr="00FB0A3A" w:rsidRDefault="00EB0CCB" w:rsidP="00671D4C">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Отклонение  между Исполнителем и Филиалом</w:t>
            </w:r>
          </w:p>
        </w:tc>
      </w:tr>
      <w:tr w:rsidR="00EB0CCB" w:rsidRPr="00FB0A3A" w14:paraId="2C05420D" w14:textId="77777777" w:rsidTr="00907125">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tcBorders>
            <w:hideMark/>
          </w:tcPr>
          <w:p w14:paraId="7AB51C52" w14:textId="77777777" w:rsidR="00EB0CCB" w:rsidRPr="00FB0A3A" w:rsidRDefault="00EB0CCB" w:rsidP="00671D4C">
            <w:pPr>
              <w:tabs>
                <w:tab w:val="left" w:pos="1134"/>
              </w:tabs>
              <w:rPr>
                <w:rFonts w:eastAsia="Calibri" w:cs="Times New Roman"/>
                <w:szCs w:val="18"/>
              </w:rPr>
            </w:pPr>
            <w:r w:rsidRPr="00FB0A3A">
              <w:rPr>
                <w:rFonts w:eastAsia="Calibri" w:cs="Times New Roman"/>
                <w:szCs w:val="18"/>
              </w:rPr>
              <w:t>Оплата работ и услуг сторонних организаций</w:t>
            </w:r>
          </w:p>
        </w:tc>
        <w:tc>
          <w:tcPr>
            <w:tcW w:w="0" w:type="auto"/>
            <w:tcBorders>
              <w:top w:val="single" w:sz="4" w:space="0" w:color="FFFFFF" w:themeColor="background1"/>
            </w:tcBorders>
            <w:hideMark/>
          </w:tcPr>
          <w:p w14:paraId="110C7146" w14:textId="77777777" w:rsidR="00EB0CCB" w:rsidRPr="00FB0A3A" w:rsidRDefault="00EB0CCB" w:rsidP="00671D4C">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178 111,58</w:t>
            </w:r>
          </w:p>
        </w:tc>
        <w:tc>
          <w:tcPr>
            <w:tcW w:w="0" w:type="auto"/>
            <w:tcBorders>
              <w:top w:val="single" w:sz="4" w:space="0" w:color="FFFFFF" w:themeColor="background1"/>
            </w:tcBorders>
            <w:hideMark/>
          </w:tcPr>
          <w:p w14:paraId="25624B18" w14:textId="77777777" w:rsidR="00EB0CCB" w:rsidRPr="00FB0A3A" w:rsidRDefault="00EB0CCB" w:rsidP="00671D4C">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138 795,01</w:t>
            </w:r>
          </w:p>
        </w:tc>
        <w:tc>
          <w:tcPr>
            <w:tcW w:w="0" w:type="auto"/>
            <w:tcBorders>
              <w:top w:val="single" w:sz="4" w:space="0" w:color="FFFFFF" w:themeColor="background1"/>
            </w:tcBorders>
            <w:hideMark/>
          </w:tcPr>
          <w:p w14:paraId="46E7A831" w14:textId="77777777" w:rsidR="00EB0CCB" w:rsidRPr="00FB0A3A" w:rsidRDefault="00EB0CCB" w:rsidP="00671D4C">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149 173,83</w:t>
            </w:r>
          </w:p>
        </w:tc>
        <w:tc>
          <w:tcPr>
            <w:tcW w:w="0" w:type="auto"/>
            <w:tcBorders>
              <w:top w:val="single" w:sz="4" w:space="0" w:color="FFFFFF" w:themeColor="background1"/>
            </w:tcBorders>
            <w:hideMark/>
          </w:tcPr>
          <w:p w14:paraId="402C3CC9" w14:textId="77777777" w:rsidR="00EB0CCB" w:rsidRPr="00FB0A3A" w:rsidRDefault="00EB0CCB" w:rsidP="00671D4C">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10 378,82</w:t>
            </w:r>
          </w:p>
        </w:tc>
        <w:tc>
          <w:tcPr>
            <w:tcW w:w="0" w:type="auto"/>
            <w:tcBorders>
              <w:top w:val="single" w:sz="4" w:space="0" w:color="FFFFFF" w:themeColor="background1"/>
            </w:tcBorders>
            <w:hideMark/>
          </w:tcPr>
          <w:p w14:paraId="7C24D4D1" w14:textId="77777777" w:rsidR="00EB0CCB" w:rsidRPr="00FB0A3A" w:rsidRDefault="00EB0CCB" w:rsidP="00671D4C">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-28 937,75</w:t>
            </w:r>
          </w:p>
        </w:tc>
      </w:tr>
      <w:tr w:rsidR="00EB0CCB" w:rsidRPr="00FB0A3A" w14:paraId="5C2025E0" w14:textId="77777777" w:rsidTr="00671D4C">
        <w:tc>
          <w:tcPr>
            <w:cnfStyle w:val="001000000000" w:firstRow="0" w:lastRow="0" w:firstColumn="1" w:lastColumn="0" w:oddVBand="0" w:evenVBand="0" w:oddHBand="0" w:evenHBand="0" w:firstRowFirstColumn="0" w:firstRowLastColumn="0" w:lastRowFirstColumn="0" w:lastRowLastColumn="0"/>
            <w:tcW w:w="0" w:type="auto"/>
            <w:hideMark/>
          </w:tcPr>
          <w:p w14:paraId="60C3A465" w14:textId="77777777" w:rsidR="00EB0CCB" w:rsidRPr="00FB0A3A" w:rsidRDefault="00EB0CCB" w:rsidP="00671D4C">
            <w:pPr>
              <w:tabs>
                <w:tab w:val="left" w:pos="1134"/>
              </w:tabs>
              <w:ind w:left="164"/>
              <w:rPr>
                <w:rFonts w:eastAsia="Calibri" w:cs="Times New Roman"/>
                <w:szCs w:val="18"/>
              </w:rPr>
            </w:pPr>
            <w:r w:rsidRPr="00FB0A3A">
              <w:rPr>
                <w:rFonts w:eastAsia="Calibri" w:cs="Times New Roman"/>
                <w:szCs w:val="18"/>
              </w:rPr>
              <w:t>услуги связи</w:t>
            </w:r>
          </w:p>
        </w:tc>
        <w:tc>
          <w:tcPr>
            <w:tcW w:w="0" w:type="auto"/>
            <w:hideMark/>
          </w:tcPr>
          <w:p w14:paraId="4C868EF5" w14:textId="77777777" w:rsidR="00EB0CCB" w:rsidRPr="00FB0A3A" w:rsidRDefault="00EB0CCB" w:rsidP="00671D4C">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20 480,54</w:t>
            </w:r>
          </w:p>
        </w:tc>
        <w:tc>
          <w:tcPr>
            <w:tcW w:w="0" w:type="auto"/>
            <w:hideMark/>
          </w:tcPr>
          <w:p w14:paraId="612725CB" w14:textId="77777777" w:rsidR="00EB0CCB" w:rsidRPr="00FB0A3A" w:rsidRDefault="00EB0CCB" w:rsidP="00671D4C">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17 799,82</w:t>
            </w:r>
          </w:p>
        </w:tc>
        <w:tc>
          <w:tcPr>
            <w:tcW w:w="0" w:type="auto"/>
            <w:hideMark/>
          </w:tcPr>
          <w:p w14:paraId="35E1BFF4" w14:textId="77777777" w:rsidR="00EB0CCB" w:rsidRPr="00FB0A3A" w:rsidRDefault="00EB0CCB" w:rsidP="00671D4C">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17 997,91</w:t>
            </w:r>
          </w:p>
        </w:tc>
        <w:tc>
          <w:tcPr>
            <w:tcW w:w="0" w:type="auto"/>
            <w:hideMark/>
          </w:tcPr>
          <w:p w14:paraId="308DBA00" w14:textId="77777777" w:rsidR="00EB0CCB" w:rsidRPr="00FB0A3A" w:rsidRDefault="00EB0CCB" w:rsidP="00671D4C">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198,09</w:t>
            </w:r>
          </w:p>
        </w:tc>
        <w:tc>
          <w:tcPr>
            <w:tcW w:w="0" w:type="auto"/>
            <w:hideMark/>
          </w:tcPr>
          <w:p w14:paraId="48255AFB" w14:textId="77777777" w:rsidR="00EB0CCB" w:rsidRPr="00FB0A3A" w:rsidRDefault="00EB0CCB" w:rsidP="00671D4C">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-2 482,63</w:t>
            </w:r>
          </w:p>
        </w:tc>
      </w:tr>
      <w:tr w:rsidR="00EB0CCB" w:rsidRPr="00FB0A3A" w14:paraId="7DAA0620" w14:textId="77777777" w:rsidTr="00671D4C">
        <w:tc>
          <w:tcPr>
            <w:cnfStyle w:val="001000000000" w:firstRow="0" w:lastRow="0" w:firstColumn="1" w:lastColumn="0" w:oddVBand="0" w:evenVBand="0" w:oddHBand="0" w:evenHBand="0" w:firstRowFirstColumn="0" w:firstRowLastColumn="0" w:lastRowFirstColumn="0" w:lastRowLastColumn="0"/>
            <w:tcW w:w="0" w:type="auto"/>
            <w:hideMark/>
          </w:tcPr>
          <w:p w14:paraId="5859E248" w14:textId="77777777" w:rsidR="00EB0CCB" w:rsidRPr="00FB0A3A" w:rsidRDefault="00EB0CCB" w:rsidP="00671D4C">
            <w:pPr>
              <w:tabs>
                <w:tab w:val="left" w:pos="1134"/>
              </w:tabs>
              <w:ind w:left="164"/>
              <w:rPr>
                <w:rFonts w:eastAsia="Calibri" w:cs="Times New Roman"/>
                <w:szCs w:val="18"/>
              </w:rPr>
            </w:pPr>
            <w:r w:rsidRPr="00FB0A3A">
              <w:rPr>
                <w:rFonts w:eastAsia="Calibri" w:cs="Times New Roman"/>
                <w:szCs w:val="18"/>
              </w:rPr>
              <w:t>расходы на услуги вневедомственной охраны и коммунального хозяйства</w:t>
            </w:r>
          </w:p>
        </w:tc>
        <w:tc>
          <w:tcPr>
            <w:tcW w:w="0" w:type="auto"/>
            <w:hideMark/>
          </w:tcPr>
          <w:p w14:paraId="0B4AD12E" w14:textId="77777777" w:rsidR="00EB0CCB" w:rsidRPr="00FB0A3A" w:rsidRDefault="00EB0CCB" w:rsidP="00671D4C">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48 492,64</w:t>
            </w:r>
          </w:p>
        </w:tc>
        <w:tc>
          <w:tcPr>
            <w:tcW w:w="0" w:type="auto"/>
            <w:hideMark/>
          </w:tcPr>
          <w:p w14:paraId="50479033" w14:textId="77777777" w:rsidR="00EB0CCB" w:rsidRPr="00FB0A3A" w:rsidRDefault="00EB0CCB" w:rsidP="00671D4C">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39 904,44</w:t>
            </w:r>
          </w:p>
        </w:tc>
        <w:tc>
          <w:tcPr>
            <w:tcW w:w="0" w:type="auto"/>
            <w:hideMark/>
          </w:tcPr>
          <w:p w14:paraId="6473E119" w14:textId="77777777" w:rsidR="00EB0CCB" w:rsidRPr="00FB0A3A" w:rsidRDefault="00EB0CCB" w:rsidP="00671D4C">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48 492,64</w:t>
            </w:r>
          </w:p>
        </w:tc>
        <w:tc>
          <w:tcPr>
            <w:tcW w:w="0" w:type="auto"/>
            <w:hideMark/>
          </w:tcPr>
          <w:p w14:paraId="4C8F5D7D" w14:textId="77777777" w:rsidR="00EB0CCB" w:rsidRPr="00FB0A3A" w:rsidRDefault="00EB0CCB" w:rsidP="00671D4C">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8 588,20</w:t>
            </w:r>
          </w:p>
        </w:tc>
        <w:tc>
          <w:tcPr>
            <w:tcW w:w="0" w:type="auto"/>
            <w:hideMark/>
          </w:tcPr>
          <w:p w14:paraId="33026358" w14:textId="77777777" w:rsidR="00EB0CCB" w:rsidRPr="00FB0A3A" w:rsidRDefault="00EB0CCB" w:rsidP="00671D4C">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0,00</w:t>
            </w:r>
          </w:p>
        </w:tc>
      </w:tr>
      <w:tr w:rsidR="00EB0CCB" w:rsidRPr="00FB0A3A" w14:paraId="4E022F34" w14:textId="77777777" w:rsidTr="00671D4C">
        <w:tc>
          <w:tcPr>
            <w:cnfStyle w:val="001000000000" w:firstRow="0" w:lastRow="0" w:firstColumn="1" w:lastColumn="0" w:oddVBand="0" w:evenVBand="0" w:oddHBand="0" w:evenHBand="0" w:firstRowFirstColumn="0" w:firstRowLastColumn="0" w:lastRowFirstColumn="0" w:lastRowLastColumn="0"/>
            <w:tcW w:w="0" w:type="auto"/>
            <w:hideMark/>
          </w:tcPr>
          <w:p w14:paraId="7EB9EDAF" w14:textId="77777777" w:rsidR="00EB0CCB" w:rsidRPr="00FB0A3A" w:rsidRDefault="00EB0CCB" w:rsidP="00671D4C">
            <w:pPr>
              <w:tabs>
                <w:tab w:val="left" w:pos="1134"/>
              </w:tabs>
              <w:ind w:left="164"/>
              <w:rPr>
                <w:rFonts w:eastAsia="Calibri" w:cs="Times New Roman"/>
                <w:szCs w:val="18"/>
              </w:rPr>
            </w:pPr>
            <w:r w:rsidRPr="00FB0A3A">
              <w:rPr>
                <w:rFonts w:eastAsia="Calibri" w:cs="Times New Roman"/>
                <w:szCs w:val="18"/>
              </w:rPr>
              <w:t>расходы на юридические и информационные услуги</w:t>
            </w:r>
          </w:p>
        </w:tc>
        <w:tc>
          <w:tcPr>
            <w:tcW w:w="0" w:type="auto"/>
            <w:hideMark/>
          </w:tcPr>
          <w:p w14:paraId="3DE060B7" w14:textId="77777777" w:rsidR="00EB0CCB" w:rsidRPr="00FB0A3A" w:rsidRDefault="00EB0CCB" w:rsidP="00671D4C">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37 670,90</w:t>
            </w:r>
          </w:p>
        </w:tc>
        <w:tc>
          <w:tcPr>
            <w:tcW w:w="0" w:type="auto"/>
            <w:hideMark/>
          </w:tcPr>
          <w:p w14:paraId="63EB15FC" w14:textId="77777777" w:rsidR="00EB0CCB" w:rsidRPr="00FB0A3A" w:rsidRDefault="00EB0CCB" w:rsidP="00671D4C">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23 860,45</w:t>
            </w:r>
          </w:p>
        </w:tc>
        <w:tc>
          <w:tcPr>
            <w:tcW w:w="0" w:type="auto"/>
            <w:hideMark/>
          </w:tcPr>
          <w:p w14:paraId="4CB745A7" w14:textId="77777777" w:rsidR="00EB0CCB" w:rsidRPr="00FB0A3A" w:rsidRDefault="00EB0CCB" w:rsidP="00671D4C">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23 860,45</w:t>
            </w:r>
          </w:p>
        </w:tc>
        <w:tc>
          <w:tcPr>
            <w:tcW w:w="0" w:type="auto"/>
            <w:hideMark/>
          </w:tcPr>
          <w:p w14:paraId="2DF80118" w14:textId="77777777" w:rsidR="00EB0CCB" w:rsidRPr="00FB0A3A" w:rsidRDefault="00EB0CCB" w:rsidP="00671D4C">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0,00</w:t>
            </w:r>
          </w:p>
        </w:tc>
        <w:tc>
          <w:tcPr>
            <w:tcW w:w="0" w:type="auto"/>
            <w:hideMark/>
          </w:tcPr>
          <w:p w14:paraId="1E4EBF00" w14:textId="77777777" w:rsidR="00EB0CCB" w:rsidRPr="00FB0A3A" w:rsidRDefault="00EB0CCB" w:rsidP="00671D4C">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-13 810,45</w:t>
            </w:r>
          </w:p>
        </w:tc>
      </w:tr>
      <w:tr w:rsidR="00EB0CCB" w:rsidRPr="00FB0A3A" w14:paraId="631F9E55" w14:textId="77777777" w:rsidTr="00671D4C">
        <w:tc>
          <w:tcPr>
            <w:cnfStyle w:val="001000000000" w:firstRow="0" w:lastRow="0" w:firstColumn="1" w:lastColumn="0" w:oddVBand="0" w:evenVBand="0" w:oddHBand="0" w:evenHBand="0" w:firstRowFirstColumn="0" w:firstRowLastColumn="0" w:lastRowFirstColumn="0" w:lastRowLastColumn="0"/>
            <w:tcW w:w="0" w:type="auto"/>
            <w:hideMark/>
          </w:tcPr>
          <w:p w14:paraId="44D9AD51" w14:textId="77777777" w:rsidR="00EB0CCB" w:rsidRPr="00FB0A3A" w:rsidRDefault="00EB0CCB" w:rsidP="00671D4C">
            <w:pPr>
              <w:tabs>
                <w:tab w:val="left" w:pos="1134"/>
              </w:tabs>
              <w:ind w:left="164"/>
              <w:rPr>
                <w:rFonts w:eastAsia="Calibri" w:cs="Times New Roman"/>
                <w:szCs w:val="18"/>
              </w:rPr>
            </w:pPr>
            <w:r w:rsidRPr="00FB0A3A">
              <w:rPr>
                <w:rFonts w:eastAsia="Calibri" w:cs="Times New Roman"/>
                <w:szCs w:val="18"/>
              </w:rPr>
              <w:t>расходы на аудиторские и консультационные услуги</w:t>
            </w:r>
          </w:p>
        </w:tc>
        <w:tc>
          <w:tcPr>
            <w:tcW w:w="0" w:type="auto"/>
            <w:hideMark/>
          </w:tcPr>
          <w:p w14:paraId="6DDAC494" w14:textId="77777777" w:rsidR="00EB0CCB" w:rsidRPr="00FB0A3A" w:rsidRDefault="00EB0CCB" w:rsidP="00671D4C">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475,49</w:t>
            </w:r>
          </w:p>
        </w:tc>
        <w:tc>
          <w:tcPr>
            <w:tcW w:w="0" w:type="auto"/>
            <w:hideMark/>
          </w:tcPr>
          <w:p w14:paraId="7CB45EE4" w14:textId="77777777" w:rsidR="00EB0CCB" w:rsidRPr="00FB0A3A" w:rsidRDefault="00EB0CCB" w:rsidP="00671D4C">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435,23</w:t>
            </w:r>
          </w:p>
        </w:tc>
        <w:tc>
          <w:tcPr>
            <w:tcW w:w="0" w:type="auto"/>
            <w:hideMark/>
          </w:tcPr>
          <w:p w14:paraId="2EA95E38" w14:textId="77777777" w:rsidR="00EB0CCB" w:rsidRPr="00FB0A3A" w:rsidRDefault="00EB0CCB" w:rsidP="00671D4C">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435,23</w:t>
            </w:r>
          </w:p>
        </w:tc>
        <w:tc>
          <w:tcPr>
            <w:tcW w:w="0" w:type="auto"/>
            <w:hideMark/>
          </w:tcPr>
          <w:p w14:paraId="32905AE5" w14:textId="77777777" w:rsidR="00EB0CCB" w:rsidRPr="00FB0A3A" w:rsidRDefault="00EB0CCB" w:rsidP="00671D4C">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0,00</w:t>
            </w:r>
          </w:p>
        </w:tc>
        <w:tc>
          <w:tcPr>
            <w:tcW w:w="0" w:type="auto"/>
            <w:hideMark/>
          </w:tcPr>
          <w:p w14:paraId="66FBC0C8" w14:textId="77777777" w:rsidR="00EB0CCB" w:rsidRPr="00FB0A3A" w:rsidRDefault="00EB0CCB" w:rsidP="00671D4C">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-40,26</w:t>
            </w:r>
          </w:p>
        </w:tc>
      </w:tr>
      <w:tr w:rsidR="00EB0CCB" w:rsidRPr="00FB0A3A" w14:paraId="23E91CAD" w14:textId="77777777" w:rsidTr="00671D4C">
        <w:tc>
          <w:tcPr>
            <w:cnfStyle w:val="001000000000" w:firstRow="0" w:lastRow="0" w:firstColumn="1" w:lastColumn="0" w:oddVBand="0" w:evenVBand="0" w:oddHBand="0" w:evenHBand="0" w:firstRowFirstColumn="0" w:firstRowLastColumn="0" w:lastRowFirstColumn="0" w:lastRowLastColumn="0"/>
            <w:tcW w:w="0" w:type="auto"/>
            <w:hideMark/>
          </w:tcPr>
          <w:p w14:paraId="4F0A0F60" w14:textId="77777777" w:rsidR="00EB0CCB" w:rsidRPr="00FB0A3A" w:rsidRDefault="00EB0CCB" w:rsidP="00671D4C">
            <w:pPr>
              <w:tabs>
                <w:tab w:val="left" w:pos="1134"/>
              </w:tabs>
              <w:ind w:left="164"/>
              <w:rPr>
                <w:rFonts w:eastAsia="Calibri" w:cs="Times New Roman"/>
                <w:szCs w:val="18"/>
              </w:rPr>
            </w:pPr>
            <w:r w:rsidRPr="00FB0A3A">
              <w:rPr>
                <w:rFonts w:eastAsia="Calibri" w:cs="Times New Roman"/>
                <w:szCs w:val="18"/>
              </w:rPr>
              <w:t>транспортные услуги</w:t>
            </w:r>
          </w:p>
        </w:tc>
        <w:tc>
          <w:tcPr>
            <w:tcW w:w="0" w:type="auto"/>
            <w:hideMark/>
          </w:tcPr>
          <w:p w14:paraId="4FFCB050" w14:textId="77777777" w:rsidR="00EB0CCB" w:rsidRPr="00FB0A3A" w:rsidRDefault="00EB0CCB" w:rsidP="00671D4C">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3 856,28</w:t>
            </w:r>
          </w:p>
        </w:tc>
        <w:tc>
          <w:tcPr>
            <w:tcW w:w="0" w:type="auto"/>
            <w:hideMark/>
          </w:tcPr>
          <w:p w14:paraId="2C04D01F" w14:textId="77777777" w:rsidR="00EB0CCB" w:rsidRPr="00FB0A3A" w:rsidRDefault="00EB0CCB" w:rsidP="00671D4C">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3 301,05</w:t>
            </w:r>
          </w:p>
        </w:tc>
        <w:tc>
          <w:tcPr>
            <w:tcW w:w="0" w:type="auto"/>
            <w:hideMark/>
          </w:tcPr>
          <w:p w14:paraId="4FB0EDAF" w14:textId="77777777" w:rsidR="00EB0CCB" w:rsidRPr="00FB0A3A" w:rsidRDefault="00EB0CCB" w:rsidP="00671D4C">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3 767,43</w:t>
            </w:r>
          </w:p>
        </w:tc>
        <w:tc>
          <w:tcPr>
            <w:tcW w:w="0" w:type="auto"/>
            <w:hideMark/>
          </w:tcPr>
          <w:p w14:paraId="519B23CC" w14:textId="77777777" w:rsidR="00EB0CCB" w:rsidRPr="00FB0A3A" w:rsidRDefault="00EB0CCB" w:rsidP="00671D4C">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466,38</w:t>
            </w:r>
          </w:p>
        </w:tc>
        <w:tc>
          <w:tcPr>
            <w:tcW w:w="0" w:type="auto"/>
            <w:hideMark/>
          </w:tcPr>
          <w:p w14:paraId="47B91F0D" w14:textId="77777777" w:rsidR="00EB0CCB" w:rsidRPr="00FB0A3A" w:rsidRDefault="00EB0CCB" w:rsidP="00671D4C">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-88,86</w:t>
            </w:r>
          </w:p>
        </w:tc>
      </w:tr>
      <w:tr w:rsidR="00EB0CCB" w:rsidRPr="00FB0A3A" w14:paraId="3C22CD6A" w14:textId="77777777" w:rsidTr="00671D4C">
        <w:tc>
          <w:tcPr>
            <w:cnfStyle w:val="001000000000" w:firstRow="0" w:lastRow="0" w:firstColumn="1" w:lastColumn="0" w:oddVBand="0" w:evenVBand="0" w:oddHBand="0" w:evenHBand="0" w:firstRowFirstColumn="0" w:firstRowLastColumn="0" w:lastRowFirstColumn="0" w:lastRowLastColumn="0"/>
            <w:tcW w:w="0" w:type="auto"/>
            <w:hideMark/>
          </w:tcPr>
          <w:p w14:paraId="40FDE25A" w14:textId="77777777" w:rsidR="00EB0CCB" w:rsidRPr="00FB0A3A" w:rsidRDefault="00EB0CCB" w:rsidP="00671D4C">
            <w:pPr>
              <w:tabs>
                <w:tab w:val="left" w:pos="1134"/>
              </w:tabs>
              <w:ind w:left="164"/>
              <w:rPr>
                <w:rFonts w:eastAsia="Calibri" w:cs="Times New Roman"/>
                <w:szCs w:val="18"/>
              </w:rPr>
            </w:pPr>
            <w:r w:rsidRPr="00FB0A3A">
              <w:rPr>
                <w:rFonts w:eastAsia="Calibri" w:cs="Times New Roman"/>
                <w:szCs w:val="18"/>
              </w:rPr>
              <w:t>прочие услуги сторонних организаций</w:t>
            </w:r>
          </w:p>
        </w:tc>
        <w:tc>
          <w:tcPr>
            <w:tcW w:w="0" w:type="auto"/>
            <w:hideMark/>
          </w:tcPr>
          <w:p w14:paraId="66E177CD" w14:textId="77777777" w:rsidR="00EB0CCB" w:rsidRPr="00FB0A3A" w:rsidRDefault="00EB0CCB" w:rsidP="00671D4C">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67 135,73</w:t>
            </w:r>
          </w:p>
        </w:tc>
        <w:tc>
          <w:tcPr>
            <w:tcW w:w="0" w:type="auto"/>
            <w:hideMark/>
          </w:tcPr>
          <w:p w14:paraId="72BDDCE5" w14:textId="77777777" w:rsidR="00EB0CCB" w:rsidRPr="00FB0A3A" w:rsidRDefault="00EB0CCB" w:rsidP="00671D4C">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53 494,02</w:t>
            </w:r>
          </w:p>
        </w:tc>
        <w:tc>
          <w:tcPr>
            <w:tcW w:w="0" w:type="auto"/>
            <w:hideMark/>
          </w:tcPr>
          <w:p w14:paraId="78D02CD5" w14:textId="77777777" w:rsidR="00EB0CCB" w:rsidRPr="00FB0A3A" w:rsidRDefault="00EB0CCB" w:rsidP="00671D4C">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54 620,18</w:t>
            </w:r>
          </w:p>
        </w:tc>
        <w:tc>
          <w:tcPr>
            <w:tcW w:w="0" w:type="auto"/>
            <w:hideMark/>
          </w:tcPr>
          <w:p w14:paraId="6554DA18" w14:textId="77777777" w:rsidR="00EB0CCB" w:rsidRPr="00FB0A3A" w:rsidRDefault="00EB0CCB" w:rsidP="00671D4C">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1 126,16</w:t>
            </w:r>
          </w:p>
        </w:tc>
        <w:tc>
          <w:tcPr>
            <w:tcW w:w="0" w:type="auto"/>
            <w:hideMark/>
          </w:tcPr>
          <w:p w14:paraId="033FA829" w14:textId="77777777" w:rsidR="00EB0CCB" w:rsidRPr="00FB0A3A" w:rsidRDefault="00EB0CCB" w:rsidP="00671D4C">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-12 515,55</w:t>
            </w:r>
          </w:p>
        </w:tc>
      </w:tr>
    </w:tbl>
    <w:p w14:paraId="66DD0C26" w14:textId="77777777" w:rsidR="00A251B9" w:rsidRPr="00FB0A3A" w:rsidRDefault="00A251B9" w:rsidP="00671D4C">
      <w:pPr>
        <w:pStyle w:val="afff7"/>
        <w:ind w:firstLine="0"/>
        <w:rPr>
          <w:b/>
          <w:i/>
        </w:rPr>
      </w:pPr>
      <w:r w:rsidRPr="00FB0A3A">
        <w:rPr>
          <w:b/>
          <w:i/>
        </w:rPr>
        <w:t>Командировочные расходы</w:t>
      </w:r>
    </w:p>
    <w:p w14:paraId="4927FA27" w14:textId="77777777" w:rsidR="00A251B9" w:rsidRPr="00FB0A3A" w:rsidRDefault="00A251B9" w:rsidP="00A31747">
      <w:pPr>
        <w:tabs>
          <w:tab w:val="left" w:pos="1134"/>
        </w:tabs>
        <w:spacing w:after="0" w:line="360" w:lineRule="auto"/>
        <w:ind w:firstLine="567"/>
        <w:jc w:val="both"/>
        <w:rPr>
          <w:rFonts w:ascii="Myriad Pro" w:eastAsia="Calibri" w:hAnsi="Myriad Pro" w:cs="Times New Roman"/>
          <w:sz w:val="26"/>
          <w:szCs w:val="26"/>
        </w:rPr>
      </w:pPr>
      <w:r w:rsidRPr="00FB0A3A">
        <w:rPr>
          <w:rFonts w:ascii="Myriad Pro" w:eastAsia="Calibri" w:hAnsi="Myriad Pro" w:cs="Times New Roman"/>
          <w:sz w:val="26"/>
          <w:szCs w:val="26"/>
        </w:rPr>
        <w:t xml:space="preserve">Согласно п. 12 Методических указаний №98-э при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другие подконтрольные расходы, не перечисленные в подпунктах 1-4 настоящего пункта. </w:t>
      </w:r>
    </w:p>
    <w:p w14:paraId="1DB476AC" w14:textId="50AB4A79" w:rsidR="00A251B9" w:rsidRPr="00FB0A3A" w:rsidRDefault="00A251B9" w:rsidP="00567D32">
      <w:pPr>
        <w:pStyle w:val="afff4"/>
        <w:rPr>
          <w:rFonts w:cs="Myriad Pro"/>
          <w:lang w:val="ru-RU"/>
        </w:rPr>
      </w:pPr>
      <w:r w:rsidRPr="00FB0A3A">
        <w:rPr>
          <w:lang w:val="ru-RU"/>
        </w:rPr>
        <w:t xml:space="preserve">В соответствии с подпунктом 6 пункта 28 Основ ценообразования №1178 в состав прочих расходов, которые учитываются при определении необходимой валовой выручки, включаются расходы </w:t>
      </w:r>
      <w:r w:rsidRPr="00FB0A3A">
        <w:rPr>
          <w:rFonts w:cs="Myriad Pro"/>
          <w:lang w:val="ru-RU"/>
        </w:rPr>
        <w:t>на служебные командировки, включая оформление виз и уплату сборов.</w:t>
      </w:r>
    </w:p>
    <w:tbl>
      <w:tblPr>
        <w:tblStyle w:val="afff6"/>
        <w:tblW w:w="5000" w:type="pct"/>
        <w:tblLayout w:type="fixed"/>
        <w:tblLook w:val="04A0" w:firstRow="1" w:lastRow="0" w:firstColumn="1" w:lastColumn="0" w:noHBand="0" w:noVBand="1"/>
      </w:tblPr>
      <w:tblGrid>
        <w:gridCol w:w="2390"/>
        <w:gridCol w:w="1397"/>
        <w:gridCol w:w="1573"/>
        <w:gridCol w:w="1093"/>
        <w:gridCol w:w="1808"/>
        <w:gridCol w:w="1083"/>
      </w:tblGrid>
      <w:tr w:rsidR="00A251B9" w:rsidRPr="00FB0A3A" w14:paraId="47E50C46" w14:textId="77777777" w:rsidTr="009071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6F967F5B" w14:textId="77777777" w:rsidR="00A251B9" w:rsidRPr="00FB0A3A" w:rsidRDefault="00A251B9" w:rsidP="00567D32">
            <w:pPr>
              <w:tabs>
                <w:tab w:val="left" w:pos="1134"/>
              </w:tabs>
              <w:jc w:val="center"/>
              <w:rPr>
                <w:rFonts w:eastAsia="Calibri" w:cs="Times New Roman"/>
                <w:sz w:val="20"/>
                <w:szCs w:val="20"/>
              </w:rPr>
            </w:pPr>
            <w:r w:rsidRPr="00FB0A3A">
              <w:rPr>
                <w:rFonts w:eastAsia="Calibri" w:cs="Times New Roman"/>
                <w:sz w:val="20"/>
                <w:szCs w:val="20"/>
              </w:rPr>
              <w:lastRenderedPageBreak/>
              <w:t> Наименование статьи</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7BA0A67D" w14:textId="77777777" w:rsidR="00A251B9" w:rsidRPr="00FB0A3A" w:rsidRDefault="00A251B9" w:rsidP="00567D32">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Факт за 2017, тыс. руб.</w:t>
            </w:r>
          </w:p>
        </w:tc>
        <w:tc>
          <w:tcPr>
            <w:tcW w:w="15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D2000EB" w14:textId="5EFD6964" w:rsidR="00A251B9" w:rsidRPr="00FB0A3A" w:rsidRDefault="00A251B9" w:rsidP="00567D32">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 xml:space="preserve">Заявлено филиалом ПАО </w:t>
            </w:r>
            <w:r w:rsidR="00655FFA" w:rsidRPr="00FB0A3A">
              <w:rPr>
                <w:rFonts w:eastAsia="Calibri" w:cs="Times New Roman"/>
                <w:sz w:val="20"/>
                <w:szCs w:val="20"/>
              </w:rPr>
              <w:t>«</w:t>
            </w:r>
            <w:r w:rsidRPr="00FB0A3A">
              <w:rPr>
                <w:rFonts w:eastAsia="Calibri" w:cs="Times New Roman"/>
                <w:sz w:val="20"/>
                <w:szCs w:val="20"/>
              </w:rPr>
              <w:t>МРСК Северо-Запада</w:t>
            </w:r>
            <w:r w:rsidR="00655FFA" w:rsidRPr="00FB0A3A">
              <w:rPr>
                <w:rFonts w:eastAsia="Calibri" w:cs="Times New Roman"/>
                <w:sz w:val="20"/>
                <w:szCs w:val="20"/>
              </w:rPr>
              <w:t>»</w:t>
            </w:r>
            <w:r w:rsidRPr="00FB0A3A">
              <w:rPr>
                <w:rFonts w:eastAsia="Calibri" w:cs="Times New Roman"/>
                <w:sz w:val="20"/>
                <w:szCs w:val="20"/>
              </w:rPr>
              <w:t xml:space="preserve"> </w:t>
            </w:r>
            <w:r w:rsidR="00655FFA" w:rsidRPr="00FB0A3A">
              <w:rPr>
                <w:rFonts w:eastAsia="Calibri" w:cs="Times New Roman"/>
                <w:sz w:val="20"/>
                <w:szCs w:val="20"/>
              </w:rPr>
              <w:t>«</w:t>
            </w:r>
            <w:r w:rsidRPr="00FB0A3A">
              <w:rPr>
                <w:rFonts w:eastAsia="Calibri" w:cs="Times New Roman"/>
                <w:sz w:val="20"/>
                <w:szCs w:val="20"/>
              </w:rPr>
              <w:t>Колэнерго</w:t>
            </w:r>
            <w:r w:rsidR="00655FFA" w:rsidRPr="00FB0A3A">
              <w:rPr>
                <w:rFonts w:eastAsia="Calibri" w:cs="Times New Roman"/>
                <w:sz w:val="20"/>
                <w:szCs w:val="20"/>
              </w:rPr>
              <w:t>»</w:t>
            </w:r>
            <w:r w:rsidRPr="00FB0A3A">
              <w:rPr>
                <w:rFonts w:eastAsia="Calibri" w:cs="Times New Roman"/>
                <w:sz w:val="20"/>
                <w:szCs w:val="20"/>
              </w:rPr>
              <w:t xml:space="preserve"> на 2019, тыс. руб.</w:t>
            </w:r>
          </w:p>
        </w:tc>
        <w:tc>
          <w:tcPr>
            <w:tcW w:w="11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FD02CC9" w14:textId="77777777" w:rsidR="00A251B9" w:rsidRPr="00FB0A3A" w:rsidRDefault="00A251B9" w:rsidP="00567D32">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ТБР на 2019, тыс. руб.</w:t>
            </w:r>
          </w:p>
        </w:tc>
        <w:tc>
          <w:tcPr>
            <w:tcW w:w="18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052E6B2" w14:textId="77777777" w:rsidR="00A251B9" w:rsidRPr="00FB0A3A" w:rsidRDefault="00A251B9" w:rsidP="00567D32">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Отклонение ТБР на 2019/ заявка на 2019, %</w:t>
            </w:r>
          </w:p>
        </w:tc>
        <w:tc>
          <w:tcPr>
            <w:tcW w:w="10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7692609" w14:textId="77777777" w:rsidR="00A251B9" w:rsidRPr="00FB0A3A" w:rsidRDefault="00A251B9" w:rsidP="00567D32">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ТБР на 2019 /факт за 2017, %</w:t>
            </w:r>
          </w:p>
        </w:tc>
      </w:tr>
      <w:tr w:rsidR="00A251B9" w:rsidRPr="00FB0A3A" w14:paraId="0588C62E" w14:textId="77777777" w:rsidTr="00907125">
        <w:tc>
          <w:tcPr>
            <w:cnfStyle w:val="001000000000" w:firstRow="0" w:lastRow="0" w:firstColumn="1" w:lastColumn="0" w:oddVBand="0" w:evenVBand="0" w:oddHBand="0" w:evenHBand="0" w:firstRowFirstColumn="0" w:firstRowLastColumn="0" w:lastRowFirstColumn="0" w:lastRowLastColumn="0"/>
            <w:tcW w:w="2429" w:type="dxa"/>
            <w:tcBorders>
              <w:top w:val="single" w:sz="4" w:space="0" w:color="FFFFFF" w:themeColor="background1"/>
            </w:tcBorders>
            <w:hideMark/>
          </w:tcPr>
          <w:p w14:paraId="52CDD6E9" w14:textId="77777777" w:rsidR="00A251B9" w:rsidRPr="00FB0A3A" w:rsidRDefault="00A251B9" w:rsidP="00567D32">
            <w:pPr>
              <w:tabs>
                <w:tab w:val="left" w:pos="1134"/>
              </w:tabs>
              <w:rPr>
                <w:rFonts w:eastAsia="Calibri" w:cs="Times New Roman"/>
                <w:sz w:val="20"/>
                <w:szCs w:val="20"/>
              </w:rPr>
            </w:pPr>
            <w:r w:rsidRPr="00FB0A3A">
              <w:rPr>
                <w:rFonts w:eastAsia="Calibri" w:cs="Times New Roman"/>
                <w:sz w:val="20"/>
                <w:szCs w:val="20"/>
              </w:rPr>
              <w:t>Командировочные расходы</w:t>
            </w:r>
          </w:p>
        </w:tc>
        <w:tc>
          <w:tcPr>
            <w:tcW w:w="1418" w:type="dxa"/>
            <w:tcBorders>
              <w:top w:val="single" w:sz="4" w:space="0" w:color="FFFFFF" w:themeColor="background1"/>
            </w:tcBorders>
            <w:hideMark/>
          </w:tcPr>
          <w:p w14:paraId="3DBA822F" w14:textId="77777777" w:rsidR="00A251B9" w:rsidRPr="00FB0A3A" w:rsidRDefault="00A251B9" w:rsidP="005E7952">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33 383,10</w:t>
            </w:r>
          </w:p>
        </w:tc>
        <w:tc>
          <w:tcPr>
            <w:tcW w:w="1597" w:type="dxa"/>
            <w:tcBorders>
              <w:top w:val="single" w:sz="4" w:space="0" w:color="FFFFFF" w:themeColor="background1"/>
            </w:tcBorders>
            <w:hideMark/>
          </w:tcPr>
          <w:p w14:paraId="3721213D" w14:textId="77777777" w:rsidR="00A251B9" w:rsidRPr="00FB0A3A" w:rsidRDefault="00A251B9" w:rsidP="005E7952">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47 157,30</w:t>
            </w:r>
          </w:p>
        </w:tc>
        <w:tc>
          <w:tcPr>
            <w:tcW w:w="1108" w:type="dxa"/>
            <w:tcBorders>
              <w:top w:val="single" w:sz="4" w:space="0" w:color="FFFFFF" w:themeColor="background1"/>
            </w:tcBorders>
            <w:hideMark/>
          </w:tcPr>
          <w:p w14:paraId="0D04E4AD" w14:textId="77777777" w:rsidR="00A251B9" w:rsidRPr="00FB0A3A" w:rsidRDefault="00A251B9" w:rsidP="005E7952">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30 523,54</w:t>
            </w:r>
          </w:p>
        </w:tc>
        <w:tc>
          <w:tcPr>
            <w:tcW w:w="1836" w:type="dxa"/>
            <w:tcBorders>
              <w:top w:val="single" w:sz="4" w:space="0" w:color="FFFFFF" w:themeColor="background1"/>
            </w:tcBorders>
            <w:hideMark/>
          </w:tcPr>
          <w:p w14:paraId="0FC56737" w14:textId="77777777" w:rsidR="00A251B9" w:rsidRPr="00FB0A3A" w:rsidRDefault="00A251B9" w:rsidP="005E7952">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-35,3</w:t>
            </w:r>
          </w:p>
        </w:tc>
        <w:tc>
          <w:tcPr>
            <w:tcW w:w="1098" w:type="dxa"/>
            <w:tcBorders>
              <w:top w:val="single" w:sz="4" w:space="0" w:color="FFFFFF" w:themeColor="background1"/>
            </w:tcBorders>
            <w:hideMark/>
          </w:tcPr>
          <w:p w14:paraId="23155C75" w14:textId="77777777" w:rsidR="00A251B9" w:rsidRPr="00FB0A3A" w:rsidRDefault="00A251B9" w:rsidP="005E7952">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-8,57</w:t>
            </w:r>
          </w:p>
        </w:tc>
      </w:tr>
    </w:tbl>
    <w:p w14:paraId="6775E7DA" w14:textId="77777777" w:rsidR="00A54C03" w:rsidRDefault="00A54C03" w:rsidP="00567D32">
      <w:pPr>
        <w:tabs>
          <w:tab w:val="left" w:pos="1134"/>
        </w:tabs>
        <w:spacing w:after="0" w:line="360" w:lineRule="auto"/>
        <w:contextualSpacing/>
        <w:jc w:val="both"/>
        <w:rPr>
          <w:rFonts w:ascii="Myriad Pro" w:eastAsia="Calibri" w:hAnsi="Myriad Pro" w:cs="Times New Roman"/>
          <w:b/>
          <w:sz w:val="26"/>
          <w:szCs w:val="26"/>
        </w:rPr>
      </w:pPr>
    </w:p>
    <w:p w14:paraId="4D92C724" w14:textId="2367FD87" w:rsidR="00A251B9" w:rsidRPr="00C04ABD" w:rsidRDefault="00A251B9" w:rsidP="00567D32">
      <w:pPr>
        <w:tabs>
          <w:tab w:val="left" w:pos="1134"/>
        </w:tabs>
        <w:spacing w:after="0" w:line="360" w:lineRule="auto"/>
        <w:contextualSpacing/>
        <w:jc w:val="both"/>
        <w:rPr>
          <w:rFonts w:ascii="Myriad Pro" w:eastAsia="Calibri" w:hAnsi="Myriad Pro" w:cs="Times New Roman"/>
          <w:b/>
          <w:sz w:val="26"/>
          <w:szCs w:val="26"/>
        </w:rPr>
      </w:pPr>
      <w:r w:rsidRPr="00C04ABD">
        <w:rPr>
          <w:rFonts w:ascii="Myriad Pro" w:eastAsia="Calibri" w:hAnsi="Myriad Pro" w:cs="Times New Roman"/>
          <w:b/>
          <w:sz w:val="26"/>
          <w:szCs w:val="26"/>
        </w:rPr>
        <w:t>ПОЗИЦИЯ ТЕРРИТОРИАЛЬНОЙ СЕТЕВОЙ ОРГАНИЗАЦИИ</w:t>
      </w:r>
    </w:p>
    <w:p w14:paraId="475FC6AD" w14:textId="343D40BC" w:rsidR="00A251B9" w:rsidRPr="00C04ABD" w:rsidRDefault="00A251B9" w:rsidP="00567D32">
      <w:pPr>
        <w:tabs>
          <w:tab w:val="left" w:pos="1134"/>
        </w:tabs>
        <w:spacing w:after="0" w:line="360" w:lineRule="auto"/>
        <w:ind w:firstLine="567"/>
        <w:rPr>
          <w:rFonts w:ascii="Myriad Pro" w:eastAsia="Calibri" w:hAnsi="Myriad Pro" w:cs="Times New Roman"/>
          <w:sz w:val="26"/>
          <w:szCs w:val="26"/>
        </w:rPr>
      </w:pPr>
      <w:r w:rsidRPr="00C04ABD">
        <w:rPr>
          <w:rFonts w:ascii="Myriad Pro" w:eastAsia="Calibri" w:hAnsi="Myriad Pro" w:cs="Times New Roman"/>
          <w:sz w:val="26"/>
          <w:szCs w:val="26"/>
        </w:rPr>
        <w:t>Величина расходов, заявленная филиалом на 2019 год, составила – 47 157,28 тыс. руб., что на 141 % выше фактических расходов за 2017 год.</w:t>
      </w:r>
    </w:p>
    <w:p w14:paraId="78200076" w14:textId="7CEF757C" w:rsidR="00A251B9" w:rsidRPr="00C04ABD" w:rsidRDefault="00A251B9" w:rsidP="00A31747">
      <w:pPr>
        <w:tabs>
          <w:tab w:val="left" w:pos="1134"/>
        </w:tabs>
        <w:autoSpaceDE w:val="0"/>
        <w:autoSpaceDN w:val="0"/>
        <w:adjustRightInd w:val="0"/>
        <w:spacing w:after="0" w:line="360" w:lineRule="auto"/>
        <w:ind w:firstLine="567"/>
        <w:jc w:val="both"/>
        <w:rPr>
          <w:rFonts w:ascii="Myriad Pro" w:eastAsia="Calibri" w:hAnsi="Myriad Pro" w:cs="Times New Roman"/>
          <w:sz w:val="26"/>
          <w:szCs w:val="26"/>
        </w:rPr>
      </w:pPr>
      <w:r w:rsidRPr="00C04ABD">
        <w:rPr>
          <w:rFonts w:ascii="Myriad Pro" w:eastAsia="Calibri" w:hAnsi="Myriad Pro" w:cs="Times New Roman"/>
          <w:sz w:val="26"/>
          <w:szCs w:val="26"/>
        </w:rPr>
        <w:t xml:space="preserve">Сумма расходов на командировки определена расчетным методом. Расчет расходов представлен в Приложении 1.14.2. Ожидаемые расходы на 2018 год спрогнозированы, исходя из среднего прироста командировочных расходов по проезду, найму жилья и суточных расходов за 2 предыдущих года к фактическим расходам за 2017 год. Аналогично рассчитана прогнозная величина командировочных расходов на 2019 год.  </w:t>
      </w:r>
    </w:p>
    <w:p w14:paraId="7EBEB237" w14:textId="11B864F3" w:rsidR="00A251B9" w:rsidRPr="00C04ABD" w:rsidRDefault="00A251B9" w:rsidP="00A31747">
      <w:pPr>
        <w:tabs>
          <w:tab w:val="left" w:pos="1134"/>
        </w:tabs>
        <w:autoSpaceDE w:val="0"/>
        <w:autoSpaceDN w:val="0"/>
        <w:adjustRightInd w:val="0"/>
        <w:spacing w:after="0" w:line="360" w:lineRule="auto"/>
        <w:ind w:firstLine="567"/>
        <w:jc w:val="both"/>
        <w:rPr>
          <w:rFonts w:ascii="Myriad Pro" w:eastAsia="Calibri" w:hAnsi="Myriad Pro" w:cs="Times New Roman"/>
          <w:sz w:val="26"/>
          <w:szCs w:val="26"/>
        </w:rPr>
      </w:pPr>
      <w:r w:rsidRPr="00C04ABD">
        <w:rPr>
          <w:rFonts w:ascii="Myriad Pro" w:eastAsia="Calibri" w:hAnsi="Myriad Pro" w:cs="Times New Roman"/>
          <w:sz w:val="26"/>
          <w:szCs w:val="26"/>
        </w:rPr>
        <w:t xml:space="preserve">Средний прирост за предыдущие годы учитывает, как удорожание стоимости проезда, найма, так и усредненное количество командировочных. </w:t>
      </w:r>
    </w:p>
    <w:p w14:paraId="74C7D1DA" w14:textId="097AFE93" w:rsidR="00A251B9" w:rsidRPr="00C04ABD" w:rsidRDefault="00A251B9" w:rsidP="00A31747">
      <w:pPr>
        <w:tabs>
          <w:tab w:val="left" w:pos="1134"/>
        </w:tabs>
        <w:autoSpaceDE w:val="0"/>
        <w:autoSpaceDN w:val="0"/>
        <w:adjustRightInd w:val="0"/>
        <w:spacing w:after="0" w:line="360" w:lineRule="auto"/>
        <w:ind w:firstLine="567"/>
        <w:jc w:val="both"/>
        <w:rPr>
          <w:rFonts w:ascii="Myriad Pro" w:eastAsia="Calibri" w:hAnsi="Myriad Pro" w:cs="Times New Roman"/>
          <w:sz w:val="26"/>
          <w:szCs w:val="26"/>
        </w:rPr>
      </w:pPr>
      <w:r w:rsidRPr="00C04ABD">
        <w:rPr>
          <w:rFonts w:ascii="Myriad Pro" w:eastAsia="Calibri" w:hAnsi="Myriad Pro" w:cs="Times New Roman"/>
          <w:sz w:val="26"/>
          <w:szCs w:val="26"/>
        </w:rPr>
        <w:t xml:space="preserve">В обоснование фактических расходов представлены копии регистров из 1С бухгалтерия за 2015, 2016, 2017 гг. </w:t>
      </w:r>
    </w:p>
    <w:p w14:paraId="218605B5" w14:textId="72835A79" w:rsidR="00A251B9" w:rsidRPr="00C04ABD" w:rsidRDefault="00A251B9"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 xml:space="preserve">Для обоснования заявленной суммы расходов филиалом ПАО </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МРСК Северо-Запада</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 xml:space="preserve"> </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Колэнерго</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 xml:space="preserve"> были представлены следующие документы:</w:t>
      </w:r>
    </w:p>
    <w:p w14:paraId="60DF66EC" w14:textId="64DE0315" w:rsidR="00A251B9" w:rsidRPr="00C04ABD" w:rsidRDefault="00DE2B6A"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Р</w:t>
      </w:r>
      <w:r w:rsidR="00A251B9" w:rsidRPr="00C04ABD">
        <w:rPr>
          <w:rFonts w:ascii="Myriad Pro" w:hAnsi="Myriad Pro"/>
          <w:sz w:val="26"/>
          <w:szCs w:val="26"/>
        </w:rPr>
        <w:t>асчет плановых расходов на командировки, связанных с производственными нуждами на 2019 год с указанием фактических расходов за 2017 год;</w:t>
      </w:r>
    </w:p>
    <w:p w14:paraId="757C621E" w14:textId="3EB2F69C" w:rsidR="00A251B9" w:rsidRPr="00C04ABD" w:rsidRDefault="00A251B9"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Расчет плановых расходов на командировки, связанных с направлением сотрудников на 2019 год с указанием фактических расходов за 2017 год;</w:t>
      </w:r>
    </w:p>
    <w:p w14:paraId="3FCD18CD" w14:textId="73DF4E60" w:rsidR="00A251B9" w:rsidRPr="00C04ABD" w:rsidRDefault="00A251B9"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 xml:space="preserve">Анализ счета 20 по элементу затрат </w:t>
      </w:r>
      <w:r w:rsidR="00655FFA" w:rsidRPr="00C04ABD">
        <w:rPr>
          <w:rFonts w:ascii="Myriad Pro" w:hAnsi="Myriad Pro"/>
          <w:sz w:val="26"/>
          <w:szCs w:val="26"/>
        </w:rPr>
        <w:t>«</w:t>
      </w:r>
      <w:r w:rsidRPr="00C04ABD">
        <w:rPr>
          <w:rFonts w:ascii="Myriad Pro" w:hAnsi="Myriad Pro"/>
          <w:sz w:val="26"/>
          <w:szCs w:val="26"/>
        </w:rPr>
        <w:t>Командировочные расходы</w:t>
      </w:r>
      <w:r w:rsidR="00655FFA" w:rsidRPr="00C04ABD">
        <w:rPr>
          <w:rFonts w:ascii="Myriad Pro" w:hAnsi="Myriad Pro"/>
          <w:sz w:val="26"/>
          <w:szCs w:val="26"/>
        </w:rPr>
        <w:t>»</w:t>
      </w:r>
      <w:r w:rsidRPr="00C04ABD">
        <w:rPr>
          <w:rFonts w:ascii="Myriad Pro" w:hAnsi="Myriad Pro"/>
          <w:sz w:val="26"/>
          <w:szCs w:val="26"/>
        </w:rPr>
        <w:t xml:space="preserve"> по виду деятельности </w:t>
      </w:r>
      <w:r w:rsidR="00655FFA" w:rsidRPr="00C04ABD">
        <w:rPr>
          <w:rFonts w:ascii="Myriad Pro" w:hAnsi="Myriad Pro"/>
          <w:sz w:val="26"/>
          <w:szCs w:val="26"/>
        </w:rPr>
        <w:t>«</w:t>
      </w:r>
      <w:r w:rsidRPr="00C04ABD">
        <w:rPr>
          <w:rFonts w:ascii="Myriad Pro" w:hAnsi="Myriad Pro"/>
          <w:sz w:val="26"/>
          <w:szCs w:val="26"/>
        </w:rPr>
        <w:t>Услуги по передаче электроэнергии по сетям</w:t>
      </w:r>
      <w:r w:rsidR="00655FFA" w:rsidRPr="00C04ABD">
        <w:rPr>
          <w:rFonts w:ascii="Myriad Pro" w:hAnsi="Myriad Pro"/>
          <w:sz w:val="26"/>
          <w:szCs w:val="26"/>
        </w:rPr>
        <w:t>»</w:t>
      </w:r>
      <w:r w:rsidRPr="00C04ABD">
        <w:rPr>
          <w:rFonts w:ascii="Myriad Pro" w:hAnsi="Myriad Pro"/>
          <w:sz w:val="26"/>
          <w:szCs w:val="26"/>
        </w:rPr>
        <w:t xml:space="preserve"> за 2015, 2016, 2017 гг.</w:t>
      </w:r>
    </w:p>
    <w:p w14:paraId="3A3D4CB6" w14:textId="2C7F67E3" w:rsidR="00A251B9" w:rsidRPr="00C04ABD" w:rsidRDefault="00A251B9"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lastRenderedPageBreak/>
        <w:t xml:space="preserve">Анализ счета 25 по элементу затрат </w:t>
      </w:r>
      <w:r w:rsidR="00655FFA" w:rsidRPr="00C04ABD">
        <w:rPr>
          <w:rFonts w:ascii="Myriad Pro" w:hAnsi="Myriad Pro"/>
          <w:sz w:val="26"/>
          <w:szCs w:val="26"/>
        </w:rPr>
        <w:t>«</w:t>
      </w:r>
      <w:r w:rsidRPr="00C04ABD">
        <w:rPr>
          <w:rFonts w:ascii="Myriad Pro" w:hAnsi="Myriad Pro"/>
          <w:sz w:val="26"/>
          <w:szCs w:val="26"/>
        </w:rPr>
        <w:t>Командировочные расходы</w:t>
      </w:r>
      <w:r w:rsidR="00655FFA" w:rsidRPr="00C04ABD">
        <w:rPr>
          <w:rFonts w:ascii="Myriad Pro" w:hAnsi="Myriad Pro"/>
          <w:sz w:val="26"/>
          <w:szCs w:val="26"/>
        </w:rPr>
        <w:t>»</w:t>
      </w:r>
      <w:r w:rsidRPr="00C04ABD">
        <w:rPr>
          <w:rFonts w:ascii="Myriad Pro" w:hAnsi="Myriad Pro"/>
          <w:sz w:val="26"/>
          <w:szCs w:val="26"/>
        </w:rPr>
        <w:t xml:space="preserve"> по виду деятельности </w:t>
      </w:r>
      <w:r w:rsidR="00655FFA" w:rsidRPr="00C04ABD">
        <w:rPr>
          <w:rFonts w:ascii="Myriad Pro" w:hAnsi="Myriad Pro"/>
          <w:sz w:val="26"/>
          <w:szCs w:val="26"/>
        </w:rPr>
        <w:t>«</w:t>
      </w:r>
      <w:r w:rsidRPr="00C04ABD">
        <w:rPr>
          <w:rFonts w:ascii="Myriad Pro" w:hAnsi="Myriad Pro"/>
          <w:sz w:val="26"/>
          <w:szCs w:val="26"/>
        </w:rPr>
        <w:t>Услуги по передаче электроэнергии по сетям</w:t>
      </w:r>
      <w:r w:rsidR="00655FFA" w:rsidRPr="00C04ABD">
        <w:rPr>
          <w:rFonts w:ascii="Myriad Pro" w:hAnsi="Myriad Pro"/>
          <w:sz w:val="26"/>
          <w:szCs w:val="26"/>
        </w:rPr>
        <w:t>»</w:t>
      </w:r>
      <w:r w:rsidRPr="00C04ABD">
        <w:rPr>
          <w:rFonts w:ascii="Myriad Pro" w:hAnsi="Myriad Pro"/>
          <w:sz w:val="26"/>
          <w:szCs w:val="26"/>
        </w:rPr>
        <w:t xml:space="preserve"> за 2015, 2016, 2017 гг.</w:t>
      </w:r>
    </w:p>
    <w:p w14:paraId="5CB4AC98" w14:textId="4128C216" w:rsidR="00A251B9" w:rsidRPr="00C04ABD" w:rsidRDefault="00A251B9"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Реестр авансовых отчетов, с указанием номера и даты отчета за 2017 год;</w:t>
      </w:r>
    </w:p>
    <w:p w14:paraId="1A4E3231" w14:textId="154BEB8B" w:rsidR="00A251B9" w:rsidRPr="00C04ABD" w:rsidRDefault="00A251B9"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 xml:space="preserve">Приказ от 19.01.2012 №16 </w:t>
      </w:r>
      <w:r w:rsidR="00655FFA" w:rsidRPr="00C04ABD">
        <w:rPr>
          <w:rFonts w:ascii="Myriad Pro" w:hAnsi="Myriad Pro"/>
          <w:sz w:val="26"/>
          <w:szCs w:val="26"/>
        </w:rPr>
        <w:t>«</w:t>
      </w:r>
      <w:r w:rsidRPr="00C04ABD">
        <w:rPr>
          <w:rFonts w:ascii="Myriad Pro" w:hAnsi="Myriad Pro"/>
          <w:sz w:val="26"/>
          <w:szCs w:val="26"/>
        </w:rPr>
        <w:t xml:space="preserve">О нормах суточных расходов работников </w:t>
      </w:r>
      <w:r w:rsidR="0025782C" w:rsidRPr="00C04ABD">
        <w:rPr>
          <w:rFonts w:ascii="Myriad Pro" w:hAnsi="Myriad Pro"/>
          <w:sz w:val="26"/>
          <w:szCs w:val="26"/>
        </w:rPr>
        <w:t>ПАО «МРСК</w:t>
      </w:r>
      <w:r w:rsidRPr="00C04ABD">
        <w:rPr>
          <w:rFonts w:ascii="Myriad Pro" w:hAnsi="Myriad Pro"/>
          <w:sz w:val="26"/>
          <w:szCs w:val="26"/>
        </w:rPr>
        <w:t xml:space="preserve"> Северо-Запада</w:t>
      </w:r>
      <w:r w:rsidR="00655FFA" w:rsidRPr="00C04ABD">
        <w:rPr>
          <w:rFonts w:ascii="Myriad Pro" w:hAnsi="Myriad Pro"/>
          <w:sz w:val="26"/>
          <w:szCs w:val="26"/>
        </w:rPr>
        <w:t>»</w:t>
      </w:r>
      <w:r w:rsidRPr="00C04ABD">
        <w:rPr>
          <w:rFonts w:ascii="Myriad Pro" w:hAnsi="Myriad Pro"/>
          <w:sz w:val="26"/>
          <w:szCs w:val="26"/>
        </w:rPr>
        <w:t>;</w:t>
      </w:r>
    </w:p>
    <w:p w14:paraId="44E835A7" w14:textId="3A6C46D1" w:rsidR="00A251B9" w:rsidRPr="00C04ABD" w:rsidRDefault="00A251B9"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 xml:space="preserve">Приказ от 14.02.2017 №79 </w:t>
      </w:r>
      <w:r w:rsidR="00655FFA" w:rsidRPr="00C04ABD">
        <w:rPr>
          <w:rFonts w:ascii="Myriad Pro" w:hAnsi="Myriad Pro"/>
          <w:sz w:val="26"/>
          <w:szCs w:val="26"/>
        </w:rPr>
        <w:t>«</w:t>
      </w:r>
      <w:r w:rsidRPr="00C04ABD">
        <w:rPr>
          <w:rFonts w:ascii="Myriad Pro" w:hAnsi="Myriad Pro"/>
          <w:sz w:val="26"/>
          <w:szCs w:val="26"/>
        </w:rPr>
        <w:t xml:space="preserve">Об оформлении служебных командировок работников филиала </w:t>
      </w:r>
      <w:r w:rsidR="0025782C" w:rsidRPr="00C04ABD">
        <w:rPr>
          <w:rFonts w:ascii="Myriad Pro" w:hAnsi="Myriad Pro"/>
          <w:sz w:val="26"/>
          <w:szCs w:val="26"/>
        </w:rPr>
        <w:t>ПАО «МРСК</w:t>
      </w:r>
      <w:r w:rsidRPr="00C04ABD">
        <w:rPr>
          <w:rFonts w:ascii="Myriad Pro" w:hAnsi="Myriad Pro"/>
          <w:sz w:val="26"/>
          <w:szCs w:val="26"/>
        </w:rPr>
        <w:t xml:space="preserve"> Северо-Запада</w:t>
      </w:r>
      <w:r w:rsidR="00655FFA" w:rsidRPr="00C04ABD">
        <w:rPr>
          <w:rFonts w:ascii="Myriad Pro" w:hAnsi="Myriad Pro"/>
          <w:sz w:val="26"/>
          <w:szCs w:val="26"/>
        </w:rPr>
        <w:t>»</w:t>
      </w:r>
      <w:r w:rsidR="0025782C" w:rsidRPr="00C04ABD">
        <w:rPr>
          <w:rFonts w:ascii="Myriad Pro" w:hAnsi="Myriad Pro"/>
          <w:sz w:val="26"/>
          <w:szCs w:val="26"/>
        </w:rPr>
        <w:t xml:space="preserve"> «Колэнерго»</w:t>
      </w:r>
      <w:r w:rsidRPr="00C04ABD">
        <w:rPr>
          <w:rFonts w:ascii="Myriad Pro" w:hAnsi="Myriad Pro"/>
          <w:sz w:val="26"/>
          <w:szCs w:val="26"/>
        </w:rPr>
        <w:t>;</w:t>
      </w:r>
    </w:p>
    <w:p w14:paraId="1B5F15D2" w14:textId="6E7F20B0" w:rsidR="00A251B9" w:rsidRPr="00C04ABD" w:rsidRDefault="00A251B9"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 xml:space="preserve">Порядок организации и оформления служебных командировок работников ПАО </w:t>
      </w:r>
      <w:r w:rsidR="00655FFA" w:rsidRPr="00C04ABD">
        <w:rPr>
          <w:rFonts w:ascii="Myriad Pro" w:hAnsi="Myriad Pro"/>
          <w:sz w:val="26"/>
          <w:szCs w:val="26"/>
        </w:rPr>
        <w:t>«</w:t>
      </w:r>
      <w:r w:rsidRPr="00C04ABD">
        <w:rPr>
          <w:rFonts w:ascii="Myriad Pro" w:hAnsi="Myriad Pro"/>
          <w:sz w:val="26"/>
          <w:szCs w:val="26"/>
        </w:rPr>
        <w:t>МРСК Северо-Запада</w:t>
      </w:r>
      <w:r w:rsidR="00655FFA" w:rsidRPr="00C04ABD">
        <w:rPr>
          <w:rFonts w:ascii="Myriad Pro" w:hAnsi="Myriad Pro"/>
          <w:sz w:val="26"/>
          <w:szCs w:val="26"/>
        </w:rPr>
        <w:t>»</w:t>
      </w:r>
      <w:r w:rsidRPr="00C04ABD">
        <w:rPr>
          <w:rFonts w:ascii="Myriad Pro" w:hAnsi="Myriad Pro"/>
          <w:sz w:val="26"/>
          <w:szCs w:val="26"/>
        </w:rPr>
        <w:t>;</w:t>
      </w:r>
    </w:p>
    <w:p w14:paraId="29D4DE13" w14:textId="78901E06" w:rsidR="00A251B9" w:rsidRPr="00C04ABD" w:rsidRDefault="00A251B9"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 xml:space="preserve">Приказ от 23.12.2016 №823 </w:t>
      </w:r>
      <w:r w:rsidR="00655FFA" w:rsidRPr="00C04ABD">
        <w:rPr>
          <w:rFonts w:ascii="Myriad Pro" w:hAnsi="Myriad Pro"/>
          <w:sz w:val="26"/>
          <w:szCs w:val="26"/>
        </w:rPr>
        <w:t>«</w:t>
      </w:r>
      <w:r w:rsidRPr="00C04ABD">
        <w:rPr>
          <w:rFonts w:ascii="Myriad Pro" w:hAnsi="Myriad Pro"/>
          <w:sz w:val="26"/>
          <w:szCs w:val="26"/>
        </w:rPr>
        <w:t xml:space="preserve">Об утверждении Порядка организации и оформления служебных командировок работников ПАО </w:t>
      </w:r>
      <w:r w:rsidR="00655FFA" w:rsidRPr="00C04ABD">
        <w:rPr>
          <w:rFonts w:ascii="Myriad Pro" w:hAnsi="Myriad Pro"/>
          <w:sz w:val="26"/>
          <w:szCs w:val="26"/>
        </w:rPr>
        <w:t>«</w:t>
      </w:r>
      <w:r w:rsidRPr="00C04ABD">
        <w:rPr>
          <w:rFonts w:ascii="Myriad Pro" w:hAnsi="Myriad Pro"/>
          <w:sz w:val="26"/>
          <w:szCs w:val="26"/>
        </w:rPr>
        <w:t>МРСК Северо-Запада</w:t>
      </w:r>
      <w:r w:rsidR="00655FFA" w:rsidRPr="00C04ABD">
        <w:rPr>
          <w:rFonts w:ascii="Myriad Pro" w:hAnsi="Myriad Pro"/>
          <w:sz w:val="26"/>
          <w:szCs w:val="26"/>
        </w:rPr>
        <w:t>»</w:t>
      </w:r>
      <w:r w:rsidRPr="00C04ABD">
        <w:rPr>
          <w:rFonts w:ascii="Myriad Pro" w:hAnsi="Myriad Pro"/>
          <w:sz w:val="26"/>
          <w:szCs w:val="26"/>
        </w:rPr>
        <w:t>;</w:t>
      </w:r>
    </w:p>
    <w:p w14:paraId="66584F00" w14:textId="21BD2973" w:rsidR="00A251B9" w:rsidRPr="00C04ABD" w:rsidRDefault="00A251B9"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 xml:space="preserve">Приказ от 29.12.2016 №460 </w:t>
      </w:r>
      <w:r w:rsidR="00655FFA" w:rsidRPr="00C04ABD">
        <w:rPr>
          <w:rFonts w:ascii="Myriad Pro" w:hAnsi="Myriad Pro"/>
          <w:sz w:val="26"/>
          <w:szCs w:val="26"/>
        </w:rPr>
        <w:t>«</w:t>
      </w:r>
      <w:r w:rsidRPr="00C04ABD">
        <w:rPr>
          <w:rFonts w:ascii="Myriad Pro" w:hAnsi="Myriad Pro"/>
          <w:sz w:val="26"/>
          <w:szCs w:val="26"/>
        </w:rPr>
        <w:t xml:space="preserve">о введении в действие Порядка организации и оформления служебных командировок работников ПАО </w:t>
      </w:r>
      <w:r w:rsidR="00655FFA" w:rsidRPr="00C04ABD">
        <w:rPr>
          <w:rFonts w:ascii="Myriad Pro" w:hAnsi="Myriad Pro"/>
          <w:sz w:val="26"/>
          <w:szCs w:val="26"/>
        </w:rPr>
        <w:t>«</w:t>
      </w:r>
      <w:r w:rsidRPr="00C04ABD">
        <w:rPr>
          <w:rFonts w:ascii="Myriad Pro" w:hAnsi="Myriad Pro"/>
          <w:sz w:val="26"/>
          <w:szCs w:val="26"/>
        </w:rPr>
        <w:t>МРСК Северо-Запада</w:t>
      </w:r>
      <w:r w:rsidR="00655FFA" w:rsidRPr="00C04ABD">
        <w:rPr>
          <w:rFonts w:ascii="Myriad Pro" w:hAnsi="Myriad Pro"/>
          <w:sz w:val="26"/>
          <w:szCs w:val="26"/>
        </w:rPr>
        <w:t>»</w:t>
      </w:r>
      <w:r w:rsidRPr="00C04ABD">
        <w:rPr>
          <w:rFonts w:ascii="Myriad Pro" w:hAnsi="Myriad Pro"/>
          <w:sz w:val="26"/>
          <w:szCs w:val="26"/>
        </w:rPr>
        <w:t>.</w:t>
      </w:r>
    </w:p>
    <w:p w14:paraId="5522E540" w14:textId="77777777" w:rsidR="00A251B9" w:rsidRPr="00C04ABD" w:rsidRDefault="00A251B9" w:rsidP="00A31747">
      <w:pPr>
        <w:tabs>
          <w:tab w:val="left" w:pos="1134"/>
        </w:tabs>
        <w:autoSpaceDE w:val="0"/>
        <w:autoSpaceDN w:val="0"/>
        <w:adjustRightInd w:val="0"/>
        <w:spacing w:after="0" w:line="360" w:lineRule="auto"/>
        <w:ind w:firstLine="567"/>
        <w:jc w:val="both"/>
        <w:rPr>
          <w:rFonts w:ascii="Myriad Pro" w:eastAsia="Calibri" w:hAnsi="Myriad Pro" w:cs="Times New Roman"/>
          <w:sz w:val="26"/>
          <w:szCs w:val="26"/>
        </w:rPr>
      </w:pPr>
    </w:p>
    <w:p w14:paraId="075480C6" w14:textId="77777777" w:rsidR="00DE2B6A" w:rsidRPr="00C04ABD" w:rsidRDefault="00DE2B6A" w:rsidP="00567D32">
      <w:pPr>
        <w:tabs>
          <w:tab w:val="left" w:pos="1134"/>
        </w:tabs>
        <w:spacing w:after="0" w:line="360" w:lineRule="auto"/>
        <w:jc w:val="both"/>
        <w:rPr>
          <w:rFonts w:ascii="Myriad Pro" w:eastAsia="Calibri" w:hAnsi="Myriad Pro" w:cs="Times New Roman"/>
          <w:b/>
          <w:sz w:val="26"/>
          <w:szCs w:val="26"/>
        </w:rPr>
      </w:pPr>
      <w:r w:rsidRPr="00C04ABD">
        <w:rPr>
          <w:rFonts w:ascii="Myriad Pro" w:eastAsia="Calibri" w:hAnsi="Myriad Pro" w:cs="Times New Roman"/>
          <w:b/>
          <w:sz w:val="26"/>
          <w:szCs w:val="26"/>
        </w:rPr>
        <w:t>ПОЗИЦИЯ ОРГАНА РЕГУЛИРОВАНИЯ</w:t>
      </w:r>
    </w:p>
    <w:p w14:paraId="10C95678" w14:textId="77777777" w:rsidR="00DE2B6A" w:rsidRPr="00C04ABD" w:rsidRDefault="00DE2B6A" w:rsidP="00A31747">
      <w:pPr>
        <w:tabs>
          <w:tab w:val="left" w:pos="1134"/>
        </w:tabs>
        <w:autoSpaceDE w:val="0"/>
        <w:autoSpaceDN w:val="0"/>
        <w:adjustRightInd w:val="0"/>
        <w:spacing w:after="0" w:line="360" w:lineRule="auto"/>
        <w:ind w:firstLine="567"/>
        <w:jc w:val="both"/>
        <w:rPr>
          <w:rFonts w:ascii="Myriad Pro" w:eastAsia="Calibri" w:hAnsi="Myriad Pro" w:cs="Times New Roman"/>
          <w:sz w:val="26"/>
          <w:szCs w:val="26"/>
        </w:rPr>
      </w:pPr>
      <w:r w:rsidRPr="00C04ABD">
        <w:rPr>
          <w:rFonts w:ascii="Myriad Pro" w:eastAsia="Calibri" w:hAnsi="Myriad Pro" w:cs="Times New Roman"/>
          <w:sz w:val="26"/>
          <w:szCs w:val="26"/>
        </w:rPr>
        <w:t>Величина расходов, принятая регулирующим органом на 2019 год:</w:t>
      </w:r>
    </w:p>
    <w:p w14:paraId="1706E4D5" w14:textId="6DBAFF1E" w:rsidR="00DE2B6A" w:rsidRPr="00C04ABD" w:rsidRDefault="00DE2B6A"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экономически обоснованный уровень – 31 704,47 тыс. руб.;</w:t>
      </w:r>
    </w:p>
    <w:p w14:paraId="7E856B6F" w14:textId="40FABFF6" w:rsidR="00DE2B6A" w:rsidRPr="00C04ABD" w:rsidRDefault="00DE2B6A"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уровень, принятый при установлении НВВ – 30 523,54 тыс. руб. (0,7*ЭОУ+0,3*МА).</w:t>
      </w:r>
    </w:p>
    <w:p w14:paraId="5F777A08" w14:textId="081EB9F3" w:rsidR="00DE2B6A" w:rsidRPr="00C04ABD" w:rsidRDefault="00DE2B6A" w:rsidP="00A31747">
      <w:pPr>
        <w:tabs>
          <w:tab w:val="left" w:pos="1134"/>
        </w:tabs>
        <w:autoSpaceDE w:val="0"/>
        <w:autoSpaceDN w:val="0"/>
        <w:adjustRightInd w:val="0"/>
        <w:spacing w:after="0" w:line="360" w:lineRule="auto"/>
        <w:ind w:firstLine="567"/>
        <w:jc w:val="both"/>
        <w:rPr>
          <w:rFonts w:ascii="Myriad Pro" w:eastAsia="Calibri" w:hAnsi="Myriad Pro" w:cs="Times New Roman"/>
          <w:sz w:val="26"/>
          <w:szCs w:val="26"/>
        </w:rPr>
      </w:pPr>
      <w:r w:rsidRPr="00C04ABD">
        <w:rPr>
          <w:rFonts w:ascii="Myriad Pro" w:eastAsia="Calibri" w:hAnsi="Myriad Pro" w:cs="Times New Roman"/>
          <w:sz w:val="26"/>
          <w:szCs w:val="26"/>
        </w:rPr>
        <w:t>На основании анализа представленных Филиалом фактических данных за 2017 год приняты экономические обоснованные расходы за 2017 год с учетом ИПЦ.</w:t>
      </w:r>
    </w:p>
    <w:p w14:paraId="1DD044BE" w14:textId="77777777" w:rsidR="00DE2B6A" w:rsidRPr="00C04ABD" w:rsidRDefault="00DE2B6A" w:rsidP="00A31747">
      <w:pPr>
        <w:tabs>
          <w:tab w:val="left" w:pos="1134"/>
        </w:tabs>
        <w:autoSpaceDE w:val="0"/>
        <w:autoSpaceDN w:val="0"/>
        <w:adjustRightInd w:val="0"/>
        <w:spacing w:after="0" w:line="360" w:lineRule="auto"/>
        <w:ind w:firstLine="567"/>
        <w:jc w:val="both"/>
        <w:rPr>
          <w:rFonts w:ascii="Myriad Pro" w:eastAsia="Calibri" w:hAnsi="Myriad Pro" w:cs="Times New Roman"/>
          <w:sz w:val="26"/>
          <w:szCs w:val="26"/>
        </w:rPr>
      </w:pPr>
    </w:p>
    <w:p w14:paraId="6F4E568E" w14:textId="77777777" w:rsidR="00DE2B6A" w:rsidRPr="00C04ABD" w:rsidRDefault="00DE2B6A" w:rsidP="00567D32">
      <w:pPr>
        <w:tabs>
          <w:tab w:val="left" w:pos="1134"/>
        </w:tabs>
        <w:spacing w:after="0" w:line="360" w:lineRule="auto"/>
        <w:contextualSpacing/>
        <w:jc w:val="both"/>
        <w:rPr>
          <w:rFonts w:ascii="Myriad Pro" w:eastAsia="Calibri" w:hAnsi="Myriad Pro" w:cs="Times New Roman"/>
          <w:b/>
          <w:sz w:val="26"/>
          <w:szCs w:val="26"/>
        </w:rPr>
      </w:pPr>
      <w:r w:rsidRPr="00C04ABD">
        <w:rPr>
          <w:rFonts w:ascii="Myriad Pro" w:eastAsia="Calibri" w:hAnsi="Myriad Pro" w:cs="Times New Roman"/>
          <w:b/>
          <w:sz w:val="26"/>
          <w:szCs w:val="26"/>
        </w:rPr>
        <w:t>ПОЗИЦИЯ ИСПОЛНИТЕЛЯ</w:t>
      </w:r>
    </w:p>
    <w:p w14:paraId="1695CCE9" w14:textId="46821123" w:rsidR="00DE2B6A" w:rsidRPr="00C04ABD" w:rsidRDefault="00DE2B6A" w:rsidP="00A31747">
      <w:pPr>
        <w:tabs>
          <w:tab w:val="left" w:pos="1134"/>
        </w:tabs>
        <w:autoSpaceDE w:val="0"/>
        <w:autoSpaceDN w:val="0"/>
        <w:adjustRightInd w:val="0"/>
        <w:spacing w:after="0" w:line="360" w:lineRule="auto"/>
        <w:ind w:firstLine="567"/>
        <w:jc w:val="both"/>
        <w:rPr>
          <w:rFonts w:ascii="Myriad Pro" w:eastAsia="Calibri" w:hAnsi="Myriad Pro" w:cs="Times New Roman"/>
          <w:sz w:val="26"/>
          <w:szCs w:val="26"/>
        </w:rPr>
      </w:pPr>
      <w:r w:rsidRPr="00C04ABD">
        <w:rPr>
          <w:rFonts w:ascii="Myriad Pro" w:eastAsia="Calibri" w:hAnsi="Myriad Pro" w:cs="Times New Roman"/>
          <w:sz w:val="26"/>
          <w:szCs w:val="26"/>
        </w:rPr>
        <w:t xml:space="preserve">Расходы на командировки запланированы с превышением фактических данных 2017 года на </w:t>
      </w:r>
      <w:r w:rsidR="008E446E" w:rsidRPr="00C04ABD">
        <w:rPr>
          <w:rFonts w:ascii="Myriad Pro" w:eastAsia="Calibri" w:hAnsi="Myriad Pro" w:cs="Times New Roman"/>
          <w:sz w:val="26"/>
          <w:szCs w:val="26"/>
        </w:rPr>
        <w:t>1</w:t>
      </w:r>
      <w:r w:rsidRPr="00C04ABD">
        <w:rPr>
          <w:rFonts w:ascii="Myriad Pro" w:eastAsia="Calibri" w:hAnsi="Myriad Pro" w:cs="Times New Roman"/>
          <w:sz w:val="26"/>
          <w:szCs w:val="26"/>
        </w:rPr>
        <w:t>41 %. В пояснительной записке к расчету необходимой валовой выручки на 2019-2023 гг. ре</w:t>
      </w:r>
      <w:r w:rsidR="00EB0CCB" w:rsidRPr="00C04ABD">
        <w:rPr>
          <w:rFonts w:ascii="Myriad Pro" w:eastAsia="Calibri" w:hAnsi="Myriad Pro" w:cs="Times New Roman"/>
          <w:sz w:val="26"/>
          <w:szCs w:val="26"/>
        </w:rPr>
        <w:t>гулируемая организация приводит</w:t>
      </w:r>
      <w:r w:rsidRPr="00C04ABD">
        <w:rPr>
          <w:rFonts w:ascii="Myriad Pro" w:eastAsia="Calibri" w:hAnsi="Myriad Pro" w:cs="Times New Roman"/>
          <w:sz w:val="26"/>
          <w:szCs w:val="26"/>
        </w:rPr>
        <w:t xml:space="preserve"> пояснения в части обусловленности расходов исходя из среднего прироста командировочных расходов по проезду, найму жилья и суточных расходов за 2 предыдущих года к фактическим расходам 2017 г. </w:t>
      </w:r>
    </w:p>
    <w:p w14:paraId="3DD00AA0" w14:textId="17198C2A" w:rsidR="00DE2B6A" w:rsidRPr="00C04ABD" w:rsidRDefault="00DE2B6A" w:rsidP="00A31747">
      <w:pPr>
        <w:tabs>
          <w:tab w:val="left" w:pos="1134"/>
        </w:tabs>
        <w:autoSpaceDE w:val="0"/>
        <w:autoSpaceDN w:val="0"/>
        <w:adjustRightInd w:val="0"/>
        <w:spacing w:after="0" w:line="360" w:lineRule="auto"/>
        <w:ind w:firstLine="567"/>
        <w:jc w:val="both"/>
        <w:rPr>
          <w:rFonts w:ascii="Myriad Pro" w:eastAsia="Calibri" w:hAnsi="Myriad Pro" w:cs="Times New Roman"/>
          <w:sz w:val="26"/>
          <w:szCs w:val="26"/>
        </w:rPr>
      </w:pPr>
      <w:r w:rsidRPr="00C04ABD">
        <w:rPr>
          <w:rFonts w:ascii="Myriad Pro" w:eastAsia="Calibri" w:hAnsi="Myriad Pro" w:cs="Times New Roman"/>
          <w:sz w:val="26"/>
          <w:szCs w:val="26"/>
        </w:rPr>
        <w:lastRenderedPageBreak/>
        <w:t>Необходимо отметить, что организацией количество выездов в пределах Мурманской области и за пределами Мурманской области в 2019 году остаются на уровне 2017 года 238 раз и 2541 раз соответственно, но количество командировочных дней в пределах Мурманской области возрастает на 25% с 9</w:t>
      </w:r>
      <w:r w:rsidR="00D5027E" w:rsidRPr="00C04ABD">
        <w:rPr>
          <w:rFonts w:ascii="Myriad Pro" w:eastAsia="Calibri" w:hAnsi="Myriad Pro" w:cs="Times New Roman"/>
          <w:sz w:val="26"/>
          <w:szCs w:val="26"/>
        </w:rPr>
        <w:t> </w:t>
      </w:r>
      <w:r w:rsidRPr="00C04ABD">
        <w:rPr>
          <w:rFonts w:ascii="Myriad Pro" w:eastAsia="Calibri" w:hAnsi="Myriad Pro" w:cs="Times New Roman"/>
          <w:sz w:val="26"/>
          <w:szCs w:val="26"/>
        </w:rPr>
        <w:t xml:space="preserve">370 дней до 11 790 дней. Также возрастает стоимость найма жилья на 148%, стоимость проезда авиатранспортом на 194 % и автотранспортом (автобус) на 312%. Обоснования и подтверждения причин увеличения расходов организацией не представлены. </w:t>
      </w:r>
    </w:p>
    <w:p w14:paraId="7E5610ED" w14:textId="3008B656" w:rsidR="00DE2B6A" w:rsidRPr="00C04ABD" w:rsidRDefault="00DE2B6A" w:rsidP="00A31747">
      <w:pPr>
        <w:tabs>
          <w:tab w:val="left" w:pos="1134"/>
        </w:tabs>
        <w:autoSpaceDE w:val="0"/>
        <w:autoSpaceDN w:val="0"/>
        <w:adjustRightInd w:val="0"/>
        <w:spacing w:after="0" w:line="360" w:lineRule="auto"/>
        <w:ind w:firstLine="567"/>
        <w:jc w:val="both"/>
        <w:rPr>
          <w:rFonts w:ascii="Myriad Pro" w:eastAsia="Calibri" w:hAnsi="Myriad Pro" w:cs="Times New Roman"/>
          <w:sz w:val="26"/>
          <w:szCs w:val="26"/>
        </w:rPr>
      </w:pPr>
      <w:r w:rsidRPr="00C04ABD">
        <w:rPr>
          <w:rFonts w:ascii="Myriad Pro" w:eastAsia="Calibri" w:hAnsi="Myriad Pro" w:cs="Times New Roman"/>
          <w:sz w:val="26"/>
          <w:szCs w:val="26"/>
        </w:rPr>
        <w:t xml:space="preserve">В качестве обосновывающих документов предоставляется только расчет плановых затрат на служебные командировки в 2019 году. </w:t>
      </w:r>
    </w:p>
    <w:p w14:paraId="6C0FA8DD" w14:textId="1CCCE262" w:rsidR="00DE2B6A" w:rsidRPr="00C04ABD" w:rsidRDefault="00646F39"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Затраты на служебные командировки, связанные с направлением сотрудников на обучение (в соо</w:t>
      </w:r>
      <w:r w:rsidR="0056177A" w:rsidRPr="00C04ABD">
        <w:rPr>
          <w:rFonts w:ascii="Myriad Pro" w:eastAsia="Calibri" w:hAnsi="Myriad Pro" w:cs="Times New Roman"/>
          <w:sz w:val="26"/>
          <w:szCs w:val="26"/>
        </w:rPr>
        <w:t xml:space="preserve">тветствии с реестром договоров </w:t>
      </w:r>
      <w:r w:rsidRPr="00C04ABD">
        <w:rPr>
          <w:rFonts w:ascii="Myriad Pro" w:eastAsia="Calibri" w:hAnsi="Myriad Pro" w:cs="Times New Roman"/>
          <w:sz w:val="26"/>
          <w:szCs w:val="26"/>
        </w:rPr>
        <w:t xml:space="preserve">по статье </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Услуги по подготовке кадров</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 xml:space="preserve">) </w:t>
      </w:r>
      <w:r w:rsidR="00DE2B6A" w:rsidRPr="00C04ABD">
        <w:rPr>
          <w:rFonts w:ascii="Myriad Pro" w:eastAsia="Calibri" w:hAnsi="Myriad Pro" w:cs="Times New Roman"/>
          <w:sz w:val="26"/>
          <w:szCs w:val="26"/>
        </w:rPr>
        <w:t xml:space="preserve">Исполнитель </w:t>
      </w:r>
      <w:r w:rsidRPr="00C04ABD">
        <w:rPr>
          <w:rFonts w:ascii="Myriad Pro" w:eastAsia="Calibri" w:hAnsi="Myriad Pro" w:cs="Times New Roman"/>
          <w:sz w:val="26"/>
          <w:szCs w:val="26"/>
        </w:rPr>
        <w:t xml:space="preserve">также </w:t>
      </w:r>
      <w:r w:rsidR="00DE2B6A" w:rsidRPr="00C04ABD">
        <w:rPr>
          <w:rFonts w:ascii="Myriad Pro" w:eastAsia="Calibri" w:hAnsi="Myriad Pro" w:cs="Times New Roman"/>
          <w:sz w:val="26"/>
          <w:szCs w:val="26"/>
        </w:rPr>
        <w:t>счита</w:t>
      </w:r>
      <w:r w:rsidRPr="00C04ABD">
        <w:rPr>
          <w:rFonts w:ascii="Myriad Pro" w:eastAsia="Calibri" w:hAnsi="Myriad Pro" w:cs="Times New Roman"/>
          <w:sz w:val="26"/>
          <w:szCs w:val="26"/>
        </w:rPr>
        <w:t>ет, что Филиалом не</w:t>
      </w:r>
      <w:r w:rsidR="00D57FA3" w:rsidRPr="00C04ABD">
        <w:rPr>
          <w:rFonts w:ascii="Myriad Pro" w:eastAsia="Calibri" w:hAnsi="Myriad Pro" w:cs="Times New Roman"/>
          <w:sz w:val="26"/>
          <w:szCs w:val="26"/>
        </w:rPr>
        <w:t>достаточно документально обоснованы.</w:t>
      </w:r>
      <w:r w:rsidRPr="00C04ABD">
        <w:rPr>
          <w:rFonts w:ascii="Myriad Pro" w:eastAsia="Calibri" w:hAnsi="Myriad Pro" w:cs="Times New Roman"/>
          <w:sz w:val="26"/>
          <w:szCs w:val="26"/>
        </w:rPr>
        <w:t xml:space="preserve"> Более подро</w:t>
      </w:r>
      <w:r w:rsidR="008E446E" w:rsidRPr="00C04ABD">
        <w:rPr>
          <w:rFonts w:ascii="Myriad Pro" w:eastAsia="Calibri" w:hAnsi="Myriad Pro" w:cs="Times New Roman"/>
          <w:sz w:val="26"/>
          <w:szCs w:val="26"/>
        </w:rPr>
        <w:t>бно причины снижения расходов на</w:t>
      </w:r>
      <w:r w:rsidRPr="00C04ABD">
        <w:rPr>
          <w:rFonts w:ascii="Myriad Pro" w:eastAsia="Calibri" w:hAnsi="Myriad Pro" w:cs="Times New Roman"/>
          <w:sz w:val="26"/>
          <w:szCs w:val="26"/>
        </w:rPr>
        <w:t xml:space="preserve"> обучени</w:t>
      </w:r>
      <w:r w:rsidR="0056177A" w:rsidRPr="00C04ABD">
        <w:rPr>
          <w:rFonts w:ascii="Myriad Pro" w:eastAsia="Calibri" w:hAnsi="Myriad Pro" w:cs="Times New Roman"/>
          <w:sz w:val="26"/>
          <w:szCs w:val="26"/>
        </w:rPr>
        <w:t>е</w:t>
      </w:r>
      <w:r w:rsidR="00EB0CCB" w:rsidRPr="00C04ABD">
        <w:rPr>
          <w:rFonts w:ascii="Myriad Pro" w:eastAsia="Calibri" w:hAnsi="Myriad Pro" w:cs="Times New Roman"/>
          <w:sz w:val="26"/>
          <w:szCs w:val="26"/>
        </w:rPr>
        <w:t xml:space="preserve"> и</w:t>
      </w:r>
      <w:r w:rsidR="00567D32" w:rsidRPr="00C04ABD">
        <w:rPr>
          <w:rFonts w:ascii="Myriad Pro" w:eastAsia="Calibri" w:hAnsi="Myriad Pro" w:cs="Times New Roman"/>
          <w:sz w:val="26"/>
          <w:szCs w:val="26"/>
        </w:rPr>
        <w:t xml:space="preserve">, </w:t>
      </w:r>
      <w:r w:rsidRPr="00C04ABD">
        <w:rPr>
          <w:rFonts w:ascii="Myriad Pro" w:eastAsia="Calibri" w:hAnsi="Myriad Pro" w:cs="Times New Roman"/>
          <w:sz w:val="26"/>
          <w:szCs w:val="26"/>
        </w:rPr>
        <w:t>следовательно</w:t>
      </w:r>
      <w:r w:rsidR="00D73164" w:rsidRPr="00C04ABD">
        <w:rPr>
          <w:rFonts w:ascii="Myriad Pro" w:eastAsia="Calibri" w:hAnsi="Myriad Pro" w:cs="Times New Roman"/>
          <w:sz w:val="26"/>
          <w:szCs w:val="26"/>
        </w:rPr>
        <w:t>,</w:t>
      </w:r>
      <w:r w:rsidR="0056177A" w:rsidRPr="00C04ABD">
        <w:rPr>
          <w:rFonts w:ascii="Myriad Pro" w:eastAsia="Calibri" w:hAnsi="Myriad Pro" w:cs="Times New Roman"/>
          <w:sz w:val="26"/>
          <w:szCs w:val="26"/>
        </w:rPr>
        <w:t xml:space="preserve"> </w:t>
      </w:r>
      <w:r w:rsidR="008E446E" w:rsidRPr="00C04ABD">
        <w:rPr>
          <w:rFonts w:ascii="Myriad Pro" w:eastAsia="Calibri" w:hAnsi="Myriad Pro" w:cs="Times New Roman"/>
          <w:sz w:val="26"/>
          <w:szCs w:val="26"/>
        </w:rPr>
        <w:t>расходов</w:t>
      </w:r>
      <w:r w:rsidRPr="00C04ABD">
        <w:rPr>
          <w:rFonts w:ascii="Myriad Pro" w:eastAsia="Calibri" w:hAnsi="Myriad Pro" w:cs="Times New Roman"/>
          <w:sz w:val="26"/>
          <w:szCs w:val="26"/>
        </w:rPr>
        <w:t xml:space="preserve"> по </w:t>
      </w:r>
      <w:r w:rsidR="0056177A" w:rsidRPr="00C04ABD">
        <w:rPr>
          <w:rFonts w:ascii="Myriad Pro" w:eastAsia="Calibri" w:hAnsi="Myriad Pro" w:cs="Times New Roman"/>
          <w:sz w:val="26"/>
          <w:szCs w:val="26"/>
        </w:rPr>
        <w:t>направлению в</w:t>
      </w:r>
      <w:r w:rsidRPr="00C04ABD">
        <w:rPr>
          <w:rFonts w:ascii="Myriad Pro" w:eastAsia="Calibri" w:hAnsi="Myriad Pro" w:cs="Times New Roman"/>
          <w:sz w:val="26"/>
          <w:szCs w:val="26"/>
        </w:rPr>
        <w:t xml:space="preserve"> командировки, связ</w:t>
      </w:r>
      <w:r w:rsidR="008E446E" w:rsidRPr="00C04ABD">
        <w:rPr>
          <w:rFonts w:ascii="Myriad Pro" w:eastAsia="Calibri" w:hAnsi="Myriad Pro" w:cs="Times New Roman"/>
          <w:sz w:val="26"/>
          <w:szCs w:val="26"/>
        </w:rPr>
        <w:t>анные</w:t>
      </w:r>
      <w:r w:rsidRPr="00C04ABD">
        <w:rPr>
          <w:rFonts w:ascii="Myriad Pro" w:eastAsia="Calibri" w:hAnsi="Myriad Pro" w:cs="Times New Roman"/>
          <w:sz w:val="26"/>
          <w:szCs w:val="26"/>
        </w:rPr>
        <w:t xml:space="preserve"> с направлением сотрудников на обучение</w:t>
      </w:r>
      <w:r w:rsidR="00EB0CCB" w:rsidRPr="00C04ABD">
        <w:rPr>
          <w:rFonts w:ascii="Myriad Pro" w:eastAsia="Calibri" w:hAnsi="Myriad Pro" w:cs="Times New Roman"/>
          <w:sz w:val="26"/>
          <w:szCs w:val="26"/>
        </w:rPr>
        <w:t>,</w:t>
      </w:r>
      <w:r w:rsidR="0056177A" w:rsidRPr="00C04ABD">
        <w:rPr>
          <w:rFonts w:ascii="Myriad Pro" w:eastAsia="Calibri" w:hAnsi="Myriad Pro" w:cs="Times New Roman"/>
          <w:sz w:val="26"/>
          <w:szCs w:val="26"/>
        </w:rPr>
        <w:t xml:space="preserve"> описаны ниже в разделе </w:t>
      </w:r>
      <w:r w:rsidR="00655FFA" w:rsidRPr="00C04ABD">
        <w:rPr>
          <w:rFonts w:ascii="Myriad Pro" w:eastAsia="Calibri" w:hAnsi="Myriad Pro" w:cs="Times New Roman"/>
          <w:sz w:val="26"/>
          <w:szCs w:val="26"/>
        </w:rPr>
        <w:t>«</w:t>
      </w:r>
      <w:r w:rsidR="0056177A" w:rsidRPr="00C04ABD">
        <w:rPr>
          <w:rFonts w:ascii="Myriad Pro" w:eastAsia="Calibri" w:hAnsi="Myriad Pro" w:cs="Times New Roman"/>
          <w:sz w:val="26"/>
          <w:szCs w:val="26"/>
        </w:rPr>
        <w:t>Расходы на обучение персонала</w:t>
      </w:r>
      <w:r w:rsidR="00655FFA" w:rsidRPr="00C04ABD">
        <w:rPr>
          <w:rFonts w:ascii="Myriad Pro" w:eastAsia="Calibri" w:hAnsi="Myriad Pro" w:cs="Times New Roman"/>
          <w:sz w:val="26"/>
          <w:szCs w:val="26"/>
        </w:rPr>
        <w:t>»</w:t>
      </w:r>
      <w:r w:rsidR="0056177A" w:rsidRPr="00C04ABD">
        <w:rPr>
          <w:rFonts w:ascii="Myriad Pro" w:eastAsia="Calibri" w:hAnsi="Myriad Pro" w:cs="Times New Roman"/>
          <w:sz w:val="26"/>
          <w:szCs w:val="26"/>
        </w:rPr>
        <w:t>.</w:t>
      </w:r>
    </w:p>
    <w:p w14:paraId="2FCE1E66" w14:textId="21E4D764" w:rsidR="00DE2B6A" w:rsidRPr="00C04ABD" w:rsidRDefault="008E446E"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Исполнитель считает, что Филиалом не подтверждена экономическая обоснованность рас</w:t>
      </w:r>
      <w:r w:rsidR="001B7D56" w:rsidRPr="00C04ABD">
        <w:rPr>
          <w:rFonts w:ascii="Myriad Pro" w:eastAsia="Calibri" w:hAnsi="Myriad Pro" w:cs="Times New Roman"/>
          <w:sz w:val="26"/>
          <w:szCs w:val="26"/>
        </w:rPr>
        <w:t xml:space="preserve">ходов по рассматриваемой статье, в связи с чем </w:t>
      </w:r>
      <w:r w:rsidR="00DE2B6A" w:rsidRPr="00C04ABD">
        <w:rPr>
          <w:rFonts w:ascii="Myriad Pro" w:eastAsia="Calibri" w:hAnsi="Myriad Pro" w:cs="Times New Roman"/>
          <w:sz w:val="26"/>
          <w:szCs w:val="26"/>
        </w:rPr>
        <w:t>Исполнитель соглашается с позицией регулирующего органа по сумме включенных расходов в НВВ при установлении тарифов на 2019 год.</w:t>
      </w:r>
    </w:p>
    <w:p w14:paraId="1170E921" w14:textId="7EE486E7" w:rsidR="00DE2B6A" w:rsidRPr="00C04ABD" w:rsidRDefault="00DE2B6A"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 xml:space="preserve">Комитетом командировочные расходы </w:t>
      </w:r>
      <w:r w:rsidR="00D20ED8" w:rsidRPr="00C04ABD">
        <w:rPr>
          <w:rFonts w:ascii="Myriad Pro" w:eastAsia="Calibri" w:hAnsi="Myriad Pro" w:cs="Times New Roman"/>
          <w:sz w:val="26"/>
          <w:szCs w:val="26"/>
        </w:rPr>
        <w:t xml:space="preserve">МЭОР учтены </w:t>
      </w:r>
      <w:r w:rsidR="00E663D3">
        <w:rPr>
          <w:rFonts w:ascii="Myriad Pro" w:eastAsia="Calibri" w:hAnsi="Myriad Pro" w:cs="Times New Roman"/>
          <w:sz w:val="26"/>
          <w:szCs w:val="26"/>
        </w:rPr>
        <w:t>в размере</w:t>
      </w:r>
      <w:r w:rsidR="00D20ED8" w:rsidRPr="00C04ABD">
        <w:rPr>
          <w:rFonts w:ascii="Myriad Pro" w:eastAsia="Calibri" w:hAnsi="Myriad Pro" w:cs="Times New Roman"/>
          <w:sz w:val="26"/>
          <w:szCs w:val="26"/>
        </w:rPr>
        <w:t xml:space="preserve"> 31 704,47</w:t>
      </w:r>
      <w:r w:rsidRPr="00C04ABD">
        <w:rPr>
          <w:rFonts w:ascii="Myriad Pro" w:eastAsia="Calibri" w:hAnsi="Myriad Pro" w:cs="Times New Roman"/>
          <w:sz w:val="26"/>
          <w:szCs w:val="26"/>
        </w:rPr>
        <w:t xml:space="preserve"> тыс. руб.</w:t>
      </w:r>
      <w:r w:rsidR="00D20ED8" w:rsidRPr="00C04ABD">
        <w:rPr>
          <w:rFonts w:ascii="Myriad Pro" w:eastAsia="Calibri" w:hAnsi="Myriad Pro" w:cs="Times New Roman"/>
          <w:sz w:val="26"/>
          <w:szCs w:val="26"/>
        </w:rPr>
        <w:t xml:space="preserve"> (ЭОУ), что ниже на 16 633,76</w:t>
      </w:r>
      <w:r w:rsidR="0056177A" w:rsidRPr="00C04ABD">
        <w:rPr>
          <w:rFonts w:ascii="Myriad Pro" w:eastAsia="Calibri" w:hAnsi="Myriad Pro" w:cs="Times New Roman"/>
          <w:sz w:val="26"/>
          <w:szCs w:val="26"/>
        </w:rPr>
        <w:t xml:space="preserve"> тыс. руб. заявленных Филиалом</w:t>
      </w:r>
      <w:r w:rsidRPr="00C04ABD">
        <w:rPr>
          <w:rFonts w:ascii="Myriad Pro" w:eastAsia="Calibri" w:hAnsi="Myriad Pro" w:cs="Times New Roman"/>
          <w:sz w:val="26"/>
          <w:szCs w:val="26"/>
        </w:rPr>
        <w:t>.</w:t>
      </w:r>
    </w:p>
    <w:p w14:paraId="65BD2264" w14:textId="4ADF2443" w:rsidR="005818D5" w:rsidRPr="00C04ABD" w:rsidRDefault="005818D5" w:rsidP="00A31747">
      <w:pPr>
        <w:tabs>
          <w:tab w:val="left" w:pos="1134"/>
        </w:tabs>
        <w:spacing w:after="0" w:line="360" w:lineRule="auto"/>
        <w:ind w:firstLine="567"/>
        <w:jc w:val="both"/>
        <w:rPr>
          <w:rFonts w:ascii="Myriad Pro" w:eastAsia="Calibri" w:hAnsi="Myriad Pro" w:cs="Times New Roman"/>
          <w:sz w:val="26"/>
          <w:szCs w:val="26"/>
        </w:rPr>
      </w:pPr>
      <w:r w:rsidRPr="00C04ABD">
        <w:rPr>
          <w:rFonts w:ascii="Myriad Pro" w:eastAsia="Calibri" w:hAnsi="Myriad Pro" w:cs="Times New Roman"/>
          <w:sz w:val="26"/>
          <w:szCs w:val="26"/>
        </w:rPr>
        <w:t xml:space="preserve">Для обоснования заявленных расходов Исполнитель считает необходимым рекомендовать филиалу ПАО </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МРСК Северо-Запада</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 xml:space="preserve"> </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Колэнерго</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 xml:space="preserve"> в составе тарифной заявки дополнительно представлять:</w:t>
      </w:r>
    </w:p>
    <w:p w14:paraId="3EBC66DA" w14:textId="5E5A85D0" w:rsidR="005818D5" w:rsidRPr="00C04ABD" w:rsidRDefault="005818D5" w:rsidP="009B0BC1">
      <w:pPr>
        <w:pStyle w:val="a4"/>
        <w:numPr>
          <w:ilvl w:val="0"/>
          <w:numId w:val="8"/>
        </w:numPr>
        <w:tabs>
          <w:tab w:val="left" w:pos="1134"/>
          <w:tab w:val="left" w:pos="1276"/>
        </w:tabs>
        <w:spacing w:after="0" w:line="360" w:lineRule="auto"/>
        <w:ind w:left="0" w:firstLine="567"/>
        <w:jc w:val="both"/>
        <w:rPr>
          <w:rFonts w:ascii="Myriad Pro" w:hAnsi="Myriad Pro"/>
          <w:sz w:val="26"/>
          <w:szCs w:val="26"/>
        </w:rPr>
      </w:pPr>
      <w:r w:rsidRPr="00C04ABD">
        <w:rPr>
          <w:rFonts w:ascii="Myriad Pro" w:hAnsi="Myriad Pro"/>
          <w:sz w:val="26"/>
          <w:szCs w:val="26"/>
        </w:rPr>
        <w:t>Материалы, обосновывающие используемые в расчетах показатели по стоимости проезда и найма жилья;</w:t>
      </w:r>
    </w:p>
    <w:p w14:paraId="51CC5833" w14:textId="171E8FEA" w:rsidR="005818D5" w:rsidRPr="00C04ABD" w:rsidRDefault="005818D5" w:rsidP="009B0BC1">
      <w:pPr>
        <w:pStyle w:val="a4"/>
        <w:numPr>
          <w:ilvl w:val="0"/>
          <w:numId w:val="8"/>
        </w:numPr>
        <w:tabs>
          <w:tab w:val="left" w:pos="1134"/>
          <w:tab w:val="left" w:pos="1276"/>
        </w:tabs>
        <w:spacing w:after="0" w:line="360" w:lineRule="auto"/>
        <w:ind w:left="0" w:firstLine="567"/>
        <w:jc w:val="both"/>
        <w:rPr>
          <w:rFonts w:ascii="Myriad Pro" w:hAnsi="Myriad Pro"/>
          <w:sz w:val="26"/>
          <w:szCs w:val="26"/>
        </w:rPr>
      </w:pPr>
      <w:r w:rsidRPr="00C04ABD">
        <w:rPr>
          <w:rFonts w:ascii="Myriad Pro" w:hAnsi="Myriad Pro"/>
          <w:sz w:val="26"/>
          <w:szCs w:val="26"/>
        </w:rPr>
        <w:t>Материалы, обосновывающие увеличение командировочных дней.</w:t>
      </w:r>
    </w:p>
    <w:p w14:paraId="5EA92176" w14:textId="77777777" w:rsidR="00A54C03" w:rsidRDefault="00A54C03" w:rsidP="00567D32">
      <w:pPr>
        <w:tabs>
          <w:tab w:val="left" w:pos="1134"/>
        </w:tabs>
        <w:spacing w:before="240" w:after="0" w:line="360" w:lineRule="auto"/>
        <w:jc w:val="both"/>
        <w:rPr>
          <w:rFonts w:ascii="Myriad Pro" w:eastAsia="Calibri" w:hAnsi="Myriad Pro" w:cs="Times New Roman"/>
          <w:b/>
          <w:i/>
          <w:sz w:val="26"/>
          <w:szCs w:val="26"/>
        </w:rPr>
      </w:pPr>
    </w:p>
    <w:p w14:paraId="103D18A0" w14:textId="314C7ECC" w:rsidR="00D31F3F" w:rsidRPr="00C04ABD" w:rsidRDefault="00D31F3F" w:rsidP="00567D32">
      <w:pPr>
        <w:tabs>
          <w:tab w:val="left" w:pos="1134"/>
        </w:tabs>
        <w:spacing w:before="240" w:after="0" w:line="360" w:lineRule="auto"/>
        <w:jc w:val="both"/>
        <w:rPr>
          <w:rFonts w:ascii="Myriad Pro" w:eastAsia="Calibri" w:hAnsi="Myriad Pro" w:cs="Times New Roman"/>
          <w:b/>
          <w:i/>
          <w:sz w:val="26"/>
          <w:szCs w:val="26"/>
        </w:rPr>
      </w:pPr>
      <w:r w:rsidRPr="00C04ABD">
        <w:rPr>
          <w:rFonts w:ascii="Myriad Pro" w:eastAsia="Calibri" w:hAnsi="Myriad Pro" w:cs="Times New Roman"/>
          <w:b/>
          <w:i/>
          <w:sz w:val="26"/>
          <w:szCs w:val="26"/>
        </w:rPr>
        <w:lastRenderedPageBreak/>
        <w:t>Расходы</w:t>
      </w:r>
      <w:r w:rsidR="00023932" w:rsidRPr="00C04ABD">
        <w:rPr>
          <w:rFonts w:ascii="Myriad Pro" w:eastAsia="Calibri" w:hAnsi="Myriad Pro" w:cs="Times New Roman"/>
          <w:b/>
          <w:i/>
          <w:sz w:val="26"/>
          <w:szCs w:val="26"/>
        </w:rPr>
        <w:t xml:space="preserve"> на обучение персонала</w:t>
      </w:r>
    </w:p>
    <w:p w14:paraId="428A1B8D" w14:textId="24836954" w:rsidR="00AF0B12" w:rsidRPr="00C04ABD" w:rsidRDefault="00023932"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Расходы на обучение персонала</w:t>
      </w:r>
      <w:r w:rsidR="00AF0B12" w:rsidRPr="00C04ABD">
        <w:rPr>
          <w:rFonts w:ascii="Myriad Pro" w:eastAsia="Calibri" w:hAnsi="Myriad Pro" w:cs="Times New Roman"/>
          <w:sz w:val="26"/>
          <w:szCs w:val="26"/>
        </w:rPr>
        <w:t xml:space="preserve"> учитываются в составе НВВ в соответствии с п</w:t>
      </w:r>
      <w:r w:rsidRPr="00C04ABD">
        <w:rPr>
          <w:rFonts w:ascii="Myriad Pro" w:eastAsia="Calibri" w:hAnsi="Myriad Pro" w:cs="Times New Roman"/>
          <w:sz w:val="26"/>
          <w:szCs w:val="26"/>
        </w:rPr>
        <w:t>п. 7 п 28 Основ ценообразования.</w:t>
      </w:r>
    </w:p>
    <w:p w14:paraId="474FC38B" w14:textId="20349744" w:rsidR="00AF0B12" w:rsidRPr="00C04ABD" w:rsidRDefault="00AF0B12"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Дополнительными нормами права, регулирующими обязанность организации осуществлять расходы на обучение</w:t>
      </w:r>
      <w:r w:rsidR="00D5027E" w:rsidRPr="00C04ABD">
        <w:rPr>
          <w:rFonts w:ascii="Myriad Pro" w:eastAsia="Calibri" w:hAnsi="Myriad Pro" w:cs="Times New Roman"/>
          <w:sz w:val="26"/>
          <w:szCs w:val="26"/>
        </w:rPr>
        <w:t>,</w:t>
      </w:r>
      <w:r w:rsidRPr="00C04ABD">
        <w:rPr>
          <w:rFonts w:ascii="Myriad Pro" w:eastAsia="Calibri" w:hAnsi="Myriad Pro" w:cs="Times New Roman"/>
          <w:sz w:val="26"/>
          <w:szCs w:val="26"/>
        </w:rPr>
        <w:t xml:space="preserve"> </w:t>
      </w:r>
      <w:r w:rsidR="00023932" w:rsidRPr="00C04ABD">
        <w:rPr>
          <w:rFonts w:ascii="Myriad Pro" w:eastAsia="Calibri" w:hAnsi="Myriad Pro" w:cs="Times New Roman"/>
          <w:sz w:val="26"/>
          <w:szCs w:val="26"/>
        </w:rPr>
        <w:t>яв</w:t>
      </w:r>
      <w:r w:rsidRPr="00C04ABD">
        <w:rPr>
          <w:rFonts w:ascii="Myriad Pro" w:eastAsia="Calibri" w:hAnsi="Myriad Pro" w:cs="Times New Roman"/>
          <w:sz w:val="26"/>
          <w:szCs w:val="26"/>
        </w:rPr>
        <w:t>ляются:</w:t>
      </w:r>
    </w:p>
    <w:p w14:paraId="5A0D84BC" w14:textId="1EE26869" w:rsidR="00AF0B12" w:rsidRPr="00C04ABD" w:rsidRDefault="00AF0B12"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 xml:space="preserve">- </w:t>
      </w:r>
      <w:hyperlink r:id="rId37">
        <w:r w:rsidRPr="00C04ABD">
          <w:rPr>
            <w:rFonts w:ascii="Myriad Pro" w:eastAsia="Calibri" w:hAnsi="Myriad Pro" w:cs="Times New Roman"/>
            <w:sz w:val="26"/>
            <w:szCs w:val="26"/>
          </w:rPr>
          <w:t>Федеральный зак</w:t>
        </w:r>
        <w:r w:rsidR="00D076DA" w:rsidRPr="00C04ABD">
          <w:rPr>
            <w:rFonts w:ascii="Myriad Pro" w:eastAsia="Calibri" w:hAnsi="Myriad Pro" w:cs="Times New Roman"/>
            <w:sz w:val="26"/>
            <w:szCs w:val="26"/>
          </w:rPr>
          <w:t xml:space="preserve">он от 21 июля 1997 г. N 116-ФЗ </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О промышленной безопасности опасных производственных объектов</w:t>
        </w:r>
      </w:hyperlink>
      <w:bookmarkStart w:id="42" w:name="sub_9016"/>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w:t>
      </w:r>
    </w:p>
    <w:bookmarkEnd w:id="42"/>
    <w:p w14:paraId="7A0367D3" w14:textId="18250203" w:rsidR="00023932" w:rsidRPr="00C04ABD" w:rsidRDefault="00AF0B12"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 Федеральные нормы и правила в области промышленной безопасности</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w:t>
      </w:r>
    </w:p>
    <w:p w14:paraId="559B180B" w14:textId="2114E3FD" w:rsidR="00AF0B12" w:rsidRPr="00C04ABD" w:rsidRDefault="00AF0B12"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 статья 196, 197 Трудово</w:t>
      </w:r>
      <w:r w:rsidR="0032269E" w:rsidRPr="00C04ABD">
        <w:rPr>
          <w:rFonts w:ascii="Myriad Pro" w:eastAsia="Calibri" w:hAnsi="Myriad Pro" w:cs="Times New Roman"/>
          <w:sz w:val="26"/>
          <w:szCs w:val="26"/>
        </w:rPr>
        <w:t>го кодекса Российской Федерации.</w:t>
      </w:r>
    </w:p>
    <w:p w14:paraId="39F63058" w14:textId="6851BB2B" w:rsidR="00AF0B12" w:rsidRPr="00C04ABD" w:rsidRDefault="0032269E"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Р</w:t>
      </w:r>
      <w:r w:rsidR="00AF0B12" w:rsidRPr="00C04ABD">
        <w:rPr>
          <w:rFonts w:ascii="Myriad Pro" w:eastAsia="Calibri" w:hAnsi="Myriad Pro" w:cs="Times New Roman"/>
          <w:sz w:val="26"/>
          <w:szCs w:val="26"/>
        </w:rPr>
        <w:t>аботодатель обязан за счет собственных средств организовывать проведение обязательного обучения для допуска к выполнению своих должностных обязанностей по различным видам обучения и с различной периодичностью повтора (один раз в три года, один раз в пять лет).</w:t>
      </w:r>
    </w:p>
    <w:p w14:paraId="34A96B59" w14:textId="77777777" w:rsidR="00AF0B12" w:rsidRPr="00C04ABD" w:rsidRDefault="00AF0B12" w:rsidP="00A31747">
      <w:pPr>
        <w:tabs>
          <w:tab w:val="left" w:pos="1134"/>
        </w:tabs>
        <w:spacing w:after="0" w:line="360" w:lineRule="auto"/>
        <w:ind w:firstLine="567"/>
        <w:contextualSpacing/>
        <w:jc w:val="both"/>
        <w:rPr>
          <w:rFonts w:ascii="Myriad Pro" w:eastAsia="Calibri" w:hAnsi="Myriad Pro" w:cs="Times New Roman"/>
          <w:sz w:val="26"/>
          <w:szCs w:val="26"/>
        </w:rPr>
      </w:pPr>
      <w:bookmarkStart w:id="43" w:name="sub_1312"/>
      <w:r w:rsidRPr="00C04ABD">
        <w:rPr>
          <w:rFonts w:ascii="Myriad Pro" w:eastAsia="Calibri" w:hAnsi="Myriad Pro" w:cs="Times New Roman"/>
          <w:sz w:val="26"/>
          <w:szCs w:val="26"/>
        </w:rPr>
        <w:t xml:space="preserve">При этом надо учесть, что в соответствии с вышеназванными приказами Федеральной службы по экологическому, технологическому и атомному надзору первичная аттестация руководителей и специалистов проводится </w:t>
      </w:r>
      <w:bookmarkEnd w:id="43"/>
      <w:r w:rsidRPr="00C04ABD">
        <w:rPr>
          <w:rFonts w:ascii="Myriad Pro" w:eastAsia="Calibri" w:hAnsi="Myriad Pro" w:cs="Times New Roman"/>
          <w:sz w:val="26"/>
          <w:szCs w:val="26"/>
        </w:rPr>
        <w:t>при назначении на должность и при переводе на другую работу, если при осуществлении должностных обязанностей на этой работе требуется проведение аттестации.</w:t>
      </w:r>
    </w:p>
    <w:p w14:paraId="628804D4" w14:textId="77777777" w:rsidR="00AF0B12" w:rsidRPr="00C04ABD" w:rsidRDefault="00AF0B12"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Периодическая аттестация руководителей и специалистов проводится не реже чем один раз в пять лет, если другие сроки не предусмотрены иными нормативными актами.</w:t>
      </w:r>
    </w:p>
    <w:p w14:paraId="172E2E82" w14:textId="77777777" w:rsidR="00AF0B12" w:rsidRPr="00C04ABD" w:rsidRDefault="00AF0B12" w:rsidP="00A31747">
      <w:pPr>
        <w:tabs>
          <w:tab w:val="left" w:pos="1134"/>
        </w:tabs>
        <w:spacing w:after="0" w:line="360" w:lineRule="auto"/>
        <w:ind w:firstLine="567"/>
        <w:contextualSpacing/>
        <w:jc w:val="both"/>
        <w:rPr>
          <w:rFonts w:ascii="Myriad Pro" w:eastAsia="Calibri" w:hAnsi="Myriad Pro" w:cs="Times New Roman"/>
          <w:sz w:val="26"/>
          <w:szCs w:val="26"/>
        </w:rPr>
      </w:pPr>
      <w:bookmarkStart w:id="44" w:name="sub_1313"/>
      <w:bookmarkEnd w:id="44"/>
      <w:r w:rsidRPr="00C04ABD">
        <w:rPr>
          <w:rFonts w:ascii="Myriad Pro" w:eastAsia="Calibri" w:hAnsi="Myriad Pro" w:cs="Times New Roman"/>
          <w:sz w:val="26"/>
          <w:szCs w:val="26"/>
        </w:rPr>
        <w:t>Первичная подготовка вновь принятых рабочих основных профессий проводится в организациях (учреждениях), реализующих программы профессиональной подготовки, дополнительного профессионального образования, начального профессионального образования, в соответствии с лицензией на право ведения образовательной деятельности.</w:t>
      </w:r>
    </w:p>
    <w:p w14:paraId="61BADD82" w14:textId="06FBDCC7" w:rsidR="00AF0B12" w:rsidRPr="00C04ABD" w:rsidRDefault="00AF0B12"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 xml:space="preserve">В случае не проведения обучения работников Общества, к Обществу будут применены определенные санкции (Приложение </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Статья 5.27.1.  Нарушение государственных нормативных требований охраны труда, содержащихся в федеральных законах и иных нормативных правовых актах Российской Федерации</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w:t>
      </w:r>
    </w:p>
    <w:p w14:paraId="58D0AB7A" w14:textId="51CA5FB1" w:rsidR="00AF0B12" w:rsidRPr="00C04ABD" w:rsidRDefault="00AF0B12"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lastRenderedPageBreak/>
        <w:t xml:space="preserve">В соответствии со ст. 73 Федерального закона от 10.01.2002 № 7-ФЗ </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Об охране окружающей среды</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 xml:space="preserve"> руководители организаций и специалисты должны иметь подготовку в области охраны окружающей среды и экологической безопасности.</w:t>
      </w:r>
    </w:p>
    <w:p w14:paraId="584F4CB2" w14:textId="36351C56" w:rsidR="00AF0B12" w:rsidRPr="00FB0A3A" w:rsidRDefault="00AF0B12" w:rsidP="00567D32">
      <w:pPr>
        <w:pStyle w:val="afff4"/>
        <w:rPr>
          <w:lang w:val="ru-RU"/>
        </w:rPr>
      </w:pPr>
      <w:r w:rsidRPr="00C04ABD">
        <w:rPr>
          <w:lang w:val="ru-RU"/>
        </w:rPr>
        <w:t xml:space="preserve">В соответствии с требованиями ст. 15 Федерального закона от 24.06.1998 № 89-ФЗ </w:t>
      </w:r>
      <w:r w:rsidR="00655FFA" w:rsidRPr="00C04ABD">
        <w:rPr>
          <w:lang w:val="ru-RU"/>
        </w:rPr>
        <w:t>«</w:t>
      </w:r>
      <w:r w:rsidRPr="00C04ABD">
        <w:rPr>
          <w:lang w:val="ru-RU"/>
        </w:rPr>
        <w:t>Об отходах производства и потребления</w:t>
      </w:r>
      <w:r w:rsidR="00655FFA" w:rsidRPr="00C04ABD">
        <w:rPr>
          <w:lang w:val="ru-RU"/>
        </w:rPr>
        <w:t>»</w:t>
      </w:r>
      <w:r w:rsidRPr="00C04ABD">
        <w:rPr>
          <w:lang w:val="ru-RU"/>
        </w:rPr>
        <w:t xml:space="preserve"> лица, которые допущены к сбору, транспортированию, обработке, утилизации, обезвреживанию, размещению отходов I - IV классов опасности, обязаны иметь документы о квалификации, выданные по результатам прохождения профессионального обучения или получения дополнительного профессионального образования, необходимых для работы с отходами I - IV классов опасности</w:t>
      </w:r>
      <w:r w:rsidRPr="00FB0A3A">
        <w:rPr>
          <w:lang w:val="ru-RU"/>
        </w:rPr>
        <w:t>.</w:t>
      </w:r>
    </w:p>
    <w:tbl>
      <w:tblPr>
        <w:tblStyle w:val="afff6"/>
        <w:tblW w:w="5000" w:type="pct"/>
        <w:tblLook w:val="04A0" w:firstRow="1" w:lastRow="0" w:firstColumn="1" w:lastColumn="0" w:noHBand="0" w:noVBand="1"/>
      </w:tblPr>
      <w:tblGrid>
        <w:gridCol w:w="2137"/>
        <w:gridCol w:w="1241"/>
        <w:gridCol w:w="2305"/>
        <w:gridCol w:w="961"/>
        <w:gridCol w:w="1681"/>
        <w:gridCol w:w="1019"/>
      </w:tblGrid>
      <w:tr w:rsidR="00567D32" w:rsidRPr="00FB0A3A" w14:paraId="0092C961" w14:textId="77777777" w:rsidTr="009071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06F1E7C3" w14:textId="77777777" w:rsidR="00AF0B12" w:rsidRPr="00FB0A3A" w:rsidRDefault="00AF0B12" w:rsidP="00567D32">
            <w:pPr>
              <w:tabs>
                <w:tab w:val="left" w:pos="1134"/>
              </w:tabs>
              <w:jc w:val="center"/>
              <w:rPr>
                <w:rFonts w:eastAsia="Calibri" w:cs="Times New Roman"/>
                <w:szCs w:val="18"/>
              </w:rPr>
            </w:pPr>
            <w:r w:rsidRPr="00FB0A3A">
              <w:rPr>
                <w:rFonts w:eastAsia="Calibri" w:cs="Times New Roman"/>
                <w:szCs w:val="18"/>
              </w:rPr>
              <w:t> Наименование статьи</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0954E63B" w14:textId="1C3C0D7B" w:rsidR="00AF0B12" w:rsidRPr="00FB0A3A" w:rsidRDefault="00567D32" w:rsidP="00567D32">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Факт за 2017,</w:t>
            </w:r>
            <w:r w:rsidRPr="00FB0A3A">
              <w:rPr>
                <w:rFonts w:eastAsia="Calibri" w:cs="Times New Roman"/>
                <w:szCs w:val="18"/>
              </w:rPr>
              <w:br/>
            </w:r>
            <w:r w:rsidR="00AF0B12" w:rsidRPr="00FB0A3A">
              <w:rPr>
                <w:rFonts w:eastAsia="Calibri" w:cs="Times New Roman"/>
                <w:szCs w:val="18"/>
              </w:rPr>
              <w:t>тыс. руб.</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911165D" w14:textId="5E66E9C6" w:rsidR="00AF0B12" w:rsidRPr="00FB0A3A" w:rsidRDefault="00AF0B12" w:rsidP="00567D32">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 xml:space="preserve">Заявлено филиалом ПАО </w:t>
            </w:r>
            <w:r w:rsidR="00655FFA" w:rsidRPr="00FB0A3A">
              <w:rPr>
                <w:rFonts w:eastAsia="Calibri" w:cs="Times New Roman"/>
                <w:szCs w:val="18"/>
              </w:rPr>
              <w:t>«</w:t>
            </w:r>
            <w:r w:rsidR="00F619B6" w:rsidRPr="00FB0A3A">
              <w:rPr>
                <w:rFonts w:eastAsia="Calibri" w:cs="Times New Roman"/>
                <w:szCs w:val="18"/>
              </w:rPr>
              <w:t>МРСК Северо-Запада</w:t>
            </w:r>
            <w:r w:rsidR="00655FFA" w:rsidRPr="00FB0A3A">
              <w:rPr>
                <w:rFonts w:eastAsia="Calibri" w:cs="Times New Roman"/>
                <w:szCs w:val="18"/>
              </w:rPr>
              <w:t>»</w:t>
            </w:r>
            <w:r w:rsidR="00F619B6" w:rsidRPr="00FB0A3A">
              <w:rPr>
                <w:rFonts w:eastAsia="Calibri" w:cs="Times New Roman"/>
                <w:szCs w:val="18"/>
              </w:rPr>
              <w:t xml:space="preserve"> </w:t>
            </w:r>
            <w:r w:rsidR="00655FFA" w:rsidRPr="00FB0A3A">
              <w:rPr>
                <w:rFonts w:eastAsia="Calibri" w:cs="Times New Roman"/>
                <w:szCs w:val="18"/>
              </w:rPr>
              <w:t>«</w:t>
            </w:r>
            <w:r w:rsidRPr="00FB0A3A">
              <w:rPr>
                <w:rFonts w:eastAsia="Calibri" w:cs="Times New Roman"/>
                <w:szCs w:val="18"/>
              </w:rPr>
              <w:t>Колэнерго</w:t>
            </w:r>
            <w:r w:rsidR="00655FFA" w:rsidRPr="00FB0A3A">
              <w:rPr>
                <w:rFonts w:eastAsia="Calibri" w:cs="Times New Roman"/>
                <w:szCs w:val="18"/>
              </w:rPr>
              <w:t>»</w:t>
            </w:r>
            <w:r w:rsidRPr="00FB0A3A">
              <w:rPr>
                <w:rFonts w:eastAsia="Calibri" w:cs="Times New Roman"/>
                <w:szCs w:val="18"/>
              </w:rPr>
              <w:t xml:space="preserve"> на 2019, тыс. руб.</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F93B8B7" w14:textId="77777777" w:rsidR="00AF0B12" w:rsidRPr="00FB0A3A" w:rsidRDefault="00AF0B12" w:rsidP="00567D32">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ТБР на 2019, тыс. руб.</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1221089" w14:textId="77777777" w:rsidR="00AF0B12" w:rsidRPr="00FB0A3A" w:rsidRDefault="00AF0B12" w:rsidP="00567D32">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Отклонение ТБР на 2019/ заявка на 2019, %</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2E11942" w14:textId="77777777" w:rsidR="00AF0B12" w:rsidRPr="00FB0A3A" w:rsidRDefault="00AF0B12" w:rsidP="00567D32">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ТБР на 2019 /факт за 2017, %</w:t>
            </w:r>
          </w:p>
        </w:tc>
      </w:tr>
      <w:tr w:rsidR="00567D32" w:rsidRPr="00FB0A3A" w14:paraId="70AA5841" w14:textId="77777777" w:rsidTr="00907125">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tcBorders>
            <w:hideMark/>
          </w:tcPr>
          <w:p w14:paraId="2E3249CB" w14:textId="5A82E8C0" w:rsidR="00AF0B12" w:rsidRPr="00FB0A3A" w:rsidRDefault="0032269E" w:rsidP="00567D32">
            <w:pPr>
              <w:tabs>
                <w:tab w:val="left" w:pos="1134"/>
              </w:tabs>
              <w:rPr>
                <w:rFonts w:eastAsia="Calibri" w:cs="Times New Roman"/>
                <w:szCs w:val="18"/>
              </w:rPr>
            </w:pPr>
            <w:r w:rsidRPr="00FB0A3A">
              <w:rPr>
                <w:rFonts w:eastAsia="Calibri" w:cs="Times New Roman"/>
                <w:szCs w:val="18"/>
              </w:rPr>
              <w:t>Расходы на обучение персонала</w:t>
            </w:r>
          </w:p>
        </w:tc>
        <w:tc>
          <w:tcPr>
            <w:tcW w:w="0" w:type="auto"/>
            <w:tcBorders>
              <w:top w:val="single" w:sz="4" w:space="0" w:color="FFFFFF" w:themeColor="background1"/>
            </w:tcBorders>
            <w:hideMark/>
          </w:tcPr>
          <w:p w14:paraId="5A45CF14" w14:textId="77777777" w:rsidR="00AF0B12" w:rsidRPr="00FB0A3A" w:rsidRDefault="00AF0B12" w:rsidP="00567D32">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5 953,70</w:t>
            </w:r>
          </w:p>
        </w:tc>
        <w:tc>
          <w:tcPr>
            <w:tcW w:w="0" w:type="auto"/>
            <w:tcBorders>
              <w:top w:val="single" w:sz="4" w:space="0" w:color="FFFFFF" w:themeColor="background1"/>
            </w:tcBorders>
            <w:hideMark/>
          </w:tcPr>
          <w:p w14:paraId="43262668" w14:textId="77777777" w:rsidR="00AF0B12" w:rsidRPr="00FB0A3A" w:rsidRDefault="00AF0B12" w:rsidP="00567D32">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6 430,00</w:t>
            </w:r>
          </w:p>
        </w:tc>
        <w:tc>
          <w:tcPr>
            <w:tcW w:w="0" w:type="auto"/>
            <w:tcBorders>
              <w:top w:val="single" w:sz="4" w:space="0" w:color="FFFFFF" w:themeColor="background1"/>
            </w:tcBorders>
            <w:hideMark/>
          </w:tcPr>
          <w:p w14:paraId="299C2C17" w14:textId="77777777" w:rsidR="00AF0B12" w:rsidRPr="00FB0A3A" w:rsidRDefault="00AF0B12" w:rsidP="00567D32">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5 167,00</w:t>
            </w:r>
          </w:p>
        </w:tc>
        <w:tc>
          <w:tcPr>
            <w:tcW w:w="0" w:type="auto"/>
            <w:tcBorders>
              <w:top w:val="single" w:sz="4" w:space="0" w:color="FFFFFF" w:themeColor="background1"/>
            </w:tcBorders>
            <w:hideMark/>
          </w:tcPr>
          <w:p w14:paraId="67542CB2" w14:textId="77777777" w:rsidR="00AF0B12" w:rsidRPr="00FB0A3A" w:rsidRDefault="00AF0B12" w:rsidP="00567D32">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-19,6</w:t>
            </w:r>
          </w:p>
        </w:tc>
        <w:tc>
          <w:tcPr>
            <w:tcW w:w="0" w:type="auto"/>
            <w:tcBorders>
              <w:top w:val="single" w:sz="4" w:space="0" w:color="FFFFFF" w:themeColor="background1"/>
            </w:tcBorders>
            <w:hideMark/>
          </w:tcPr>
          <w:p w14:paraId="2343874D" w14:textId="77777777" w:rsidR="00AF0B12" w:rsidRPr="00FB0A3A" w:rsidRDefault="00AF0B12" w:rsidP="00567D32">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-13,21</w:t>
            </w:r>
          </w:p>
        </w:tc>
      </w:tr>
    </w:tbl>
    <w:p w14:paraId="258BDA44" w14:textId="77777777" w:rsidR="00AF0B12" w:rsidRPr="00FB0A3A" w:rsidRDefault="00AF0B12" w:rsidP="00A31747">
      <w:pPr>
        <w:tabs>
          <w:tab w:val="left" w:pos="1134"/>
        </w:tabs>
        <w:spacing w:after="0" w:line="360" w:lineRule="auto"/>
        <w:ind w:firstLine="567"/>
        <w:contextualSpacing/>
        <w:jc w:val="both"/>
        <w:rPr>
          <w:rFonts w:ascii="Myriad Pro" w:eastAsia="Calibri" w:hAnsi="Myriad Pro" w:cs="Times New Roman"/>
          <w:b/>
          <w:sz w:val="26"/>
          <w:szCs w:val="26"/>
        </w:rPr>
      </w:pPr>
    </w:p>
    <w:p w14:paraId="44506567" w14:textId="423F44BF" w:rsidR="00D31F3F" w:rsidRPr="00FB0A3A" w:rsidRDefault="00D31F3F" w:rsidP="00567D32">
      <w:pPr>
        <w:tabs>
          <w:tab w:val="left" w:pos="1134"/>
        </w:tabs>
        <w:spacing w:after="0" w:line="360" w:lineRule="auto"/>
        <w:contextualSpacing/>
        <w:jc w:val="both"/>
        <w:rPr>
          <w:rFonts w:ascii="Myriad Pro" w:eastAsia="Calibri" w:hAnsi="Myriad Pro" w:cs="Times New Roman"/>
          <w:b/>
          <w:sz w:val="26"/>
          <w:szCs w:val="26"/>
        </w:rPr>
      </w:pPr>
      <w:r w:rsidRPr="00FB0A3A">
        <w:rPr>
          <w:rFonts w:ascii="Myriad Pro" w:eastAsia="Calibri" w:hAnsi="Myriad Pro" w:cs="Times New Roman"/>
          <w:b/>
          <w:sz w:val="26"/>
          <w:szCs w:val="26"/>
        </w:rPr>
        <w:t>ПОЗИЦИЯ ТЕРРИТОРИАЛЬНОЙ СЕТЕВОЙ ОРГАНИЗАЦИИ</w:t>
      </w:r>
    </w:p>
    <w:p w14:paraId="5B4EF8C2" w14:textId="76F3E5A6" w:rsidR="00D31F3F" w:rsidRPr="00FB0A3A" w:rsidRDefault="00D31F3F"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 xml:space="preserve">Расходы на подготовку кадров определены филиалом </w:t>
      </w:r>
      <w:r w:rsidR="00350B0A" w:rsidRPr="00FB0A3A">
        <w:rPr>
          <w:rFonts w:ascii="Myriad Pro" w:eastAsia="Calibri" w:hAnsi="Myriad Pro" w:cs="Times New Roman"/>
          <w:sz w:val="26"/>
          <w:szCs w:val="26"/>
        </w:rPr>
        <w:t xml:space="preserve">ПАО </w:t>
      </w:r>
      <w:r w:rsidR="00655FFA" w:rsidRPr="00FB0A3A">
        <w:rPr>
          <w:rFonts w:ascii="Myriad Pro" w:eastAsia="Calibri" w:hAnsi="Myriad Pro" w:cs="Times New Roman"/>
          <w:sz w:val="26"/>
          <w:szCs w:val="26"/>
        </w:rPr>
        <w:t>«</w:t>
      </w:r>
      <w:r w:rsidR="00350B0A" w:rsidRPr="00FB0A3A">
        <w:rPr>
          <w:rFonts w:ascii="Myriad Pro" w:eastAsia="Calibri" w:hAnsi="Myriad Pro" w:cs="Times New Roman"/>
          <w:sz w:val="26"/>
          <w:szCs w:val="26"/>
        </w:rPr>
        <w:t>МРСК Северо-Запада</w:t>
      </w:r>
      <w:r w:rsidR="00655FFA" w:rsidRPr="00FB0A3A">
        <w:rPr>
          <w:rFonts w:ascii="Myriad Pro" w:eastAsia="Calibri" w:hAnsi="Myriad Pro" w:cs="Times New Roman"/>
          <w:sz w:val="26"/>
          <w:szCs w:val="26"/>
        </w:rPr>
        <w:t>»</w:t>
      </w:r>
      <w:r w:rsidR="00350B0A" w:rsidRPr="00FB0A3A">
        <w:rPr>
          <w:rFonts w:ascii="Myriad Pro" w:eastAsia="Calibri" w:hAnsi="Myriad Pro" w:cs="Times New Roman"/>
          <w:sz w:val="26"/>
          <w:szCs w:val="26"/>
        </w:rPr>
        <w:t xml:space="preserve"> </w:t>
      </w:r>
      <w:r w:rsidR="00655FFA" w:rsidRPr="00FB0A3A">
        <w:rPr>
          <w:rFonts w:ascii="Myriad Pro" w:eastAsia="Calibri" w:hAnsi="Myriad Pro" w:cs="Times New Roman"/>
          <w:sz w:val="26"/>
          <w:szCs w:val="26"/>
        </w:rPr>
        <w:t>«</w:t>
      </w:r>
      <w:r w:rsidR="00350B0A" w:rsidRPr="00FB0A3A">
        <w:rPr>
          <w:rFonts w:ascii="Myriad Pro" w:eastAsia="Calibri" w:hAnsi="Myriad Pro" w:cs="Times New Roman"/>
          <w:sz w:val="26"/>
          <w:szCs w:val="26"/>
        </w:rPr>
        <w:t>Колэнерго</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 xml:space="preserve"> в необходимой валовой выручке на 2019 год и предъявлены в составе заявления от 28.04.2018 №МР2/4/02/3129 об установлении тарифов на услуги по передаче электрической энергии в размере 6 430 тыс. руб.</w:t>
      </w:r>
    </w:p>
    <w:p w14:paraId="7FAA0A3B" w14:textId="686BEB39" w:rsidR="00D31F3F" w:rsidRPr="00FB0A3A" w:rsidRDefault="00D31F3F"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 xml:space="preserve">Для обоснования заявленной суммы расходов на подготовку кадров филиалом </w:t>
      </w:r>
      <w:r w:rsidR="00350B0A" w:rsidRPr="00FB0A3A">
        <w:rPr>
          <w:rFonts w:ascii="Myriad Pro" w:eastAsia="Calibri" w:hAnsi="Myriad Pro" w:cs="Times New Roman"/>
          <w:sz w:val="26"/>
          <w:szCs w:val="26"/>
        </w:rPr>
        <w:t xml:space="preserve">ПАО </w:t>
      </w:r>
      <w:r w:rsidR="00655FFA" w:rsidRPr="00FB0A3A">
        <w:rPr>
          <w:rFonts w:ascii="Myriad Pro" w:eastAsia="Calibri" w:hAnsi="Myriad Pro" w:cs="Times New Roman"/>
          <w:sz w:val="26"/>
          <w:szCs w:val="26"/>
        </w:rPr>
        <w:t>«</w:t>
      </w:r>
      <w:r w:rsidR="00350B0A" w:rsidRPr="00FB0A3A">
        <w:rPr>
          <w:rFonts w:ascii="Myriad Pro" w:eastAsia="Calibri" w:hAnsi="Myriad Pro" w:cs="Times New Roman"/>
          <w:sz w:val="26"/>
          <w:szCs w:val="26"/>
        </w:rPr>
        <w:t>МРСК Северо-Запада</w:t>
      </w:r>
      <w:r w:rsidR="00655FFA" w:rsidRPr="00FB0A3A">
        <w:rPr>
          <w:rFonts w:ascii="Myriad Pro" w:eastAsia="Calibri" w:hAnsi="Myriad Pro" w:cs="Times New Roman"/>
          <w:sz w:val="26"/>
          <w:szCs w:val="26"/>
        </w:rPr>
        <w:t>»</w:t>
      </w:r>
      <w:r w:rsidR="00350B0A" w:rsidRPr="00FB0A3A">
        <w:rPr>
          <w:rFonts w:ascii="Myriad Pro" w:eastAsia="Calibri" w:hAnsi="Myriad Pro" w:cs="Times New Roman"/>
          <w:sz w:val="26"/>
          <w:szCs w:val="26"/>
        </w:rPr>
        <w:t xml:space="preserve"> </w:t>
      </w:r>
      <w:r w:rsidR="00655FFA" w:rsidRPr="00FB0A3A">
        <w:rPr>
          <w:rFonts w:ascii="Myriad Pro" w:eastAsia="Calibri" w:hAnsi="Myriad Pro" w:cs="Times New Roman"/>
          <w:sz w:val="26"/>
          <w:szCs w:val="26"/>
        </w:rPr>
        <w:t>«</w:t>
      </w:r>
      <w:r w:rsidR="00350B0A" w:rsidRPr="00FB0A3A">
        <w:rPr>
          <w:rFonts w:ascii="Myriad Pro" w:eastAsia="Calibri" w:hAnsi="Myriad Pro" w:cs="Times New Roman"/>
          <w:sz w:val="26"/>
          <w:szCs w:val="26"/>
        </w:rPr>
        <w:t>Колэнерго</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 xml:space="preserve"> были представлены следующие документы:</w:t>
      </w:r>
    </w:p>
    <w:p w14:paraId="4C1CAF5D" w14:textId="7F4E7249" w:rsidR="00D31F3F" w:rsidRPr="00FB0A3A" w:rsidRDefault="00D31F3F"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Расчет расходов на услуги по подготовке кадров, переподготовке и повышения квалификации;</w:t>
      </w:r>
    </w:p>
    <w:p w14:paraId="038052BD" w14:textId="77777777" w:rsidR="00D31F3F" w:rsidRPr="00FB0A3A" w:rsidRDefault="00D31F3F"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Реестр договоров по статье услуги по подготовке кадров;</w:t>
      </w:r>
    </w:p>
    <w:p w14:paraId="6CF2C8DE" w14:textId="77777777" w:rsidR="00D31F3F" w:rsidRPr="00FB0A3A" w:rsidRDefault="00D31F3F"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Копии договоров по подготовке кадров;</w:t>
      </w:r>
    </w:p>
    <w:p w14:paraId="3910CCEF" w14:textId="34E4E8D1" w:rsidR="00D31F3F" w:rsidRPr="00FB0A3A" w:rsidRDefault="00D31F3F"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 xml:space="preserve">План профессионального развития персонала филиала ПАО </w:t>
      </w:r>
      <w:r w:rsidR="00655FFA" w:rsidRPr="00FB0A3A">
        <w:rPr>
          <w:rFonts w:ascii="Myriad Pro" w:hAnsi="Myriad Pro"/>
          <w:sz w:val="26"/>
          <w:szCs w:val="26"/>
        </w:rPr>
        <w:t>«</w:t>
      </w:r>
      <w:r w:rsidR="00597FD5" w:rsidRPr="00FB0A3A">
        <w:rPr>
          <w:rFonts w:ascii="Myriad Pro" w:hAnsi="Myriad Pro"/>
          <w:sz w:val="26"/>
          <w:szCs w:val="26"/>
        </w:rPr>
        <w:t>МРСК Северо-Запада</w:t>
      </w:r>
      <w:r w:rsidR="00655FFA" w:rsidRPr="00FB0A3A">
        <w:rPr>
          <w:rFonts w:ascii="Myriad Pro" w:hAnsi="Myriad Pro"/>
          <w:sz w:val="26"/>
          <w:szCs w:val="26"/>
        </w:rPr>
        <w:t>»</w:t>
      </w:r>
      <w:r w:rsidR="00DD2DA6" w:rsidRPr="00FB0A3A">
        <w:rPr>
          <w:rFonts w:ascii="Myriad Pro" w:hAnsi="Myriad Pro"/>
          <w:sz w:val="26"/>
          <w:szCs w:val="26"/>
        </w:rPr>
        <w:t xml:space="preserve"> </w:t>
      </w:r>
      <w:r w:rsidR="00655FFA" w:rsidRPr="00FB0A3A">
        <w:rPr>
          <w:rFonts w:ascii="Myriad Pro" w:hAnsi="Myriad Pro"/>
          <w:sz w:val="26"/>
          <w:szCs w:val="26"/>
        </w:rPr>
        <w:t>«</w:t>
      </w:r>
      <w:r w:rsidR="00DD2DA6" w:rsidRPr="00FB0A3A">
        <w:rPr>
          <w:rFonts w:ascii="Myriad Pro" w:hAnsi="Myriad Pro"/>
          <w:sz w:val="26"/>
          <w:szCs w:val="26"/>
        </w:rPr>
        <w:t>Колэнерго</w:t>
      </w:r>
      <w:r w:rsidR="00655FFA" w:rsidRPr="00FB0A3A">
        <w:rPr>
          <w:rFonts w:ascii="Myriad Pro" w:hAnsi="Myriad Pro"/>
          <w:sz w:val="26"/>
          <w:szCs w:val="26"/>
        </w:rPr>
        <w:t>»</w:t>
      </w:r>
      <w:r w:rsidRPr="00FB0A3A">
        <w:rPr>
          <w:rFonts w:ascii="Myriad Pro" w:hAnsi="Myriad Pro"/>
          <w:sz w:val="26"/>
          <w:szCs w:val="26"/>
        </w:rPr>
        <w:t>;</w:t>
      </w:r>
    </w:p>
    <w:p w14:paraId="5492B009" w14:textId="03F607F6" w:rsidR="00D31F3F" w:rsidRPr="00FB0A3A" w:rsidRDefault="00D31F3F"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lastRenderedPageBreak/>
        <w:t xml:space="preserve">Анализ счета 20,23,25 по элементу затрат </w:t>
      </w:r>
      <w:r w:rsidR="00655FFA" w:rsidRPr="00FB0A3A">
        <w:rPr>
          <w:rFonts w:ascii="Myriad Pro" w:hAnsi="Myriad Pro"/>
          <w:sz w:val="26"/>
          <w:szCs w:val="26"/>
        </w:rPr>
        <w:t>«</w:t>
      </w:r>
      <w:r w:rsidRPr="00FB0A3A">
        <w:rPr>
          <w:rFonts w:ascii="Myriad Pro" w:hAnsi="Myriad Pro"/>
          <w:sz w:val="26"/>
          <w:szCs w:val="26"/>
        </w:rPr>
        <w:t>Расходы на подготовку и переподготовку кадров</w:t>
      </w:r>
      <w:r w:rsidR="00655FFA" w:rsidRPr="00FB0A3A">
        <w:rPr>
          <w:rFonts w:ascii="Myriad Pro" w:hAnsi="Myriad Pro"/>
          <w:sz w:val="26"/>
          <w:szCs w:val="26"/>
        </w:rPr>
        <w:t>»</w:t>
      </w:r>
      <w:r w:rsidRPr="00FB0A3A">
        <w:rPr>
          <w:rFonts w:ascii="Myriad Pro" w:hAnsi="Myriad Pro"/>
          <w:sz w:val="26"/>
          <w:szCs w:val="26"/>
        </w:rPr>
        <w:t xml:space="preserve"> по виду деятельности </w:t>
      </w:r>
      <w:r w:rsidR="00655FFA" w:rsidRPr="00FB0A3A">
        <w:rPr>
          <w:rFonts w:ascii="Myriad Pro" w:hAnsi="Myriad Pro"/>
          <w:sz w:val="26"/>
          <w:szCs w:val="26"/>
        </w:rPr>
        <w:t>«</w:t>
      </w:r>
      <w:r w:rsidRPr="00FB0A3A">
        <w:rPr>
          <w:rFonts w:ascii="Myriad Pro" w:hAnsi="Myriad Pro"/>
          <w:sz w:val="26"/>
          <w:szCs w:val="26"/>
        </w:rPr>
        <w:t>Услуги по передаче электроэнергии по сетям</w:t>
      </w:r>
      <w:r w:rsidR="00655FFA" w:rsidRPr="00FB0A3A">
        <w:rPr>
          <w:rFonts w:ascii="Myriad Pro" w:hAnsi="Myriad Pro"/>
          <w:sz w:val="26"/>
          <w:szCs w:val="26"/>
        </w:rPr>
        <w:t>»</w:t>
      </w:r>
      <w:r w:rsidRPr="00FB0A3A">
        <w:rPr>
          <w:rFonts w:ascii="Myriad Pro" w:hAnsi="Myriad Pro"/>
          <w:sz w:val="26"/>
          <w:szCs w:val="26"/>
        </w:rPr>
        <w:t xml:space="preserve"> за 2017 г.</w:t>
      </w:r>
    </w:p>
    <w:p w14:paraId="39577EE2" w14:textId="77777777" w:rsidR="00D31F3F" w:rsidRPr="00FB0A3A" w:rsidRDefault="00D31F3F" w:rsidP="00A31747">
      <w:pPr>
        <w:pStyle w:val="a4"/>
        <w:tabs>
          <w:tab w:val="left" w:pos="1134"/>
        </w:tabs>
        <w:spacing w:after="0" w:line="360" w:lineRule="auto"/>
        <w:ind w:left="0" w:firstLine="567"/>
        <w:jc w:val="both"/>
        <w:rPr>
          <w:rFonts w:ascii="Myriad Pro" w:hAnsi="Myriad Pro"/>
          <w:sz w:val="26"/>
          <w:szCs w:val="26"/>
        </w:rPr>
      </w:pPr>
    </w:p>
    <w:p w14:paraId="6CAB6AE8" w14:textId="77777777" w:rsidR="00D31F3F" w:rsidRPr="00FB0A3A" w:rsidRDefault="00D31F3F" w:rsidP="00567D32">
      <w:pPr>
        <w:tabs>
          <w:tab w:val="left" w:pos="1134"/>
        </w:tabs>
        <w:spacing w:after="0" w:line="360" w:lineRule="auto"/>
        <w:contextualSpacing/>
        <w:jc w:val="both"/>
        <w:rPr>
          <w:rFonts w:ascii="Myriad Pro" w:eastAsia="Calibri" w:hAnsi="Myriad Pro" w:cs="Times New Roman"/>
          <w:b/>
          <w:sz w:val="26"/>
          <w:szCs w:val="26"/>
        </w:rPr>
      </w:pPr>
      <w:r w:rsidRPr="00FB0A3A">
        <w:rPr>
          <w:rFonts w:ascii="Myriad Pro" w:eastAsia="Calibri" w:hAnsi="Myriad Pro" w:cs="Times New Roman"/>
          <w:b/>
          <w:sz w:val="26"/>
          <w:szCs w:val="26"/>
        </w:rPr>
        <w:t>ПОЗИЦИЯ ОРГАНА РЕГУЛИРОВАНИЯ</w:t>
      </w:r>
    </w:p>
    <w:p w14:paraId="07313913" w14:textId="77777777" w:rsidR="00D31F3F" w:rsidRPr="00FB0A3A" w:rsidRDefault="00D31F3F" w:rsidP="00A31747">
      <w:pPr>
        <w:tabs>
          <w:tab w:val="left" w:pos="1134"/>
        </w:tabs>
        <w:spacing w:after="0" w:line="360" w:lineRule="auto"/>
        <w:ind w:firstLine="567"/>
        <w:jc w:val="both"/>
        <w:rPr>
          <w:rFonts w:ascii="Myriad Pro" w:eastAsia="Calibri" w:hAnsi="Myriad Pro" w:cs="Times New Roman"/>
          <w:sz w:val="26"/>
          <w:szCs w:val="26"/>
        </w:rPr>
      </w:pPr>
      <w:r w:rsidRPr="00FB0A3A">
        <w:rPr>
          <w:rFonts w:ascii="Myriad Pro" w:eastAsia="Calibri" w:hAnsi="Myriad Pro" w:cs="Times New Roman"/>
          <w:sz w:val="26"/>
          <w:szCs w:val="26"/>
        </w:rPr>
        <w:t>Величина расходов, принятая регулирующим органом на 2019 год:</w:t>
      </w:r>
    </w:p>
    <w:p w14:paraId="06674BDF" w14:textId="448D9AF9" w:rsidR="00D31F3F" w:rsidRPr="00FB0A3A" w:rsidRDefault="00D31F3F"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экономически обоснованный уровень – 5 366,91 тыс. руб.;</w:t>
      </w:r>
    </w:p>
    <w:p w14:paraId="43D665CE" w14:textId="02B00045" w:rsidR="00D31F3F" w:rsidRPr="00FB0A3A" w:rsidRDefault="00D31F3F"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уровень, принятый при установлении НВВ – 5 167,0 тыс. руб.  (0,7*ЭОУ+0,3*МА)</w:t>
      </w:r>
    </w:p>
    <w:p w14:paraId="130C67BB" w14:textId="6B4F16A5" w:rsidR="00D31F3F" w:rsidRPr="00FB0A3A" w:rsidRDefault="00545DC9" w:rsidP="00A31747">
      <w:pPr>
        <w:tabs>
          <w:tab w:val="left" w:pos="1134"/>
        </w:tabs>
        <w:spacing w:after="0" w:line="360" w:lineRule="auto"/>
        <w:ind w:firstLine="567"/>
        <w:jc w:val="both"/>
        <w:rPr>
          <w:rFonts w:ascii="Myriad Pro" w:eastAsia="Calibri" w:hAnsi="Myriad Pro" w:cs="Times New Roman"/>
          <w:sz w:val="26"/>
          <w:szCs w:val="26"/>
        </w:rPr>
      </w:pPr>
      <w:r w:rsidRPr="00FB0A3A">
        <w:rPr>
          <w:rFonts w:ascii="Myriad Pro" w:eastAsia="Calibri" w:hAnsi="Myriad Pro" w:cs="Times New Roman"/>
          <w:sz w:val="26"/>
          <w:szCs w:val="26"/>
        </w:rPr>
        <w:t>На основании анализа представленных Филиалом фактических расходов за 2017 год, Комитетом на 2019 год приняты экономически обоснованные расходы за 2017 год с учетом ИПЦ.</w:t>
      </w:r>
    </w:p>
    <w:p w14:paraId="54249D3E" w14:textId="77777777" w:rsidR="00545DC9" w:rsidRPr="00FB0A3A" w:rsidRDefault="00545DC9" w:rsidP="00A31747">
      <w:pPr>
        <w:tabs>
          <w:tab w:val="left" w:pos="1134"/>
        </w:tabs>
        <w:spacing w:after="0" w:line="360" w:lineRule="auto"/>
        <w:ind w:firstLine="567"/>
        <w:jc w:val="both"/>
        <w:rPr>
          <w:rFonts w:ascii="Myriad Pro" w:eastAsia="Calibri" w:hAnsi="Myriad Pro" w:cs="Times New Roman"/>
          <w:sz w:val="26"/>
          <w:szCs w:val="26"/>
        </w:rPr>
      </w:pPr>
    </w:p>
    <w:p w14:paraId="5DF426E1" w14:textId="43510FF3" w:rsidR="00D31F3F" w:rsidRPr="00FB0A3A" w:rsidRDefault="00D31F3F" w:rsidP="00567D32">
      <w:pPr>
        <w:tabs>
          <w:tab w:val="left" w:pos="1134"/>
        </w:tabs>
        <w:spacing w:after="0" w:line="360" w:lineRule="auto"/>
        <w:contextualSpacing/>
        <w:jc w:val="both"/>
        <w:rPr>
          <w:rFonts w:ascii="Myriad Pro" w:eastAsia="Calibri" w:hAnsi="Myriad Pro" w:cs="Times New Roman"/>
          <w:b/>
          <w:sz w:val="26"/>
          <w:szCs w:val="26"/>
        </w:rPr>
      </w:pPr>
      <w:r w:rsidRPr="00FB0A3A">
        <w:rPr>
          <w:rFonts w:ascii="Myriad Pro" w:eastAsia="Calibri" w:hAnsi="Myriad Pro" w:cs="Times New Roman"/>
          <w:b/>
          <w:sz w:val="26"/>
          <w:szCs w:val="26"/>
        </w:rPr>
        <w:t>ПОЗИЦИЯ ИСПОЛНИТЕЛЯ</w:t>
      </w:r>
    </w:p>
    <w:p w14:paraId="35D7B499" w14:textId="694DC658" w:rsidR="00545DC9" w:rsidRPr="00FB0A3A" w:rsidRDefault="00BF7C4F" w:rsidP="00A31747">
      <w:pPr>
        <w:tabs>
          <w:tab w:val="left" w:pos="1134"/>
        </w:tabs>
        <w:autoSpaceDE w:val="0"/>
        <w:autoSpaceDN w:val="0"/>
        <w:adjustRightInd w:val="0"/>
        <w:spacing w:after="0" w:line="360" w:lineRule="auto"/>
        <w:ind w:firstLine="567"/>
        <w:jc w:val="both"/>
        <w:rPr>
          <w:rFonts w:ascii="Myriad Pro" w:eastAsia="Calibri" w:hAnsi="Myriad Pro" w:cs="Times New Roman"/>
          <w:sz w:val="26"/>
          <w:szCs w:val="26"/>
        </w:rPr>
      </w:pPr>
      <w:r w:rsidRPr="00FB0A3A">
        <w:rPr>
          <w:rFonts w:ascii="Myriad Pro" w:eastAsia="Calibri" w:hAnsi="Myriad Pro" w:cs="Times New Roman"/>
          <w:sz w:val="26"/>
          <w:szCs w:val="26"/>
        </w:rPr>
        <w:t xml:space="preserve">С целью обоснования расходов по подготовке кадров, в состав которых включены расходы на краткосрочное и длительное периодическое обучение персонала </w:t>
      </w:r>
      <w:r w:rsidR="00545DC9" w:rsidRPr="00FB0A3A">
        <w:rPr>
          <w:rFonts w:ascii="Myriad Pro" w:eastAsia="Calibri" w:hAnsi="Myriad Pro" w:cs="Times New Roman"/>
          <w:sz w:val="26"/>
          <w:szCs w:val="26"/>
        </w:rPr>
        <w:t>Филиалом представлен расчет расходов за 2017 год и на плановый период 2019 года, договоры и План профессионального развития персонала, однако нигде не указаны ссылки на нормативный документ, в силу которого необходимо проводить обучение персонала, также не указыв</w:t>
      </w:r>
      <w:r w:rsidRPr="00FB0A3A">
        <w:rPr>
          <w:rFonts w:ascii="Myriad Pro" w:eastAsia="Calibri" w:hAnsi="Myriad Pro" w:cs="Times New Roman"/>
          <w:sz w:val="26"/>
          <w:szCs w:val="26"/>
        </w:rPr>
        <w:t>ается периодичность обучения.</w:t>
      </w:r>
    </w:p>
    <w:p w14:paraId="4E134443" w14:textId="77777777" w:rsidR="00BF7C4F" w:rsidRPr="00FB0A3A" w:rsidRDefault="00545DC9" w:rsidP="00A31747">
      <w:pPr>
        <w:tabs>
          <w:tab w:val="left" w:pos="1134"/>
        </w:tabs>
        <w:autoSpaceDE w:val="0"/>
        <w:autoSpaceDN w:val="0"/>
        <w:adjustRightInd w:val="0"/>
        <w:spacing w:after="0" w:line="360" w:lineRule="auto"/>
        <w:ind w:firstLine="567"/>
        <w:jc w:val="both"/>
        <w:rPr>
          <w:rFonts w:ascii="Myriad Pro" w:eastAsia="Calibri" w:hAnsi="Myriad Pro" w:cs="Times New Roman"/>
          <w:sz w:val="26"/>
          <w:szCs w:val="26"/>
        </w:rPr>
      </w:pPr>
      <w:r w:rsidRPr="00FB0A3A">
        <w:rPr>
          <w:rFonts w:ascii="Myriad Pro" w:eastAsia="Calibri" w:hAnsi="Myriad Pro" w:cs="Times New Roman"/>
          <w:sz w:val="26"/>
          <w:szCs w:val="26"/>
        </w:rPr>
        <w:t xml:space="preserve">Расчет расходов на подготовку кадров выполнен в разрезе образовательных учреждений с указанием количества обучаемых, стоимости обучения на одного сотрудника и общей стоимости на обучение. В данном расчете отражены фактические данные за 2017 год, ожидаемые на 2018 год и прогнозные на 2019 год.  </w:t>
      </w:r>
    </w:p>
    <w:p w14:paraId="72AB8994" w14:textId="4525CCE8" w:rsidR="00BF7C4F" w:rsidRPr="00FB0A3A" w:rsidRDefault="00545DC9" w:rsidP="00A31747">
      <w:pPr>
        <w:tabs>
          <w:tab w:val="left" w:pos="1134"/>
        </w:tabs>
        <w:autoSpaceDE w:val="0"/>
        <w:autoSpaceDN w:val="0"/>
        <w:adjustRightInd w:val="0"/>
        <w:spacing w:after="0" w:line="360" w:lineRule="auto"/>
        <w:ind w:firstLine="567"/>
        <w:jc w:val="both"/>
        <w:rPr>
          <w:rFonts w:ascii="Myriad Pro" w:eastAsia="Calibri" w:hAnsi="Myriad Pro" w:cs="Times New Roman"/>
          <w:sz w:val="26"/>
          <w:szCs w:val="26"/>
        </w:rPr>
      </w:pPr>
      <w:r w:rsidRPr="00FB0A3A">
        <w:rPr>
          <w:rFonts w:ascii="Myriad Pro" w:eastAsia="Calibri" w:hAnsi="Myriad Pro" w:cs="Times New Roman"/>
          <w:sz w:val="26"/>
          <w:szCs w:val="26"/>
        </w:rPr>
        <w:t>По р</w:t>
      </w:r>
      <w:r w:rsidR="00BF7C4F" w:rsidRPr="00FB0A3A">
        <w:rPr>
          <w:rFonts w:ascii="Myriad Pro" w:eastAsia="Calibri" w:hAnsi="Myriad Pro" w:cs="Times New Roman"/>
          <w:sz w:val="26"/>
          <w:szCs w:val="26"/>
        </w:rPr>
        <w:t>яду образовательных учреждений о</w:t>
      </w:r>
      <w:r w:rsidRPr="00FB0A3A">
        <w:rPr>
          <w:rFonts w:ascii="Myriad Pro" w:eastAsia="Calibri" w:hAnsi="Myriad Pro" w:cs="Times New Roman"/>
          <w:sz w:val="26"/>
          <w:szCs w:val="26"/>
        </w:rPr>
        <w:t xml:space="preserve">бщее количество сотрудников, подлежащих обучению по прогнозам регулируемой организации в 2019 году </w:t>
      </w:r>
      <w:r w:rsidR="00BF7C4F" w:rsidRPr="00FB0A3A">
        <w:rPr>
          <w:rFonts w:ascii="Myriad Pro" w:eastAsia="Calibri" w:hAnsi="Myriad Pro" w:cs="Times New Roman"/>
          <w:sz w:val="26"/>
          <w:szCs w:val="26"/>
        </w:rPr>
        <w:t>в разы превышает количество сотрудников, прошедших обучение в 2017 году (ДПО</w:t>
      </w:r>
      <w:r w:rsidR="009808E8">
        <w:rPr>
          <w:rFonts w:ascii="Myriad Pro" w:eastAsia="Calibri" w:hAnsi="Myriad Pro" w:cs="Times New Roman"/>
          <w:sz w:val="26"/>
          <w:szCs w:val="26"/>
        </w:rPr>
        <w:t> </w:t>
      </w:r>
      <w:r w:rsidR="00BF7C4F" w:rsidRPr="00FB0A3A">
        <w:rPr>
          <w:rFonts w:ascii="Myriad Pro" w:eastAsia="Calibri" w:hAnsi="Myriad Pro" w:cs="Times New Roman"/>
          <w:sz w:val="26"/>
          <w:szCs w:val="26"/>
        </w:rPr>
        <w:t>УЦ Энергетик 2017 год – 42 чел., 2019 – 200 чел</w:t>
      </w:r>
      <w:r w:rsidR="00D249DD" w:rsidRPr="00FB0A3A">
        <w:rPr>
          <w:rFonts w:ascii="Myriad Pro" w:eastAsia="Calibri" w:hAnsi="Myriad Pro" w:cs="Times New Roman"/>
          <w:sz w:val="26"/>
          <w:szCs w:val="26"/>
        </w:rPr>
        <w:t>.</w:t>
      </w:r>
      <w:r w:rsidR="00EF43EF" w:rsidRPr="00FB0A3A">
        <w:rPr>
          <w:rFonts w:ascii="Myriad Pro" w:eastAsia="Calibri" w:hAnsi="Myriad Pro" w:cs="Times New Roman"/>
          <w:sz w:val="26"/>
          <w:szCs w:val="26"/>
        </w:rPr>
        <w:t>). Обоснование</w:t>
      </w:r>
      <w:r w:rsidR="00BF7C4F" w:rsidRPr="00FB0A3A">
        <w:rPr>
          <w:rFonts w:ascii="Myriad Pro" w:eastAsia="Calibri" w:hAnsi="Myriad Pro" w:cs="Times New Roman"/>
          <w:sz w:val="26"/>
          <w:szCs w:val="26"/>
        </w:rPr>
        <w:t xml:space="preserve"> по увеличению количества обучающихся со стороны Филиала не представлено.</w:t>
      </w:r>
    </w:p>
    <w:p w14:paraId="2B764BBC" w14:textId="6091D693" w:rsidR="00967031" w:rsidRPr="00FB0A3A" w:rsidRDefault="00545DC9" w:rsidP="00A31747">
      <w:pPr>
        <w:tabs>
          <w:tab w:val="left" w:pos="1134"/>
        </w:tabs>
        <w:autoSpaceDE w:val="0"/>
        <w:autoSpaceDN w:val="0"/>
        <w:adjustRightInd w:val="0"/>
        <w:spacing w:after="0" w:line="360" w:lineRule="auto"/>
        <w:ind w:firstLine="567"/>
        <w:jc w:val="both"/>
        <w:rPr>
          <w:rFonts w:ascii="Myriad Pro" w:eastAsia="Calibri" w:hAnsi="Myriad Pro" w:cs="Times New Roman"/>
          <w:sz w:val="26"/>
          <w:szCs w:val="26"/>
        </w:rPr>
      </w:pPr>
      <w:r w:rsidRPr="00FB0A3A">
        <w:rPr>
          <w:rFonts w:ascii="Myriad Pro" w:eastAsia="Calibri" w:hAnsi="Myriad Pro" w:cs="Times New Roman"/>
          <w:sz w:val="26"/>
          <w:szCs w:val="26"/>
        </w:rPr>
        <w:lastRenderedPageBreak/>
        <w:t>По ряду образовательных учреждений в 2019 году запланировано повышение стоимости одного обучения в сравнении</w:t>
      </w:r>
      <w:r w:rsidR="00967031" w:rsidRPr="00FB0A3A">
        <w:rPr>
          <w:rFonts w:ascii="Myriad Pro" w:eastAsia="Calibri" w:hAnsi="Myriad Pro" w:cs="Times New Roman"/>
          <w:sz w:val="26"/>
          <w:szCs w:val="26"/>
        </w:rPr>
        <w:t xml:space="preserve"> со стоимостью 2017</w:t>
      </w:r>
      <w:r w:rsidRPr="00FB0A3A">
        <w:rPr>
          <w:rFonts w:ascii="Myriad Pro" w:eastAsia="Calibri" w:hAnsi="Myriad Pro" w:cs="Times New Roman"/>
          <w:sz w:val="26"/>
          <w:szCs w:val="26"/>
        </w:rPr>
        <w:t xml:space="preserve"> года более чем на величину индекса потребительских цен, дополнительные пояснения по увеличению цены не представлены</w:t>
      </w:r>
      <w:r w:rsidR="00967031" w:rsidRPr="00FB0A3A">
        <w:rPr>
          <w:rFonts w:ascii="Myriad Pro" w:eastAsia="Calibri" w:hAnsi="Myriad Pro" w:cs="Times New Roman"/>
          <w:sz w:val="26"/>
          <w:szCs w:val="26"/>
        </w:rPr>
        <w:t xml:space="preserve"> (УЦ Эврика, стоимость обучения 2017 г. – 65 тыс. руб., 2019 год – 90 тыс. руб.; Северный государственный медицинский университет (г. Архангельск) Минздрава России - стоимость обучения 2017 г. – 12 тыс. руб., 2019 год – 25 тыс. руб.)</w:t>
      </w:r>
      <w:r w:rsidRPr="00FB0A3A">
        <w:rPr>
          <w:rFonts w:ascii="Myriad Pro" w:eastAsia="Calibri" w:hAnsi="Myriad Pro" w:cs="Times New Roman"/>
          <w:sz w:val="26"/>
          <w:szCs w:val="26"/>
        </w:rPr>
        <w:t xml:space="preserve">. </w:t>
      </w:r>
    </w:p>
    <w:p w14:paraId="2B2B0DE5" w14:textId="552124E3" w:rsidR="00646F39" w:rsidRPr="00FB0A3A" w:rsidRDefault="00646F39" w:rsidP="00A31747">
      <w:pPr>
        <w:tabs>
          <w:tab w:val="left" w:pos="1134"/>
        </w:tabs>
        <w:autoSpaceDE w:val="0"/>
        <w:autoSpaceDN w:val="0"/>
        <w:adjustRightInd w:val="0"/>
        <w:spacing w:after="0" w:line="360" w:lineRule="auto"/>
        <w:ind w:firstLine="567"/>
        <w:jc w:val="both"/>
        <w:rPr>
          <w:rFonts w:ascii="Myriad Pro" w:eastAsia="Calibri" w:hAnsi="Myriad Pro" w:cs="Times New Roman"/>
          <w:sz w:val="26"/>
          <w:szCs w:val="26"/>
        </w:rPr>
      </w:pPr>
      <w:r w:rsidRPr="00FB0A3A">
        <w:rPr>
          <w:rFonts w:ascii="Myriad Pro" w:eastAsia="Calibri" w:hAnsi="Myriad Pro" w:cs="Times New Roman"/>
          <w:sz w:val="26"/>
          <w:szCs w:val="26"/>
        </w:rPr>
        <w:t xml:space="preserve">В </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 xml:space="preserve">Плане профессионального развития персонала филиала ПАО </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МРСК Северо-Запада</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 xml:space="preserve"> </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Колэнерго</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 xml:space="preserve"> на </w:t>
      </w:r>
      <w:r w:rsidRPr="0003782D">
        <w:rPr>
          <w:rFonts w:ascii="Myriad Pro" w:eastAsia="Calibri" w:hAnsi="Myriad Pro" w:cs="Times New Roman"/>
          <w:sz w:val="26"/>
          <w:szCs w:val="26"/>
        </w:rPr>
        <w:t>2018 год</w:t>
      </w:r>
      <w:r w:rsidR="00655FFA" w:rsidRPr="0003782D">
        <w:rPr>
          <w:rFonts w:ascii="Myriad Pro" w:eastAsia="Calibri" w:hAnsi="Myriad Pro" w:cs="Times New Roman"/>
          <w:sz w:val="26"/>
          <w:szCs w:val="26"/>
        </w:rPr>
        <w:t>»</w:t>
      </w:r>
      <w:r w:rsidRPr="0003782D">
        <w:rPr>
          <w:rFonts w:ascii="Myriad Pro" w:eastAsia="Calibri" w:hAnsi="Myriad Pro" w:cs="Times New Roman"/>
          <w:sz w:val="26"/>
          <w:szCs w:val="26"/>
        </w:rPr>
        <w:t xml:space="preserve"> поименовано 1</w:t>
      </w:r>
      <w:r w:rsidR="00D5027E" w:rsidRPr="0003782D">
        <w:rPr>
          <w:rFonts w:ascii="Myriad Pro" w:eastAsia="Calibri" w:hAnsi="Myriad Pro" w:cs="Times New Roman"/>
          <w:sz w:val="26"/>
          <w:szCs w:val="26"/>
        </w:rPr>
        <w:t> </w:t>
      </w:r>
      <w:r w:rsidRPr="0003782D">
        <w:rPr>
          <w:rFonts w:ascii="Myriad Pro" w:eastAsia="Calibri" w:hAnsi="Myriad Pro" w:cs="Times New Roman"/>
          <w:sz w:val="26"/>
          <w:szCs w:val="26"/>
        </w:rPr>
        <w:t>357 позиций, таким образом ежегодное количество обучающихся больше фактической численности. Необходимость обучения одних и тех же людей по нескольким программам не подтверждена обоснованиями и нормативно-правовыми актами.</w:t>
      </w:r>
    </w:p>
    <w:p w14:paraId="7B7C338A" w14:textId="77777777" w:rsidR="00646F39" w:rsidRPr="00FB0A3A" w:rsidRDefault="00646F39" w:rsidP="00A31747">
      <w:pPr>
        <w:tabs>
          <w:tab w:val="left" w:pos="1134"/>
        </w:tabs>
        <w:autoSpaceDE w:val="0"/>
        <w:autoSpaceDN w:val="0"/>
        <w:adjustRightInd w:val="0"/>
        <w:spacing w:after="0" w:line="360" w:lineRule="auto"/>
        <w:ind w:firstLine="567"/>
        <w:jc w:val="both"/>
        <w:rPr>
          <w:rFonts w:ascii="Myriad Pro" w:eastAsia="Calibri" w:hAnsi="Myriad Pro" w:cs="Times New Roman"/>
          <w:sz w:val="26"/>
          <w:szCs w:val="26"/>
        </w:rPr>
      </w:pPr>
      <w:r w:rsidRPr="00FB0A3A">
        <w:rPr>
          <w:rFonts w:ascii="Myriad Pro" w:eastAsia="Calibri" w:hAnsi="Myriad Pro" w:cs="Times New Roman"/>
          <w:sz w:val="26"/>
          <w:szCs w:val="26"/>
        </w:rPr>
        <w:t xml:space="preserve">Принимая во внимание, что расходы на обучение по отдельным программам носят периодический характер (один раз в три года, один раз в пять лет) Исполнитель считает необходимым планировать расходы обучения на каждый год долгосрочный период и принимать за прогнозное значение 1/5 от пятилетних расходов. </w:t>
      </w:r>
    </w:p>
    <w:p w14:paraId="0ED64BE3" w14:textId="575E9339" w:rsidR="004C232B" w:rsidRPr="00FB0A3A" w:rsidRDefault="00967031"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На основании вышеизложенного не представляется возможным сделать однозначный вывод об экономической целесообразности данных расходов</w:t>
      </w:r>
      <w:r w:rsidR="00D249DD" w:rsidRPr="00FB0A3A">
        <w:rPr>
          <w:rFonts w:ascii="Myriad Pro" w:eastAsia="Calibri" w:hAnsi="Myriad Pro" w:cs="Times New Roman"/>
          <w:sz w:val="26"/>
          <w:szCs w:val="26"/>
        </w:rPr>
        <w:t xml:space="preserve">, </w:t>
      </w:r>
      <w:r w:rsidR="004C232B" w:rsidRPr="00FB0A3A">
        <w:rPr>
          <w:rFonts w:ascii="Myriad Pro" w:eastAsia="Calibri" w:hAnsi="Myriad Pro" w:cs="Times New Roman"/>
          <w:sz w:val="26"/>
          <w:szCs w:val="26"/>
        </w:rPr>
        <w:t>в связи с чем Исполнитель считает, что Филиалом не подтверждена экономическая обоснованность расходов по рассматриваемой статье.</w:t>
      </w:r>
    </w:p>
    <w:p w14:paraId="7BC873C1" w14:textId="7A54159C" w:rsidR="004C232B" w:rsidRPr="00FB0A3A" w:rsidRDefault="004C232B"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Исполнитель соглашается с позицией регулирующего органа по сумме включенных расходов в НВВ при установлении тарифов на 2019 год.</w:t>
      </w:r>
    </w:p>
    <w:p w14:paraId="4D0303E1" w14:textId="608BC33B" w:rsidR="00C65E73" w:rsidRPr="00FB0A3A" w:rsidRDefault="00C65E73"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 xml:space="preserve">Комитетом расходы на обучение МЭОР учтены </w:t>
      </w:r>
      <w:r w:rsidR="00E663D3">
        <w:rPr>
          <w:rFonts w:ascii="Myriad Pro" w:eastAsia="Calibri" w:hAnsi="Myriad Pro" w:cs="Times New Roman"/>
          <w:sz w:val="26"/>
          <w:szCs w:val="26"/>
        </w:rPr>
        <w:t>в размере</w:t>
      </w:r>
      <w:r w:rsidRPr="00FB0A3A">
        <w:rPr>
          <w:rFonts w:ascii="Myriad Pro" w:eastAsia="Calibri" w:hAnsi="Myriad Pro" w:cs="Times New Roman"/>
          <w:sz w:val="26"/>
          <w:szCs w:val="26"/>
        </w:rPr>
        <w:t xml:space="preserve"> 5</w:t>
      </w:r>
      <w:r w:rsidR="00D5027E" w:rsidRPr="00FB0A3A">
        <w:rPr>
          <w:rFonts w:ascii="Myriad Pro" w:eastAsia="Calibri" w:hAnsi="Myriad Pro" w:cs="Times New Roman"/>
          <w:sz w:val="26"/>
          <w:szCs w:val="26"/>
        </w:rPr>
        <w:t> </w:t>
      </w:r>
      <w:r w:rsidRPr="00FB0A3A">
        <w:rPr>
          <w:rFonts w:ascii="Myriad Pro" w:eastAsia="Calibri" w:hAnsi="Myriad Pro" w:cs="Times New Roman"/>
          <w:sz w:val="26"/>
          <w:szCs w:val="26"/>
        </w:rPr>
        <w:t>167 тыс. руб., что ниже на 1</w:t>
      </w:r>
      <w:r w:rsidR="00D5027E" w:rsidRPr="00FB0A3A">
        <w:rPr>
          <w:rFonts w:ascii="Myriad Pro" w:eastAsia="Calibri" w:hAnsi="Myriad Pro" w:cs="Times New Roman"/>
          <w:sz w:val="26"/>
          <w:szCs w:val="26"/>
        </w:rPr>
        <w:t> </w:t>
      </w:r>
      <w:r w:rsidRPr="00FB0A3A">
        <w:rPr>
          <w:rFonts w:ascii="Myriad Pro" w:eastAsia="Calibri" w:hAnsi="Myriad Pro" w:cs="Times New Roman"/>
          <w:sz w:val="26"/>
          <w:szCs w:val="26"/>
        </w:rPr>
        <w:t xml:space="preserve">063 тыс. руб. заявленных </w:t>
      </w:r>
      <w:r w:rsidR="00D57FA3" w:rsidRPr="00FB0A3A">
        <w:rPr>
          <w:rFonts w:ascii="Myriad Pro" w:eastAsia="Calibri" w:hAnsi="Myriad Pro" w:cs="Times New Roman"/>
          <w:sz w:val="26"/>
          <w:szCs w:val="26"/>
        </w:rPr>
        <w:t>Филиалом.</w:t>
      </w:r>
    </w:p>
    <w:p w14:paraId="4F6AF7C5" w14:textId="760CE5A7" w:rsidR="00D73164" w:rsidRPr="00FB0A3A" w:rsidRDefault="00D73164" w:rsidP="00A31747">
      <w:pPr>
        <w:tabs>
          <w:tab w:val="left" w:pos="1134"/>
        </w:tabs>
        <w:spacing w:after="0" w:line="360" w:lineRule="auto"/>
        <w:ind w:firstLine="567"/>
        <w:jc w:val="both"/>
        <w:rPr>
          <w:rFonts w:ascii="Myriad Pro" w:eastAsia="Calibri" w:hAnsi="Myriad Pro" w:cs="Times New Roman"/>
          <w:sz w:val="26"/>
          <w:szCs w:val="26"/>
        </w:rPr>
      </w:pPr>
      <w:r w:rsidRPr="00FB0A3A">
        <w:rPr>
          <w:rFonts w:ascii="Myriad Pro" w:eastAsia="Calibri" w:hAnsi="Myriad Pro" w:cs="Times New Roman"/>
          <w:sz w:val="26"/>
          <w:szCs w:val="26"/>
        </w:rPr>
        <w:t>Исполнитель также считает необходимым рекомендовать Филиалу для обоснования заявляемых расходов дополнительно предоставлять в составе материалов тарифной заявки:</w:t>
      </w:r>
    </w:p>
    <w:p w14:paraId="55B01875" w14:textId="50EE2FE2" w:rsidR="00D73164" w:rsidRPr="00FB0A3A" w:rsidRDefault="00D73164" w:rsidP="009B0BC1">
      <w:pPr>
        <w:pStyle w:val="a4"/>
        <w:numPr>
          <w:ilvl w:val="0"/>
          <w:numId w:val="28"/>
        </w:numPr>
        <w:tabs>
          <w:tab w:val="left" w:pos="1134"/>
        </w:tabs>
        <w:autoSpaceDE w:val="0"/>
        <w:autoSpaceDN w:val="0"/>
        <w:adjustRightInd w:val="0"/>
        <w:spacing w:after="0" w:line="360" w:lineRule="auto"/>
        <w:ind w:left="0" w:firstLine="567"/>
        <w:jc w:val="both"/>
        <w:rPr>
          <w:rFonts w:ascii="Myriad Pro" w:hAnsi="Myriad Pro"/>
          <w:sz w:val="26"/>
          <w:szCs w:val="26"/>
        </w:rPr>
      </w:pPr>
      <w:r w:rsidRPr="00FB0A3A">
        <w:rPr>
          <w:rFonts w:ascii="Myriad Pro" w:hAnsi="Myriad Pro"/>
          <w:sz w:val="26"/>
          <w:szCs w:val="26"/>
        </w:rPr>
        <w:t xml:space="preserve">Локальный нормативный акт о порядке проведения обучения в филиале ПАО </w:t>
      </w:r>
      <w:r w:rsidR="00655FFA" w:rsidRPr="00FB0A3A">
        <w:rPr>
          <w:rFonts w:ascii="Myriad Pro" w:hAnsi="Myriad Pro"/>
          <w:sz w:val="26"/>
          <w:szCs w:val="26"/>
        </w:rPr>
        <w:t>«</w:t>
      </w:r>
      <w:r w:rsidRPr="00FB0A3A">
        <w:rPr>
          <w:rFonts w:ascii="Myriad Pro" w:hAnsi="Myriad Pro"/>
          <w:sz w:val="26"/>
          <w:szCs w:val="26"/>
        </w:rPr>
        <w:t>МРСК Сев</w:t>
      </w:r>
      <w:r w:rsidR="00D5027E" w:rsidRPr="00FB0A3A">
        <w:rPr>
          <w:rFonts w:ascii="Myriad Pro" w:hAnsi="Myriad Pro"/>
          <w:sz w:val="26"/>
          <w:szCs w:val="26"/>
        </w:rPr>
        <w:t>е</w:t>
      </w:r>
      <w:r w:rsidRPr="00FB0A3A">
        <w:rPr>
          <w:rFonts w:ascii="Myriad Pro" w:hAnsi="Myriad Pro"/>
          <w:sz w:val="26"/>
          <w:szCs w:val="26"/>
        </w:rPr>
        <w:t>ро-Запада</w:t>
      </w:r>
      <w:r w:rsidR="00655FFA" w:rsidRPr="00FB0A3A">
        <w:rPr>
          <w:rFonts w:ascii="Myriad Pro" w:hAnsi="Myriad Pro"/>
          <w:sz w:val="26"/>
          <w:szCs w:val="26"/>
        </w:rPr>
        <w:t>»</w:t>
      </w:r>
      <w:r w:rsidRPr="00FB0A3A">
        <w:rPr>
          <w:rFonts w:ascii="Myriad Pro" w:hAnsi="Myriad Pro"/>
          <w:sz w:val="26"/>
          <w:szCs w:val="26"/>
        </w:rPr>
        <w:t xml:space="preserve"> </w:t>
      </w:r>
      <w:r w:rsidR="00655FFA" w:rsidRPr="00FB0A3A">
        <w:rPr>
          <w:rFonts w:ascii="Myriad Pro" w:hAnsi="Myriad Pro"/>
          <w:sz w:val="26"/>
          <w:szCs w:val="26"/>
        </w:rPr>
        <w:t>«</w:t>
      </w:r>
      <w:r w:rsidRPr="00FB0A3A">
        <w:rPr>
          <w:rFonts w:ascii="Myriad Pro" w:hAnsi="Myriad Pro"/>
          <w:sz w:val="26"/>
          <w:szCs w:val="26"/>
        </w:rPr>
        <w:t>Колэнерго</w:t>
      </w:r>
      <w:r w:rsidR="00655FFA" w:rsidRPr="00FB0A3A">
        <w:rPr>
          <w:rFonts w:ascii="Myriad Pro" w:hAnsi="Myriad Pro"/>
          <w:sz w:val="26"/>
          <w:szCs w:val="26"/>
        </w:rPr>
        <w:t>»</w:t>
      </w:r>
      <w:r w:rsidRPr="00FB0A3A">
        <w:rPr>
          <w:rFonts w:ascii="Myriad Pro" w:hAnsi="Myriad Pro"/>
          <w:sz w:val="26"/>
          <w:szCs w:val="26"/>
        </w:rPr>
        <w:t>;</w:t>
      </w:r>
    </w:p>
    <w:p w14:paraId="5FA71CD0" w14:textId="0457F4B7" w:rsidR="00D73164" w:rsidRPr="00FB0A3A" w:rsidRDefault="00D73164" w:rsidP="009B0BC1">
      <w:pPr>
        <w:pStyle w:val="a4"/>
        <w:numPr>
          <w:ilvl w:val="0"/>
          <w:numId w:val="28"/>
        </w:numPr>
        <w:tabs>
          <w:tab w:val="left" w:pos="1134"/>
        </w:tabs>
        <w:autoSpaceDE w:val="0"/>
        <w:autoSpaceDN w:val="0"/>
        <w:adjustRightInd w:val="0"/>
        <w:spacing w:after="0" w:line="360" w:lineRule="auto"/>
        <w:ind w:left="0" w:firstLine="567"/>
        <w:jc w:val="both"/>
        <w:rPr>
          <w:rFonts w:ascii="Myriad Pro" w:hAnsi="Myriad Pro"/>
          <w:sz w:val="26"/>
          <w:szCs w:val="26"/>
        </w:rPr>
      </w:pPr>
      <w:r w:rsidRPr="00FB0A3A">
        <w:rPr>
          <w:rFonts w:ascii="Myriad Pro" w:hAnsi="Myriad Pro"/>
          <w:sz w:val="26"/>
          <w:szCs w:val="26"/>
        </w:rPr>
        <w:lastRenderedPageBreak/>
        <w:t>Пояснения по увеличению стоимости одного обучения (по ряду образовательных учреждений) в сравнении со стоимостью в предшествующем пери</w:t>
      </w:r>
      <w:r w:rsidR="0000686B" w:rsidRPr="00FB0A3A">
        <w:rPr>
          <w:rFonts w:ascii="Myriad Pro" w:hAnsi="Myriad Pro"/>
          <w:sz w:val="26"/>
          <w:szCs w:val="26"/>
        </w:rPr>
        <w:t>320</w:t>
      </w:r>
      <w:r w:rsidRPr="00FB0A3A">
        <w:rPr>
          <w:rFonts w:ascii="Myriad Pro" w:hAnsi="Myriad Pro"/>
          <w:sz w:val="26"/>
          <w:szCs w:val="26"/>
        </w:rPr>
        <w:t>оде более чем на величину индекса потребительских цен;</w:t>
      </w:r>
    </w:p>
    <w:p w14:paraId="29094F60" w14:textId="79CD3583" w:rsidR="00D73164" w:rsidRPr="00FB0A3A" w:rsidRDefault="00D73164" w:rsidP="009B0BC1">
      <w:pPr>
        <w:pStyle w:val="a4"/>
        <w:numPr>
          <w:ilvl w:val="0"/>
          <w:numId w:val="28"/>
        </w:numPr>
        <w:tabs>
          <w:tab w:val="left" w:pos="1134"/>
        </w:tabs>
        <w:autoSpaceDE w:val="0"/>
        <w:autoSpaceDN w:val="0"/>
        <w:adjustRightInd w:val="0"/>
        <w:spacing w:after="0" w:line="360" w:lineRule="auto"/>
        <w:ind w:left="0" w:firstLine="567"/>
        <w:jc w:val="both"/>
        <w:rPr>
          <w:rFonts w:ascii="Myriad Pro" w:hAnsi="Myriad Pro"/>
          <w:sz w:val="26"/>
          <w:szCs w:val="26"/>
        </w:rPr>
      </w:pPr>
      <w:r w:rsidRPr="00FB0A3A">
        <w:rPr>
          <w:rFonts w:ascii="Myriad Pro" w:hAnsi="Myriad Pro"/>
          <w:sz w:val="26"/>
          <w:szCs w:val="26"/>
        </w:rPr>
        <w:t xml:space="preserve">Мониторинг цен по образовательным учреждениям, расположенным на территории Мурманской области;  </w:t>
      </w:r>
    </w:p>
    <w:p w14:paraId="6536DA5C" w14:textId="77777777" w:rsidR="00D73164" w:rsidRPr="00FB0A3A" w:rsidRDefault="00D73164" w:rsidP="009B0BC1">
      <w:pPr>
        <w:pStyle w:val="a4"/>
        <w:numPr>
          <w:ilvl w:val="0"/>
          <w:numId w:val="28"/>
        </w:numPr>
        <w:tabs>
          <w:tab w:val="left" w:pos="1134"/>
        </w:tabs>
        <w:autoSpaceDE w:val="0"/>
        <w:autoSpaceDN w:val="0"/>
        <w:adjustRightInd w:val="0"/>
        <w:spacing w:after="0" w:line="360" w:lineRule="auto"/>
        <w:ind w:left="0" w:firstLine="567"/>
        <w:jc w:val="both"/>
        <w:rPr>
          <w:rFonts w:ascii="Myriad Pro" w:hAnsi="Myriad Pro"/>
          <w:sz w:val="26"/>
          <w:szCs w:val="26"/>
        </w:rPr>
      </w:pPr>
      <w:r w:rsidRPr="00FB0A3A">
        <w:rPr>
          <w:rFonts w:ascii="Myriad Pro" w:hAnsi="Myriad Pro"/>
          <w:sz w:val="26"/>
          <w:szCs w:val="26"/>
        </w:rPr>
        <w:t>Документы, подтверждающие плановую стоимость обучения (коммерческие предложения, прайс-листы и др.);</w:t>
      </w:r>
    </w:p>
    <w:p w14:paraId="0463D604" w14:textId="77777777" w:rsidR="00D73164" w:rsidRPr="00FB0A3A" w:rsidRDefault="00D73164" w:rsidP="009B0BC1">
      <w:pPr>
        <w:pStyle w:val="a4"/>
        <w:numPr>
          <w:ilvl w:val="0"/>
          <w:numId w:val="28"/>
        </w:numPr>
        <w:tabs>
          <w:tab w:val="left" w:pos="1134"/>
        </w:tabs>
        <w:autoSpaceDE w:val="0"/>
        <w:autoSpaceDN w:val="0"/>
        <w:adjustRightInd w:val="0"/>
        <w:spacing w:after="0" w:line="360" w:lineRule="auto"/>
        <w:ind w:left="0" w:firstLine="567"/>
        <w:jc w:val="both"/>
        <w:rPr>
          <w:rFonts w:ascii="Myriad Pro" w:hAnsi="Myriad Pro"/>
          <w:sz w:val="26"/>
          <w:szCs w:val="26"/>
        </w:rPr>
      </w:pPr>
      <w:r w:rsidRPr="00FB0A3A">
        <w:rPr>
          <w:rFonts w:ascii="Myriad Pro" w:hAnsi="Myriad Pro"/>
          <w:sz w:val="26"/>
          <w:szCs w:val="26"/>
        </w:rPr>
        <w:t>Обоснования по существенному увеличению числа обучаемых сотрудников в плановом периоде в сравнении с предшествующим годом;</w:t>
      </w:r>
    </w:p>
    <w:p w14:paraId="37669863" w14:textId="77777777" w:rsidR="00D73164" w:rsidRPr="00FB0A3A" w:rsidRDefault="00D73164" w:rsidP="009B0BC1">
      <w:pPr>
        <w:pStyle w:val="a4"/>
        <w:numPr>
          <w:ilvl w:val="0"/>
          <w:numId w:val="28"/>
        </w:numPr>
        <w:tabs>
          <w:tab w:val="left" w:pos="1134"/>
        </w:tabs>
        <w:autoSpaceDE w:val="0"/>
        <w:autoSpaceDN w:val="0"/>
        <w:adjustRightInd w:val="0"/>
        <w:spacing w:after="0" w:line="360" w:lineRule="auto"/>
        <w:ind w:left="0" w:firstLine="567"/>
        <w:jc w:val="both"/>
        <w:rPr>
          <w:rFonts w:ascii="Myriad Pro" w:hAnsi="Myriad Pro"/>
          <w:sz w:val="26"/>
          <w:szCs w:val="26"/>
        </w:rPr>
      </w:pPr>
      <w:r w:rsidRPr="00FB0A3A">
        <w:rPr>
          <w:rFonts w:ascii="Myriad Pro" w:hAnsi="Myriad Pro"/>
          <w:sz w:val="26"/>
          <w:szCs w:val="26"/>
        </w:rPr>
        <w:t xml:space="preserve">Реестр актов и копии актов выполненных работ (услуг) за предшествующий период. </w:t>
      </w:r>
    </w:p>
    <w:p w14:paraId="4DB40BD0" w14:textId="21149D5B" w:rsidR="00D31F3F" w:rsidRPr="00FB0A3A" w:rsidRDefault="00AF0B12" w:rsidP="00567D32">
      <w:pPr>
        <w:tabs>
          <w:tab w:val="left" w:pos="1134"/>
        </w:tabs>
        <w:spacing w:before="240" w:after="0" w:line="360" w:lineRule="auto"/>
        <w:jc w:val="both"/>
        <w:rPr>
          <w:rFonts w:ascii="Myriad Pro" w:eastAsia="Calibri" w:hAnsi="Myriad Pro" w:cs="Times New Roman"/>
          <w:b/>
          <w:i/>
          <w:sz w:val="26"/>
          <w:szCs w:val="26"/>
        </w:rPr>
      </w:pPr>
      <w:r w:rsidRPr="00FB0A3A">
        <w:rPr>
          <w:rFonts w:ascii="Myriad Pro" w:eastAsia="Calibri" w:hAnsi="Myriad Pro" w:cs="Times New Roman"/>
          <w:b/>
          <w:i/>
          <w:sz w:val="26"/>
          <w:szCs w:val="26"/>
        </w:rPr>
        <w:t>Расходы на обеспечение нормальных условий труда и мер по технике безопасности</w:t>
      </w:r>
    </w:p>
    <w:p w14:paraId="5BD1F9F2" w14:textId="12E3FBDE" w:rsidR="0032269E" w:rsidRPr="00FB0A3A" w:rsidRDefault="0032269E" w:rsidP="00A31747">
      <w:pPr>
        <w:tabs>
          <w:tab w:val="left" w:pos="1134"/>
        </w:tabs>
        <w:autoSpaceDE w:val="0"/>
        <w:autoSpaceDN w:val="0"/>
        <w:adjustRightInd w:val="0"/>
        <w:spacing w:after="0" w:line="360" w:lineRule="auto"/>
        <w:ind w:firstLine="567"/>
        <w:jc w:val="both"/>
        <w:rPr>
          <w:rFonts w:ascii="Myriad Pro" w:eastAsia="Calibri" w:hAnsi="Myriad Pro" w:cs="Times New Roman"/>
          <w:sz w:val="26"/>
          <w:szCs w:val="26"/>
        </w:rPr>
      </w:pPr>
      <w:r w:rsidRPr="00FB0A3A">
        <w:rPr>
          <w:rFonts w:ascii="Myriad Pro" w:eastAsia="Calibri" w:hAnsi="Myriad Pro" w:cs="Times New Roman"/>
          <w:sz w:val="26"/>
          <w:szCs w:val="26"/>
        </w:rPr>
        <w:t>Соответствующие расходы учитываются в составе НВВ в соответствии п 28,29,31 Основ ценообразования.</w:t>
      </w:r>
    </w:p>
    <w:p w14:paraId="216EB141" w14:textId="138C6829" w:rsidR="0032269E" w:rsidRPr="00FB0A3A" w:rsidRDefault="0032269E" w:rsidP="00A31747">
      <w:pPr>
        <w:tabs>
          <w:tab w:val="left" w:pos="1134"/>
        </w:tabs>
        <w:autoSpaceDE w:val="0"/>
        <w:autoSpaceDN w:val="0"/>
        <w:adjustRightInd w:val="0"/>
        <w:spacing w:after="0" w:line="360" w:lineRule="auto"/>
        <w:ind w:firstLine="567"/>
        <w:jc w:val="both"/>
        <w:rPr>
          <w:rFonts w:ascii="Myriad Pro" w:eastAsia="Calibri" w:hAnsi="Myriad Pro" w:cs="Times New Roman"/>
          <w:sz w:val="26"/>
          <w:szCs w:val="26"/>
        </w:rPr>
      </w:pPr>
      <w:r w:rsidRPr="00FB0A3A">
        <w:rPr>
          <w:rFonts w:ascii="Myriad Pro" w:eastAsia="Calibri" w:hAnsi="Myriad Pro" w:cs="Times New Roman"/>
          <w:sz w:val="26"/>
          <w:szCs w:val="26"/>
        </w:rPr>
        <w:t>Нормами права, регулирующими обязанность организации осуществлять расходы на обеспечение нормальных условий труда и мер по технике безопасности</w:t>
      </w:r>
      <w:r w:rsidR="00A34F15" w:rsidRPr="00FB0A3A">
        <w:rPr>
          <w:rFonts w:ascii="Myriad Pro" w:eastAsia="Calibri" w:hAnsi="Myriad Pro" w:cs="Times New Roman"/>
          <w:sz w:val="26"/>
          <w:szCs w:val="26"/>
        </w:rPr>
        <w:t>,</w:t>
      </w:r>
      <w:r w:rsidRPr="00FB0A3A">
        <w:rPr>
          <w:rFonts w:ascii="Myriad Pro" w:eastAsia="Calibri" w:hAnsi="Myriad Pro" w:cs="Times New Roman"/>
          <w:sz w:val="26"/>
          <w:szCs w:val="26"/>
        </w:rPr>
        <w:t xml:space="preserve"> являются:</w:t>
      </w:r>
    </w:p>
    <w:p w14:paraId="2E92CA27" w14:textId="51DB11BF" w:rsidR="0032269E" w:rsidRPr="00FB0A3A" w:rsidRDefault="0032269E" w:rsidP="009B0BC1">
      <w:pPr>
        <w:pStyle w:val="a4"/>
        <w:numPr>
          <w:ilvl w:val="0"/>
          <w:numId w:val="53"/>
        </w:numPr>
        <w:tabs>
          <w:tab w:val="left" w:pos="1134"/>
        </w:tabs>
        <w:autoSpaceDE w:val="0"/>
        <w:autoSpaceDN w:val="0"/>
        <w:adjustRightInd w:val="0"/>
        <w:spacing w:after="0" w:line="360" w:lineRule="auto"/>
        <w:ind w:left="0" w:firstLine="567"/>
        <w:jc w:val="both"/>
        <w:rPr>
          <w:rFonts w:ascii="Myriad Pro" w:hAnsi="Myriad Pro"/>
          <w:sz w:val="26"/>
          <w:szCs w:val="26"/>
        </w:rPr>
      </w:pPr>
      <w:r w:rsidRPr="00FB0A3A">
        <w:rPr>
          <w:rFonts w:ascii="Myriad Pro" w:hAnsi="Myriad Pro"/>
          <w:sz w:val="26"/>
          <w:szCs w:val="26"/>
        </w:rPr>
        <w:t>статья 212 Трудового кодекса Российской Федерации от 30 декабря 2001 г. N 197-ФЗ (в обязанности работодателя входит проведение специальной оценки условий труда в соответствии с законодательством о специальной оценке условий труда);</w:t>
      </w:r>
    </w:p>
    <w:p w14:paraId="50621535" w14:textId="0A08F1F6" w:rsidR="0032269E" w:rsidRPr="00FB0A3A" w:rsidRDefault="0032269E" w:rsidP="009B0BC1">
      <w:pPr>
        <w:pStyle w:val="a4"/>
        <w:numPr>
          <w:ilvl w:val="0"/>
          <w:numId w:val="53"/>
        </w:numPr>
        <w:tabs>
          <w:tab w:val="left" w:pos="1134"/>
        </w:tabs>
        <w:autoSpaceDE w:val="0"/>
        <w:autoSpaceDN w:val="0"/>
        <w:adjustRightInd w:val="0"/>
        <w:spacing w:after="0" w:line="360" w:lineRule="auto"/>
        <w:ind w:left="0" w:firstLine="567"/>
        <w:jc w:val="both"/>
        <w:rPr>
          <w:rFonts w:ascii="Myriad Pro" w:hAnsi="Myriad Pro"/>
          <w:sz w:val="26"/>
          <w:szCs w:val="26"/>
        </w:rPr>
      </w:pPr>
      <w:r w:rsidRPr="00FB0A3A">
        <w:rPr>
          <w:rFonts w:ascii="Myriad Pro" w:hAnsi="Myriad Pro"/>
          <w:sz w:val="26"/>
          <w:szCs w:val="26"/>
        </w:rPr>
        <w:t>статья 8 Федерального закона от 28 дека</w:t>
      </w:r>
      <w:r w:rsidR="00DD2DA6" w:rsidRPr="00FB0A3A">
        <w:rPr>
          <w:rFonts w:ascii="Myriad Pro" w:hAnsi="Myriad Pro"/>
          <w:sz w:val="26"/>
          <w:szCs w:val="26"/>
        </w:rPr>
        <w:t xml:space="preserve">бря 2013 г. N 426-ФЗ </w:t>
      </w:r>
      <w:r w:rsidR="00655FFA" w:rsidRPr="00FB0A3A">
        <w:rPr>
          <w:rFonts w:ascii="Myriad Pro" w:hAnsi="Myriad Pro"/>
          <w:sz w:val="26"/>
          <w:szCs w:val="26"/>
        </w:rPr>
        <w:t>«</w:t>
      </w:r>
      <w:r w:rsidRPr="00FB0A3A">
        <w:rPr>
          <w:rFonts w:ascii="Myriad Pro" w:hAnsi="Myriad Pro"/>
          <w:sz w:val="26"/>
          <w:szCs w:val="26"/>
        </w:rPr>
        <w:t>О с</w:t>
      </w:r>
      <w:r w:rsidR="00DD2DA6" w:rsidRPr="00FB0A3A">
        <w:rPr>
          <w:rFonts w:ascii="Myriad Pro" w:hAnsi="Myriad Pro"/>
          <w:sz w:val="26"/>
          <w:szCs w:val="26"/>
        </w:rPr>
        <w:t>пециальной оценке условий труда</w:t>
      </w:r>
      <w:r w:rsidR="00655FFA" w:rsidRPr="00FB0A3A">
        <w:rPr>
          <w:rFonts w:ascii="Myriad Pro" w:hAnsi="Myriad Pro"/>
          <w:sz w:val="26"/>
          <w:szCs w:val="26"/>
        </w:rPr>
        <w:t>»</w:t>
      </w:r>
      <w:r w:rsidRPr="00FB0A3A">
        <w:rPr>
          <w:rFonts w:ascii="Myriad Pro" w:hAnsi="Myriad Pro"/>
          <w:sz w:val="26"/>
          <w:szCs w:val="26"/>
        </w:rPr>
        <w:t xml:space="preserve"> (специальная оценка условий труда на рабочем месте проводится не реже чем один раз в пять лет. Указанный срок исчисляется со дня утверждения отчета о проведении специальной оценки условий труда).</w:t>
      </w:r>
    </w:p>
    <w:p w14:paraId="5DD46054" w14:textId="6371E5B9" w:rsidR="0032269E" w:rsidRPr="00FB0A3A" w:rsidRDefault="0032269E" w:rsidP="009B0BC1">
      <w:pPr>
        <w:pStyle w:val="a4"/>
        <w:numPr>
          <w:ilvl w:val="0"/>
          <w:numId w:val="53"/>
        </w:numPr>
        <w:tabs>
          <w:tab w:val="left" w:pos="1134"/>
        </w:tabs>
        <w:autoSpaceDE w:val="0"/>
        <w:autoSpaceDN w:val="0"/>
        <w:adjustRightInd w:val="0"/>
        <w:spacing w:after="0" w:line="360" w:lineRule="auto"/>
        <w:ind w:left="0" w:firstLine="567"/>
        <w:jc w:val="both"/>
        <w:rPr>
          <w:rFonts w:ascii="Myriad Pro" w:hAnsi="Myriad Pro"/>
          <w:sz w:val="26"/>
          <w:szCs w:val="26"/>
        </w:rPr>
      </w:pPr>
      <w:r w:rsidRPr="00FB0A3A">
        <w:rPr>
          <w:rFonts w:ascii="Myriad Pro" w:hAnsi="Myriad Pro"/>
          <w:sz w:val="26"/>
          <w:szCs w:val="26"/>
        </w:rPr>
        <w:t xml:space="preserve">статья 17 Федерального закона </w:t>
      </w:r>
      <w:r w:rsidR="00DD2DA6" w:rsidRPr="00FB0A3A">
        <w:rPr>
          <w:rFonts w:ascii="Myriad Pro" w:hAnsi="Myriad Pro"/>
          <w:sz w:val="26"/>
          <w:szCs w:val="26"/>
        </w:rPr>
        <w:t xml:space="preserve">от 28 декабря 2013 г. N 426-ФЗ </w:t>
      </w:r>
      <w:r w:rsidR="00655FFA" w:rsidRPr="00FB0A3A">
        <w:rPr>
          <w:rFonts w:ascii="Myriad Pro" w:hAnsi="Myriad Pro"/>
          <w:sz w:val="26"/>
          <w:szCs w:val="26"/>
        </w:rPr>
        <w:t>«</w:t>
      </w:r>
      <w:r w:rsidRPr="00FB0A3A">
        <w:rPr>
          <w:rFonts w:ascii="Myriad Pro" w:hAnsi="Myriad Pro"/>
          <w:sz w:val="26"/>
          <w:szCs w:val="26"/>
        </w:rPr>
        <w:t>О специальной оценке условий труда</w:t>
      </w:r>
      <w:r w:rsidR="00655FFA" w:rsidRPr="00FB0A3A">
        <w:rPr>
          <w:rFonts w:ascii="Myriad Pro" w:hAnsi="Myriad Pro"/>
          <w:sz w:val="26"/>
          <w:szCs w:val="26"/>
        </w:rPr>
        <w:t>»</w:t>
      </w:r>
      <w:r w:rsidRPr="00FB0A3A">
        <w:rPr>
          <w:rFonts w:ascii="Myriad Pro" w:hAnsi="Myriad Pro"/>
          <w:sz w:val="26"/>
          <w:szCs w:val="26"/>
        </w:rPr>
        <w:t xml:space="preserve"> (внеплановая специальная оценка условий труда должна проводиться при вводе в эксплуатацию вновь организованных </w:t>
      </w:r>
      <w:r w:rsidRPr="00FB0A3A">
        <w:rPr>
          <w:rFonts w:ascii="Myriad Pro" w:hAnsi="Myriad Pro"/>
          <w:sz w:val="26"/>
          <w:szCs w:val="26"/>
        </w:rPr>
        <w:lastRenderedPageBreak/>
        <w:t xml:space="preserve">рабочих мест, изменении технологического процесса, замена производственного оборудования, которые способны оказать влияние на уровень воздействия вредных и (или) опасных производственных факторов на работников, изменении состава применяемых материалов и (или) сырья, способных оказать влияние на уровень воздействия вредных и (или) опасных производственных факторов на работников). </w:t>
      </w:r>
    </w:p>
    <w:p w14:paraId="37805AB2" w14:textId="584792A9" w:rsidR="0032269E" w:rsidRPr="00FB0A3A" w:rsidRDefault="0032269E" w:rsidP="009B0BC1">
      <w:pPr>
        <w:pStyle w:val="a4"/>
        <w:numPr>
          <w:ilvl w:val="0"/>
          <w:numId w:val="53"/>
        </w:numPr>
        <w:tabs>
          <w:tab w:val="left" w:pos="1134"/>
        </w:tabs>
        <w:autoSpaceDE w:val="0"/>
        <w:autoSpaceDN w:val="0"/>
        <w:adjustRightInd w:val="0"/>
        <w:spacing w:after="200" w:line="360" w:lineRule="auto"/>
        <w:ind w:left="0" w:firstLine="567"/>
        <w:contextualSpacing w:val="0"/>
        <w:jc w:val="both"/>
        <w:rPr>
          <w:rFonts w:ascii="Myriad Pro" w:hAnsi="Myriad Pro"/>
          <w:sz w:val="26"/>
          <w:szCs w:val="26"/>
        </w:rPr>
      </w:pPr>
      <w:r w:rsidRPr="00FB0A3A">
        <w:rPr>
          <w:rFonts w:ascii="Myriad Pro" w:hAnsi="Myriad Pro"/>
          <w:sz w:val="26"/>
          <w:szCs w:val="26"/>
        </w:rPr>
        <w:t>статья 212 Трудового кодекса Российской Федерации от 30 декабря 2001 г. N 197-ФЗ (необходимо организовывать проведение за счет собственных средств обязательных предварительных (при поступлении на работу) и периодических (в течение трудовой деятельности) медицинских осмотров, других обязательных медицинских осмотров, обязательных психиатрических освидетельствований работников, внеочередных медицинских осмотров, обязательных психиатрических освидетельствований работников и не допускать работников к исполнению ими трудовых обязанностей без прохождения обязательных медицинских осмотров, обязательных психиатрических освидетельствований, а также в случае медицинских противопоказаний с сохранением места работы и среднего заработка на время прохождения медицинского осмотра).</w:t>
      </w:r>
    </w:p>
    <w:tbl>
      <w:tblPr>
        <w:tblStyle w:val="afff6"/>
        <w:tblW w:w="5000" w:type="pct"/>
        <w:tblLook w:val="04A0" w:firstRow="1" w:lastRow="0" w:firstColumn="1" w:lastColumn="0" w:noHBand="0" w:noVBand="1"/>
      </w:tblPr>
      <w:tblGrid>
        <w:gridCol w:w="2731"/>
        <w:gridCol w:w="1241"/>
        <w:gridCol w:w="2012"/>
        <w:gridCol w:w="896"/>
        <w:gridCol w:w="1545"/>
        <w:gridCol w:w="919"/>
      </w:tblGrid>
      <w:tr w:rsidR="00567D32" w:rsidRPr="00FB0A3A" w14:paraId="0B5C822C" w14:textId="77777777" w:rsidTr="009071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70FFC83B" w14:textId="77777777" w:rsidR="0032269E" w:rsidRPr="00FB0A3A" w:rsidRDefault="0032269E" w:rsidP="00567D32">
            <w:pPr>
              <w:tabs>
                <w:tab w:val="left" w:pos="1134"/>
              </w:tabs>
              <w:jc w:val="center"/>
              <w:rPr>
                <w:rFonts w:eastAsia="Calibri" w:cs="Times New Roman"/>
                <w:szCs w:val="18"/>
              </w:rPr>
            </w:pPr>
            <w:r w:rsidRPr="00FB0A3A">
              <w:rPr>
                <w:rFonts w:eastAsia="Calibri" w:cs="Times New Roman"/>
                <w:szCs w:val="18"/>
              </w:rPr>
              <w:t> Наименование статьи</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1FB16E1B" w14:textId="5A7A77DC" w:rsidR="0032269E" w:rsidRPr="00FB0A3A" w:rsidRDefault="00567D32" w:rsidP="00567D32">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Факт за 2017,</w:t>
            </w:r>
            <w:r w:rsidRPr="00FB0A3A">
              <w:rPr>
                <w:rFonts w:eastAsia="Calibri" w:cs="Times New Roman"/>
                <w:szCs w:val="18"/>
              </w:rPr>
              <w:br/>
            </w:r>
            <w:r w:rsidR="0032269E" w:rsidRPr="00FB0A3A">
              <w:rPr>
                <w:rFonts w:eastAsia="Calibri" w:cs="Times New Roman"/>
                <w:szCs w:val="18"/>
              </w:rPr>
              <w:t>тыс. руб.</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4D9C039" w14:textId="6AD254DD" w:rsidR="0032269E" w:rsidRPr="00FB0A3A" w:rsidRDefault="0032269E" w:rsidP="00567D32">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 xml:space="preserve">Заявлено филиалом ПАО </w:t>
            </w:r>
            <w:r w:rsidR="00655FFA" w:rsidRPr="00FB0A3A">
              <w:rPr>
                <w:rFonts w:eastAsia="Calibri" w:cs="Times New Roman"/>
                <w:szCs w:val="18"/>
              </w:rPr>
              <w:t>«</w:t>
            </w:r>
            <w:r w:rsidR="00F619B6" w:rsidRPr="00FB0A3A">
              <w:rPr>
                <w:rFonts w:eastAsia="Calibri" w:cs="Times New Roman"/>
                <w:szCs w:val="18"/>
              </w:rPr>
              <w:t>МРСК Северо-Запада</w:t>
            </w:r>
            <w:r w:rsidR="00655FFA" w:rsidRPr="00FB0A3A">
              <w:rPr>
                <w:rFonts w:eastAsia="Calibri" w:cs="Times New Roman"/>
                <w:szCs w:val="18"/>
              </w:rPr>
              <w:t>»</w:t>
            </w:r>
            <w:r w:rsidR="00F619B6" w:rsidRPr="00FB0A3A">
              <w:rPr>
                <w:rFonts w:eastAsia="Calibri" w:cs="Times New Roman"/>
                <w:szCs w:val="18"/>
              </w:rPr>
              <w:t xml:space="preserve"> </w:t>
            </w:r>
            <w:r w:rsidR="00655FFA" w:rsidRPr="00FB0A3A">
              <w:rPr>
                <w:rFonts w:eastAsia="Calibri" w:cs="Times New Roman"/>
                <w:szCs w:val="18"/>
              </w:rPr>
              <w:t>«</w:t>
            </w:r>
            <w:r w:rsidRPr="00FB0A3A">
              <w:rPr>
                <w:rFonts w:eastAsia="Calibri" w:cs="Times New Roman"/>
                <w:szCs w:val="18"/>
              </w:rPr>
              <w:t>Колэнерго</w:t>
            </w:r>
            <w:r w:rsidR="00655FFA" w:rsidRPr="00FB0A3A">
              <w:rPr>
                <w:rFonts w:eastAsia="Calibri" w:cs="Times New Roman"/>
                <w:szCs w:val="18"/>
              </w:rPr>
              <w:t>»</w:t>
            </w:r>
            <w:r w:rsidRPr="00FB0A3A">
              <w:rPr>
                <w:rFonts w:eastAsia="Calibri" w:cs="Times New Roman"/>
                <w:szCs w:val="18"/>
              </w:rPr>
              <w:t xml:space="preserve"> на 2019, тыс. руб.</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0B0304F" w14:textId="77777777" w:rsidR="0032269E" w:rsidRPr="00FB0A3A" w:rsidRDefault="0032269E" w:rsidP="00567D32">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ТБР на 2019, тыс. руб.</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23A2C3A" w14:textId="77777777" w:rsidR="0032269E" w:rsidRPr="00FB0A3A" w:rsidRDefault="0032269E" w:rsidP="00567D32">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Отклонение ТБР на 2019/ заявка на 2019, %</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CBF8BA1" w14:textId="77777777" w:rsidR="0032269E" w:rsidRPr="00FB0A3A" w:rsidRDefault="0032269E" w:rsidP="00567D32">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ТБР на 2019 /факт за 2017, %</w:t>
            </w:r>
          </w:p>
        </w:tc>
      </w:tr>
      <w:tr w:rsidR="0032269E" w:rsidRPr="00FB0A3A" w14:paraId="5CA0A8F7" w14:textId="77777777" w:rsidTr="00907125">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tcBorders>
            <w:hideMark/>
          </w:tcPr>
          <w:p w14:paraId="79A78B51" w14:textId="77777777" w:rsidR="0032269E" w:rsidRPr="00FB0A3A" w:rsidRDefault="0032269E" w:rsidP="00567D32">
            <w:pPr>
              <w:tabs>
                <w:tab w:val="left" w:pos="1134"/>
              </w:tabs>
              <w:rPr>
                <w:rFonts w:eastAsia="Calibri" w:cs="Times New Roman"/>
                <w:szCs w:val="18"/>
              </w:rPr>
            </w:pPr>
            <w:r w:rsidRPr="00FB0A3A">
              <w:rPr>
                <w:rFonts w:eastAsia="Calibri" w:cs="Times New Roman"/>
                <w:szCs w:val="18"/>
              </w:rPr>
              <w:t>Расходы на обеспечение нормальных условий труда и мер по технике безопасности</w:t>
            </w:r>
          </w:p>
        </w:tc>
        <w:tc>
          <w:tcPr>
            <w:tcW w:w="0" w:type="auto"/>
            <w:tcBorders>
              <w:top w:val="single" w:sz="4" w:space="0" w:color="FFFFFF" w:themeColor="background1"/>
            </w:tcBorders>
            <w:hideMark/>
          </w:tcPr>
          <w:p w14:paraId="2B989897" w14:textId="77777777" w:rsidR="0032269E" w:rsidRPr="00FB0A3A" w:rsidRDefault="0032269E" w:rsidP="00567D32">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9 504,20</w:t>
            </w:r>
          </w:p>
        </w:tc>
        <w:tc>
          <w:tcPr>
            <w:tcW w:w="0" w:type="auto"/>
            <w:tcBorders>
              <w:top w:val="single" w:sz="4" w:space="0" w:color="FFFFFF" w:themeColor="background1"/>
            </w:tcBorders>
            <w:hideMark/>
          </w:tcPr>
          <w:p w14:paraId="18229D91" w14:textId="77777777" w:rsidR="0032269E" w:rsidRPr="00FB0A3A" w:rsidRDefault="0032269E" w:rsidP="00567D32">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33 948,73</w:t>
            </w:r>
          </w:p>
        </w:tc>
        <w:tc>
          <w:tcPr>
            <w:tcW w:w="0" w:type="auto"/>
            <w:tcBorders>
              <w:top w:val="single" w:sz="4" w:space="0" w:color="FFFFFF" w:themeColor="background1"/>
            </w:tcBorders>
            <w:hideMark/>
          </w:tcPr>
          <w:p w14:paraId="03038CCF" w14:textId="77777777" w:rsidR="0032269E" w:rsidRPr="00FB0A3A" w:rsidRDefault="0032269E" w:rsidP="00567D32">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9 379,87</w:t>
            </w:r>
          </w:p>
        </w:tc>
        <w:tc>
          <w:tcPr>
            <w:tcW w:w="0" w:type="auto"/>
            <w:tcBorders>
              <w:top w:val="single" w:sz="4" w:space="0" w:color="FFFFFF" w:themeColor="background1"/>
            </w:tcBorders>
            <w:hideMark/>
          </w:tcPr>
          <w:p w14:paraId="3A3D9F77" w14:textId="77777777" w:rsidR="0032269E" w:rsidRPr="00FB0A3A" w:rsidRDefault="0032269E" w:rsidP="00567D32">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-72,4</w:t>
            </w:r>
          </w:p>
        </w:tc>
        <w:tc>
          <w:tcPr>
            <w:tcW w:w="0" w:type="auto"/>
            <w:tcBorders>
              <w:top w:val="single" w:sz="4" w:space="0" w:color="FFFFFF" w:themeColor="background1"/>
            </w:tcBorders>
            <w:hideMark/>
          </w:tcPr>
          <w:p w14:paraId="691B6FE6" w14:textId="77777777" w:rsidR="0032269E" w:rsidRPr="00FB0A3A" w:rsidRDefault="0032269E" w:rsidP="00567D32">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-1,31</w:t>
            </w:r>
          </w:p>
        </w:tc>
      </w:tr>
    </w:tbl>
    <w:p w14:paraId="77F40CEE" w14:textId="77777777" w:rsidR="0032269E" w:rsidRPr="00FB0A3A" w:rsidRDefault="0032269E" w:rsidP="00A31747">
      <w:pPr>
        <w:tabs>
          <w:tab w:val="left" w:pos="1134"/>
        </w:tabs>
        <w:spacing w:after="0" w:line="360" w:lineRule="auto"/>
        <w:ind w:firstLine="567"/>
        <w:contextualSpacing/>
        <w:jc w:val="both"/>
        <w:rPr>
          <w:rFonts w:ascii="Myriad Pro" w:eastAsia="Calibri" w:hAnsi="Myriad Pro" w:cs="Times New Roman"/>
          <w:sz w:val="26"/>
          <w:szCs w:val="26"/>
        </w:rPr>
      </w:pPr>
    </w:p>
    <w:p w14:paraId="5094824C" w14:textId="77777777" w:rsidR="00AF0B12" w:rsidRPr="00C04ABD" w:rsidRDefault="00AF0B12" w:rsidP="00567D32">
      <w:pPr>
        <w:tabs>
          <w:tab w:val="left" w:pos="1134"/>
        </w:tabs>
        <w:spacing w:after="0" w:line="360" w:lineRule="auto"/>
        <w:contextualSpacing/>
        <w:jc w:val="both"/>
        <w:rPr>
          <w:rFonts w:ascii="Myriad Pro" w:eastAsia="Calibri" w:hAnsi="Myriad Pro" w:cs="Times New Roman"/>
          <w:b/>
          <w:sz w:val="26"/>
          <w:szCs w:val="26"/>
        </w:rPr>
      </w:pPr>
      <w:r w:rsidRPr="00C04ABD">
        <w:rPr>
          <w:rFonts w:ascii="Myriad Pro" w:eastAsia="Calibri" w:hAnsi="Myriad Pro" w:cs="Times New Roman"/>
          <w:b/>
          <w:sz w:val="26"/>
          <w:szCs w:val="26"/>
        </w:rPr>
        <w:t>ПОЗИЦИЯ ТЕРРИТОРИАЛЬНОЙ СЕТЕВОЙ ОРГАНИЗАЦИИ</w:t>
      </w:r>
    </w:p>
    <w:p w14:paraId="6C5778F2" w14:textId="02E16EA8" w:rsidR="00AF0B12" w:rsidRPr="00C04ABD" w:rsidRDefault="0032269E"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Расходы</w:t>
      </w:r>
      <w:r w:rsidR="00AF0B12" w:rsidRPr="00C04ABD">
        <w:rPr>
          <w:rFonts w:ascii="Myriad Pro" w:eastAsia="Calibri" w:hAnsi="Myriad Pro" w:cs="Times New Roman"/>
          <w:sz w:val="26"/>
          <w:szCs w:val="26"/>
        </w:rPr>
        <w:t xml:space="preserve"> </w:t>
      </w:r>
      <w:r w:rsidRPr="00C04ABD">
        <w:rPr>
          <w:rFonts w:ascii="Myriad Pro" w:eastAsia="Calibri" w:hAnsi="Myriad Pro" w:cs="Times New Roman"/>
          <w:sz w:val="26"/>
          <w:szCs w:val="26"/>
        </w:rPr>
        <w:t xml:space="preserve">на обеспечение нормальных условий труда и мер по технике безопасности </w:t>
      </w:r>
      <w:r w:rsidR="00AF0B12" w:rsidRPr="00C04ABD">
        <w:rPr>
          <w:rFonts w:ascii="Myriad Pro" w:eastAsia="Calibri" w:hAnsi="Myriad Pro" w:cs="Times New Roman"/>
          <w:sz w:val="26"/>
          <w:szCs w:val="26"/>
        </w:rPr>
        <w:t xml:space="preserve">определены филиалом </w:t>
      </w:r>
      <w:r w:rsidR="00350B0A" w:rsidRPr="00C04ABD">
        <w:rPr>
          <w:rFonts w:ascii="Myriad Pro" w:eastAsia="Calibri" w:hAnsi="Myriad Pro" w:cs="Times New Roman"/>
          <w:sz w:val="26"/>
          <w:szCs w:val="26"/>
        </w:rPr>
        <w:t xml:space="preserve">ПАО </w:t>
      </w:r>
      <w:r w:rsidR="00655FFA" w:rsidRPr="00C04ABD">
        <w:rPr>
          <w:rFonts w:ascii="Myriad Pro" w:eastAsia="Calibri" w:hAnsi="Myriad Pro" w:cs="Times New Roman"/>
          <w:sz w:val="26"/>
          <w:szCs w:val="26"/>
        </w:rPr>
        <w:t>«</w:t>
      </w:r>
      <w:r w:rsidR="00350B0A" w:rsidRPr="00C04ABD">
        <w:rPr>
          <w:rFonts w:ascii="Myriad Pro" w:eastAsia="Calibri" w:hAnsi="Myriad Pro" w:cs="Times New Roman"/>
          <w:sz w:val="26"/>
          <w:szCs w:val="26"/>
        </w:rPr>
        <w:t>МРСК Северо-Запада</w:t>
      </w:r>
      <w:r w:rsidR="00655FFA" w:rsidRPr="00C04ABD">
        <w:rPr>
          <w:rFonts w:ascii="Myriad Pro" w:eastAsia="Calibri" w:hAnsi="Myriad Pro" w:cs="Times New Roman"/>
          <w:sz w:val="26"/>
          <w:szCs w:val="26"/>
        </w:rPr>
        <w:t>»</w:t>
      </w:r>
      <w:r w:rsidR="00350B0A" w:rsidRPr="00C04ABD">
        <w:rPr>
          <w:rFonts w:ascii="Myriad Pro" w:eastAsia="Calibri" w:hAnsi="Myriad Pro" w:cs="Times New Roman"/>
          <w:sz w:val="26"/>
          <w:szCs w:val="26"/>
        </w:rPr>
        <w:t xml:space="preserve"> </w:t>
      </w:r>
      <w:r w:rsidR="00655FFA" w:rsidRPr="00C04ABD">
        <w:rPr>
          <w:rFonts w:ascii="Myriad Pro" w:eastAsia="Calibri" w:hAnsi="Myriad Pro" w:cs="Times New Roman"/>
          <w:sz w:val="26"/>
          <w:szCs w:val="26"/>
        </w:rPr>
        <w:t>«</w:t>
      </w:r>
      <w:r w:rsidR="00350B0A" w:rsidRPr="00C04ABD">
        <w:rPr>
          <w:rFonts w:ascii="Myriad Pro" w:eastAsia="Calibri" w:hAnsi="Myriad Pro" w:cs="Times New Roman"/>
          <w:sz w:val="26"/>
          <w:szCs w:val="26"/>
        </w:rPr>
        <w:t>Колэнерго</w:t>
      </w:r>
      <w:r w:rsidR="00655FFA" w:rsidRPr="00C04ABD">
        <w:rPr>
          <w:rFonts w:ascii="Myriad Pro" w:eastAsia="Calibri" w:hAnsi="Myriad Pro" w:cs="Times New Roman"/>
          <w:sz w:val="26"/>
          <w:szCs w:val="26"/>
        </w:rPr>
        <w:t>»</w:t>
      </w:r>
      <w:r w:rsidR="00AF0B12" w:rsidRPr="00C04ABD">
        <w:rPr>
          <w:rFonts w:ascii="Myriad Pro" w:eastAsia="Calibri" w:hAnsi="Myriad Pro" w:cs="Times New Roman"/>
          <w:sz w:val="26"/>
          <w:szCs w:val="26"/>
        </w:rPr>
        <w:t xml:space="preserve"> в необходимой валовой выручке на 2019 год и предъявлены в составе заявления от 28.04.2018 №МР2/4/02/3129 об установлении тарифов на услуги по передаче </w:t>
      </w:r>
      <w:r w:rsidRPr="00C04ABD">
        <w:rPr>
          <w:rFonts w:ascii="Myriad Pro" w:eastAsia="Calibri" w:hAnsi="Myriad Pro" w:cs="Times New Roman"/>
          <w:sz w:val="26"/>
          <w:szCs w:val="26"/>
        </w:rPr>
        <w:t>электрической энергии в размере 33 948,73</w:t>
      </w:r>
      <w:r w:rsidR="00AF0B12" w:rsidRPr="00C04ABD">
        <w:rPr>
          <w:rFonts w:ascii="Myriad Pro" w:eastAsia="Calibri" w:hAnsi="Myriad Pro" w:cs="Times New Roman"/>
          <w:sz w:val="26"/>
          <w:szCs w:val="26"/>
        </w:rPr>
        <w:t xml:space="preserve"> тыс. руб.</w:t>
      </w:r>
    </w:p>
    <w:p w14:paraId="72C7C5DC" w14:textId="18043D46" w:rsidR="00AF0B12" w:rsidRPr="00C04ABD" w:rsidRDefault="00AF0B12"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 xml:space="preserve">Для обоснования заявленной суммы расходов филиалом </w:t>
      </w:r>
      <w:r w:rsidR="00350B0A" w:rsidRPr="00C04ABD">
        <w:rPr>
          <w:rFonts w:ascii="Myriad Pro" w:eastAsia="Calibri" w:hAnsi="Myriad Pro" w:cs="Times New Roman"/>
          <w:sz w:val="26"/>
          <w:szCs w:val="26"/>
        </w:rPr>
        <w:t xml:space="preserve">ПАО </w:t>
      </w:r>
      <w:r w:rsidR="00655FFA" w:rsidRPr="00C04ABD">
        <w:rPr>
          <w:rFonts w:ascii="Myriad Pro" w:eastAsia="Calibri" w:hAnsi="Myriad Pro" w:cs="Times New Roman"/>
          <w:sz w:val="26"/>
          <w:szCs w:val="26"/>
        </w:rPr>
        <w:t>«</w:t>
      </w:r>
      <w:r w:rsidR="00350B0A" w:rsidRPr="00C04ABD">
        <w:rPr>
          <w:rFonts w:ascii="Myriad Pro" w:eastAsia="Calibri" w:hAnsi="Myriad Pro" w:cs="Times New Roman"/>
          <w:sz w:val="26"/>
          <w:szCs w:val="26"/>
        </w:rPr>
        <w:t>МРСК Северо-Запада</w:t>
      </w:r>
      <w:r w:rsidR="00655FFA" w:rsidRPr="00C04ABD">
        <w:rPr>
          <w:rFonts w:ascii="Myriad Pro" w:eastAsia="Calibri" w:hAnsi="Myriad Pro" w:cs="Times New Roman"/>
          <w:sz w:val="26"/>
          <w:szCs w:val="26"/>
        </w:rPr>
        <w:t>»</w:t>
      </w:r>
      <w:r w:rsidR="00350B0A" w:rsidRPr="00C04ABD">
        <w:rPr>
          <w:rFonts w:ascii="Myriad Pro" w:eastAsia="Calibri" w:hAnsi="Myriad Pro" w:cs="Times New Roman"/>
          <w:sz w:val="26"/>
          <w:szCs w:val="26"/>
        </w:rPr>
        <w:t xml:space="preserve"> </w:t>
      </w:r>
      <w:r w:rsidR="00655FFA" w:rsidRPr="00C04ABD">
        <w:rPr>
          <w:rFonts w:ascii="Myriad Pro" w:eastAsia="Calibri" w:hAnsi="Myriad Pro" w:cs="Times New Roman"/>
          <w:sz w:val="26"/>
          <w:szCs w:val="26"/>
        </w:rPr>
        <w:t>«</w:t>
      </w:r>
      <w:r w:rsidR="00350B0A" w:rsidRPr="00C04ABD">
        <w:rPr>
          <w:rFonts w:ascii="Myriad Pro" w:eastAsia="Calibri" w:hAnsi="Myriad Pro" w:cs="Times New Roman"/>
          <w:sz w:val="26"/>
          <w:szCs w:val="26"/>
        </w:rPr>
        <w:t>Колэнерго</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 xml:space="preserve"> были представлены следующие документы:</w:t>
      </w:r>
    </w:p>
    <w:p w14:paraId="1C984CF1" w14:textId="28ADE6BF" w:rsidR="00101610" w:rsidRPr="00C04ABD" w:rsidRDefault="00AF0B12" w:rsidP="009B0BC1">
      <w:pPr>
        <w:pStyle w:val="a4"/>
        <w:numPr>
          <w:ilvl w:val="0"/>
          <w:numId w:val="17"/>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lastRenderedPageBreak/>
        <w:t xml:space="preserve">Расчет </w:t>
      </w:r>
      <w:r w:rsidR="00DD2DA6" w:rsidRPr="00C04ABD">
        <w:rPr>
          <w:rFonts w:ascii="Myriad Pro" w:hAnsi="Myriad Pro"/>
          <w:sz w:val="26"/>
          <w:szCs w:val="26"/>
        </w:rPr>
        <w:t xml:space="preserve">расходов по статье </w:t>
      </w:r>
      <w:r w:rsidR="00655FFA" w:rsidRPr="00C04ABD">
        <w:rPr>
          <w:rFonts w:ascii="Myriad Pro" w:hAnsi="Myriad Pro"/>
          <w:sz w:val="26"/>
          <w:szCs w:val="26"/>
        </w:rPr>
        <w:t>«</w:t>
      </w:r>
      <w:r w:rsidR="00101610" w:rsidRPr="00C04ABD">
        <w:rPr>
          <w:rFonts w:ascii="Myriad Pro" w:hAnsi="Myriad Pro"/>
          <w:sz w:val="26"/>
          <w:szCs w:val="26"/>
        </w:rPr>
        <w:t>Услуги по обеспечению охран</w:t>
      </w:r>
      <w:r w:rsidR="00DD2DA6" w:rsidRPr="00C04ABD">
        <w:rPr>
          <w:rFonts w:ascii="Myriad Pro" w:hAnsi="Myriad Pro"/>
          <w:sz w:val="26"/>
          <w:szCs w:val="26"/>
        </w:rPr>
        <w:t>ы труда</w:t>
      </w:r>
      <w:r w:rsidR="00655FFA" w:rsidRPr="00C04ABD">
        <w:rPr>
          <w:rFonts w:ascii="Myriad Pro" w:hAnsi="Myriad Pro"/>
          <w:sz w:val="26"/>
          <w:szCs w:val="26"/>
        </w:rPr>
        <w:t>»</w:t>
      </w:r>
      <w:r w:rsidR="00DD2DA6" w:rsidRPr="00C04ABD">
        <w:rPr>
          <w:rFonts w:ascii="Myriad Pro" w:hAnsi="Myriad Pro"/>
          <w:sz w:val="26"/>
          <w:szCs w:val="26"/>
        </w:rPr>
        <w:t xml:space="preserve"> и по статье </w:t>
      </w:r>
      <w:r w:rsidR="00655FFA" w:rsidRPr="00C04ABD">
        <w:rPr>
          <w:rFonts w:ascii="Myriad Pro" w:hAnsi="Myriad Pro"/>
          <w:sz w:val="26"/>
          <w:szCs w:val="26"/>
        </w:rPr>
        <w:t>«</w:t>
      </w:r>
      <w:r w:rsidR="00101610" w:rsidRPr="00C04ABD">
        <w:rPr>
          <w:rFonts w:ascii="Myriad Pro" w:hAnsi="Myriad Pro"/>
          <w:sz w:val="26"/>
          <w:szCs w:val="26"/>
        </w:rPr>
        <w:t>Мед</w:t>
      </w:r>
      <w:r w:rsidR="00DD2DA6" w:rsidRPr="00C04ABD">
        <w:rPr>
          <w:rFonts w:ascii="Myriad Pro" w:hAnsi="Myriad Pro"/>
          <w:sz w:val="26"/>
          <w:szCs w:val="26"/>
        </w:rPr>
        <w:t>ицинские осмотры и обследования</w:t>
      </w:r>
      <w:r w:rsidR="00655FFA" w:rsidRPr="00C04ABD">
        <w:rPr>
          <w:rFonts w:ascii="Myriad Pro" w:hAnsi="Myriad Pro"/>
          <w:sz w:val="26"/>
          <w:szCs w:val="26"/>
        </w:rPr>
        <w:t>»</w:t>
      </w:r>
      <w:r w:rsidR="00101610" w:rsidRPr="00C04ABD">
        <w:rPr>
          <w:rFonts w:ascii="Myriad Pro" w:hAnsi="Myriad Pro"/>
          <w:sz w:val="26"/>
          <w:szCs w:val="26"/>
        </w:rPr>
        <w:t xml:space="preserve"> за 2017-2019 гг.;</w:t>
      </w:r>
    </w:p>
    <w:p w14:paraId="19CC7F16" w14:textId="799FD889" w:rsidR="00101610" w:rsidRPr="00C04ABD" w:rsidRDefault="00DD2DA6" w:rsidP="009B0BC1">
      <w:pPr>
        <w:pStyle w:val="a4"/>
        <w:numPr>
          <w:ilvl w:val="0"/>
          <w:numId w:val="17"/>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 xml:space="preserve">Реестр договоров по статье </w:t>
      </w:r>
      <w:r w:rsidR="00655FFA" w:rsidRPr="00C04ABD">
        <w:rPr>
          <w:rFonts w:ascii="Myriad Pro" w:hAnsi="Myriad Pro"/>
          <w:sz w:val="26"/>
          <w:szCs w:val="26"/>
        </w:rPr>
        <w:t>«</w:t>
      </w:r>
      <w:r w:rsidR="00101610" w:rsidRPr="00C04ABD">
        <w:rPr>
          <w:rFonts w:ascii="Myriad Pro" w:hAnsi="Myriad Pro"/>
          <w:sz w:val="26"/>
          <w:szCs w:val="26"/>
        </w:rPr>
        <w:t>Услуги по обеспечению охраны труда</w:t>
      </w:r>
      <w:r w:rsidR="00655FFA" w:rsidRPr="00C04ABD">
        <w:rPr>
          <w:rFonts w:ascii="Myriad Pro" w:hAnsi="Myriad Pro"/>
          <w:sz w:val="26"/>
          <w:szCs w:val="26"/>
        </w:rPr>
        <w:t>»</w:t>
      </w:r>
      <w:r w:rsidRPr="00C04ABD">
        <w:rPr>
          <w:rFonts w:ascii="Myriad Pro" w:hAnsi="Myriad Pro"/>
          <w:sz w:val="26"/>
          <w:szCs w:val="26"/>
        </w:rPr>
        <w:t xml:space="preserve"> и по статье </w:t>
      </w:r>
      <w:r w:rsidR="00655FFA" w:rsidRPr="00C04ABD">
        <w:rPr>
          <w:rFonts w:ascii="Myriad Pro" w:hAnsi="Myriad Pro"/>
          <w:sz w:val="26"/>
          <w:szCs w:val="26"/>
        </w:rPr>
        <w:t>«</w:t>
      </w:r>
      <w:r w:rsidR="00101610" w:rsidRPr="00C04ABD">
        <w:rPr>
          <w:rFonts w:ascii="Myriad Pro" w:hAnsi="Myriad Pro"/>
          <w:sz w:val="26"/>
          <w:szCs w:val="26"/>
        </w:rPr>
        <w:t>Меди</w:t>
      </w:r>
      <w:r w:rsidRPr="00C04ABD">
        <w:rPr>
          <w:rFonts w:ascii="Myriad Pro" w:hAnsi="Myriad Pro"/>
          <w:sz w:val="26"/>
          <w:szCs w:val="26"/>
        </w:rPr>
        <w:t>цинские осмотры и обследования</w:t>
      </w:r>
      <w:r w:rsidR="00655FFA" w:rsidRPr="00C04ABD">
        <w:rPr>
          <w:rFonts w:ascii="Myriad Pro" w:hAnsi="Myriad Pro"/>
          <w:sz w:val="26"/>
          <w:szCs w:val="26"/>
        </w:rPr>
        <w:t>»</w:t>
      </w:r>
      <w:r w:rsidR="00101610" w:rsidRPr="00C04ABD">
        <w:rPr>
          <w:rFonts w:ascii="Myriad Pro" w:hAnsi="Myriad Pro"/>
          <w:sz w:val="26"/>
          <w:szCs w:val="26"/>
        </w:rPr>
        <w:t>;</w:t>
      </w:r>
    </w:p>
    <w:p w14:paraId="5534380C" w14:textId="1FC80F10" w:rsidR="00101610" w:rsidRPr="00C04ABD" w:rsidRDefault="00101610" w:rsidP="009B0BC1">
      <w:pPr>
        <w:pStyle w:val="a4"/>
        <w:numPr>
          <w:ilvl w:val="0"/>
          <w:numId w:val="17"/>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 xml:space="preserve">Копии договоров по статье </w:t>
      </w:r>
      <w:r w:rsidR="00655FFA" w:rsidRPr="00C04ABD">
        <w:rPr>
          <w:rFonts w:ascii="Myriad Pro" w:hAnsi="Myriad Pro"/>
          <w:sz w:val="26"/>
          <w:szCs w:val="26"/>
        </w:rPr>
        <w:t>«</w:t>
      </w:r>
      <w:r w:rsidRPr="00C04ABD">
        <w:rPr>
          <w:rFonts w:ascii="Myriad Pro" w:hAnsi="Myriad Pro"/>
          <w:sz w:val="26"/>
          <w:szCs w:val="26"/>
        </w:rPr>
        <w:t>Услу</w:t>
      </w:r>
      <w:r w:rsidR="00DD2DA6" w:rsidRPr="00C04ABD">
        <w:rPr>
          <w:rFonts w:ascii="Myriad Pro" w:hAnsi="Myriad Pro"/>
          <w:sz w:val="26"/>
          <w:szCs w:val="26"/>
        </w:rPr>
        <w:t>ги по обеспечению охраны труда</w:t>
      </w:r>
      <w:r w:rsidR="00655FFA" w:rsidRPr="00C04ABD">
        <w:rPr>
          <w:rFonts w:ascii="Myriad Pro" w:hAnsi="Myriad Pro"/>
          <w:sz w:val="26"/>
          <w:szCs w:val="26"/>
        </w:rPr>
        <w:t>»</w:t>
      </w:r>
      <w:r w:rsidR="00DD2DA6" w:rsidRPr="00C04ABD">
        <w:rPr>
          <w:rFonts w:ascii="Myriad Pro" w:hAnsi="Myriad Pro"/>
          <w:sz w:val="26"/>
          <w:szCs w:val="26"/>
        </w:rPr>
        <w:t xml:space="preserve"> </w:t>
      </w:r>
      <w:r w:rsidRPr="00C04ABD">
        <w:rPr>
          <w:rFonts w:ascii="Myriad Pro" w:hAnsi="Myriad Pro"/>
          <w:sz w:val="26"/>
          <w:szCs w:val="26"/>
        </w:rPr>
        <w:t>и</w:t>
      </w:r>
      <w:r w:rsidR="00DD2DA6" w:rsidRPr="00C04ABD">
        <w:rPr>
          <w:rFonts w:ascii="Myriad Pro" w:hAnsi="Myriad Pro"/>
          <w:sz w:val="26"/>
          <w:szCs w:val="26"/>
        </w:rPr>
        <w:t xml:space="preserve"> по статье </w:t>
      </w:r>
      <w:r w:rsidR="00655FFA" w:rsidRPr="00C04ABD">
        <w:rPr>
          <w:rFonts w:ascii="Myriad Pro" w:hAnsi="Myriad Pro"/>
          <w:sz w:val="26"/>
          <w:szCs w:val="26"/>
        </w:rPr>
        <w:t>«</w:t>
      </w:r>
      <w:r w:rsidRPr="00C04ABD">
        <w:rPr>
          <w:rFonts w:ascii="Myriad Pro" w:hAnsi="Myriad Pro"/>
          <w:sz w:val="26"/>
          <w:szCs w:val="26"/>
        </w:rPr>
        <w:t>Меди</w:t>
      </w:r>
      <w:r w:rsidR="00DD2DA6" w:rsidRPr="00C04ABD">
        <w:rPr>
          <w:rFonts w:ascii="Myriad Pro" w:hAnsi="Myriad Pro"/>
          <w:sz w:val="26"/>
          <w:szCs w:val="26"/>
        </w:rPr>
        <w:t>цинские осмотры и обследования</w:t>
      </w:r>
      <w:r w:rsidR="00655FFA" w:rsidRPr="00C04ABD">
        <w:rPr>
          <w:rFonts w:ascii="Myriad Pro" w:hAnsi="Myriad Pro"/>
          <w:sz w:val="26"/>
          <w:szCs w:val="26"/>
        </w:rPr>
        <w:t>»</w:t>
      </w:r>
      <w:r w:rsidRPr="00C04ABD">
        <w:rPr>
          <w:rFonts w:ascii="Myriad Pro" w:hAnsi="Myriad Pro"/>
          <w:sz w:val="26"/>
          <w:szCs w:val="26"/>
        </w:rPr>
        <w:t>;</w:t>
      </w:r>
    </w:p>
    <w:p w14:paraId="4F570205" w14:textId="5E46038F" w:rsidR="00101610" w:rsidRPr="00C04ABD" w:rsidRDefault="00101610" w:rsidP="009B0BC1">
      <w:pPr>
        <w:pStyle w:val="a4"/>
        <w:numPr>
          <w:ilvl w:val="0"/>
          <w:numId w:val="17"/>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Анализ счет</w:t>
      </w:r>
      <w:r w:rsidR="00DD2DA6" w:rsidRPr="00C04ABD">
        <w:rPr>
          <w:rFonts w:ascii="Myriad Pro" w:hAnsi="Myriad Pro"/>
          <w:sz w:val="26"/>
          <w:szCs w:val="26"/>
        </w:rPr>
        <w:t xml:space="preserve">а 20,23,25 по элементам затрат </w:t>
      </w:r>
      <w:r w:rsidR="00655FFA" w:rsidRPr="00C04ABD">
        <w:rPr>
          <w:rFonts w:ascii="Myriad Pro" w:hAnsi="Myriad Pro"/>
          <w:sz w:val="26"/>
          <w:szCs w:val="26"/>
        </w:rPr>
        <w:t>«</w:t>
      </w:r>
      <w:r w:rsidRPr="00C04ABD">
        <w:rPr>
          <w:rFonts w:ascii="Myriad Pro" w:hAnsi="Myriad Pro"/>
          <w:sz w:val="26"/>
          <w:szCs w:val="26"/>
        </w:rPr>
        <w:t>Усл</w:t>
      </w:r>
      <w:r w:rsidR="00DD2DA6" w:rsidRPr="00C04ABD">
        <w:rPr>
          <w:rFonts w:ascii="Myriad Pro" w:hAnsi="Myriad Pro"/>
          <w:sz w:val="26"/>
          <w:szCs w:val="26"/>
        </w:rPr>
        <w:t>уги по обеспечению охраны труда</w:t>
      </w:r>
      <w:r w:rsidR="00655FFA" w:rsidRPr="00C04ABD">
        <w:rPr>
          <w:rFonts w:ascii="Myriad Pro" w:hAnsi="Myriad Pro"/>
          <w:sz w:val="26"/>
          <w:szCs w:val="26"/>
        </w:rPr>
        <w:t>»</w:t>
      </w:r>
      <w:r w:rsidR="00DD2DA6" w:rsidRPr="00C04ABD">
        <w:rPr>
          <w:rFonts w:ascii="Myriad Pro" w:hAnsi="Myriad Pro"/>
          <w:sz w:val="26"/>
          <w:szCs w:val="26"/>
        </w:rPr>
        <w:t xml:space="preserve"> и </w:t>
      </w:r>
      <w:r w:rsidR="00655FFA" w:rsidRPr="00C04ABD">
        <w:rPr>
          <w:rFonts w:ascii="Myriad Pro" w:hAnsi="Myriad Pro"/>
          <w:sz w:val="26"/>
          <w:szCs w:val="26"/>
        </w:rPr>
        <w:t>«</w:t>
      </w:r>
      <w:r w:rsidRPr="00C04ABD">
        <w:rPr>
          <w:rFonts w:ascii="Myriad Pro" w:hAnsi="Myriad Pro"/>
          <w:sz w:val="26"/>
          <w:szCs w:val="26"/>
        </w:rPr>
        <w:t>Мед</w:t>
      </w:r>
      <w:r w:rsidR="00DD2DA6" w:rsidRPr="00C04ABD">
        <w:rPr>
          <w:rFonts w:ascii="Myriad Pro" w:hAnsi="Myriad Pro"/>
          <w:sz w:val="26"/>
          <w:szCs w:val="26"/>
        </w:rPr>
        <w:t>ицинские осмотры и обследования</w:t>
      </w:r>
      <w:r w:rsidR="00655FFA" w:rsidRPr="00C04ABD">
        <w:rPr>
          <w:rFonts w:ascii="Myriad Pro" w:hAnsi="Myriad Pro"/>
          <w:sz w:val="26"/>
          <w:szCs w:val="26"/>
        </w:rPr>
        <w:t>»</w:t>
      </w:r>
      <w:r w:rsidRPr="00C04ABD">
        <w:rPr>
          <w:rFonts w:ascii="Myriad Pro" w:hAnsi="Myriad Pro"/>
          <w:sz w:val="26"/>
          <w:szCs w:val="26"/>
        </w:rPr>
        <w:t xml:space="preserve"> по виду деятельности </w:t>
      </w:r>
      <w:r w:rsidR="00655FFA" w:rsidRPr="00C04ABD">
        <w:rPr>
          <w:rFonts w:ascii="Myriad Pro" w:hAnsi="Myriad Pro"/>
          <w:sz w:val="26"/>
          <w:szCs w:val="26"/>
        </w:rPr>
        <w:t>«</w:t>
      </w:r>
      <w:r w:rsidRPr="00C04ABD">
        <w:rPr>
          <w:rFonts w:ascii="Myriad Pro" w:hAnsi="Myriad Pro"/>
          <w:sz w:val="26"/>
          <w:szCs w:val="26"/>
        </w:rPr>
        <w:t>Услуги по передаче электроэнергии по сетям</w:t>
      </w:r>
      <w:r w:rsidR="00655FFA" w:rsidRPr="00C04ABD">
        <w:rPr>
          <w:rFonts w:ascii="Myriad Pro" w:hAnsi="Myriad Pro"/>
          <w:sz w:val="26"/>
          <w:szCs w:val="26"/>
        </w:rPr>
        <w:t>»</w:t>
      </w:r>
      <w:r w:rsidRPr="00C04ABD">
        <w:rPr>
          <w:rFonts w:ascii="Myriad Pro" w:hAnsi="Myriad Pro"/>
          <w:sz w:val="26"/>
          <w:szCs w:val="26"/>
        </w:rPr>
        <w:t xml:space="preserve"> за 2017 г.</w:t>
      </w:r>
    </w:p>
    <w:p w14:paraId="57F5559A" w14:textId="77777777" w:rsidR="00101610" w:rsidRPr="00C04ABD" w:rsidRDefault="00101610" w:rsidP="009B0BC1">
      <w:pPr>
        <w:pStyle w:val="a4"/>
        <w:numPr>
          <w:ilvl w:val="0"/>
          <w:numId w:val="17"/>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Выписка из Прейскуранта цен на психиатрическое освидетельствование и периодические осмотры</w:t>
      </w:r>
    </w:p>
    <w:p w14:paraId="79E1E256" w14:textId="6C55A0B6" w:rsidR="00101610" w:rsidRPr="00C04ABD" w:rsidRDefault="00101610" w:rsidP="009B0BC1">
      <w:pPr>
        <w:pStyle w:val="a4"/>
        <w:numPr>
          <w:ilvl w:val="0"/>
          <w:numId w:val="17"/>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 xml:space="preserve">Список персонала филиала ПАО </w:t>
      </w:r>
      <w:r w:rsidR="00655FFA" w:rsidRPr="00C04ABD">
        <w:rPr>
          <w:rFonts w:ascii="Myriad Pro" w:hAnsi="Myriad Pro"/>
          <w:sz w:val="26"/>
          <w:szCs w:val="26"/>
        </w:rPr>
        <w:t>«</w:t>
      </w:r>
      <w:r w:rsidR="00597FD5" w:rsidRPr="00C04ABD">
        <w:rPr>
          <w:rFonts w:ascii="Myriad Pro" w:hAnsi="Myriad Pro"/>
          <w:sz w:val="26"/>
          <w:szCs w:val="26"/>
        </w:rPr>
        <w:t>МРСК Северо-Запада</w:t>
      </w:r>
      <w:r w:rsidR="00655FFA" w:rsidRPr="00C04ABD">
        <w:rPr>
          <w:rFonts w:ascii="Myriad Pro" w:hAnsi="Myriad Pro"/>
          <w:sz w:val="26"/>
          <w:szCs w:val="26"/>
        </w:rPr>
        <w:t>»</w:t>
      </w:r>
      <w:r w:rsidR="00F50BAF" w:rsidRPr="00C04ABD">
        <w:rPr>
          <w:rFonts w:ascii="Myriad Pro" w:hAnsi="Myriad Pro"/>
          <w:sz w:val="26"/>
          <w:szCs w:val="26"/>
        </w:rPr>
        <w:t xml:space="preserve"> </w:t>
      </w:r>
      <w:r w:rsidR="00655FFA" w:rsidRPr="00C04ABD">
        <w:rPr>
          <w:rFonts w:ascii="Myriad Pro" w:hAnsi="Myriad Pro"/>
          <w:sz w:val="26"/>
          <w:szCs w:val="26"/>
        </w:rPr>
        <w:t>«</w:t>
      </w:r>
      <w:r w:rsidR="00F50BAF" w:rsidRPr="00C04ABD">
        <w:rPr>
          <w:rFonts w:ascii="Myriad Pro" w:hAnsi="Myriad Pro"/>
          <w:sz w:val="26"/>
          <w:szCs w:val="26"/>
        </w:rPr>
        <w:t>Колэнерго</w:t>
      </w:r>
      <w:r w:rsidR="00655FFA" w:rsidRPr="00C04ABD">
        <w:rPr>
          <w:rFonts w:ascii="Myriad Pro" w:hAnsi="Myriad Pro"/>
          <w:sz w:val="26"/>
          <w:szCs w:val="26"/>
        </w:rPr>
        <w:t>»</w:t>
      </w:r>
      <w:r w:rsidRPr="00C04ABD">
        <w:rPr>
          <w:rFonts w:ascii="Myriad Pro" w:hAnsi="Myriad Pro"/>
          <w:sz w:val="26"/>
          <w:szCs w:val="26"/>
        </w:rPr>
        <w:t>, подлежащего психиатрическому освидетельствованию</w:t>
      </w:r>
    </w:p>
    <w:p w14:paraId="69B504EF" w14:textId="1EEEB10E" w:rsidR="00101610" w:rsidRPr="00C04ABD" w:rsidRDefault="00101610" w:rsidP="009B0BC1">
      <w:pPr>
        <w:pStyle w:val="a4"/>
        <w:numPr>
          <w:ilvl w:val="0"/>
          <w:numId w:val="17"/>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 xml:space="preserve">Список персонала филиала ПАО </w:t>
      </w:r>
      <w:r w:rsidR="00655FFA" w:rsidRPr="00C04ABD">
        <w:rPr>
          <w:rFonts w:ascii="Myriad Pro" w:hAnsi="Myriad Pro"/>
          <w:sz w:val="26"/>
          <w:szCs w:val="26"/>
        </w:rPr>
        <w:t>«</w:t>
      </w:r>
      <w:r w:rsidR="00597FD5" w:rsidRPr="00C04ABD">
        <w:rPr>
          <w:rFonts w:ascii="Myriad Pro" w:hAnsi="Myriad Pro"/>
          <w:sz w:val="26"/>
          <w:szCs w:val="26"/>
        </w:rPr>
        <w:t>МРСК Северо-Запада</w:t>
      </w:r>
      <w:r w:rsidR="00655FFA" w:rsidRPr="00C04ABD">
        <w:rPr>
          <w:rFonts w:ascii="Myriad Pro" w:hAnsi="Myriad Pro"/>
          <w:sz w:val="26"/>
          <w:szCs w:val="26"/>
        </w:rPr>
        <w:t>»</w:t>
      </w:r>
      <w:r w:rsidR="00F50BAF" w:rsidRPr="00C04ABD">
        <w:rPr>
          <w:rFonts w:ascii="Myriad Pro" w:hAnsi="Myriad Pro"/>
          <w:sz w:val="26"/>
          <w:szCs w:val="26"/>
        </w:rPr>
        <w:t xml:space="preserve"> </w:t>
      </w:r>
      <w:r w:rsidR="00655FFA" w:rsidRPr="00C04ABD">
        <w:rPr>
          <w:rFonts w:ascii="Myriad Pro" w:hAnsi="Myriad Pro"/>
          <w:sz w:val="26"/>
          <w:szCs w:val="26"/>
        </w:rPr>
        <w:t>«</w:t>
      </w:r>
      <w:r w:rsidR="00F50BAF" w:rsidRPr="00C04ABD">
        <w:rPr>
          <w:rFonts w:ascii="Myriad Pro" w:hAnsi="Myriad Pro"/>
          <w:sz w:val="26"/>
          <w:szCs w:val="26"/>
        </w:rPr>
        <w:t>Колэнерго</w:t>
      </w:r>
      <w:r w:rsidR="00655FFA" w:rsidRPr="00C04ABD">
        <w:rPr>
          <w:rFonts w:ascii="Myriad Pro" w:hAnsi="Myriad Pro"/>
          <w:sz w:val="26"/>
          <w:szCs w:val="26"/>
        </w:rPr>
        <w:t>»</w:t>
      </w:r>
      <w:r w:rsidRPr="00C04ABD">
        <w:rPr>
          <w:rFonts w:ascii="Myriad Pro" w:hAnsi="Myriad Pro"/>
          <w:sz w:val="26"/>
          <w:szCs w:val="26"/>
        </w:rPr>
        <w:t>, подлежащих осмотру</w:t>
      </w:r>
    </w:p>
    <w:p w14:paraId="51572BB8" w14:textId="77777777" w:rsidR="00A54C03" w:rsidRDefault="00A54C03" w:rsidP="00567D32">
      <w:pPr>
        <w:tabs>
          <w:tab w:val="left" w:pos="1134"/>
        </w:tabs>
        <w:spacing w:after="0" w:line="360" w:lineRule="auto"/>
        <w:contextualSpacing/>
        <w:jc w:val="both"/>
        <w:rPr>
          <w:rFonts w:ascii="Myriad Pro" w:eastAsia="Calibri" w:hAnsi="Myriad Pro" w:cs="Times New Roman"/>
          <w:b/>
          <w:sz w:val="26"/>
          <w:szCs w:val="26"/>
        </w:rPr>
      </w:pPr>
    </w:p>
    <w:p w14:paraId="62F96CB7" w14:textId="1975A567" w:rsidR="00AF0B12" w:rsidRPr="00C04ABD" w:rsidRDefault="00AF0B12" w:rsidP="00567D32">
      <w:pPr>
        <w:tabs>
          <w:tab w:val="left" w:pos="1134"/>
        </w:tabs>
        <w:spacing w:after="0" w:line="360" w:lineRule="auto"/>
        <w:contextualSpacing/>
        <w:jc w:val="both"/>
        <w:rPr>
          <w:rFonts w:ascii="Myriad Pro" w:eastAsia="Calibri" w:hAnsi="Myriad Pro" w:cs="Times New Roman"/>
          <w:b/>
          <w:sz w:val="26"/>
          <w:szCs w:val="26"/>
        </w:rPr>
      </w:pPr>
      <w:r w:rsidRPr="00C04ABD">
        <w:rPr>
          <w:rFonts w:ascii="Myriad Pro" w:eastAsia="Calibri" w:hAnsi="Myriad Pro" w:cs="Times New Roman"/>
          <w:b/>
          <w:sz w:val="26"/>
          <w:szCs w:val="26"/>
        </w:rPr>
        <w:t>ПОЗИЦИЯ ОРГАНА РЕГУЛИРОВАНИЯ</w:t>
      </w:r>
    </w:p>
    <w:p w14:paraId="15CC9FB2" w14:textId="77777777" w:rsidR="00AF0B12" w:rsidRPr="00C04ABD" w:rsidRDefault="00AF0B12" w:rsidP="00A31747">
      <w:pPr>
        <w:tabs>
          <w:tab w:val="left" w:pos="1134"/>
        </w:tabs>
        <w:spacing w:after="0" w:line="360" w:lineRule="auto"/>
        <w:ind w:firstLine="567"/>
        <w:jc w:val="both"/>
        <w:rPr>
          <w:rFonts w:ascii="Myriad Pro" w:eastAsia="Calibri" w:hAnsi="Myriad Pro" w:cs="Times New Roman"/>
          <w:sz w:val="26"/>
          <w:szCs w:val="26"/>
        </w:rPr>
      </w:pPr>
      <w:r w:rsidRPr="00C04ABD">
        <w:rPr>
          <w:rFonts w:ascii="Myriad Pro" w:eastAsia="Calibri" w:hAnsi="Myriad Pro" w:cs="Times New Roman"/>
          <w:sz w:val="26"/>
          <w:szCs w:val="26"/>
        </w:rPr>
        <w:t>Величина расходов, принятая регулирующим органом на 2019 год:</w:t>
      </w:r>
    </w:p>
    <w:p w14:paraId="661722C3" w14:textId="0F32CB88" w:rsidR="00AF0B12" w:rsidRPr="00C04ABD" w:rsidRDefault="00AF0B12" w:rsidP="009B0BC1">
      <w:pPr>
        <w:pStyle w:val="a4"/>
        <w:numPr>
          <w:ilvl w:val="0"/>
          <w:numId w:val="17"/>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экономически о</w:t>
      </w:r>
      <w:r w:rsidR="00101610" w:rsidRPr="00C04ABD">
        <w:rPr>
          <w:rFonts w:ascii="Myriad Pro" w:hAnsi="Myriad Pro"/>
          <w:sz w:val="26"/>
          <w:szCs w:val="26"/>
        </w:rPr>
        <w:t>боснованный уровень –9 742,77</w:t>
      </w:r>
      <w:r w:rsidRPr="00C04ABD">
        <w:rPr>
          <w:rFonts w:ascii="Myriad Pro" w:hAnsi="Myriad Pro"/>
          <w:sz w:val="26"/>
          <w:szCs w:val="26"/>
        </w:rPr>
        <w:t xml:space="preserve"> тыс. руб.</w:t>
      </w:r>
      <w:r w:rsidR="00101610" w:rsidRPr="00C04ABD">
        <w:rPr>
          <w:rFonts w:ascii="Myriad Pro" w:hAnsi="Myriad Pro"/>
          <w:sz w:val="26"/>
          <w:szCs w:val="26"/>
        </w:rPr>
        <w:t xml:space="preserve"> (в том числе по статье </w:t>
      </w:r>
      <w:r w:rsidR="00655FFA" w:rsidRPr="00C04ABD">
        <w:rPr>
          <w:rFonts w:ascii="Myriad Pro" w:hAnsi="Myriad Pro"/>
          <w:sz w:val="26"/>
          <w:szCs w:val="26"/>
        </w:rPr>
        <w:t>«</w:t>
      </w:r>
      <w:r w:rsidR="00101610" w:rsidRPr="00C04ABD">
        <w:rPr>
          <w:rFonts w:ascii="Myriad Pro" w:hAnsi="Myriad Pro"/>
          <w:sz w:val="26"/>
          <w:szCs w:val="26"/>
        </w:rPr>
        <w:t>Усл</w:t>
      </w:r>
      <w:r w:rsidR="00F50BAF" w:rsidRPr="00C04ABD">
        <w:rPr>
          <w:rFonts w:ascii="Myriad Pro" w:hAnsi="Myriad Pro"/>
          <w:sz w:val="26"/>
          <w:szCs w:val="26"/>
        </w:rPr>
        <w:t>уги по обеспечению охраны труда</w:t>
      </w:r>
      <w:r w:rsidR="00655FFA" w:rsidRPr="00C04ABD">
        <w:rPr>
          <w:rFonts w:ascii="Myriad Pro" w:hAnsi="Myriad Pro"/>
          <w:sz w:val="26"/>
          <w:szCs w:val="26"/>
        </w:rPr>
        <w:t>»</w:t>
      </w:r>
      <w:r w:rsidR="00101610" w:rsidRPr="00C04ABD">
        <w:rPr>
          <w:rFonts w:ascii="Myriad Pro" w:hAnsi="Myriad Pro"/>
          <w:sz w:val="26"/>
          <w:szCs w:val="26"/>
        </w:rPr>
        <w:t xml:space="preserve"> </w:t>
      </w:r>
      <w:r w:rsidR="00E663D3">
        <w:rPr>
          <w:rFonts w:ascii="Myriad Pro" w:hAnsi="Myriad Pro"/>
          <w:sz w:val="26"/>
          <w:szCs w:val="26"/>
        </w:rPr>
        <w:t>в размере</w:t>
      </w:r>
      <w:r w:rsidR="00101610" w:rsidRPr="00C04ABD">
        <w:rPr>
          <w:rFonts w:ascii="Myriad Pro" w:hAnsi="Myriad Pro"/>
          <w:sz w:val="26"/>
          <w:szCs w:val="26"/>
        </w:rPr>
        <w:t xml:space="preserve"> 1036,5 тыс. руб. и по</w:t>
      </w:r>
      <w:r w:rsidR="00F50BAF" w:rsidRPr="00C04ABD">
        <w:rPr>
          <w:rFonts w:ascii="Myriad Pro" w:hAnsi="Myriad Pro"/>
          <w:sz w:val="26"/>
          <w:szCs w:val="26"/>
        </w:rPr>
        <w:t xml:space="preserve"> статье </w:t>
      </w:r>
      <w:r w:rsidR="00655FFA" w:rsidRPr="00C04ABD">
        <w:rPr>
          <w:rFonts w:ascii="Myriad Pro" w:hAnsi="Myriad Pro"/>
          <w:sz w:val="26"/>
          <w:szCs w:val="26"/>
        </w:rPr>
        <w:t>«</w:t>
      </w:r>
      <w:r w:rsidR="00101610" w:rsidRPr="00C04ABD">
        <w:rPr>
          <w:rFonts w:ascii="Myriad Pro" w:hAnsi="Myriad Pro"/>
          <w:sz w:val="26"/>
          <w:szCs w:val="26"/>
        </w:rPr>
        <w:t>Меди</w:t>
      </w:r>
      <w:r w:rsidR="00F50BAF" w:rsidRPr="00C04ABD">
        <w:rPr>
          <w:rFonts w:ascii="Myriad Pro" w:hAnsi="Myriad Pro"/>
          <w:sz w:val="26"/>
          <w:szCs w:val="26"/>
        </w:rPr>
        <w:t>цинские осмотры и обследования</w:t>
      </w:r>
      <w:r w:rsidR="00655FFA" w:rsidRPr="00C04ABD">
        <w:rPr>
          <w:rFonts w:ascii="Myriad Pro" w:hAnsi="Myriad Pro"/>
          <w:sz w:val="26"/>
          <w:szCs w:val="26"/>
        </w:rPr>
        <w:t>»</w:t>
      </w:r>
      <w:r w:rsidR="00101610" w:rsidRPr="00C04ABD">
        <w:rPr>
          <w:rFonts w:ascii="Myriad Pro" w:hAnsi="Myriad Pro"/>
          <w:sz w:val="26"/>
          <w:szCs w:val="26"/>
        </w:rPr>
        <w:t xml:space="preserve"> </w:t>
      </w:r>
      <w:r w:rsidR="00E663D3">
        <w:rPr>
          <w:rFonts w:ascii="Myriad Pro" w:hAnsi="Myriad Pro"/>
          <w:sz w:val="26"/>
          <w:szCs w:val="26"/>
        </w:rPr>
        <w:t>в размере</w:t>
      </w:r>
      <w:r w:rsidR="00101610" w:rsidRPr="00C04ABD">
        <w:rPr>
          <w:rFonts w:ascii="Myriad Pro" w:hAnsi="Myriad Pro"/>
          <w:sz w:val="26"/>
          <w:szCs w:val="26"/>
        </w:rPr>
        <w:t xml:space="preserve"> 8 706,3 тыс. руб.)</w:t>
      </w:r>
      <w:r w:rsidRPr="00C04ABD">
        <w:rPr>
          <w:rFonts w:ascii="Myriad Pro" w:hAnsi="Myriad Pro"/>
          <w:sz w:val="26"/>
          <w:szCs w:val="26"/>
        </w:rPr>
        <w:t>;</w:t>
      </w:r>
    </w:p>
    <w:p w14:paraId="209D8E66" w14:textId="73237801" w:rsidR="00AF0B12" w:rsidRPr="00C04ABD" w:rsidRDefault="00567D32" w:rsidP="009B0BC1">
      <w:pPr>
        <w:pStyle w:val="a4"/>
        <w:numPr>
          <w:ilvl w:val="0"/>
          <w:numId w:val="17"/>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у</w:t>
      </w:r>
      <w:r w:rsidR="00AF0B12" w:rsidRPr="00C04ABD">
        <w:rPr>
          <w:rFonts w:ascii="Myriad Pro" w:hAnsi="Myriad Pro"/>
          <w:sz w:val="26"/>
          <w:szCs w:val="26"/>
        </w:rPr>
        <w:t>ровень, приняты</w:t>
      </w:r>
      <w:r w:rsidR="00101610" w:rsidRPr="00C04ABD">
        <w:rPr>
          <w:rFonts w:ascii="Myriad Pro" w:hAnsi="Myriad Pro"/>
          <w:sz w:val="26"/>
          <w:szCs w:val="26"/>
        </w:rPr>
        <w:t>й при установлении НВВ –9379,9</w:t>
      </w:r>
      <w:r w:rsidR="00AF0B12" w:rsidRPr="00C04ABD">
        <w:rPr>
          <w:rFonts w:ascii="Myriad Pro" w:hAnsi="Myriad Pro"/>
          <w:sz w:val="26"/>
          <w:szCs w:val="26"/>
        </w:rPr>
        <w:t xml:space="preserve"> тыс. руб.  (0,7*ЭОУ+0,3*МА)</w:t>
      </w:r>
    </w:p>
    <w:p w14:paraId="40E45C43" w14:textId="02DEF498" w:rsidR="00101610" w:rsidRPr="00C04ABD" w:rsidRDefault="00101610"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 xml:space="preserve">Расходы Комитетом приняты на основании анализа представленных Филиалом фактических расходов за 2017 год и приняты экономически обоснованные расходы </w:t>
      </w:r>
      <w:r w:rsidR="00DD3E2C" w:rsidRPr="00C04ABD">
        <w:rPr>
          <w:rFonts w:ascii="Myriad Pro" w:eastAsia="Calibri" w:hAnsi="Myriad Pro" w:cs="Times New Roman"/>
          <w:sz w:val="26"/>
          <w:szCs w:val="26"/>
        </w:rPr>
        <w:t>за 2017 год с учетом ИПЦ, в том числе:</w:t>
      </w:r>
    </w:p>
    <w:p w14:paraId="13B45594" w14:textId="64D011F5" w:rsidR="00101610" w:rsidRPr="00C04ABD" w:rsidRDefault="00101610" w:rsidP="009B0BC1">
      <w:pPr>
        <w:pStyle w:val="a4"/>
        <w:numPr>
          <w:ilvl w:val="0"/>
          <w:numId w:val="17"/>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 xml:space="preserve">по статье </w:t>
      </w:r>
      <w:r w:rsidR="00655FFA" w:rsidRPr="00C04ABD">
        <w:rPr>
          <w:rFonts w:ascii="Myriad Pro" w:hAnsi="Myriad Pro"/>
          <w:sz w:val="26"/>
          <w:szCs w:val="26"/>
        </w:rPr>
        <w:t>«</w:t>
      </w:r>
      <w:r w:rsidRPr="00C04ABD">
        <w:rPr>
          <w:rFonts w:ascii="Myriad Pro" w:hAnsi="Myriad Pro"/>
          <w:sz w:val="26"/>
          <w:szCs w:val="26"/>
        </w:rPr>
        <w:t>Усл</w:t>
      </w:r>
      <w:r w:rsidR="00F50BAF" w:rsidRPr="00C04ABD">
        <w:rPr>
          <w:rFonts w:ascii="Myriad Pro" w:hAnsi="Myriad Pro"/>
          <w:sz w:val="26"/>
          <w:szCs w:val="26"/>
        </w:rPr>
        <w:t>уги по обеспечению охраны труда</w:t>
      </w:r>
      <w:r w:rsidR="00655FFA" w:rsidRPr="00C04ABD">
        <w:rPr>
          <w:rFonts w:ascii="Myriad Pro" w:hAnsi="Myriad Pro"/>
          <w:sz w:val="26"/>
          <w:szCs w:val="26"/>
        </w:rPr>
        <w:t>»</w:t>
      </w:r>
      <w:r w:rsidRPr="00C04ABD">
        <w:rPr>
          <w:rFonts w:ascii="Myriad Pro" w:hAnsi="Myriad Pro"/>
          <w:sz w:val="26"/>
          <w:szCs w:val="26"/>
        </w:rPr>
        <w:t xml:space="preserve"> стрика белья 774,29 тыс. руб., замеры вредных ПФ 223,59 тыс. руб., спецпитание 38,59 руб.;</w:t>
      </w:r>
    </w:p>
    <w:p w14:paraId="0843BD13" w14:textId="269B1339" w:rsidR="00101610" w:rsidRPr="00C04ABD" w:rsidRDefault="00F50BAF" w:rsidP="009B0BC1">
      <w:pPr>
        <w:pStyle w:val="a4"/>
        <w:numPr>
          <w:ilvl w:val="0"/>
          <w:numId w:val="17"/>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 xml:space="preserve">по статье </w:t>
      </w:r>
      <w:r w:rsidR="00655FFA" w:rsidRPr="00C04ABD">
        <w:rPr>
          <w:rFonts w:ascii="Myriad Pro" w:hAnsi="Myriad Pro"/>
          <w:sz w:val="26"/>
          <w:szCs w:val="26"/>
        </w:rPr>
        <w:t>«</w:t>
      </w:r>
      <w:r w:rsidR="00101610" w:rsidRPr="00C04ABD">
        <w:rPr>
          <w:rFonts w:ascii="Myriad Pro" w:hAnsi="Myriad Pro"/>
          <w:sz w:val="26"/>
          <w:szCs w:val="26"/>
        </w:rPr>
        <w:t>Медицинские осмотры и обсл</w:t>
      </w:r>
      <w:r w:rsidRPr="00C04ABD">
        <w:rPr>
          <w:rFonts w:ascii="Myriad Pro" w:hAnsi="Myriad Pro"/>
          <w:sz w:val="26"/>
          <w:szCs w:val="26"/>
        </w:rPr>
        <w:t>едования</w:t>
      </w:r>
      <w:r w:rsidR="00655FFA" w:rsidRPr="00C04ABD">
        <w:rPr>
          <w:rFonts w:ascii="Myriad Pro" w:hAnsi="Myriad Pro"/>
          <w:sz w:val="26"/>
          <w:szCs w:val="26"/>
        </w:rPr>
        <w:t>»</w:t>
      </w:r>
      <w:r w:rsidR="00101610" w:rsidRPr="00C04ABD">
        <w:rPr>
          <w:rFonts w:ascii="Myriad Pro" w:hAnsi="Myriad Pro"/>
          <w:sz w:val="26"/>
          <w:szCs w:val="26"/>
        </w:rPr>
        <w:t xml:space="preserve"> медосмотры 2 309,78 тыс. руб. и предрейсовые и предсменные медосмотры 6 396,52 тыс. руб.</w:t>
      </w:r>
    </w:p>
    <w:p w14:paraId="4432A965" w14:textId="77777777" w:rsidR="00101610" w:rsidRPr="00C04ABD" w:rsidRDefault="00101610" w:rsidP="00A31747">
      <w:pPr>
        <w:tabs>
          <w:tab w:val="left" w:pos="1134"/>
        </w:tabs>
        <w:spacing w:after="0" w:line="360" w:lineRule="auto"/>
        <w:ind w:firstLine="567"/>
        <w:contextualSpacing/>
        <w:jc w:val="both"/>
        <w:rPr>
          <w:rFonts w:ascii="Myriad Pro" w:eastAsia="Calibri" w:hAnsi="Myriad Pro" w:cs="Times New Roman"/>
          <w:b/>
          <w:sz w:val="26"/>
          <w:szCs w:val="26"/>
        </w:rPr>
      </w:pPr>
    </w:p>
    <w:p w14:paraId="7E437A49" w14:textId="715F636D" w:rsidR="00AF0B12" w:rsidRPr="00C04ABD" w:rsidRDefault="00AF0B12" w:rsidP="00567D32">
      <w:pPr>
        <w:tabs>
          <w:tab w:val="left" w:pos="1134"/>
        </w:tabs>
        <w:spacing w:after="0" w:line="360" w:lineRule="auto"/>
        <w:contextualSpacing/>
        <w:jc w:val="both"/>
        <w:rPr>
          <w:rFonts w:ascii="Myriad Pro" w:eastAsia="Calibri" w:hAnsi="Myriad Pro" w:cs="Times New Roman"/>
          <w:b/>
          <w:sz w:val="26"/>
          <w:szCs w:val="26"/>
        </w:rPr>
      </w:pPr>
      <w:r w:rsidRPr="00C04ABD">
        <w:rPr>
          <w:rFonts w:ascii="Myriad Pro" w:eastAsia="Calibri" w:hAnsi="Myriad Pro" w:cs="Times New Roman"/>
          <w:b/>
          <w:sz w:val="26"/>
          <w:szCs w:val="26"/>
        </w:rPr>
        <w:lastRenderedPageBreak/>
        <w:t>ПОЗИЦИЯ ИСПОЛНИТЕЛЯ</w:t>
      </w:r>
    </w:p>
    <w:p w14:paraId="075106E7" w14:textId="4FA550ED" w:rsidR="000863DC" w:rsidRPr="00C04ABD" w:rsidRDefault="000863DC"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 xml:space="preserve">Филиалом расходы по статье </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Расходы на обеспечение нормальных условий труда и мер по технике безопасности</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 xml:space="preserve"> заявлены в размере 33 948,73 тыс. руб., с ростом 357% к фактическим расходам за 2017 год в размере 9 504,2 тыс. руб.</w:t>
      </w:r>
    </w:p>
    <w:p w14:paraId="2B88409B" w14:textId="297F4EC4" w:rsidR="003B26F9" w:rsidRPr="00C04ABD" w:rsidRDefault="003B26F9"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 xml:space="preserve">По статье </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Усл</w:t>
      </w:r>
      <w:r w:rsidR="00F50BAF" w:rsidRPr="00C04ABD">
        <w:rPr>
          <w:rFonts w:ascii="Myriad Pro" w:eastAsia="Calibri" w:hAnsi="Myriad Pro" w:cs="Times New Roman"/>
          <w:sz w:val="26"/>
          <w:szCs w:val="26"/>
        </w:rPr>
        <w:t>уги по обеспечению охраны труда</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 xml:space="preserve"> Комитетом не приняты расходы на проведение СОУТ рабочих мест без </w:t>
      </w:r>
      <w:r w:rsidR="00EF43EF" w:rsidRPr="00C04ABD">
        <w:rPr>
          <w:rFonts w:ascii="Myriad Pro" w:eastAsia="Calibri" w:hAnsi="Myriad Pro" w:cs="Times New Roman"/>
          <w:sz w:val="26"/>
          <w:szCs w:val="26"/>
        </w:rPr>
        <w:t>указания</w:t>
      </w:r>
      <w:r w:rsidRPr="00C04ABD">
        <w:rPr>
          <w:rFonts w:ascii="Myriad Pro" w:eastAsia="Calibri" w:hAnsi="Myriad Pro" w:cs="Times New Roman"/>
          <w:sz w:val="26"/>
          <w:szCs w:val="26"/>
        </w:rPr>
        <w:t xml:space="preserve"> причин. </w:t>
      </w:r>
    </w:p>
    <w:p w14:paraId="49219424" w14:textId="3361E766" w:rsidR="003B26F9" w:rsidRPr="00C04ABD" w:rsidRDefault="003B26F9"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В соответствии с пунктом 28 Правил регулирования Основания, по которым отказано во включении в тарифы отдельных расходов, предложенных организацией, осуществляющей регулируемую деятельность, указываются в протоколе.</w:t>
      </w:r>
    </w:p>
    <w:p w14:paraId="4DF6FE29" w14:textId="124616F2" w:rsidR="00DD3E2C" w:rsidRPr="00C04ABD" w:rsidRDefault="00DD3E2C"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В Протоколе от 28-29.12.2018 не указаны основания и мотивированная позиция в отказе включения расходов.</w:t>
      </w:r>
    </w:p>
    <w:p w14:paraId="25233C79" w14:textId="36256EFB" w:rsidR="003B26F9" w:rsidRPr="00C04ABD" w:rsidRDefault="003B26F9"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 xml:space="preserve">Проведение специальной оценки условий труда, а также обязанности работодателя по обеспечению безопасности работников в процессе их трудовой деятельности является для работодателя обязательным в силу федерального закона №426-ФЗ от 28 декабря 2013 года </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О специальной оценке условий труда</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 xml:space="preserve">. Декларация соответствия условий труда государственным нормативным требованиям охраны труда действительна в течение пяти лет. По истечении срока действия декларации соответствия условий труда государственным нормативным требованиям охраны труда и в случае отсутствия в период ее действия обстоятельств, указанных в </w:t>
      </w:r>
      <w:hyperlink r:id="rId38" w:history="1">
        <w:r w:rsidRPr="00C04ABD">
          <w:rPr>
            <w:rFonts w:ascii="Myriad Pro" w:eastAsia="Calibri" w:hAnsi="Myriad Pro" w:cs="Times New Roman"/>
            <w:sz w:val="26"/>
            <w:szCs w:val="26"/>
          </w:rPr>
          <w:t>части 5</w:t>
        </w:r>
      </w:hyperlink>
      <w:r w:rsidRPr="00C04ABD">
        <w:rPr>
          <w:rFonts w:ascii="Myriad Pro" w:eastAsia="Calibri" w:hAnsi="Myriad Pro" w:cs="Times New Roman"/>
          <w:sz w:val="26"/>
          <w:szCs w:val="26"/>
        </w:rPr>
        <w:t xml:space="preserve"> статьи 11 федерального закона 426-ФЗ, срок действия данной декларации считается продленным на следующие пять лет.</w:t>
      </w:r>
    </w:p>
    <w:p w14:paraId="7B20F742" w14:textId="1A4E868E" w:rsidR="003B26F9" w:rsidRPr="00C04ABD" w:rsidRDefault="003B26F9" w:rsidP="00A31747">
      <w:pPr>
        <w:tabs>
          <w:tab w:val="left" w:pos="1134"/>
        </w:tabs>
        <w:spacing w:after="0" w:line="360" w:lineRule="auto"/>
        <w:ind w:firstLine="567"/>
        <w:contextualSpacing/>
        <w:jc w:val="both"/>
        <w:rPr>
          <w:rFonts w:ascii="Myriad Pro" w:eastAsia="Calibri" w:hAnsi="Myriad Pro" w:cs="Times New Roman"/>
          <w:sz w:val="26"/>
          <w:szCs w:val="26"/>
        </w:rPr>
      </w:pPr>
      <w:r w:rsidRPr="003B5FA7">
        <w:rPr>
          <w:rFonts w:ascii="Myriad Pro" w:eastAsia="Calibri" w:hAnsi="Myriad Pro" w:cs="Times New Roman"/>
          <w:sz w:val="26"/>
          <w:szCs w:val="26"/>
        </w:rPr>
        <w:t xml:space="preserve">Организацией не представлен график </w:t>
      </w:r>
      <w:r w:rsidRPr="0064286C">
        <w:rPr>
          <w:rFonts w:ascii="Myriad Pro" w:eastAsia="Calibri" w:hAnsi="Myriad Pro" w:cs="Times New Roman"/>
          <w:sz w:val="26"/>
          <w:szCs w:val="26"/>
        </w:rPr>
        <w:t>проведения СОУТ рабочих мест и факт проведения СОУТ рабочих мест в 2017 году. В связи</w:t>
      </w:r>
      <w:r w:rsidRPr="00C04ABD">
        <w:rPr>
          <w:rFonts w:ascii="Myriad Pro" w:eastAsia="Calibri" w:hAnsi="Myriad Pro" w:cs="Times New Roman"/>
          <w:sz w:val="26"/>
          <w:szCs w:val="26"/>
        </w:rPr>
        <w:t xml:space="preserve"> с изложенным, из материалов, </w:t>
      </w:r>
      <w:r w:rsidR="000863DC" w:rsidRPr="00C04ABD">
        <w:rPr>
          <w:rFonts w:ascii="Myriad Pro" w:eastAsia="Calibri" w:hAnsi="Myriad Pro" w:cs="Times New Roman"/>
          <w:sz w:val="26"/>
          <w:szCs w:val="26"/>
        </w:rPr>
        <w:t>представленных организацией, не</w:t>
      </w:r>
      <w:r w:rsidRPr="00C04ABD">
        <w:rPr>
          <w:rFonts w:ascii="Myriad Pro" w:eastAsia="Calibri" w:hAnsi="Myriad Pro" w:cs="Times New Roman"/>
          <w:sz w:val="26"/>
          <w:szCs w:val="26"/>
        </w:rPr>
        <w:t>возможно сделать вывод о сумме необходимых средств на плановый период.</w:t>
      </w:r>
    </w:p>
    <w:p w14:paraId="3ABA9045" w14:textId="73DDC77B" w:rsidR="003B26F9" w:rsidRPr="00C04ABD" w:rsidRDefault="003B26F9"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Заявленные расходы на медицинские осмотры прогнозируются организаций в 4 раза выше,</w:t>
      </w:r>
      <w:r w:rsidR="009A3394" w:rsidRPr="00C04ABD">
        <w:rPr>
          <w:rFonts w:ascii="Myriad Pro" w:eastAsia="Calibri" w:hAnsi="Myriad Pro" w:cs="Times New Roman"/>
          <w:sz w:val="26"/>
          <w:szCs w:val="26"/>
        </w:rPr>
        <w:t xml:space="preserve"> фактических величин </w:t>
      </w:r>
      <w:r w:rsidRPr="00C04ABD">
        <w:rPr>
          <w:rFonts w:ascii="Myriad Pro" w:eastAsia="Calibri" w:hAnsi="Myriad Pro" w:cs="Times New Roman"/>
          <w:sz w:val="26"/>
          <w:szCs w:val="26"/>
        </w:rPr>
        <w:t xml:space="preserve">2017 года. Организацией произведен расчет на предрейсовые и послерейсовые осмотры </w:t>
      </w:r>
      <w:r w:rsidR="00A34F15" w:rsidRPr="00C04ABD">
        <w:rPr>
          <w:rFonts w:ascii="Myriad Pro" w:eastAsia="Calibri" w:hAnsi="Myriad Pro" w:cs="Times New Roman"/>
          <w:sz w:val="26"/>
          <w:szCs w:val="26"/>
        </w:rPr>
        <w:t xml:space="preserve">водителей </w:t>
      </w:r>
      <w:r w:rsidRPr="00C04ABD">
        <w:rPr>
          <w:rFonts w:ascii="Myriad Pro" w:eastAsia="Calibri" w:hAnsi="Myriad Pro" w:cs="Times New Roman"/>
          <w:sz w:val="26"/>
          <w:szCs w:val="26"/>
        </w:rPr>
        <w:t xml:space="preserve">транспортных средств по всей Мурманской области в медицинских учреждениях, в связи с чем резко выросла величина расходов. </w:t>
      </w:r>
      <w:r w:rsidR="00F619B6" w:rsidRPr="00C04ABD">
        <w:rPr>
          <w:rFonts w:ascii="Myriad Pro" w:eastAsia="Calibri" w:hAnsi="Myriad Pro" w:cs="Times New Roman"/>
          <w:sz w:val="26"/>
          <w:szCs w:val="26"/>
        </w:rPr>
        <w:t>Исполнитель</w:t>
      </w:r>
      <w:r w:rsidRPr="00C04ABD">
        <w:rPr>
          <w:rFonts w:ascii="Myriad Pro" w:eastAsia="Calibri" w:hAnsi="Myriad Pro" w:cs="Times New Roman"/>
          <w:sz w:val="26"/>
          <w:szCs w:val="26"/>
        </w:rPr>
        <w:t xml:space="preserve"> соглашается с позицией </w:t>
      </w:r>
      <w:r w:rsidRPr="00C04ABD">
        <w:rPr>
          <w:rFonts w:ascii="Myriad Pro" w:eastAsia="Calibri" w:hAnsi="Myriad Pro" w:cs="Times New Roman"/>
          <w:sz w:val="26"/>
          <w:szCs w:val="26"/>
        </w:rPr>
        <w:lastRenderedPageBreak/>
        <w:t>регулирующего органа об обоснованности расходов за 2017 год и включении их с учетом ИПЦ.</w:t>
      </w:r>
    </w:p>
    <w:p w14:paraId="0CB39014" w14:textId="7CC44161" w:rsidR="009A3394" w:rsidRPr="00C04ABD" w:rsidRDefault="009A3394"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 xml:space="preserve">В соответствии со СНиП 2.09.04-87 </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Административные и бытовые здания</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 xml:space="preserve"> (п. 5.27) на предприятиях со среднесписочной численностью от 50 до 300 штатных сотрудников обязательно размещение медпункта. </w:t>
      </w:r>
    </w:p>
    <w:p w14:paraId="5FAAFBEC" w14:textId="3DF20B69" w:rsidR="009A3394" w:rsidRPr="00C04ABD" w:rsidRDefault="009A3394"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 xml:space="preserve"> Необходимо организовать работу медпунктов с размещением рабочего места для возможности организации предрейсовых и послерейсовых осмотров.</w:t>
      </w:r>
    </w:p>
    <w:p w14:paraId="09AC84E1" w14:textId="1C1E55EA" w:rsidR="001A3149" w:rsidRPr="00C04ABD" w:rsidRDefault="001A3149"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 xml:space="preserve">Необходимо отметить, что Филиалом проводилось в 2017 году и планируется в 2019 году обучение сотрудников по профессиональной программе </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Проведение предварительных и периодических медицинских осмотров</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 xml:space="preserve"> (договор № 877 от 09.10.2017).</w:t>
      </w:r>
    </w:p>
    <w:p w14:paraId="4245A890" w14:textId="1C4AB306" w:rsidR="000863DC" w:rsidRPr="00C04ABD" w:rsidRDefault="000863DC"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На основании вышеизложенного Исполнитель считает, что Филиалом не подтверждена экономическая обоснованность расходов в размере 33 948,73 тыс. руб. по рассматриваемой статье.</w:t>
      </w:r>
    </w:p>
    <w:p w14:paraId="05607F12" w14:textId="77777777" w:rsidR="000863DC" w:rsidRPr="00C04ABD" w:rsidRDefault="000863DC" w:rsidP="00A31747">
      <w:pPr>
        <w:tabs>
          <w:tab w:val="left" w:pos="1134"/>
        </w:tabs>
        <w:spacing w:after="0" w:line="360" w:lineRule="auto"/>
        <w:ind w:firstLine="567"/>
        <w:contextualSpacing/>
        <w:jc w:val="both"/>
        <w:rPr>
          <w:rFonts w:ascii="Myriad Pro" w:eastAsia="Calibri" w:hAnsi="Myriad Pro" w:cs="Times New Roman"/>
          <w:sz w:val="26"/>
          <w:szCs w:val="26"/>
        </w:rPr>
      </w:pPr>
      <w:r w:rsidRPr="0064286C">
        <w:rPr>
          <w:rFonts w:ascii="Myriad Pro" w:eastAsia="Calibri" w:hAnsi="Myriad Pro" w:cs="Times New Roman"/>
          <w:sz w:val="26"/>
          <w:szCs w:val="26"/>
        </w:rPr>
        <w:t>Исполнитель соглашается с позицией</w:t>
      </w:r>
      <w:r w:rsidRPr="00C04ABD">
        <w:rPr>
          <w:rFonts w:ascii="Myriad Pro" w:eastAsia="Calibri" w:hAnsi="Myriad Pro" w:cs="Times New Roman"/>
          <w:sz w:val="26"/>
          <w:szCs w:val="26"/>
        </w:rPr>
        <w:t xml:space="preserve"> регулирующего органа по сумме включенных расходов в НВВ при установлении тарифов на 2019 год.</w:t>
      </w:r>
    </w:p>
    <w:p w14:paraId="01B0665F" w14:textId="45C575ED" w:rsidR="00186075" w:rsidRPr="00C04ABD" w:rsidRDefault="00186075"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 xml:space="preserve">Комитетом расходы на обеспечение нормальных условий труда и мер по технике безопасности МЭОР учтены </w:t>
      </w:r>
      <w:r w:rsidR="00E663D3">
        <w:rPr>
          <w:rFonts w:ascii="Myriad Pro" w:eastAsia="Calibri" w:hAnsi="Myriad Pro" w:cs="Times New Roman"/>
          <w:sz w:val="26"/>
          <w:szCs w:val="26"/>
        </w:rPr>
        <w:t>в размере</w:t>
      </w:r>
      <w:r w:rsidRPr="00C04ABD">
        <w:rPr>
          <w:rFonts w:ascii="Myriad Pro" w:eastAsia="Calibri" w:hAnsi="Myriad Pro" w:cs="Times New Roman"/>
          <w:sz w:val="26"/>
          <w:szCs w:val="26"/>
        </w:rPr>
        <w:t xml:space="preserve"> 9</w:t>
      </w:r>
      <w:r w:rsidR="00A34F15" w:rsidRPr="00C04ABD">
        <w:rPr>
          <w:rFonts w:ascii="Myriad Pro" w:eastAsia="Calibri" w:hAnsi="Myriad Pro" w:cs="Times New Roman"/>
          <w:sz w:val="26"/>
          <w:szCs w:val="26"/>
        </w:rPr>
        <w:t> </w:t>
      </w:r>
      <w:r w:rsidRPr="00C04ABD">
        <w:rPr>
          <w:rFonts w:ascii="Myriad Pro" w:eastAsia="Calibri" w:hAnsi="Myriad Pro" w:cs="Times New Roman"/>
          <w:sz w:val="26"/>
          <w:szCs w:val="26"/>
        </w:rPr>
        <w:t>742,8 тыс. руб., что ниже на 24</w:t>
      </w:r>
      <w:r w:rsidR="00A34F15" w:rsidRPr="00C04ABD">
        <w:rPr>
          <w:rFonts w:ascii="Myriad Pro" w:eastAsia="Calibri" w:hAnsi="Myriad Pro" w:cs="Times New Roman"/>
          <w:sz w:val="26"/>
          <w:szCs w:val="26"/>
        </w:rPr>
        <w:t> </w:t>
      </w:r>
      <w:r w:rsidRPr="00C04ABD">
        <w:rPr>
          <w:rFonts w:ascii="Myriad Pro" w:eastAsia="Calibri" w:hAnsi="Myriad Pro" w:cs="Times New Roman"/>
          <w:sz w:val="26"/>
          <w:szCs w:val="26"/>
        </w:rPr>
        <w:t xml:space="preserve">206 тыс. руб. заявленных </w:t>
      </w:r>
      <w:r w:rsidR="00D57FA3" w:rsidRPr="00C04ABD">
        <w:rPr>
          <w:rFonts w:ascii="Myriad Pro" w:eastAsia="Calibri" w:hAnsi="Myriad Pro" w:cs="Times New Roman"/>
          <w:sz w:val="26"/>
          <w:szCs w:val="26"/>
        </w:rPr>
        <w:t>Филиалом.</w:t>
      </w:r>
    </w:p>
    <w:p w14:paraId="70627456" w14:textId="2DFCB437" w:rsidR="00BF3B08" w:rsidRPr="00C04ABD" w:rsidRDefault="00567D32" w:rsidP="00567D32">
      <w:pPr>
        <w:pStyle w:val="a4"/>
        <w:tabs>
          <w:tab w:val="left" w:pos="1134"/>
        </w:tabs>
        <w:spacing w:before="240" w:after="0" w:line="360" w:lineRule="auto"/>
        <w:ind w:left="0"/>
        <w:contextualSpacing w:val="0"/>
        <w:jc w:val="both"/>
        <w:rPr>
          <w:rFonts w:ascii="Myriad Pro" w:hAnsi="Myriad Pro"/>
          <w:b/>
          <w:i/>
          <w:sz w:val="26"/>
          <w:szCs w:val="26"/>
        </w:rPr>
      </w:pPr>
      <w:r w:rsidRPr="00C04ABD">
        <w:rPr>
          <w:rFonts w:ascii="Myriad Pro" w:hAnsi="Myriad Pro"/>
          <w:b/>
          <w:i/>
          <w:sz w:val="26"/>
          <w:szCs w:val="26"/>
        </w:rPr>
        <w:t>Расходы на страхование</w:t>
      </w:r>
    </w:p>
    <w:p w14:paraId="0C15FE28" w14:textId="42F172A9" w:rsidR="00BF3B08" w:rsidRPr="00C04ABD" w:rsidRDefault="00BF3B08" w:rsidP="00567D32">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Расходы на страхование учитываются в составе НВВ в</w:t>
      </w:r>
      <w:r w:rsidR="00815F20" w:rsidRPr="00C04ABD">
        <w:rPr>
          <w:rFonts w:ascii="Myriad Pro" w:eastAsia="Calibri" w:hAnsi="Myriad Pro" w:cs="Times New Roman"/>
          <w:sz w:val="26"/>
          <w:szCs w:val="26"/>
        </w:rPr>
        <w:t xml:space="preserve"> соответствии пп.</w:t>
      </w:r>
      <w:r w:rsidRPr="00C04ABD">
        <w:rPr>
          <w:rFonts w:ascii="Myriad Pro" w:eastAsia="Calibri" w:hAnsi="Myriad Pro" w:cs="Times New Roman"/>
          <w:sz w:val="26"/>
          <w:szCs w:val="26"/>
        </w:rPr>
        <w:t>8 п</w:t>
      </w:r>
      <w:r w:rsidR="00815F20" w:rsidRPr="00C04ABD">
        <w:rPr>
          <w:rFonts w:ascii="Myriad Pro" w:eastAsia="Calibri" w:hAnsi="Myriad Pro" w:cs="Times New Roman"/>
          <w:sz w:val="26"/>
          <w:szCs w:val="26"/>
        </w:rPr>
        <w:t>унктов 2</w:t>
      </w:r>
      <w:r w:rsidRPr="00C04ABD">
        <w:rPr>
          <w:rFonts w:ascii="Myriad Pro" w:eastAsia="Calibri" w:hAnsi="Myriad Pro" w:cs="Times New Roman"/>
          <w:sz w:val="26"/>
          <w:szCs w:val="26"/>
        </w:rPr>
        <w:t>8,</w:t>
      </w:r>
      <w:r w:rsidR="00815F20" w:rsidRPr="00C04ABD">
        <w:rPr>
          <w:rFonts w:ascii="Myriad Pro" w:eastAsia="Calibri" w:hAnsi="Myriad Pro" w:cs="Times New Roman"/>
          <w:sz w:val="26"/>
          <w:szCs w:val="26"/>
        </w:rPr>
        <w:t xml:space="preserve"> </w:t>
      </w:r>
      <w:r w:rsidRPr="00C04ABD">
        <w:rPr>
          <w:rFonts w:ascii="Myriad Pro" w:eastAsia="Calibri" w:hAnsi="Myriad Pro" w:cs="Times New Roman"/>
          <w:sz w:val="26"/>
          <w:szCs w:val="26"/>
        </w:rPr>
        <w:t>29,</w:t>
      </w:r>
      <w:r w:rsidR="00815F20" w:rsidRPr="00C04ABD">
        <w:rPr>
          <w:rFonts w:ascii="Myriad Pro" w:eastAsia="Calibri" w:hAnsi="Myriad Pro" w:cs="Times New Roman"/>
          <w:sz w:val="26"/>
          <w:szCs w:val="26"/>
        </w:rPr>
        <w:t xml:space="preserve"> 31 Основ ценообразования.</w:t>
      </w:r>
    </w:p>
    <w:p w14:paraId="42C40233" w14:textId="06465075" w:rsidR="00BF3B08" w:rsidRPr="00C04ABD" w:rsidRDefault="00BF3B08"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Нормами права, регулирующим обязанность организации осуществлять расходы на страхование являются:</w:t>
      </w:r>
    </w:p>
    <w:p w14:paraId="749524CF" w14:textId="78A564C6" w:rsidR="00BF3B08" w:rsidRPr="00C04ABD" w:rsidRDefault="00BF3B08" w:rsidP="009B0BC1">
      <w:pPr>
        <w:pStyle w:val="a4"/>
        <w:numPr>
          <w:ilvl w:val="0"/>
          <w:numId w:val="54"/>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статья 9 Федерального зако</w:t>
      </w:r>
      <w:r w:rsidR="00F50BAF" w:rsidRPr="00C04ABD">
        <w:rPr>
          <w:rFonts w:ascii="Myriad Pro" w:hAnsi="Myriad Pro"/>
          <w:sz w:val="26"/>
          <w:szCs w:val="26"/>
        </w:rPr>
        <w:t xml:space="preserve">на от 21 июля 1997 г. № 116-ФЗ </w:t>
      </w:r>
      <w:r w:rsidR="00655FFA" w:rsidRPr="00C04ABD">
        <w:rPr>
          <w:rFonts w:ascii="Myriad Pro" w:hAnsi="Myriad Pro"/>
          <w:sz w:val="26"/>
          <w:szCs w:val="26"/>
        </w:rPr>
        <w:t>«</w:t>
      </w:r>
      <w:r w:rsidRPr="00C04ABD">
        <w:rPr>
          <w:rFonts w:ascii="Myriad Pro" w:hAnsi="Myriad Pro"/>
          <w:sz w:val="26"/>
          <w:szCs w:val="26"/>
        </w:rPr>
        <w:t>О промышленной безопасности оп</w:t>
      </w:r>
      <w:r w:rsidR="00F50BAF" w:rsidRPr="00C04ABD">
        <w:rPr>
          <w:rFonts w:ascii="Myriad Pro" w:hAnsi="Myriad Pro"/>
          <w:sz w:val="26"/>
          <w:szCs w:val="26"/>
        </w:rPr>
        <w:t>асных производственных объектов</w:t>
      </w:r>
      <w:r w:rsidR="00655FFA" w:rsidRPr="00C04ABD">
        <w:rPr>
          <w:rFonts w:ascii="Myriad Pro" w:hAnsi="Myriad Pro"/>
          <w:sz w:val="26"/>
          <w:szCs w:val="26"/>
        </w:rPr>
        <w:t>»</w:t>
      </w:r>
      <w:r w:rsidRPr="00C04ABD">
        <w:rPr>
          <w:rFonts w:ascii="Myriad Pro" w:hAnsi="Myriad Pro"/>
          <w:sz w:val="26"/>
          <w:szCs w:val="26"/>
        </w:rPr>
        <w:t xml:space="preserve"> (организация, эксплуатирующая опасный производственный объект, обязана заключить договор обязательного страхования гражданской ответственности в соответствии с законодательством Российской Федерации об обязательном </w:t>
      </w:r>
      <w:r w:rsidRPr="00C04ABD">
        <w:rPr>
          <w:rFonts w:ascii="Myriad Pro" w:hAnsi="Myriad Pro"/>
          <w:sz w:val="26"/>
          <w:szCs w:val="26"/>
        </w:rPr>
        <w:lastRenderedPageBreak/>
        <w:t>страховании гражданской ответственности владельца опасного объекта за причинение вреда в результате аварии на опасном объекте).</w:t>
      </w:r>
    </w:p>
    <w:p w14:paraId="18B20194" w14:textId="71131E28" w:rsidR="00BF3B08" w:rsidRPr="00C04ABD" w:rsidRDefault="00BF3B08" w:rsidP="009B0BC1">
      <w:pPr>
        <w:pStyle w:val="a4"/>
        <w:numPr>
          <w:ilvl w:val="0"/>
          <w:numId w:val="54"/>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федеральный зак</w:t>
      </w:r>
      <w:r w:rsidR="00F50BAF" w:rsidRPr="00C04ABD">
        <w:rPr>
          <w:rFonts w:ascii="Myriad Pro" w:hAnsi="Myriad Pro"/>
          <w:sz w:val="26"/>
          <w:szCs w:val="26"/>
        </w:rPr>
        <w:t xml:space="preserve">он от 27 июля 2010 г. N 225-ФЗ </w:t>
      </w:r>
      <w:r w:rsidR="00655FFA" w:rsidRPr="00C04ABD">
        <w:rPr>
          <w:rFonts w:ascii="Myriad Pro" w:hAnsi="Myriad Pro"/>
          <w:sz w:val="26"/>
          <w:szCs w:val="26"/>
        </w:rPr>
        <w:t>«</w:t>
      </w:r>
      <w:r w:rsidRPr="00C04ABD">
        <w:rPr>
          <w:rFonts w:ascii="Myriad Pro" w:hAnsi="Myriad Pro"/>
          <w:sz w:val="26"/>
          <w:szCs w:val="26"/>
        </w:rPr>
        <w:t>Об обязательном страховании гражданской ответственности владельца опасного объекта за причинение вреда в резул</w:t>
      </w:r>
      <w:r w:rsidR="00F50BAF" w:rsidRPr="00C04ABD">
        <w:rPr>
          <w:rFonts w:ascii="Myriad Pro" w:hAnsi="Myriad Pro"/>
          <w:sz w:val="26"/>
          <w:szCs w:val="26"/>
        </w:rPr>
        <w:t>ьтате аварии на опасном объекте</w:t>
      </w:r>
      <w:r w:rsidR="00655FFA" w:rsidRPr="00C04ABD">
        <w:rPr>
          <w:rFonts w:ascii="Myriad Pro" w:hAnsi="Myriad Pro"/>
          <w:sz w:val="26"/>
          <w:szCs w:val="26"/>
        </w:rPr>
        <w:t>»</w:t>
      </w:r>
      <w:r w:rsidRPr="00C04ABD">
        <w:rPr>
          <w:rFonts w:ascii="Myriad Pro" w:hAnsi="Myriad Pro"/>
          <w:sz w:val="26"/>
          <w:szCs w:val="26"/>
        </w:rPr>
        <w:t xml:space="preserve"> (Обязательное страхование гражданской ответственности за причинение вреда в результате аварии или инцидента на опасном производственном объекте).  </w:t>
      </w:r>
    </w:p>
    <w:p w14:paraId="7FF33F49" w14:textId="0D4E39CA" w:rsidR="00BF3B08" w:rsidRPr="00C04ABD" w:rsidRDefault="00BF3B08" w:rsidP="009B0BC1">
      <w:pPr>
        <w:pStyle w:val="a4"/>
        <w:numPr>
          <w:ilvl w:val="0"/>
          <w:numId w:val="54"/>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 xml:space="preserve">статья 6 Федерального закона от 27 июля 2010 г. N 225-ФЗ </w:t>
      </w:r>
      <w:r w:rsidR="00655FFA" w:rsidRPr="00C04ABD">
        <w:rPr>
          <w:rFonts w:ascii="Myriad Pro" w:hAnsi="Myriad Pro"/>
          <w:sz w:val="26"/>
          <w:szCs w:val="26"/>
        </w:rPr>
        <w:t>«</w:t>
      </w:r>
      <w:r w:rsidRPr="00C04ABD">
        <w:rPr>
          <w:rFonts w:ascii="Myriad Pro" w:hAnsi="Myriad Pro"/>
          <w:sz w:val="26"/>
          <w:szCs w:val="26"/>
        </w:rPr>
        <w:t>Об обязательном страховании гражданской ответственности владельца опасного объекта за причинение вреда в резул</w:t>
      </w:r>
      <w:r w:rsidR="00F50BAF" w:rsidRPr="00C04ABD">
        <w:rPr>
          <w:rFonts w:ascii="Myriad Pro" w:hAnsi="Myriad Pro"/>
          <w:sz w:val="26"/>
          <w:szCs w:val="26"/>
        </w:rPr>
        <w:t>ьтате аварии на опасном объекте</w:t>
      </w:r>
      <w:r w:rsidR="00655FFA" w:rsidRPr="00C04ABD">
        <w:rPr>
          <w:rFonts w:ascii="Myriad Pro" w:hAnsi="Myriad Pro"/>
          <w:sz w:val="26"/>
          <w:szCs w:val="26"/>
        </w:rPr>
        <w:t>»</w:t>
      </w:r>
      <w:r w:rsidRPr="00C04ABD">
        <w:rPr>
          <w:rFonts w:ascii="Myriad Pro" w:hAnsi="Myriad Pro"/>
          <w:sz w:val="26"/>
          <w:szCs w:val="26"/>
        </w:rPr>
        <w:t xml:space="preserve"> (Приложение №4 - определена страховая сумма для опасных объектов, в отношении которых законодательством о промышленной безопасности опасных производственных объектов не предусматривается обязательная разработка декларации промышленной безопасности или декларации безопасности гидротехнического сооружения страховая сумма обязательного страхования составляет - 10 миллионов рублей). </w:t>
      </w:r>
    </w:p>
    <w:p w14:paraId="31CFE063" w14:textId="733542BD" w:rsidR="00BF3B08" w:rsidRPr="00C04ABD" w:rsidRDefault="00BF3B08" w:rsidP="009B0BC1">
      <w:pPr>
        <w:pStyle w:val="a4"/>
        <w:numPr>
          <w:ilvl w:val="0"/>
          <w:numId w:val="54"/>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 xml:space="preserve">статья 14 Федерального закона от 21 июля 1997 г. № 116-ФЗ </w:t>
      </w:r>
      <w:r w:rsidR="00655FFA" w:rsidRPr="00C04ABD">
        <w:rPr>
          <w:rFonts w:ascii="Myriad Pro" w:hAnsi="Myriad Pro"/>
          <w:sz w:val="26"/>
          <w:szCs w:val="26"/>
        </w:rPr>
        <w:t>«</w:t>
      </w:r>
      <w:r w:rsidRPr="00C04ABD">
        <w:rPr>
          <w:rFonts w:ascii="Myriad Pro" w:hAnsi="Myriad Pro"/>
          <w:sz w:val="26"/>
          <w:szCs w:val="26"/>
        </w:rPr>
        <w:t>О промышленной безопасности оп</w:t>
      </w:r>
      <w:r w:rsidR="00F50BAF" w:rsidRPr="00C04ABD">
        <w:rPr>
          <w:rFonts w:ascii="Myriad Pro" w:hAnsi="Myriad Pro"/>
          <w:sz w:val="26"/>
          <w:szCs w:val="26"/>
        </w:rPr>
        <w:t>асных производственных объектов</w:t>
      </w:r>
      <w:r w:rsidR="00655FFA" w:rsidRPr="00C04ABD">
        <w:rPr>
          <w:rFonts w:ascii="Myriad Pro" w:hAnsi="Myriad Pro"/>
          <w:sz w:val="26"/>
          <w:szCs w:val="26"/>
        </w:rPr>
        <w:t>»</w:t>
      </w:r>
      <w:r w:rsidRPr="00C04ABD">
        <w:rPr>
          <w:rFonts w:ascii="Myriad Pro" w:hAnsi="Myriad Pro"/>
          <w:sz w:val="26"/>
          <w:szCs w:val="26"/>
        </w:rPr>
        <w:t xml:space="preserve"> (Приложение №3- предусмотрена обязательная разработка деклараций промышленной безопасности нужна для опасных производственных объектов I и II классов опасности).</w:t>
      </w:r>
    </w:p>
    <w:p w14:paraId="0EDFFC07" w14:textId="1915136C" w:rsidR="00BF3B08" w:rsidRPr="00FB0A3A" w:rsidRDefault="00BF3B08" w:rsidP="00567D32">
      <w:pPr>
        <w:pStyle w:val="afff4"/>
        <w:rPr>
          <w:lang w:val="ru-RU"/>
        </w:rPr>
      </w:pPr>
      <w:r w:rsidRPr="00C04ABD">
        <w:rPr>
          <w:lang w:val="ru-RU"/>
        </w:rPr>
        <w:t>В состав данной статьи могут включаться расходы на обязательное страхование транспортных средств</w:t>
      </w:r>
      <w:r w:rsidRPr="00FB0A3A">
        <w:rPr>
          <w:lang w:val="ru-RU"/>
        </w:rPr>
        <w:t>.</w:t>
      </w:r>
    </w:p>
    <w:tbl>
      <w:tblPr>
        <w:tblStyle w:val="afff6"/>
        <w:tblW w:w="5000" w:type="pct"/>
        <w:tblLook w:val="04A0" w:firstRow="1" w:lastRow="0" w:firstColumn="1" w:lastColumn="0" w:noHBand="0" w:noVBand="1"/>
      </w:tblPr>
      <w:tblGrid>
        <w:gridCol w:w="2189"/>
        <w:gridCol w:w="1355"/>
        <w:gridCol w:w="2168"/>
        <w:gridCol w:w="1275"/>
        <w:gridCol w:w="1374"/>
        <w:gridCol w:w="983"/>
      </w:tblGrid>
      <w:tr w:rsidR="00567D32" w:rsidRPr="00FB0A3A" w14:paraId="27A8D2A1" w14:textId="77777777" w:rsidTr="009071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69D8D561" w14:textId="77777777" w:rsidR="00BF3B08" w:rsidRPr="00FB0A3A" w:rsidRDefault="00BF3B08" w:rsidP="00567D32">
            <w:pPr>
              <w:tabs>
                <w:tab w:val="left" w:pos="1134"/>
              </w:tabs>
              <w:jc w:val="center"/>
              <w:rPr>
                <w:rFonts w:eastAsia="Calibri" w:cs="Times New Roman"/>
                <w:sz w:val="20"/>
                <w:szCs w:val="20"/>
              </w:rPr>
            </w:pPr>
            <w:r w:rsidRPr="00FB0A3A">
              <w:rPr>
                <w:rFonts w:eastAsia="Calibri" w:cs="Times New Roman"/>
                <w:sz w:val="20"/>
                <w:szCs w:val="20"/>
              </w:rPr>
              <w:t> Наименование статьи</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3E7EE028" w14:textId="5FD562AC" w:rsidR="00BF3B08" w:rsidRPr="00FB0A3A" w:rsidRDefault="00BF3B08" w:rsidP="00567D32">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Факт за 2017,</w:t>
            </w:r>
            <w:r w:rsidR="00567D32" w:rsidRPr="00FB0A3A">
              <w:rPr>
                <w:rFonts w:eastAsia="Calibri" w:cs="Times New Roman"/>
                <w:sz w:val="20"/>
                <w:szCs w:val="20"/>
              </w:rPr>
              <w:br/>
            </w:r>
            <w:r w:rsidRPr="00FB0A3A">
              <w:rPr>
                <w:rFonts w:eastAsia="Calibri" w:cs="Times New Roman"/>
                <w:sz w:val="20"/>
                <w:szCs w:val="20"/>
              </w:rPr>
              <w:t>тыс. руб.</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46A3C7E" w14:textId="0ECF2176" w:rsidR="00BF3B08" w:rsidRPr="00FB0A3A" w:rsidRDefault="00BF3B08" w:rsidP="00567D32">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 xml:space="preserve">Заявлено филиалом ПАО </w:t>
            </w:r>
            <w:r w:rsidR="00655FFA" w:rsidRPr="00FB0A3A">
              <w:rPr>
                <w:rFonts w:eastAsia="Calibri" w:cs="Times New Roman"/>
                <w:sz w:val="20"/>
                <w:szCs w:val="20"/>
              </w:rPr>
              <w:t>«</w:t>
            </w:r>
            <w:r w:rsidR="00F619B6" w:rsidRPr="00FB0A3A">
              <w:rPr>
                <w:rFonts w:eastAsia="Calibri" w:cs="Times New Roman"/>
                <w:sz w:val="20"/>
                <w:szCs w:val="20"/>
              </w:rPr>
              <w:t>МРСК Северо-Запада</w:t>
            </w:r>
            <w:r w:rsidR="00655FFA" w:rsidRPr="00FB0A3A">
              <w:rPr>
                <w:rFonts w:eastAsia="Calibri" w:cs="Times New Roman"/>
                <w:sz w:val="20"/>
                <w:szCs w:val="20"/>
              </w:rPr>
              <w:t>»</w:t>
            </w:r>
            <w:r w:rsidR="00F619B6" w:rsidRPr="00FB0A3A">
              <w:rPr>
                <w:rFonts w:eastAsia="Calibri" w:cs="Times New Roman"/>
                <w:sz w:val="20"/>
                <w:szCs w:val="20"/>
              </w:rPr>
              <w:t xml:space="preserve"> </w:t>
            </w:r>
            <w:r w:rsidR="00655FFA" w:rsidRPr="00FB0A3A">
              <w:rPr>
                <w:rFonts w:eastAsia="Calibri" w:cs="Times New Roman"/>
                <w:sz w:val="20"/>
                <w:szCs w:val="20"/>
              </w:rPr>
              <w:t>«</w:t>
            </w:r>
            <w:r w:rsidRPr="00FB0A3A">
              <w:rPr>
                <w:rFonts w:eastAsia="Calibri" w:cs="Times New Roman"/>
                <w:sz w:val="20"/>
                <w:szCs w:val="20"/>
              </w:rPr>
              <w:t>Колэнерго</w:t>
            </w:r>
            <w:r w:rsidR="00655FFA" w:rsidRPr="00FB0A3A">
              <w:rPr>
                <w:rFonts w:eastAsia="Calibri" w:cs="Times New Roman"/>
                <w:sz w:val="20"/>
                <w:szCs w:val="20"/>
              </w:rPr>
              <w:t>»</w:t>
            </w:r>
            <w:r w:rsidRPr="00FB0A3A">
              <w:rPr>
                <w:rFonts w:eastAsia="Calibri" w:cs="Times New Roman"/>
                <w:sz w:val="20"/>
                <w:szCs w:val="20"/>
              </w:rPr>
              <w:t xml:space="preserve"> на 2019, тыс. руб.</w:t>
            </w:r>
          </w:p>
        </w:tc>
        <w:tc>
          <w:tcPr>
            <w:tcW w:w="6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A9F7F13" w14:textId="77777777" w:rsidR="00BF3B08" w:rsidRPr="00FB0A3A" w:rsidRDefault="00BF3B08" w:rsidP="00567D32">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ТБР на 2019, тыс. руб.</w:t>
            </w:r>
          </w:p>
        </w:tc>
        <w:tc>
          <w:tcPr>
            <w:tcW w:w="7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3DAB273" w14:textId="77777777" w:rsidR="00BF3B08" w:rsidRPr="00FB0A3A" w:rsidRDefault="00BF3B08" w:rsidP="00567D32">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Отклонение ТБР на 2019/ заявка на 2019, %</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7FCC89C" w14:textId="77777777" w:rsidR="00BF3B08" w:rsidRPr="00FB0A3A" w:rsidRDefault="00BF3B08" w:rsidP="00567D32">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ТБР на 2019 /факт за 2017, %</w:t>
            </w:r>
          </w:p>
        </w:tc>
      </w:tr>
      <w:tr w:rsidR="00BF3B08" w:rsidRPr="00FB0A3A" w14:paraId="3E365C8C" w14:textId="77777777" w:rsidTr="00907125">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tcBorders>
            <w:hideMark/>
          </w:tcPr>
          <w:p w14:paraId="4DFC73AC" w14:textId="77777777" w:rsidR="00BF3B08" w:rsidRPr="00FB0A3A" w:rsidRDefault="00BF3B08" w:rsidP="00567D32">
            <w:pPr>
              <w:tabs>
                <w:tab w:val="left" w:pos="1134"/>
              </w:tabs>
              <w:rPr>
                <w:rFonts w:eastAsia="Calibri" w:cs="Times New Roman"/>
                <w:sz w:val="20"/>
                <w:szCs w:val="20"/>
              </w:rPr>
            </w:pPr>
            <w:r w:rsidRPr="00FB0A3A">
              <w:rPr>
                <w:rFonts w:eastAsia="Calibri" w:cs="Times New Roman"/>
                <w:sz w:val="20"/>
                <w:szCs w:val="20"/>
              </w:rPr>
              <w:t>Расходы на страхование</w:t>
            </w:r>
          </w:p>
        </w:tc>
        <w:tc>
          <w:tcPr>
            <w:tcW w:w="0" w:type="auto"/>
            <w:tcBorders>
              <w:top w:val="single" w:sz="4" w:space="0" w:color="FFFFFF" w:themeColor="background1"/>
            </w:tcBorders>
            <w:hideMark/>
          </w:tcPr>
          <w:p w14:paraId="68EE61DA" w14:textId="77777777" w:rsidR="00BF3B08" w:rsidRPr="00FB0A3A" w:rsidRDefault="00BF3B08" w:rsidP="00567D32">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24 850,00</w:t>
            </w:r>
          </w:p>
        </w:tc>
        <w:tc>
          <w:tcPr>
            <w:tcW w:w="0" w:type="auto"/>
            <w:tcBorders>
              <w:top w:val="single" w:sz="4" w:space="0" w:color="FFFFFF" w:themeColor="background1"/>
            </w:tcBorders>
            <w:hideMark/>
          </w:tcPr>
          <w:p w14:paraId="1C2CD644" w14:textId="77777777" w:rsidR="00BF3B08" w:rsidRPr="00FB0A3A" w:rsidRDefault="00BF3B08" w:rsidP="00567D32">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30 215,93</w:t>
            </w:r>
          </w:p>
        </w:tc>
        <w:tc>
          <w:tcPr>
            <w:tcW w:w="682" w:type="pct"/>
            <w:tcBorders>
              <w:top w:val="single" w:sz="4" w:space="0" w:color="FFFFFF" w:themeColor="background1"/>
            </w:tcBorders>
            <w:hideMark/>
          </w:tcPr>
          <w:p w14:paraId="7F24C205" w14:textId="77777777" w:rsidR="00BF3B08" w:rsidRPr="00FB0A3A" w:rsidRDefault="00BF3B08" w:rsidP="00567D32">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16 620,62</w:t>
            </w:r>
          </w:p>
        </w:tc>
        <w:tc>
          <w:tcPr>
            <w:tcW w:w="735" w:type="pct"/>
            <w:tcBorders>
              <w:top w:val="single" w:sz="4" w:space="0" w:color="FFFFFF" w:themeColor="background1"/>
            </w:tcBorders>
            <w:hideMark/>
          </w:tcPr>
          <w:p w14:paraId="4034396B" w14:textId="77777777" w:rsidR="00BF3B08" w:rsidRPr="00FB0A3A" w:rsidRDefault="00BF3B08" w:rsidP="00567D32">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-45,0</w:t>
            </w:r>
          </w:p>
        </w:tc>
        <w:tc>
          <w:tcPr>
            <w:tcW w:w="0" w:type="auto"/>
            <w:tcBorders>
              <w:top w:val="single" w:sz="4" w:space="0" w:color="FFFFFF" w:themeColor="background1"/>
            </w:tcBorders>
            <w:hideMark/>
          </w:tcPr>
          <w:p w14:paraId="2E8BA499" w14:textId="77777777" w:rsidR="00BF3B08" w:rsidRPr="00FB0A3A" w:rsidRDefault="00BF3B08" w:rsidP="00567D32">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-33,12</w:t>
            </w:r>
          </w:p>
        </w:tc>
      </w:tr>
    </w:tbl>
    <w:p w14:paraId="5896DA1E" w14:textId="41FE0407" w:rsidR="00BF3B08" w:rsidRPr="00FB0A3A" w:rsidRDefault="00BF3B08" w:rsidP="00A31747">
      <w:pPr>
        <w:tabs>
          <w:tab w:val="left" w:pos="1134"/>
        </w:tabs>
        <w:spacing w:after="0" w:line="360" w:lineRule="auto"/>
        <w:ind w:firstLine="567"/>
        <w:contextualSpacing/>
        <w:jc w:val="both"/>
        <w:rPr>
          <w:rFonts w:ascii="Myriad Pro" w:eastAsia="Calibri" w:hAnsi="Myriad Pro" w:cs="Times New Roman"/>
          <w:sz w:val="26"/>
          <w:szCs w:val="26"/>
        </w:rPr>
      </w:pPr>
    </w:p>
    <w:p w14:paraId="5EE0B9C4" w14:textId="77777777" w:rsidR="00BF3B08" w:rsidRPr="00C04ABD" w:rsidRDefault="00BF3B08" w:rsidP="00567D32">
      <w:pPr>
        <w:tabs>
          <w:tab w:val="left" w:pos="1134"/>
        </w:tabs>
        <w:spacing w:after="0" w:line="360" w:lineRule="auto"/>
        <w:contextualSpacing/>
        <w:jc w:val="both"/>
        <w:rPr>
          <w:rFonts w:ascii="Myriad Pro" w:eastAsia="Calibri" w:hAnsi="Myriad Pro" w:cs="Times New Roman"/>
          <w:b/>
          <w:sz w:val="26"/>
          <w:szCs w:val="26"/>
        </w:rPr>
      </w:pPr>
      <w:r w:rsidRPr="00C04ABD">
        <w:rPr>
          <w:rFonts w:ascii="Myriad Pro" w:eastAsia="Calibri" w:hAnsi="Myriad Pro" w:cs="Times New Roman"/>
          <w:b/>
          <w:sz w:val="26"/>
          <w:szCs w:val="26"/>
        </w:rPr>
        <w:t>ПОЗИЦИЯ ТЕРРИТОРИАЛЬНОЙ СЕТЕВОЙ ОРГАНИЗАЦИИ</w:t>
      </w:r>
    </w:p>
    <w:p w14:paraId="6E436FC3" w14:textId="39558D58" w:rsidR="00BF3B08" w:rsidRPr="00C04ABD" w:rsidRDefault="007E6C72"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Расходы на страхование</w:t>
      </w:r>
      <w:r w:rsidR="00BF3B08" w:rsidRPr="00C04ABD">
        <w:rPr>
          <w:rFonts w:ascii="Myriad Pro" w:eastAsia="Calibri" w:hAnsi="Myriad Pro" w:cs="Times New Roman"/>
          <w:sz w:val="26"/>
          <w:szCs w:val="26"/>
        </w:rPr>
        <w:t xml:space="preserve"> определены филиалом </w:t>
      </w:r>
      <w:r w:rsidR="00350B0A" w:rsidRPr="00C04ABD">
        <w:rPr>
          <w:rFonts w:ascii="Myriad Pro" w:eastAsia="Calibri" w:hAnsi="Myriad Pro" w:cs="Times New Roman"/>
          <w:sz w:val="26"/>
          <w:szCs w:val="26"/>
        </w:rPr>
        <w:t xml:space="preserve">ПАО </w:t>
      </w:r>
      <w:r w:rsidR="00655FFA" w:rsidRPr="00C04ABD">
        <w:rPr>
          <w:rFonts w:ascii="Myriad Pro" w:eastAsia="Calibri" w:hAnsi="Myriad Pro" w:cs="Times New Roman"/>
          <w:sz w:val="26"/>
          <w:szCs w:val="26"/>
        </w:rPr>
        <w:t>«</w:t>
      </w:r>
      <w:r w:rsidR="00350B0A" w:rsidRPr="00C04ABD">
        <w:rPr>
          <w:rFonts w:ascii="Myriad Pro" w:eastAsia="Calibri" w:hAnsi="Myriad Pro" w:cs="Times New Roman"/>
          <w:sz w:val="26"/>
          <w:szCs w:val="26"/>
        </w:rPr>
        <w:t>МРСК Северо-Запада</w:t>
      </w:r>
      <w:r w:rsidR="00655FFA" w:rsidRPr="00C04ABD">
        <w:rPr>
          <w:rFonts w:ascii="Myriad Pro" w:eastAsia="Calibri" w:hAnsi="Myriad Pro" w:cs="Times New Roman"/>
          <w:sz w:val="26"/>
          <w:szCs w:val="26"/>
        </w:rPr>
        <w:t>»</w:t>
      </w:r>
      <w:r w:rsidR="00350B0A" w:rsidRPr="00C04ABD">
        <w:rPr>
          <w:rFonts w:ascii="Myriad Pro" w:eastAsia="Calibri" w:hAnsi="Myriad Pro" w:cs="Times New Roman"/>
          <w:sz w:val="26"/>
          <w:szCs w:val="26"/>
        </w:rPr>
        <w:t xml:space="preserve"> </w:t>
      </w:r>
      <w:r w:rsidR="00655FFA" w:rsidRPr="00C04ABD">
        <w:rPr>
          <w:rFonts w:ascii="Myriad Pro" w:eastAsia="Calibri" w:hAnsi="Myriad Pro" w:cs="Times New Roman"/>
          <w:sz w:val="26"/>
          <w:szCs w:val="26"/>
        </w:rPr>
        <w:t>«</w:t>
      </w:r>
      <w:r w:rsidR="00350B0A" w:rsidRPr="00C04ABD">
        <w:rPr>
          <w:rFonts w:ascii="Myriad Pro" w:eastAsia="Calibri" w:hAnsi="Myriad Pro" w:cs="Times New Roman"/>
          <w:sz w:val="26"/>
          <w:szCs w:val="26"/>
        </w:rPr>
        <w:t>Колэнерго</w:t>
      </w:r>
      <w:r w:rsidR="00655FFA" w:rsidRPr="00C04ABD">
        <w:rPr>
          <w:rFonts w:ascii="Myriad Pro" w:eastAsia="Calibri" w:hAnsi="Myriad Pro" w:cs="Times New Roman"/>
          <w:sz w:val="26"/>
          <w:szCs w:val="26"/>
        </w:rPr>
        <w:t>»</w:t>
      </w:r>
      <w:r w:rsidR="00BF3B08" w:rsidRPr="00C04ABD">
        <w:rPr>
          <w:rFonts w:ascii="Myriad Pro" w:eastAsia="Calibri" w:hAnsi="Myriad Pro" w:cs="Times New Roman"/>
          <w:sz w:val="26"/>
          <w:szCs w:val="26"/>
        </w:rPr>
        <w:t xml:space="preserve"> в необходимой валовой выручке на 2019 год и предъявлены в составе </w:t>
      </w:r>
      <w:r w:rsidR="00BF3B08" w:rsidRPr="00C04ABD">
        <w:rPr>
          <w:rFonts w:ascii="Myriad Pro" w:eastAsia="Calibri" w:hAnsi="Myriad Pro" w:cs="Times New Roman"/>
          <w:sz w:val="26"/>
          <w:szCs w:val="26"/>
        </w:rPr>
        <w:lastRenderedPageBreak/>
        <w:t xml:space="preserve">заявления от 28.04.2018 №МР2/4/02/3129 об установлении тарифов на услуги по передаче электрической энергии в размере </w:t>
      </w:r>
      <w:r w:rsidR="009F032F" w:rsidRPr="00C04ABD">
        <w:rPr>
          <w:rFonts w:ascii="Myriad Pro" w:eastAsia="Calibri" w:hAnsi="Myriad Pro" w:cs="Times New Roman"/>
          <w:sz w:val="26"/>
          <w:szCs w:val="26"/>
        </w:rPr>
        <w:t xml:space="preserve">30 215,93 </w:t>
      </w:r>
      <w:r w:rsidR="00BF3B08" w:rsidRPr="00C04ABD">
        <w:rPr>
          <w:rFonts w:ascii="Myriad Pro" w:eastAsia="Calibri" w:hAnsi="Myriad Pro" w:cs="Times New Roman"/>
          <w:sz w:val="26"/>
          <w:szCs w:val="26"/>
        </w:rPr>
        <w:t>тыс. руб.</w:t>
      </w:r>
    </w:p>
    <w:p w14:paraId="30505407" w14:textId="4DBEA338" w:rsidR="00815F20" w:rsidRPr="00C04ABD" w:rsidRDefault="00815F20" w:rsidP="00A31747">
      <w:pPr>
        <w:tabs>
          <w:tab w:val="left" w:pos="1134"/>
        </w:tabs>
        <w:spacing w:after="0" w:line="360" w:lineRule="auto"/>
        <w:ind w:firstLine="567"/>
        <w:jc w:val="both"/>
        <w:rPr>
          <w:rFonts w:ascii="Myriad Pro" w:eastAsia="Calibri" w:hAnsi="Myriad Pro" w:cs="Times New Roman"/>
          <w:sz w:val="26"/>
          <w:szCs w:val="26"/>
        </w:rPr>
      </w:pPr>
      <w:r w:rsidRPr="00C04ABD">
        <w:rPr>
          <w:rFonts w:ascii="Myriad Pro" w:eastAsia="Calibri" w:hAnsi="Myriad Pro" w:cs="Times New Roman"/>
          <w:sz w:val="26"/>
          <w:szCs w:val="26"/>
        </w:rPr>
        <w:t>Ожидаемые расходы на 2018 го</w:t>
      </w:r>
      <w:r w:rsidR="00AE2F8F" w:rsidRPr="00C04ABD">
        <w:rPr>
          <w:rFonts w:ascii="Myriad Pro" w:eastAsia="Calibri" w:hAnsi="Myriad Pro" w:cs="Times New Roman"/>
          <w:sz w:val="26"/>
          <w:szCs w:val="26"/>
        </w:rPr>
        <w:t xml:space="preserve">д </w:t>
      </w:r>
      <w:r w:rsidR="00A34F15" w:rsidRPr="00C04ABD">
        <w:rPr>
          <w:rFonts w:ascii="Myriad Pro" w:eastAsia="Calibri" w:hAnsi="Myriad Pro" w:cs="Times New Roman"/>
          <w:sz w:val="26"/>
          <w:szCs w:val="26"/>
        </w:rPr>
        <w:t>заявлены</w:t>
      </w:r>
      <w:r w:rsidR="00AE2F8F" w:rsidRPr="00C04ABD">
        <w:rPr>
          <w:rFonts w:ascii="Myriad Pro" w:eastAsia="Calibri" w:hAnsi="Myriad Pro" w:cs="Times New Roman"/>
          <w:sz w:val="26"/>
          <w:szCs w:val="26"/>
        </w:rPr>
        <w:t xml:space="preserve"> в размере 18</w:t>
      </w:r>
      <w:r w:rsidR="00A34F15" w:rsidRPr="00C04ABD">
        <w:rPr>
          <w:rFonts w:ascii="Myriad Pro" w:eastAsia="Calibri" w:hAnsi="Myriad Pro" w:cs="Times New Roman"/>
          <w:sz w:val="26"/>
          <w:szCs w:val="26"/>
        </w:rPr>
        <w:t> </w:t>
      </w:r>
      <w:r w:rsidR="00AE2F8F" w:rsidRPr="00C04ABD">
        <w:rPr>
          <w:rFonts w:ascii="Myriad Pro" w:eastAsia="Calibri" w:hAnsi="Myriad Pro" w:cs="Times New Roman"/>
          <w:sz w:val="26"/>
          <w:szCs w:val="26"/>
        </w:rPr>
        <w:t xml:space="preserve">335 </w:t>
      </w:r>
      <w:r w:rsidRPr="00C04ABD">
        <w:rPr>
          <w:rFonts w:ascii="Myriad Pro" w:eastAsia="Calibri" w:hAnsi="Myriad Pro" w:cs="Times New Roman"/>
          <w:sz w:val="26"/>
          <w:szCs w:val="26"/>
        </w:rPr>
        <w:t>тыс.</w:t>
      </w:r>
      <w:r w:rsidR="00AE2F8F" w:rsidRPr="00C04ABD">
        <w:rPr>
          <w:rFonts w:ascii="Myriad Pro" w:eastAsia="Calibri" w:hAnsi="Myriad Pro" w:cs="Times New Roman"/>
          <w:sz w:val="26"/>
          <w:szCs w:val="26"/>
        </w:rPr>
        <w:t xml:space="preserve"> </w:t>
      </w:r>
      <w:r w:rsidRPr="00C04ABD">
        <w:rPr>
          <w:rFonts w:ascii="Myriad Pro" w:eastAsia="Calibri" w:hAnsi="Myriad Pro" w:cs="Times New Roman"/>
          <w:sz w:val="26"/>
          <w:szCs w:val="26"/>
        </w:rPr>
        <w:t xml:space="preserve">руб.  исходя из условий договоров страхования, заключенных в 2018 году, и переходящих сумм по </w:t>
      </w:r>
      <w:r w:rsidR="00545F67" w:rsidRPr="00C04ABD">
        <w:rPr>
          <w:rFonts w:ascii="Myriad Pro" w:eastAsia="Calibri" w:hAnsi="Myriad Pro" w:cs="Times New Roman"/>
          <w:sz w:val="26"/>
          <w:szCs w:val="26"/>
        </w:rPr>
        <w:t xml:space="preserve">договорам </w:t>
      </w:r>
      <w:r w:rsidRPr="00C04ABD">
        <w:rPr>
          <w:rFonts w:ascii="Myriad Pro" w:eastAsia="Calibri" w:hAnsi="Myriad Pro" w:cs="Times New Roman"/>
          <w:sz w:val="26"/>
          <w:szCs w:val="26"/>
        </w:rPr>
        <w:t>2017 года, в частности добровольное страхо</w:t>
      </w:r>
      <w:r w:rsidR="00AE2F8F" w:rsidRPr="00C04ABD">
        <w:rPr>
          <w:rFonts w:ascii="Myriad Pro" w:eastAsia="Calibri" w:hAnsi="Myriad Pro" w:cs="Times New Roman"/>
          <w:sz w:val="26"/>
          <w:szCs w:val="26"/>
        </w:rPr>
        <w:t xml:space="preserve">вание автотранспортных средств (КАСКО) </w:t>
      </w:r>
      <w:r w:rsidRPr="00C04ABD">
        <w:rPr>
          <w:rFonts w:ascii="Myriad Pro" w:eastAsia="Calibri" w:hAnsi="Myriad Pro" w:cs="Times New Roman"/>
          <w:sz w:val="26"/>
          <w:szCs w:val="26"/>
        </w:rPr>
        <w:t>и организация обязательного страхован</w:t>
      </w:r>
      <w:r w:rsidR="00AE2F8F" w:rsidRPr="00C04ABD">
        <w:rPr>
          <w:rFonts w:ascii="Myriad Pro" w:eastAsia="Calibri" w:hAnsi="Myriad Pro" w:cs="Times New Roman"/>
          <w:sz w:val="26"/>
          <w:szCs w:val="26"/>
        </w:rPr>
        <w:t xml:space="preserve">ия гражданской ответственности </w:t>
      </w:r>
      <w:r w:rsidRPr="00C04ABD">
        <w:rPr>
          <w:rFonts w:ascii="Myriad Pro" w:eastAsia="Calibri" w:hAnsi="Myriad Pro" w:cs="Times New Roman"/>
          <w:sz w:val="26"/>
          <w:szCs w:val="26"/>
        </w:rPr>
        <w:t xml:space="preserve">владельцев автотранспортных средств (ОСАГО), обусловлено это сроком начала действия полисов страхования. </w:t>
      </w:r>
    </w:p>
    <w:p w14:paraId="6670B9A5" w14:textId="77777777" w:rsidR="00815F20" w:rsidRPr="00C04ABD" w:rsidRDefault="00815F20" w:rsidP="00A31747">
      <w:pPr>
        <w:tabs>
          <w:tab w:val="left" w:pos="1134"/>
        </w:tabs>
        <w:spacing w:after="0" w:line="360" w:lineRule="auto"/>
        <w:ind w:firstLine="567"/>
        <w:jc w:val="both"/>
        <w:rPr>
          <w:rFonts w:ascii="Myriad Pro" w:eastAsia="Calibri" w:hAnsi="Myriad Pro" w:cs="Times New Roman"/>
          <w:sz w:val="26"/>
          <w:szCs w:val="26"/>
        </w:rPr>
      </w:pPr>
      <w:r w:rsidRPr="00C04ABD">
        <w:rPr>
          <w:rFonts w:ascii="Myriad Pro" w:eastAsia="Calibri" w:hAnsi="Myriad Pro" w:cs="Times New Roman"/>
          <w:sz w:val="26"/>
          <w:szCs w:val="26"/>
        </w:rPr>
        <w:t>На 2019 год расходы планируются с учетом:</w:t>
      </w:r>
    </w:p>
    <w:p w14:paraId="0D8EDEBD" w14:textId="7B68A5BE" w:rsidR="00815F20" w:rsidRPr="00C04ABD" w:rsidRDefault="00815F20" w:rsidP="009B0BC1">
      <w:pPr>
        <w:pStyle w:val="a4"/>
        <w:numPr>
          <w:ilvl w:val="0"/>
          <w:numId w:val="55"/>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переходящих сумм затрат по договорам</w:t>
      </w:r>
      <w:r w:rsidR="00AE2F8F" w:rsidRPr="00C04ABD">
        <w:rPr>
          <w:rFonts w:ascii="Myriad Pro" w:hAnsi="Myriad Pro"/>
          <w:sz w:val="26"/>
          <w:szCs w:val="26"/>
        </w:rPr>
        <w:t>,</w:t>
      </w:r>
      <w:r w:rsidR="00B71EAA" w:rsidRPr="00C04ABD">
        <w:rPr>
          <w:rFonts w:ascii="Myriad Pro" w:hAnsi="Myriad Pro"/>
          <w:sz w:val="26"/>
          <w:szCs w:val="26"/>
        </w:rPr>
        <w:t xml:space="preserve"> заключенным в 2018 году;</w:t>
      </w:r>
      <w:r w:rsidRPr="00C04ABD">
        <w:rPr>
          <w:rFonts w:ascii="Myriad Pro" w:hAnsi="Myriad Pro"/>
          <w:sz w:val="26"/>
          <w:szCs w:val="26"/>
        </w:rPr>
        <w:t xml:space="preserve"> </w:t>
      </w:r>
    </w:p>
    <w:p w14:paraId="3D03AC70" w14:textId="4DB8D203" w:rsidR="00815F20" w:rsidRPr="00C04ABD" w:rsidRDefault="00AE2F8F" w:rsidP="009B0BC1">
      <w:pPr>
        <w:pStyle w:val="a4"/>
        <w:numPr>
          <w:ilvl w:val="0"/>
          <w:numId w:val="55"/>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 xml:space="preserve">условий </w:t>
      </w:r>
      <w:r w:rsidR="00815F20" w:rsidRPr="00C04ABD">
        <w:rPr>
          <w:rFonts w:ascii="Myriad Pro" w:hAnsi="Myriad Pro"/>
          <w:sz w:val="26"/>
          <w:szCs w:val="26"/>
        </w:rPr>
        <w:t>долгосрочных договоров страх</w:t>
      </w:r>
      <w:r w:rsidR="00B71EAA" w:rsidRPr="00C04ABD">
        <w:rPr>
          <w:rFonts w:ascii="Myriad Pro" w:hAnsi="Myriad Pro"/>
          <w:sz w:val="26"/>
          <w:szCs w:val="26"/>
        </w:rPr>
        <w:t>ования, заключенных на три года;</w:t>
      </w:r>
    </w:p>
    <w:p w14:paraId="50FB0BDE" w14:textId="1C5DB5DA" w:rsidR="00815F20" w:rsidRPr="00C04ABD" w:rsidRDefault="00815F20" w:rsidP="009B0BC1">
      <w:pPr>
        <w:pStyle w:val="a4"/>
        <w:numPr>
          <w:ilvl w:val="0"/>
          <w:numId w:val="55"/>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ИПЦ по прогнозу Минэкономразвития (на 2019г.  – 1,04) по новым договорам.</w:t>
      </w:r>
    </w:p>
    <w:p w14:paraId="4A0332EB" w14:textId="7A53214A" w:rsidR="00815F20" w:rsidRPr="00C04ABD" w:rsidRDefault="00815F20" w:rsidP="00A31747">
      <w:pPr>
        <w:tabs>
          <w:tab w:val="left" w:pos="1134"/>
        </w:tabs>
        <w:spacing w:after="0" w:line="360" w:lineRule="auto"/>
        <w:ind w:firstLine="567"/>
        <w:jc w:val="both"/>
        <w:rPr>
          <w:rFonts w:ascii="Myriad Pro" w:eastAsia="Calibri" w:hAnsi="Myriad Pro" w:cs="Times New Roman"/>
          <w:sz w:val="26"/>
          <w:szCs w:val="26"/>
        </w:rPr>
      </w:pPr>
      <w:r w:rsidRPr="00C04ABD">
        <w:rPr>
          <w:rFonts w:ascii="Myriad Pro" w:eastAsia="Calibri" w:hAnsi="Myriad Pro" w:cs="Times New Roman"/>
          <w:sz w:val="26"/>
          <w:szCs w:val="26"/>
        </w:rPr>
        <w:t>Ожидаемые расходы на НПО рассчитаны исходя из суммы перечисления пенсионных взносов за 1 квартал 2018 год согл</w:t>
      </w:r>
      <w:r w:rsidR="00AE2F8F" w:rsidRPr="00C04ABD">
        <w:rPr>
          <w:rFonts w:ascii="Myriad Pro" w:eastAsia="Calibri" w:hAnsi="Myriad Pro" w:cs="Times New Roman"/>
          <w:sz w:val="26"/>
          <w:szCs w:val="26"/>
        </w:rPr>
        <w:t>асно дополнительным соглашениям</w:t>
      </w:r>
      <w:r w:rsidRPr="00C04ABD">
        <w:rPr>
          <w:rFonts w:ascii="Myriad Pro" w:eastAsia="Calibri" w:hAnsi="Myriad Pro" w:cs="Times New Roman"/>
          <w:sz w:val="26"/>
          <w:szCs w:val="26"/>
        </w:rPr>
        <w:t>:</w:t>
      </w:r>
    </w:p>
    <w:p w14:paraId="77C53117" w14:textId="74EF93DA" w:rsidR="00815F20" w:rsidRPr="00C04ABD" w:rsidRDefault="00815F20" w:rsidP="009B0BC1">
      <w:pPr>
        <w:pStyle w:val="a4"/>
        <w:numPr>
          <w:ilvl w:val="0"/>
          <w:numId w:val="55"/>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 34 от 29.03.2018 г. к договору № 12-К/2005 от 11.03.2005 г. между АО</w:t>
      </w:r>
      <w:r w:rsidR="009808E8" w:rsidRPr="00C04ABD">
        <w:rPr>
          <w:rFonts w:ascii="Myriad Pro" w:hAnsi="Myriad Pro"/>
          <w:sz w:val="26"/>
          <w:szCs w:val="26"/>
        </w:rPr>
        <w:t> </w:t>
      </w:r>
      <w:r w:rsidRPr="00C04ABD">
        <w:rPr>
          <w:rFonts w:ascii="Myriad Pro" w:hAnsi="Myriad Pro"/>
          <w:sz w:val="26"/>
          <w:szCs w:val="26"/>
        </w:rPr>
        <w:t xml:space="preserve">НПО электроэнергетики и </w:t>
      </w:r>
      <w:r w:rsidR="00775B63" w:rsidRPr="00C04ABD">
        <w:rPr>
          <w:rFonts w:ascii="Myriad Pro" w:hAnsi="Myriad Pro"/>
          <w:sz w:val="26"/>
          <w:szCs w:val="26"/>
        </w:rPr>
        <w:t xml:space="preserve">филиалом ПАО </w:t>
      </w:r>
      <w:r w:rsidR="00655FFA" w:rsidRPr="00C04ABD">
        <w:rPr>
          <w:rFonts w:ascii="Myriad Pro" w:hAnsi="Myriad Pro"/>
          <w:sz w:val="26"/>
          <w:szCs w:val="26"/>
        </w:rPr>
        <w:t>«</w:t>
      </w:r>
      <w:r w:rsidR="00775B63" w:rsidRPr="00C04ABD">
        <w:rPr>
          <w:rFonts w:ascii="Myriad Pro" w:hAnsi="Myriad Pro"/>
          <w:sz w:val="26"/>
          <w:szCs w:val="26"/>
        </w:rPr>
        <w:t>МРСК Северо-Запада</w:t>
      </w:r>
      <w:r w:rsidR="00655FFA" w:rsidRPr="00C04ABD">
        <w:rPr>
          <w:rFonts w:ascii="Myriad Pro" w:hAnsi="Myriad Pro"/>
          <w:sz w:val="26"/>
          <w:szCs w:val="26"/>
        </w:rPr>
        <w:t>»</w:t>
      </w:r>
      <w:r w:rsidR="00775B63" w:rsidRPr="00C04ABD">
        <w:rPr>
          <w:rFonts w:ascii="Myriad Pro" w:hAnsi="Myriad Pro"/>
          <w:sz w:val="26"/>
          <w:szCs w:val="26"/>
        </w:rPr>
        <w:t xml:space="preserve"> </w:t>
      </w:r>
      <w:r w:rsidR="00655FFA" w:rsidRPr="00C04ABD">
        <w:rPr>
          <w:rFonts w:ascii="Myriad Pro" w:hAnsi="Myriad Pro"/>
          <w:sz w:val="26"/>
          <w:szCs w:val="26"/>
        </w:rPr>
        <w:t>«</w:t>
      </w:r>
      <w:r w:rsidR="00775B63" w:rsidRPr="00C04ABD">
        <w:rPr>
          <w:rFonts w:ascii="Myriad Pro" w:hAnsi="Myriad Pro"/>
          <w:sz w:val="26"/>
          <w:szCs w:val="26"/>
        </w:rPr>
        <w:t>Колэнерго</w:t>
      </w:r>
      <w:r w:rsidR="00655FFA" w:rsidRPr="00C04ABD">
        <w:rPr>
          <w:rFonts w:ascii="Myriad Pro" w:hAnsi="Myriad Pro"/>
          <w:sz w:val="26"/>
          <w:szCs w:val="26"/>
        </w:rPr>
        <w:t>»</w:t>
      </w:r>
      <w:r w:rsidR="00775B63" w:rsidRPr="00C04ABD">
        <w:rPr>
          <w:rFonts w:ascii="Myriad Pro" w:hAnsi="Myriad Pro"/>
          <w:sz w:val="26"/>
          <w:szCs w:val="26"/>
        </w:rPr>
        <w:t xml:space="preserve"> </w:t>
      </w:r>
      <w:r w:rsidRPr="00C04ABD">
        <w:rPr>
          <w:rFonts w:ascii="Myriad Pro" w:hAnsi="Myriad Pro"/>
          <w:sz w:val="26"/>
          <w:szCs w:val="26"/>
        </w:rPr>
        <w:t>в размере 2 191,25 тыс. руб.</w:t>
      </w:r>
      <w:r w:rsidR="00B71EAA" w:rsidRPr="00C04ABD">
        <w:rPr>
          <w:rFonts w:ascii="Myriad Pro" w:hAnsi="Myriad Pro"/>
          <w:sz w:val="26"/>
          <w:szCs w:val="26"/>
        </w:rPr>
        <w:t>;</w:t>
      </w:r>
    </w:p>
    <w:p w14:paraId="62F949BF" w14:textId="1BB72742" w:rsidR="00815F20" w:rsidRPr="00C04ABD" w:rsidRDefault="00815F20" w:rsidP="009B0BC1">
      <w:pPr>
        <w:pStyle w:val="a4"/>
        <w:numPr>
          <w:ilvl w:val="0"/>
          <w:numId w:val="55"/>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 24 от 29.03.2018 г. к договору № 12-П/2005 от 11.03.2005 г. между АО</w:t>
      </w:r>
      <w:r w:rsidR="009808E8" w:rsidRPr="00C04ABD">
        <w:rPr>
          <w:rFonts w:ascii="Myriad Pro" w:hAnsi="Myriad Pro"/>
          <w:sz w:val="26"/>
          <w:szCs w:val="26"/>
        </w:rPr>
        <w:t> </w:t>
      </w:r>
      <w:r w:rsidRPr="00C04ABD">
        <w:rPr>
          <w:rFonts w:ascii="Myriad Pro" w:hAnsi="Myriad Pro"/>
          <w:sz w:val="26"/>
          <w:szCs w:val="26"/>
        </w:rPr>
        <w:t xml:space="preserve">НПО электроэнергетики и ОАО </w:t>
      </w:r>
      <w:r w:rsidR="00655FFA" w:rsidRPr="00C04ABD">
        <w:rPr>
          <w:rFonts w:ascii="Myriad Pro" w:hAnsi="Myriad Pro"/>
          <w:sz w:val="26"/>
          <w:szCs w:val="26"/>
        </w:rPr>
        <w:t>«</w:t>
      </w:r>
      <w:r w:rsidRPr="00C04ABD">
        <w:rPr>
          <w:rFonts w:ascii="Myriad Pro" w:hAnsi="Myriad Pro"/>
          <w:sz w:val="26"/>
          <w:szCs w:val="26"/>
        </w:rPr>
        <w:t>Колэнерго</w:t>
      </w:r>
      <w:r w:rsidR="00655FFA" w:rsidRPr="00C04ABD">
        <w:rPr>
          <w:rFonts w:ascii="Myriad Pro" w:hAnsi="Myriad Pro"/>
          <w:sz w:val="26"/>
          <w:szCs w:val="26"/>
        </w:rPr>
        <w:t>»</w:t>
      </w:r>
      <w:r w:rsidRPr="00C04ABD">
        <w:rPr>
          <w:rFonts w:ascii="Myriad Pro" w:hAnsi="Myriad Pro"/>
          <w:sz w:val="26"/>
          <w:szCs w:val="26"/>
        </w:rPr>
        <w:t xml:space="preserve"> в размере 655 тыс. руб. </w:t>
      </w:r>
    </w:p>
    <w:p w14:paraId="108F111C" w14:textId="2AAC787F" w:rsidR="00815F20" w:rsidRPr="00C04ABD" w:rsidRDefault="00815F20" w:rsidP="00A31747">
      <w:pPr>
        <w:tabs>
          <w:tab w:val="left" w:pos="1134"/>
        </w:tabs>
        <w:spacing w:after="0" w:line="360" w:lineRule="auto"/>
        <w:ind w:firstLine="567"/>
        <w:jc w:val="both"/>
        <w:rPr>
          <w:rFonts w:ascii="Myriad Pro" w:eastAsia="Calibri" w:hAnsi="Myriad Pro" w:cs="Times New Roman"/>
          <w:sz w:val="26"/>
          <w:szCs w:val="26"/>
        </w:rPr>
      </w:pPr>
      <w:r w:rsidRPr="00C04ABD">
        <w:rPr>
          <w:rFonts w:ascii="Myriad Pro" w:eastAsia="Calibri" w:hAnsi="Myriad Pro" w:cs="Times New Roman"/>
          <w:sz w:val="26"/>
          <w:szCs w:val="26"/>
        </w:rPr>
        <w:t>Расчетная величина взносов на 2018 год составит: (2 191,25+655)</w:t>
      </w:r>
      <w:r w:rsidR="00AE2F8F" w:rsidRPr="00C04ABD">
        <w:rPr>
          <w:rFonts w:ascii="Myriad Pro" w:eastAsia="Calibri" w:hAnsi="Myriad Pro" w:cs="Times New Roman"/>
          <w:sz w:val="26"/>
          <w:szCs w:val="26"/>
        </w:rPr>
        <w:t xml:space="preserve"> </w:t>
      </w:r>
      <w:r w:rsidRPr="00C04ABD">
        <w:rPr>
          <w:rFonts w:ascii="Myriad Pro" w:eastAsia="Calibri" w:hAnsi="Myriad Pro" w:cs="Times New Roman"/>
          <w:sz w:val="26"/>
          <w:szCs w:val="26"/>
        </w:rPr>
        <w:t>*4 квартала=11 385 тыс. руб., на 2019 год сумма проиндексирована на ИПЦ по прогнозу Минэкономразвития.</w:t>
      </w:r>
    </w:p>
    <w:p w14:paraId="5B902827" w14:textId="77777777" w:rsidR="00815F20" w:rsidRPr="00C04ABD" w:rsidRDefault="00815F20" w:rsidP="00A31747">
      <w:pPr>
        <w:tabs>
          <w:tab w:val="left" w:pos="1134"/>
        </w:tabs>
        <w:spacing w:after="0" w:line="360" w:lineRule="auto"/>
        <w:ind w:firstLine="567"/>
        <w:jc w:val="both"/>
        <w:rPr>
          <w:rFonts w:ascii="Myriad Pro" w:eastAsia="Calibri" w:hAnsi="Myriad Pro" w:cs="Times New Roman"/>
          <w:sz w:val="26"/>
          <w:szCs w:val="26"/>
        </w:rPr>
      </w:pPr>
      <w:r w:rsidRPr="00C04ABD">
        <w:rPr>
          <w:rFonts w:ascii="Myriad Pro" w:eastAsia="Calibri" w:hAnsi="Myriad Pro" w:cs="Times New Roman"/>
          <w:sz w:val="26"/>
          <w:szCs w:val="26"/>
        </w:rPr>
        <w:t>Копии договоров и дополнительных соглашений прилагаются.</w:t>
      </w:r>
    </w:p>
    <w:p w14:paraId="0E26FE31" w14:textId="6A645412" w:rsidR="00815F20" w:rsidRPr="00C04ABD" w:rsidRDefault="00815F20" w:rsidP="00A31747">
      <w:pPr>
        <w:tabs>
          <w:tab w:val="left" w:pos="1134"/>
        </w:tabs>
        <w:spacing w:after="0" w:line="360" w:lineRule="auto"/>
        <w:ind w:firstLine="567"/>
        <w:jc w:val="both"/>
        <w:rPr>
          <w:rFonts w:ascii="Myriad Pro" w:eastAsia="Calibri" w:hAnsi="Myriad Pro" w:cs="Times New Roman"/>
          <w:sz w:val="26"/>
          <w:szCs w:val="26"/>
        </w:rPr>
      </w:pPr>
      <w:r w:rsidRPr="00C04ABD">
        <w:rPr>
          <w:rFonts w:ascii="Myriad Pro" w:eastAsia="Calibri" w:hAnsi="Myriad Pro" w:cs="Times New Roman"/>
          <w:sz w:val="26"/>
          <w:szCs w:val="26"/>
        </w:rPr>
        <w:t>Значительный рост расходов на негосударственное пенсионное обеспечение обусловлен большим количеством увольняющихся пенсионеров.</w:t>
      </w:r>
    </w:p>
    <w:p w14:paraId="2C238AB2" w14:textId="642FA174" w:rsidR="00BF3B08" w:rsidRPr="00C04ABD" w:rsidRDefault="00BF3B08" w:rsidP="00A31747">
      <w:pPr>
        <w:tabs>
          <w:tab w:val="left" w:pos="1134"/>
        </w:tabs>
        <w:spacing w:after="0" w:line="360" w:lineRule="auto"/>
        <w:ind w:firstLine="567"/>
        <w:jc w:val="both"/>
        <w:rPr>
          <w:rFonts w:ascii="Myriad Pro" w:eastAsia="Calibri" w:hAnsi="Myriad Pro" w:cs="Times New Roman"/>
          <w:sz w:val="26"/>
          <w:szCs w:val="26"/>
        </w:rPr>
      </w:pPr>
      <w:r w:rsidRPr="00C04ABD">
        <w:rPr>
          <w:rFonts w:ascii="Myriad Pro" w:eastAsia="Calibri" w:hAnsi="Myriad Pro" w:cs="Times New Roman"/>
          <w:sz w:val="26"/>
          <w:szCs w:val="26"/>
        </w:rPr>
        <w:t>Для обоснован</w:t>
      </w:r>
      <w:r w:rsidR="009F032F" w:rsidRPr="00C04ABD">
        <w:rPr>
          <w:rFonts w:ascii="Myriad Pro" w:eastAsia="Calibri" w:hAnsi="Myriad Pro" w:cs="Times New Roman"/>
          <w:sz w:val="26"/>
          <w:szCs w:val="26"/>
        </w:rPr>
        <w:t>ия заявленной суммы расходов на страхование</w:t>
      </w:r>
      <w:r w:rsidRPr="00C04ABD">
        <w:rPr>
          <w:rFonts w:ascii="Myriad Pro" w:eastAsia="Calibri" w:hAnsi="Myriad Pro" w:cs="Times New Roman"/>
          <w:sz w:val="26"/>
          <w:szCs w:val="26"/>
        </w:rPr>
        <w:t xml:space="preserve"> филиалом </w:t>
      </w:r>
      <w:r w:rsidR="00655FFA" w:rsidRPr="00C04ABD">
        <w:rPr>
          <w:rFonts w:ascii="Myriad Pro" w:eastAsia="Calibri" w:hAnsi="Myriad Pro" w:cs="Times New Roman"/>
          <w:sz w:val="26"/>
          <w:szCs w:val="26"/>
        </w:rPr>
        <w:t>ПАО</w:t>
      </w:r>
      <w:r w:rsidR="009808E8" w:rsidRPr="00C04ABD">
        <w:rPr>
          <w:rFonts w:ascii="Myriad Pro" w:eastAsia="Calibri" w:hAnsi="Myriad Pro" w:cs="Times New Roman"/>
          <w:sz w:val="26"/>
          <w:szCs w:val="26"/>
        </w:rPr>
        <w:t> </w:t>
      </w:r>
      <w:r w:rsidR="00655FFA" w:rsidRPr="00C04ABD">
        <w:rPr>
          <w:rFonts w:ascii="Myriad Pro" w:eastAsia="Calibri" w:hAnsi="Myriad Pro" w:cs="Times New Roman"/>
          <w:sz w:val="26"/>
          <w:szCs w:val="26"/>
        </w:rPr>
        <w:t xml:space="preserve">«МРСК </w:t>
      </w:r>
      <w:r w:rsidR="00350B0A" w:rsidRPr="00C04ABD">
        <w:rPr>
          <w:rFonts w:ascii="Myriad Pro" w:eastAsia="Calibri" w:hAnsi="Myriad Pro" w:cs="Times New Roman"/>
          <w:sz w:val="26"/>
          <w:szCs w:val="26"/>
        </w:rPr>
        <w:t>Северо-Запада</w:t>
      </w:r>
      <w:r w:rsidR="00655FFA" w:rsidRPr="00C04ABD">
        <w:rPr>
          <w:rFonts w:ascii="Myriad Pro" w:eastAsia="Calibri" w:hAnsi="Myriad Pro" w:cs="Times New Roman"/>
          <w:sz w:val="26"/>
          <w:szCs w:val="26"/>
        </w:rPr>
        <w:t>»</w:t>
      </w:r>
      <w:r w:rsidR="00350B0A" w:rsidRPr="00C04ABD">
        <w:rPr>
          <w:rFonts w:ascii="Myriad Pro" w:eastAsia="Calibri" w:hAnsi="Myriad Pro" w:cs="Times New Roman"/>
          <w:sz w:val="26"/>
          <w:szCs w:val="26"/>
        </w:rPr>
        <w:t xml:space="preserve"> </w:t>
      </w:r>
      <w:r w:rsidR="00655FFA" w:rsidRPr="00C04ABD">
        <w:rPr>
          <w:rFonts w:ascii="Myriad Pro" w:eastAsia="Calibri" w:hAnsi="Myriad Pro" w:cs="Times New Roman"/>
          <w:sz w:val="26"/>
          <w:szCs w:val="26"/>
        </w:rPr>
        <w:t>«</w:t>
      </w:r>
      <w:r w:rsidR="00350B0A" w:rsidRPr="00C04ABD">
        <w:rPr>
          <w:rFonts w:ascii="Myriad Pro" w:eastAsia="Calibri" w:hAnsi="Myriad Pro" w:cs="Times New Roman"/>
          <w:sz w:val="26"/>
          <w:szCs w:val="26"/>
        </w:rPr>
        <w:t>Колэнерго</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 xml:space="preserve"> были представлены следующие документы:</w:t>
      </w:r>
    </w:p>
    <w:p w14:paraId="6A8C9612" w14:textId="21886D75" w:rsidR="00BF3B08" w:rsidRPr="00C04ABD" w:rsidRDefault="00BF3B08" w:rsidP="009B0BC1">
      <w:pPr>
        <w:pStyle w:val="a4"/>
        <w:numPr>
          <w:ilvl w:val="0"/>
          <w:numId w:val="6"/>
        </w:numPr>
        <w:tabs>
          <w:tab w:val="left" w:pos="1134"/>
        </w:tabs>
        <w:spacing w:after="0" w:line="360" w:lineRule="auto"/>
        <w:ind w:left="0" w:firstLine="567"/>
        <w:jc w:val="both"/>
        <w:rPr>
          <w:rFonts w:ascii="Myriad Pro" w:hAnsi="Myriad Pro"/>
          <w:b/>
          <w:sz w:val="26"/>
          <w:szCs w:val="26"/>
        </w:rPr>
      </w:pPr>
      <w:r w:rsidRPr="00C04ABD">
        <w:rPr>
          <w:rFonts w:ascii="Myriad Pro" w:hAnsi="Myriad Pro"/>
          <w:sz w:val="26"/>
          <w:szCs w:val="26"/>
        </w:rPr>
        <w:lastRenderedPageBreak/>
        <w:t xml:space="preserve">Расчет </w:t>
      </w:r>
      <w:r w:rsidR="009F032F" w:rsidRPr="00C04ABD">
        <w:rPr>
          <w:rFonts w:ascii="Myriad Pro" w:hAnsi="Myriad Pro"/>
          <w:sz w:val="26"/>
          <w:szCs w:val="26"/>
        </w:rPr>
        <w:t>средств на страхование с указанием фактических расходов за период 2015-2017 гг., ожидаемые расходы в 2018 г. и плановые расходы на 2019 год;</w:t>
      </w:r>
    </w:p>
    <w:p w14:paraId="7FA54C9B" w14:textId="75505B94" w:rsidR="009F032F" w:rsidRPr="00C04ABD" w:rsidRDefault="009F032F"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Расчет средств на страхование на плановый период 2019 г.;</w:t>
      </w:r>
    </w:p>
    <w:p w14:paraId="0378CC79" w14:textId="77777777" w:rsidR="009F032F" w:rsidRPr="00C04ABD" w:rsidRDefault="009F032F"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Реестр договоров;</w:t>
      </w:r>
    </w:p>
    <w:p w14:paraId="4C4902AA" w14:textId="77777777" w:rsidR="009F032F" w:rsidRPr="00C04ABD" w:rsidRDefault="009F032F"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Копии заключенных договоров;</w:t>
      </w:r>
    </w:p>
    <w:p w14:paraId="27F82341" w14:textId="77777777" w:rsidR="009F032F" w:rsidRPr="00C04ABD" w:rsidRDefault="009F032F"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Реестр полисов;</w:t>
      </w:r>
    </w:p>
    <w:p w14:paraId="756D32E0" w14:textId="3E599865" w:rsidR="009F032F" w:rsidRPr="00C04ABD" w:rsidRDefault="009F032F"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 xml:space="preserve">Анализ счета 20,23,25 по элементам затрат </w:t>
      </w:r>
      <w:r w:rsidR="00655FFA" w:rsidRPr="00C04ABD">
        <w:rPr>
          <w:rFonts w:ascii="Myriad Pro" w:hAnsi="Myriad Pro"/>
          <w:sz w:val="26"/>
          <w:szCs w:val="26"/>
        </w:rPr>
        <w:t>«</w:t>
      </w:r>
      <w:r w:rsidRPr="00C04ABD">
        <w:rPr>
          <w:rFonts w:ascii="Myriad Pro" w:hAnsi="Myriad Pro"/>
          <w:sz w:val="26"/>
          <w:szCs w:val="26"/>
        </w:rPr>
        <w:t>Имущественное страхование. Добровольное страхование физических лиц. Негосудар</w:t>
      </w:r>
      <w:r w:rsidR="00F50BAF" w:rsidRPr="00C04ABD">
        <w:rPr>
          <w:rFonts w:ascii="Myriad Pro" w:hAnsi="Myriad Pro"/>
          <w:sz w:val="26"/>
          <w:szCs w:val="26"/>
        </w:rPr>
        <w:t>ственное пенсионное обеспечение</w:t>
      </w:r>
      <w:r w:rsidR="00655FFA" w:rsidRPr="00C04ABD">
        <w:rPr>
          <w:rFonts w:ascii="Myriad Pro" w:hAnsi="Myriad Pro"/>
          <w:sz w:val="26"/>
          <w:szCs w:val="26"/>
        </w:rPr>
        <w:t>»</w:t>
      </w:r>
      <w:r w:rsidRPr="00C04ABD">
        <w:rPr>
          <w:rFonts w:ascii="Myriad Pro" w:hAnsi="Myriad Pro"/>
          <w:sz w:val="26"/>
          <w:szCs w:val="26"/>
        </w:rPr>
        <w:t xml:space="preserve"> по виду деятельности </w:t>
      </w:r>
      <w:r w:rsidR="00655FFA" w:rsidRPr="00C04ABD">
        <w:rPr>
          <w:rFonts w:ascii="Myriad Pro" w:hAnsi="Myriad Pro"/>
          <w:sz w:val="26"/>
          <w:szCs w:val="26"/>
        </w:rPr>
        <w:t>«</w:t>
      </w:r>
      <w:r w:rsidRPr="00C04ABD">
        <w:rPr>
          <w:rFonts w:ascii="Myriad Pro" w:hAnsi="Myriad Pro"/>
          <w:sz w:val="26"/>
          <w:szCs w:val="26"/>
        </w:rPr>
        <w:t>Услуги по передаче электроэнергии по сетям</w:t>
      </w:r>
      <w:r w:rsidR="00655FFA" w:rsidRPr="00C04ABD">
        <w:rPr>
          <w:rFonts w:ascii="Myriad Pro" w:hAnsi="Myriad Pro"/>
          <w:sz w:val="26"/>
          <w:szCs w:val="26"/>
        </w:rPr>
        <w:t>»</w:t>
      </w:r>
      <w:r w:rsidRPr="00C04ABD">
        <w:rPr>
          <w:rFonts w:ascii="Myriad Pro" w:hAnsi="Myriad Pro"/>
          <w:sz w:val="26"/>
          <w:szCs w:val="26"/>
        </w:rPr>
        <w:t xml:space="preserve"> за 2017 г.</w:t>
      </w:r>
    </w:p>
    <w:p w14:paraId="058A9F91" w14:textId="77777777" w:rsidR="009F032F" w:rsidRPr="00C04ABD" w:rsidRDefault="009F032F" w:rsidP="00A31747">
      <w:pPr>
        <w:pStyle w:val="a4"/>
        <w:tabs>
          <w:tab w:val="left" w:pos="1134"/>
        </w:tabs>
        <w:spacing w:after="0" w:line="360" w:lineRule="auto"/>
        <w:ind w:left="0" w:firstLine="567"/>
        <w:jc w:val="both"/>
        <w:rPr>
          <w:rFonts w:ascii="Myriad Pro" w:hAnsi="Myriad Pro"/>
          <w:b/>
          <w:sz w:val="26"/>
          <w:szCs w:val="26"/>
        </w:rPr>
      </w:pPr>
    </w:p>
    <w:p w14:paraId="2E660E5A" w14:textId="77777777" w:rsidR="00BF3B08" w:rsidRPr="00C04ABD" w:rsidRDefault="00BF3B08" w:rsidP="008A5453">
      <w:pPr>
        <w:tabs>
          <w:tab w:val="left" w:pos="1134"/>
        </w:tabs>
        <w:spacing w:after="0" w:line="360" w:lineRule="auto"/>
        <w:contextualSpacing/>
        <w:jc w:val="both"/>
        <w:rPr>
          <w:rFonts w:ascii="Myriad Pro" w:eastAsia="Calibri" w:hAnsi="Myriad Pro" w:cs="Times New Roman"/>
          <w:b/>
          <w:sz w:val="26"/>
          <w:szCs w:val="26"/>
        </w:rPr>
      </w:pPr>
      <w:r w:rsidRPr="00C04ABD">
        <w:rPr>
          <w:rFonts w:ascii="Myriad Pro" w:eastAsia="Calibri" w:hAnsi="Myriad Pro" w:cs="Times New Roman"/>
          <w:b/>
          <w:sz w:val="26"/>
          <w:szCs w:val="26"/>
        </w:rPr>
        <w:t>ПОЗИЦИЯ ОРГАНА РЕГУЛИРОВАНИЯ</w:t>
      </w:r>
    </w:p>
    <w:p w14:paraId="1C41560F" w14:textId="77777777" w:rsidR="00BF3B08" w:rsidRPr="00C04ABD" w:rsidRDefault="00BF3B08" w:rsidP="00A31747">
      <w:pPr>
        <w:tabs>
          <w:tab w:val="left" w:pos="1134"/>
        </w:tabs>
        <w:spacing w:after="0" w:line="360" w:lineRule="auto"/>
        <w:ind w:firstLine="567"/>
        <w:jc w:val="both"/>
        <w:rPr>
          <w:rFonts w:ascii="Myriad Pro" w:eastAsia="Calibri" w:hAnsi="Myriad Pro" w:cs="Times New Roman"/>
          <w:sz w:val="26"/>
          <w:szCs w:val="26"/>
        </w:rPr>
      </w:pPr>
      <w:r w:rsidRPr="00C04ABD">
        <w:rPr>
          <w:rFonts w:ascii="Myriad Pro" w:eastAsia="Calibri" w:hAnsi="Myriad Pro" w:cs="Times New Roman"/>
          <w:sz w:val="26"/>
          <w:szCs w:val="26"/>
        </w:rPr>
        <w:t>Величина расходов, принятая регулирующим органом на 2019 год:</w:t>
      </w:r>
    </w:p>
    <w:p w14:paraId="118F3C3E" w14:textId="3475C2C9" w:rsidR="00BF3B08" w:rsidRPr="00C04ABD" w:rsidRDefault="00BF3B08"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экономически о</w:t>
      </w:r>
      <w:r w:rsidR="009F032F" w:rsidRPr="00C04ABD">
        <w:rPr>
          <w:rFonts w:ascii="Myriad Pro" w:hAnsi="Myriad Pro"/>
          <w:sz w:val="26"/>
          <w:szCs w:val="26"/>
        </w:rPr>
        <w:t>боснованный уровень –17 263,66</w:t>
      </w:r>
      <w:r w:rsidRPr="00C04ABD">
        <w:rPr>
          <w:rFonts w:ascii="Myriad Pro" w:hAnsi="Myriad Pro"/>
          <w:sz w:val="26"/>
          <w:szCs w:val="26"/>
        </w:rPr>
        <w:t xml:space="preserve"> тыс. руб.;</w:t>
      </w:r>
    </w:p>
    <w:p w14:paraId="3F06D23E" w14:textId="42E6B409" w:rsidR="00BF3B08" w:rsidRPr="00C04ABD" w:rsidRDefault="00BF3B08"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уровень, приняты</w:t>
      </w:r>
      <w:r w:rsidR="009F032F" w:rsidRPr="00C04ABD">
        <w:rPr>
          <w:rFonts w:ascii="Myriad Pro" w:hAnsi="Myriad Pro"/>
          <w:sz w:val="26"/>
          <w:szCs w:val="26"/>
        </w:rPr>
        <w:t>й при установлении НВВ – 16 620,6</w:t>
      </w:r>
      <w:r w:rsidRPr="00C04ABD">
        <w:rPr>
          <w:rFonts w:ascii="Myriad Pro" w:hAnsi="Myriad Pro"/>
          <w:sz w:val="26"/>
          <w:szCs w:val="26"/>
        </w:rPr>
        <w:t xml:space="preserve"> тыс. руб.  (0,7*ЭОУ+0,3*МА)</w:t>
      </w:r>
      <w:r w:rsidR="00545F67" w:rsidRPr="00C04ABD">
        <w:rPr>
          <w:rFonts w:ascii="Myriad Pro" w:hAnsi="Myriad Pro"/>
          <w:sz w:val="26"/>
          <w:szCs w:val="26"/>
        </w:rPr>
        <w:t>.</w:t>
      </w:r>
    </w:p>
    <w:p w14:paraId="3369DA9F" w14:textId="77777777" w:rsidR="009F032F" w:rsidRPr="00C04ABD" w:rsidRDefault="009F032F"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Комитет считает, что экономически обоснованными расходами являются расходы на виды страхования, которые являются обязательными в соответствии с действующим законодательством.</w:t>
      </w:r>
    </w:p>
    <w:p w14:paraId="7EF4D39C" w14:textId="665257B5" w:rsidR="009F032F" w:rsidRPr="00C04ABD" w:rsidRDefault="009F032F"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 xml:space="preserve">Комитетом приняты расходы ОСАГО, страхование опасного производства </w:t>
      </w:r>
      <w:r w:rsidR="00E663D3">
        <w:rPr>
          <w:rFonts w:ascii="Myriad Pro" w:eastAsia="Calibri" w:hAnsi="Myriad Pro" w:cs="Times New Roman"/>
          <w:sz w:val="26"/>
          <w:szCs w:val="26"/>
        </w:rPr>
        <w:t>в размере</w:t>
      </w:r>
      <w:r w:rsidRPr="00C04ABD">
        <w:rPr>
          <w:rFonts w:ascii="Myriad Pro" w:eastAsia="Calibri" w:hAnsi="Myriad Pro" w:cs="Times New Roman"/>
          <w:sz w:val="26"/>
          <w:szCs w:val="26"/>
        </w:rPr>
        <w:t xml:space="preserve"> 1 267,86 тыс. руб. (экономически обоснованные расходы за 2017 год с учетом ИПЦ), ДМС основного производственного персонала </w:t>
      </w:r>
      <w:r w:rsidR="00E663D3">
        <w:rPr>
          <w:rFonts w:ascii="Myriad Pro" w:eastAsia="Calibri" w:hAnsi="Myriad Pro" w:cs="Times New Roman"/>
          <w:sz w:val="26"/>
          <w:szCs w:val="26"/>
        </w:rPr>
        <w:t>в размере</w:t>
      </w:r>
      <w:r w:rsidRPr="00C04ABD">
        <w:rPr>
          <w:rFonts w:ascii="Myriad Pro" w:eastAsia="Calibri" w:hAnsi="Myriad Pro" w:cs="Times New Roman"/>
          <w:sz w:val="26"/>
          <w:szCs w:val="26"/>
        </w:rPr>
        <w:t xml:space="preserve"> 9 993,02 тыс. руб. (на основании Отраслевого тарифного соглашения, факт 2017 года с учетом ИПЦ), отчисления на НПО </w:t>
      </w:r>
      <w:r w:rsidR="00E663D3">
        <w:rPr>
          <w:rFonts w:ascii="Myriad Pro" w:eastAsia="Calibri" w:hAnsi="Myriad Pro" w:cs="Times New Roman"/>
          <w:sz w:val="26"/>
          <w:szCs w:val="26"/>
        </w:rPr>
        <w:t>в размере</w:t>
      </w:r>
      <w:r w:rsidRPr="00C04ABD">
        <w:rPr>
          <w:rFonts w:ascii="Myriad Pro" w:eastAsia="Calibri" w:hAnsi="Myriad Pro" w:cs="Times New Roman"/>
          <w:sz w:val="26"/>
          <w:szCs w:val="26"/>
        </w:rPr>
        <w:t xml:space="preserve"> 6 002,78 тыс. руб. (на основании Отраслевого тарифного соглашения, факт 2017 года).</w:t>
      </w:r>
    </w:p>
    <w:p w14:paraId="03BC6573" w14:textId="77777777" w:rsidR="00BF3B08" w:rsidRPr="00C04ABD" w:rsidRDefault="00BF3B08" w:rsidP="00A31747">
      <w:pPr>
        <w:tabs>
          <w:tab w:val="left" w:pos="1134"/>
        </w:tabs>
        <w:spacing w:after="0" w:line="360" w:lineRule="auto"/>
        <w:ind w:firstLine="567"/>
        <w:contextualSpacing/>
        <w:jc w:val="both"/>
        <w:rPr>
          <w:rFonts w:ascii="Myriad Pro" w:eastAsia="Calibri" w:hAnsi="Myriad Pro" w:cs="Times New Roman"/>
          <w:b/>
          <w:sz w:val="26"/>
          <w:szCs w:val="26"/>
        </w:rPr>
      </w:pPr>
    </w:p>
    <w:p w14:paraId="6D8CA6D8" w14:textId="77777777" w:rsidR="00BF3B08" w:rsidRPr="00C04ABD" w:rsidRDefault="00BF3B08" w:rsidP="008A5453">
      <w:pPr>
        <w:tabs>
          <w:tab w:val="left" w:pos="1134"/>
        </w:tabs>
        <w:spacing w:after="0" w:line="360" w:lineRule="auto"/>
        <w:contextualSpacing/>
        <w:jc w:val="both"/>
        <w:rPr>
          <w:rFonts w:ascii="Myriad Pro" w:eastAsia="Calibri" w:hAnsi="Myriad Pro" w:cs="Times New Roman"/>
          <w:b/>
          <w:sz w:val="26"/>
          <w:szCs w:val="26"/>
        </w:rPr>
      </w:pPr>
      <w:r w:rsidRPr="00C04ABD">
        <w:rPr>
          <w:rFonts w:ascii="Myriad Pro" w:eastAsia="Calibri" w:hAnsi="Myriad Pro" w:cs="Times New Roman"/>
          <w:b/>
          <w:sz w:val="26"/>
          <w:szCs w:val="26"/>
        </w:rPr>
        <w:t>ПОЗИЦИЯ ИСПОЛНИТЕЛЯ</w:t>
      </w:r>
    </w:p>
    <w:p w14:paraId="3BFE02DA" w14:textId="25410E14" w:rsidR="00AF341A" w:rsidRPr="00C04ABD" w:rsidRDefault="00AF341A"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Комитетом экономически обоснованными расходами признаны расходы на виды страхования, которые являются обязательными в соответствии с действующим законодательством.</w:t>
      </w:r>
    </w:p>
    <w:p w14:paraId="4BC5CBAA" w14:textId="4BEDC682" w:rsidR="00AF341A" w:rsidRPr="00C04ABD" w:rsidRDefault="00AF341A"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lastRenderedPageBreak/>
        <w:t xml:space="preserve">Исполнитель не может согласиться в этой части с Комитетом в виду следующего. </w:t>
      </w:r>
    </w:p>
    <w:p w14:paraId="52C622BB" w14:textId="7FB4A756" w:rsidR="00AF341A" w:rsidRPr="00C04ABD" w:rsidRDefault="00AF341A"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Апелляционным определением Судебной коллегии по административным делам Верховного Суда Российской Федерации от 19.06.2019 N 81-АПА19-12  дана оценка по страхованию, которое не является обязательным видом страхования и указано, что не могут являться основанием для исключения указанных расходов, поскольку в силу </w:t>
      </w:r>
      <w:hyperlink r:id="rId39" w:anchor="100195" w:history="1">
        <w:r w:rsidRPr="00C04ABD">
          <w:rPr>
            <w:rFonts w:ascii="Myriad Pro" w:eastAsia="Calibri" w:hAnsi="Myriad Pro" w:cs="Times New Roman"/>
            <w:sz w:val="26"/>
            <w:szCs w:val="26"/>
          </w:rPr>
          <w:t>подпункта 8 пункта 28</w:t>
        </w:r>
      </w:hyperlink>
      <w:r w:rsidRPr="00C04ABD">
        <w:rPr>
          <w:rFonts w:ascii="Myriad Pro" w:eastAsia="Calibri" w:hAnsi="Myriad Pro" w:cs="Times New Roman"/>
          <w:sz w:val="26"/>
          <w:szCs w:val="26"/>
        </w:rPr>
        <w:t> Основ ценообразования в состав прочих расходов, которые учитываются при определении необходимой валовой выручки, включаются расходы на страхование основных производственных фондов без указания на обязательный либо добровольный характер страхования.</w:t>
      </w:r>
    </w:p>
    <w:p w14:paraId="50849AF5" w14:textId="76010907" w:rsidR="0007134D" w:rsidRPr="00C04ABD" w:rsidRDefault="0007134D"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Комитетом исключены расходы на страхование имущества. Филиалом предоставлены договоры на страхование № 27850011-15700-156/126-002149 от 1</w:t>
      </w:r>
      <w:r w:rsidR="00F50BAF" w:rsidRPr="00C04ABD">
        <w:rPr>
          <w:rFonts w:ascii="Myriad Pro" w:eastAsia="Calibri" w:hAnsi="Myriad Pro" w:cs="Times New Roman"/>
          <w:sz w:val="26"/>
          <w:szCs w:val="26"/>
        </w:rPr>
        <w:t xml:space="preserve">9.12.2014г., заключенный с ООО </w:t>
      </w:r>
      <w:r w:rsidR="00655FFA" w:rsidRPr="00C04ABD">
        <w:rPr>
          <w:rFonts w:ascii="Myriad Pro" w:eastAsia="Calibri" w:hAnsi="Myriad Pro" w:cs="Times New Roman"/>
          <w:sz w:val="26"/>
          <w:szCs w:val="26"/>
        </w:rPr>
        <w:t>«</w:t>
      </w:r>
      <w:r w:rsidR="00F50BAF" w:rsidRPr="00C04ABD">
        <w:rPr>
          <w:rFonts w:ascii="Myriad Pro" w:eastAsia="Calibri" w:hAnsi="Myriad Pro" w:cs="Times New Roman"/>
          <w:sz w:val="26"/>
          <w:szCs w:val="26"/>
        </w:rPr>
        <w:t>Росгосстрах</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 xml:space="preserve"> и договор № 0617PT 000784 от 15.01.2018</w:t>
      </w:r>
      <w:r w:rsidR="00F50BAF" w:rsidRPr="00C04ABD">
        <w:rPr>
          <w:rFonts w:ascii="Myriad Pro" w:eastAsia="Calibri" w:hAnsi="Myriad Pro" w:cs="Times New Roman"/>
          <w:sz w:val="26"/>
          <w:szCs w:val="26"/>
        </w:rPr>
        <w:t xml:space="preserve">, заключенный с АО </w:t>
      </w:r>
      <w:r w:rsidR="00655FFA" w:rsidRPr="00C04ABD">
        <w:rPr>
          <w:rFonts w:ascii="Myriad Pro" w:eastAsia="Calibri" w:hAnsi="Myriad Pro" w:cs="Times New Roman"/>
          <w:sz w:val="26"/>
          <w:szCs w:val="26"/>
        </w:rPr>
        <w:t>«</w:t>
      </w:r>
      <w:r w:rsidR="00F50BAF" w:rsidRPr="00C04ABD">
        <w:rPr>
          <w:rFonts w:ascii="Myriad Pro" w:eastAsia="Calibri" w:hAnsi="Myriad Pro" w:cs="Times New Roman"/>
          <w:sz w:val="26"/>
          <w:szCs w:val="26"/>
        </w:rPr>
        <w:t>Согаз</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 xml:space="preserve">. Также Филиалом подтверждены фактические расходы заключенному договору за 2017 год </w:t>
      </w:r>
      <w:r w:rsidR="00E663D3">
        <w:rPr>
          <w:rFonts w:ascii="Myriad Pro" w:eastAsia="Calibri" w:hAnsi="Myriad Pro" w:cs="Times New Roman"/>
          <w:sz w:val="26"/>
          <w:szCs w:val="26"/>
        </w:rPr>
        <w:t>в размере</w:t>
      </w:r>
      <w:r w:rsidRPr="00C04ABD">
        <w:rPr>
          <w:rFonts w:ascii="Myriad Pro" w:eastAsia="Calibri" w:hAnsi="Myriad Pro" w:cs="Times New Roman"/>
          <w:sz w:val="26"/>
          <w:szCs w:val="26"/>
        </w:rPr>
        <w:t xml:space="preserve"> 4 567,39 тыс. руб. </w:t>
      </w:r>
    </w:p>
    <w:p w14:paraId="028E0193" w14:textId="0355DACA" w:rsidR="00DF0B06" w:rsidRPr="00C04ABD" w:rsidRDefault="00DF0B06"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 xml:space="preserve">Однако </w:t>
      </w:r>
      <w:r w:rsidR="0007134D" w:rsidRPr="00C04ABD">
        <w:rPr>
          <w:rFonts w:ascii="Myriad Pro" w:eastAsia="Calibri" w:hAnsi="Myriad Pro" w:cs="Times New Roman"/>
          <w:sz w:val="26"/>
          <w:szCs w:val="26"/>
        </w:rPr>
        <w:t xml:space="preserve">Исполнитель </w:t>
      </w:r>
      <w:r w:rsidRPr="00C04ABD">
        <w:rPr>
          <w:rFonts w:ascii="Myriad Pro" w:eastAsia="Calibri" w:hAnsi="Myriad Pro" w:cs="Times New Roman"/>
          <w:sz w:val="26"/>
          <w:szCs w:val="26"/>
        </w:rPr>
        <w:t xml:space="preserve">считает необходимым отметить, что в договоре страхования в группе </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А</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 xml:space="preserve"> указаны производственные и не производственные здания, в группе </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D</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 xml:space="preserve"> прочее имущество, находящееся на балансе. Следовательно, в договоре страхования застраховано все имущество, а не только основные производственные фонды. Пояснения и обоснования, что указанные в договоре непроизводственные здания и прочее имущество связаны непосредственно с регулируемой деятельностью Филиалом не предоставлены. </w:t>
      </w:r>
      <w:r w:rsidRPr="001835E4">
        <w:rPr>
          <w:rFonts w:ascii="Myriad Pro" w:eastAsia="Calibri" w:hAnsi="Myriad Pro" w:cs="Times New Roman"/>
          <w:sz w:val="26"/>
          <w:szCs w:val="26"/>
        </w:rPr>
        <w:t>По мнению Исполнителя, для страхования основных производственных фондов необходимо заключить отдельный договор страхования.</w:t>
      </w:r>
      <w:r w:rsidR="000E3006" w:rsidRPr="00C04ABD">
        <w:rPr>
          <w:rFonts w:ascii="Myriad Pro" w:eastAsia="Calibri" w:hAnsi="Myriad Pro" w:cs="Times New Roman"/>
          <w:sz w:val="26"/>
          <w:szCs w:val="26"/>
        </w:rPr>
        <w:t xml:space="preserve"> </w:t>
      </w:r>
    </w:p>
    <w:p w14:paraId="568B94F2" w14:textId="35A69826" w:rsidR="00CB0EA0" w:rsidRPr="00C04ABD" w:rsidRDefault="00CB0EA0"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 xml:space="preserve">Исполнитель соглашается с мнением регулирующего органа в части учета расходов по ДМС основного производственного персонала в силу подпункта </w:t>
      </w:r>
      <w:hyperlink r:id="rId40" w:anchor="100195" w:history="1">
        <w:r w:rsidRPr="00C04ABD">
          <w:rPr>
            <w:rFonts w:ascii="Myriad Pro" w:eastAsia="Calibri" w:hAnsi="Myriad Pro" w:cs="Times New Roman"/>
            <w:sz w:val="26"/>
            <w:szCs w:val="26"/>
          </w:rPr>
          <w:t>8 пункта 28</w:t>
        </w:r>
      </w:hyperlink>
      <w:r w:rsidRPr="00C04ABD">
        <w:rPr>
          <w:rFonts w:ascii="Myriad Pro" w:eastAsia="Calibri" w:hAnsi="Myriad Pro" w:cs="Times New Roman"/>
          <w:sz w:val="26"/>
          <w:szCs w:val="26"/>
        </w:rPr>
        <w:t> Основ ценообразования, в котором прямо указано, что включаются расходы на страхование основного промышленного персонала, занятого в осуществлении регулируемого вида деятельности.</w:t>
      </w:r>
      <w:r w:rsidR="00BC550F" w:rsidRPr="00C04ABD">
        <w:rPr>
          <w:rFonts w:ascii="Myriad Pro" w:eastAsia="Calibri" w:hAnsi="Myriad Pro" w:cs="Times New Roman"/>
          <w:sz w:val="26"/>
          <w:szCs w:val="26"/>
        </w:rPr>
        <w:t xml:space="preserve"> </w:t>
      </w:r>
      <w:r w:rsidR="00BC550F" w:rsidRPr="001835E4">
        <w:rPr>
          <w:rFonts w:ascii="Myriad Pro" w:eastAsia="Calibri" w:hAnsi="Myriad Pro" w:cs="Times New Roman"/>
          <w:sz w:val="26"/>
          <w:szCs w:val="26"/>
        </w:rPr>
        <w:t xml:space="preserve">Исполнитель обращает внимание, что не приложены расчеты расходов по ДМС с выделением основного </w:t>
      </w:r>
      <w:r w:rsidR="00BC550F" w:rsidRPr="001835E4">
        <w:rPr>
          <w:rFonts w:ascii="Myriad Pro" w:eastAsia="Calibri" w:hAnsi="Myriad Pro" w:cs="Times New Roman"/>
          <w:sz w:val="26"/>
          <w:szCs w:val="26"/>
        </w:rPr>
        <w:lastRenderedPageBreak/>
        <w:t>промышленного персонала, занятого в осуществлении регулируемого вида деятельности</w:t>
      </w:r>
    </w:p>
    <w:p w14:paraId="424E7CBA" w14:textId="44287A31" w:rsidR="00DB3248" w:rsidRPr="00C04ABD" w:rsidRDefault="00BC550F"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 xml:space="preserve">В соответствии с </w:t>
      </w:r>
      <w:r w:rsidR="00DB3248" w:rsidRPr="00C04ABD">
        <w:rPr>
          <w:rFonts w:ascii="Myriad Pro" w:eastAsia="Calibri" w:hAnsi="Myriad Pro" w:cs="Times New Roman"/>
          <w:sz w:val="26"/>
          <w:szCs w:val="26"/>
        </w:rPr>
        <w:t>п.6.1.6 Отраслевого тарифного соглашения</w:t>
      </w:r>
      <w:r w:rsidRPr="00C04ABD">
        <w:rPr>
          <w:rFonts w:ascii="Myriad Pro" w:eastAsia="Calibri" w:hAnsi="Myriad Pro" w:cs="Times New Roman"/>
          <w:sz w:val="26"/>
          <w:szCs w:val="26"/>
        </w:rPr>
        <w:t xml:space="preserve"> в электроэнергетике </w:t>
      </w:r>
      <w:r w:rsidR="00DB3248" w:rsidRPr="00C04ABD">
        <w:rPr>
          <w:rFonts w:ascii="Myriad Pro" w:eastAsia="Calibri" w:hAnsi="Myriad Pro" w:cs="Times New Roman"/>
          <w:sz w:val="26"/>
          <w:szCs w:val="26"/>
        </w:rPr>
        <w:t>работодатели обеспечивают негосударственное пенсионное обеспечение в соответствии с программой негосударственного пенсионного обеспечения, принятой в Организации.</w:t>
      </w:r>
    </w:p>
    <w:p w14:paraId="7CD1D853" w14:textId="0C1CF694" w:rsidR="00396872" w:rsidRPr="00C04ABD" w:rsidRDefault="00396872"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Филиал в пояснительной записке ссылается на дополнительные соглашение № 34 от 29.03.2018 г. к договору № 12-К/200</w:t>
      </w:r>
      <w:r w:rsidR="00AE2F8F" w:rsidRPr="00C04ABD">
        <w:rPr>
          <w:rFonts w:ascii="Myriad Pro" w:eastAsia="Calibri" w:hAnsi="Myriad Pro" w:cs="Times New Roman"/>
          <w:sz w:val="26"/>
          <w:szCs w:val="26"/>
        </w:rPr>
        <w:t>5 от 11.03.2005 г., заключенно</w:t>
      </w:r>
      <w:r w:rsidRPr="00C04ABD">
        <w:rPr>
          <w:rFonts w:ascii="Myriad Pro" w:eastAsia="Calibri" w:hAnsi="Myriad Pro" w:cs="Times New Roman"/>
          <w:sz w:val="26"/>
          <w:szCs w:val="26"/>
        </w:rPr>
        <w:t xml:space="preserve">му между АО </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НПО электроэнергетики</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 xml:space="preserve"> и филиалом ПАО </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МРСК Северо-Запада</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 xml:space="preserve"> </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Колэнерго</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 xml:space="preserve"> и № 24 от 29.03.2018 г. к договору № 12-П/2005 от 11.03.2005 г., заключенному между АО </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НПО электроэнергетики</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 xml:space="preserve"> и филиалом ПАО </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МРСК Северо-Запада</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 xml:space="preserve"> </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Колэнерго</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 xml:space="preserve">. </w:t>
      </w:r>
      <w:r w:rsidRPr="001835E4">
        <w:rPr>
          <w:rFonts w:ascii="Myriad Pro" w:eastAsia="Calibri" w:hAnsi="Myriad Pro" w:cs="Times New Roman"/>
          <w:sz w:val="26"/>
          <w:szCs w:val="26"/>
        </w:rPr>
        <w:t xml:space="preserve">Однако, ни сами договоры, ни дополнительные соглашения в исследуемые материалы не приложены. </w:t>
      </w:r>
      <w:r w:rsidR="00DB3248" w:rsidRPr="001835E4">
        <w:rPr>
          <w:rFonts w:ascii="Myriad Pro" w:eastAsia="Calibri" w:hAnsi="Myriad Pro" w:cs="Times New Roman"/>
          <w:sz w:val="26"/>
          <w:szCs w:val="26"/>
        </w:rPr>
        <w:t>В исследуемых</w:t>
      </w:r>
      <w:r w:rsidR="00DB3248" w:rsidRPr="00C04ABD">
        <w:rPr>
          <w:rFonts w:ascii="Myriad Pro" w:eastAsia="Calibri" w:hAnsi="Myriad Pro" w:cs="Times New Roman"/>
          <w:sz w:val="26"/>
          <w:szCs w:val="26"/>
        </w:rPr>
        <w:t xml:space="preserve"> материалах отсутствуют</w:t>
      </w:r>
      <w:r w:rsidRPr="00C04ABD">
        <w:rPr>
          <w:rFonts w:ascii="Myriad Pro" w:eastAsia="Calibri" w:hAnsi="Myriad Pro" w:cs="Times New Roman"/>
          <w:sz w:val="26"/>
          <w:szCs w:val="26"/>
        </w:rPr>
        <w:t xml:space="preserve"> расчеты расходов с выделением основного промышленного персонала, занятого в осуществлении регулируемого вида деятельности</w:t>
      </w:r>
      <w:r w:rsidR="00DB3248" w:rsidRPr="00C04ABD">
        <w:rPr>
          <w:rFonts w:ascii="Myriad Pro" w:eastAsia="Calibri" w:hAnsi="Myriad Pro" w:cs="Times New Roman"/>
          <w:sz w:val="26"/>
          <w:szCs w:val="26"/>
        </w:rPr>
        <w:t xml:space="preserve"> и программа негосударственного пенсионного обеспечения, утвержденная филиалом ПАО </w:t>
      </w:r>
      <w:r w:rsidR="00655FFA" w:rsidRPr="00C04ABD">
        <w:rPr>
          <w:rFonts w:ascii="Myriad Pro" w:eastAsia="Calibri" w:hAnsi="Myriad Pro" w:cs="Times New Roman"/>
          <w:sz w:val="26"/>
          <w:szCs w:val="26"/>
        </w:rPr>
        <w:t>«</w:t>
      </w:r>
      <w:r w:rsidR="00DB3248" w:rsidRPr="00C04ABD">
        <w:rPr>
          <w:rFonts w:ascii="Myriad Pro" w:eastAsia="Calibri" w:hAnsi="Myriad Pro" w:cs="Times New Roman"/>
          <w:sz w:val="26"/>
          <w:szCs w:val="26"/>
        </w:rPr>
        <w:t>МРСК Северо-Запада</w:t>
      </w:r>
      <w:r w:rsidR="00655FFA" w:rsidRPr="00C04ABD">
        <w:rPr>
          <w:rFonts w:ascii="Myriad Pro" w:eastAsia="Calibri" w:hAnsi="Myriad Pro" w:cs="Times New Roman"/>
          <w:sz w:val="26"/>
          <w:szCs w:val="26"/>
        </w:rPr>
        <w:t>»</w:t>
      </w:r>
      <w:r w:rsidR="00DB3248" w:rsidRPr="00C04ABD">
        <w:rPr>
          <w:rFonts w:ascii="Myriad Pro" w:eastAsia="Calibri" w:hAnsi="Myriad Pro" w:cs="Times New Roman"/>
          <w:sz w:val="26"/>
          <w:szCs w:val="26"/>
        </w:rPr>
        <w:t xml:space="preserve"> </w:t>
      </w:r>
      <w:r w:rsidR="00655FFA" w:rsidRPr="00C04ABD">
        <w:rPr>
          <w:rFonts w:ascii="Myriad Pro" w:eastAsia="Calibri" w:hAnsi="Myriad Pro" w:cs="Times New Roman"/>
          <w:sz w:val="26"/>
          <w:szCs w:val="26"/>
        </w:rPr>
        <w:t>«</w:t>
      </w:r>
      <w:r w:rsidR="00DB3248" w:rsidRPr="00C04ABD">
        <w:rPr>
          <w:rFonts w:ascii="Myriad Pro" w:eastAsia="Calibri" w:hAnsi="Myriad Pro" w:cs="Times New Roman"/>
          <w:sz w:val="26"/>
          <w:szCs w:val="26"/>
        </w:rPr>
        <w:t>Колэнерго</w:t>
      </w:r>
      <w:r w:rsidR="00655FFA" w:rsidRPr="00C04ABD">
        <w:rPr>
          <w:rFonts w:ascii="Myriad Pro" w:eastAsia="Calibri" w:hAnsi="Myriad Pro" w:cs="Times New Roman"/>
          <w:sz w:val="26"/>
          <w:szCs w:val="26"/>
        </w:rPr>
        <w:t>»</w:t>
      </w:r>
      <w:r w:rsidR="00DB3248" w:rsidRPr="00C04ABD">
        <w:rPr>
          <w:rFonts w:ascii="Myriad Pro" w:eastAsia="Calibri" w:hAnsi="Myriad Pro" w:cs="Times New Roman"/>
          <w:sz w:val="26"/>
          <w:szCs w:val="26"/>
        </w:rPr>
        <w:t>.</w:t>
      </w:r>
    </w:p>
    <w:p w14:paraId="614290D8" w14:textId="5B8A2E48" w:rsidR="00BC550F" w:rsidRPr="00C04ABD" w:rsidRDefault="00BC550F" w:rsidP="00A31747">
      <w:pPr>
        <w:tabs>
          <w:tab w:val="left" w:pos="1134"/>
        </w:tabs>
        <w:spacing w:after="0" w:line="360" w:lineRule="auto"/>
        <w:ind w:firstLine="567"/>
        <w:contextualSpacing/>
        <w:jc w:val="both"/>
        <w:rPr>
          <w:rFonts w:ascii="Myriad Pro" w:eastAsia="Calibri" w:hAnsi="Myriad Pro" w:cs="Times New Roman"/>
          <w:sz w:val="26"/>
          <w:szCs w:val="26"/>
        </w:rPr>
      </w:pPr>
      <w:r w:rsidRPr="001835E4">
        <w:rPr>
          <w:rFonts w:ascii="Myriad Pro" w:eastAsia="Calibri" w:hAnsi="Myriad Pro" w:cs="Times New Roman"/>
          <w:sz w:val="26"/>
          <w:szCs w:val="26"/>
        </w:rPr>
        <w:t xml:space="preserve">В связи с вышеизложенным, Исполнитель считает, что Филиалом не подтверждена экономическая обоснованность расходов по статье </w:t>
      </w:r>
      <w:r w:rsidR="00655FFA" w:rsidRPr="001835E4">
        <w:rPr>
          <w:rFonts w:ascii="Myriad Pro" w:eastAsia="Calibri" w:hAnsi="Myriad Pro" w:cs="Times New Roman"/>
          <w:sz w:val="26"/>
          <w:szCs w:val="26"/>
        </w:rPr>
        <w:t>«</w:t>
      </w:r>
      <w:r w:rsidR="00A34F15" w:rsidRPr="001835E4">
        <w:rPr>
          <w:rFonts w:ascii="Myriad Pro" w:eastAsia="Calibri" w:hAnsi="Myriad Pro" w:cs="Times New Roman"/>
          <w:sz w:val="26"/>
          <w:szCs w:val="26"/>
        </w:rPr>
        <w:t>С</w:t>
      </w:r>
      <w:r w:rsidRPr="001835E4">
        <w:rPr>
          <w:rFonts w:ascii="Myriad Pro" w:eastAsia="Calibri" w:hAnsi="Myriad Pro" w:cs="Times New Roman"/>
          <w:sz w:val="26"/>
          <w:szCs w:val="26"/>
        </w:rPr>
        <w:t>трахование на НПО</w:t>
      </w:r>
      <w:r w:rsidR="00655FFA" w:rsidRPr="001835E4">
        <w:rPr>
          <w:rFonts w:ascii="Myriad Pro" w:eastAsia="Calibri" w:hAnsi="Myriad Pro" w:cs="Times New Roman"/>
          <w:sz w:val="26"/>
          <w:szCs w:val="26"/>
        </w:rPr>
        <w:t>»</w:t>
      </w:r>
      <w:r w:rsidRPr="001835E4">
        <w:rPr>
          <w:rFonts w:ascii="Myriad Pro" w:eastAsia="Calibri" w:hAnsi="Myriad Pro" w:cs="Times New Roman"/>
          <w:sz w:val="26"/>
          <w:szCs w:val="26"/>
        </w:rPr>
        <w:t>.</w:t>
      </w:r>
    </w:p>
    <w:p w14:paraId="0E3F36E9" w14:textId="2B83BEB4" w:rsidR="000E3006" w:rsidRPr="00297DA6" w:rsidRDefault="000E3006" w:rsidP="008A5453">
      <w:pPr>
        <w:pStyle w:val="afff4"/>
        <w:rPr>
          <w:lang w:val="ru-RU"/>
        </w:rPr>
      </w:pPr>
      <w:r w:rsidRPr="00297DA6">
        <w:rPr>
          <w:lang w:val="ru-RU"/>
        </w:rPr>
        <w:t>Расходы на страхование Исполнителем</w:t>
      </w:r>
      <w:r w:rsidR="001C7944" w:rsidRPr="00297DA6">
        <w:rPr>
          <w:lang w:val="ru-RU"/>
        </w:rPr>
        <w:t xml:space="preserve"> рассчитаны</w:t>
      </w:r>
      <w:r w:rsidRPr="00297DA6">
        <w:rPr>
          <w:lang w:val="ru-RU"/>
        </w:rPr>
        <w:t xml:space="preserve"> </w:t>
      </w:r>
      <w:r w:rsidR="00E663D3" w:rsidRPr="00297DA6">
        <w:rPr>
          <w:lang w:val="ru-RU"/>
        </w:rPr>
        <w:t>в размере</w:t>
      </w:r>
      <w:r w:rsidRPr="00297DA6">
        <w:rPr>
          <w:lang w:val="ru-RU"/>
        </w:rPr>
        <w:t xml:space="preserve"> </w:t>
      </w:r>
      <w:r w:rsidR="00BC550F" w:rsidRPr="00297DA6">
        <w:rPr>
          <w:lang w:val="ru-RU"/>
        </w:rPr>
        <w:t>11 248,96</w:t>
      </w:r>
      <w:r w:rsidRPr="00297DA6">
        <w:rPr>
          <w:lang w:val="ru-RU"/>
        </w:rPr>
        <w:t xml:space="preserve"> тыс. руб.</w:t>
      </w:r>
      <w:r w:rsidR="008F5160" w:rsidRPr="00297DA6">
        <w:rPr>
          <w:lang w:val="ru-RU"/>
        </w:rPr>
        <w:t>, в том числе на страхование ОПО – 21,02 тыс. руб., КАСКО – 1</w:t>
      </w:r>
      <w:r w:rsidR="00A34F15" w:rsidRPr="00297DA6">
        <w:rPr>
          <w:lang w:val="ru-RU"/>
        </w:rPr>
        <w:t> </w:t>
      </w:r>
      <w:r w:rsidR="008F5160" w:rsidRPr="00297DA6">
        <w:rPr>
          <w:lang w:val="ru-RU"/>
        </w:rPr>
        <w:t>234,93 тыс. руб., ДМС – 9993,02 тыс. руб</w:t>
      </w:r>
      <w:r w:rsidRPr="00297DA6">
        <w:rPr>
          <w:lang w:val="ru-RU"/>
        </w:rPr>
        <w:t>.</w:t>
      </w:r>
    </w:p>
    <w:tbl>
      <w:tblPr>
        <w:tblStyle w:val="afff6"/>
        <w:tblW w:w="5000" w:type="pct"/>
        <w:tblLayout w:type="fixed"/>
        <w:tblLook w:val="04A0" w:firstRow="1" w:lastRow="0" w:firstColumn="1" w:lastColumn="0" w:noHBand="0" w:noVBand="1"/>
      </w:tblPr>
      <w:tblGrid>
        <w:gridCol w:w="2051"/>
        <w:gridCol w:w="1712"/>
        <w:gridCol w:w="1257"/>
        <w:gridCol w:w="1258"/>
        <w:gridCol w:w="1536"/>
        <w:gridCol w:w="1530"/>
      </w:tblGrid>
      <w:tr w:rsidR="00B71EAA" w:rsidRPr="00297DA6" w14:paraId="4B8FADDB" w14:textId="77777777" w:rsidTr="009071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7FD291AF" w14:textId="77777777" w:rsidR="00B71EAA" w:rsidRPr="00297DA6" w:rsidRDefault="00B71EAA" w:rsidP="008A5453">
            <w:pPr>
              <w:tabs>
                <w:tab w:val="left" w:pos="1134"/>
              </w:tabs>
              <w:jc w:val="center"/>
              <w:rPr>
                <w:rFonts w:eastAsia="Calibri" w:cs="Times New Roman"/>
                <w:sz w:val="20"/>
                <w:szCs w:val="20"/>
              </w:rPr>
            </w:pPr>
            <w:r w:rsidRPr="00297DA6">
              <w:rPr>
                <w:rFonts w:eastAsia="Calibri" w:cs="Times New Roman"/>
                <w:sz w:val="20"/>
                <w:szCs w:val="20"/>
              </w:rPr>
              <w:t> Наименование статьи</w:t>
            </w:r>
          </w:p>
        </w:tc>
        <w:tc>
          <w:tcPr>
            <w:tcW w:w="17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4C2BE760" w14:textId="77777777" w:rsidR="00B71EAA" w:rsidRPr="00297DA6" w:rsidRDefault="00B71EAA" w:rsidP="008A5453">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 w:val="20"/>
                <w:szCs w:val="20"/>
              </w:rPr>
            </w:pPr>
            <w:r w:rsidRPr="00297DA6">
              <w:rPr>
                <w:rFonts w:eastAsia="Calibri" w:cs="Times New Roman"/>
                <w:sz w:val="20"/>
                <w:szCs w:val="20"/>
              </w:rPr>
              <w:t>Заявлено Филиалом</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B583101" w14:textId="77777777" w:rsidR="00B71EAA" w:rsidRPr="00297DA6" w:rsidRDefault="00B71EAA" w:rsidP="008A5453">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 w:val="20"/>
                <w:szCs w:val="20"/>
              </w:rPr>
            </w:pPr>
            <w:r w:rsidRPr="00297DA6">
              <w:rPr>
                <w:rFonts w:eastAsia="Calibri" w:cs="Times New Roman"/>
                <w:sz w:val="20"/>
                <w:szCs w:val="20"/>
              </w:rPr>
              <w:t>Рассчитано Комитетом (ЭОУ)</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15CD91E" w14:textId="77777777" w:rsidR="00B71EAA" w:rsidRPr="00297DA6" w:rsidRDefault="00B71EAA" w:rsidP="008A5453">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 w:val="20"/>
                <w:szCs w:val="20"/>
              </w:rPr>
            </w:pPr>
            <w:r w:rsidRPr="00297DA6">
              <w:rPr>
                <w:rFonts w:eastAsia="Calibri" w:cs="Times New Roman"/>
                <w:sz w:val="20"/>
                <w:szCs w:val="20"/>
              </w:rPr>
              <w:t>Рассчитано Исполнителем (ЭОУ)</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2022100" w14:textId="77777777" w:rsidR="00B71EAA" w:rsidRPr="00297DA6" w:rsidRDefault="00B71EAA" w:rsidP="008A5453">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 w:val="20"/>
                <w:szCs w:val="20"/>
              </w:rPr>
            </w:pPr>
            <w:r w:rsidRPr="00297DA6">
              <w:rPr>
                <w:rFonts w:eastAsia="Calibri" w:cs="Times New Roman"/>
                <w:sz w:val="20"/>
                <w:szCs w:val="20"/>
              </w:rPr>
              <w:t>Отклонение  между Исполнителем и Комитетом</w:t>
            </w:r>
          </w:p>
        </w:tc>
        <w:tc>
          <w:tcPr>
            <w:tcW w:w="15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6B8D352" w14:textId="77777777" w:rsidR="00B71EAA" w:rsidRPr="00297DA6" w:rsidRDefault="00B71EAA" w:rsidP="008A5453">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 w:val="20"/>
                <w:szCs w:val="20"/>
              </w:rPr>
            </w:pPr>
            <w:r w:rsidRPr="00297DA6">
              <w:rPr>
                <w:rFonts w:eastAsia="Calibri" w:cs="Times New Roman"/>
                <w:sz w:val="20"/>
                <w:szCs w:val="20"/>
              </w:rPr>
              <w:t>Отклонение  между Исполнителем и Филиалом</w:t>
            </w:r>
          </w:p>
        </w:tc>
      </w:tr>
      <w:tr w:rsidR="00B71EAA" w:rsidRPr="000652C8" w14:paraId="6E45D8F4" w14:textId="77777777" w:rsidTr="00907125">
        <w:tc>
          <w:tcPr>
            <w:cnfStyle w:val="001000000000" w:firstRow="0" w:lastRow="0" w:firstColumn="1" w:lastColumn="0" w:oddVBand="0" w:evenVBand="0" w:oddHBand="0" w:evenHBand="0" w:firstRowFirstColumn="0" w:firstRowLastColumn="0" w:lastRowFirstColumn="0" w:lastRowLastColumn="0"/>
            <w:tcW w:w="2085" w:type="dxa"/>
            <w:tcBorders>
              <w:top w:val="single" w:sz="4" w:space="0" w:color="FFFFFF" w:themeColor="background1"/>
            </w:tcBorders>
            <w:hideMark/>
          </w:tcPr>
          <w:p w14:paraId="620D85D2" w14:textId="77777777" w:rsidR="00B71EAA" w:rsidRPr="00297DA6" w:rsidRDefault="00B71EAA" w:rsidP="008A5453">
            <w:pPr>
              <w:tabs>
                <w:tab w:val="left" w:pos="1134"/>
              </w:tabs>
              <w:rPr>
                <w:rFonts w:eastAsia="Calibri" w:cs="Times New Roman"/>
                <w:sz w:val="20"/>
                <w:szCs w:val="20"/>
              </w:rPr>
            </w:pPr>
            <w:r w:rsidRPr="00297DA6">
              <w:rPr>
                <w:rFonts w:eastAsia="Calibri" w:cs="Times New Roman"/>
                <w:sz w:val="20"/>
                <w:szCs w:val="20"/>
              </w:rPr>
              <w:t>Расходы на страхование</w:t>
            </w:r>
          </w:p>
        </w:tc>
        <w:tc>
          <w:tcPr>
            <w:tcW w:w="1738" w:type="dxa"/>
            <w:tcBorders>
              <w:top w:val="single" w:sz="4" w:space="0" w:color="FFFFFF" w:themeColor="background1"/>
            </w:tcBorders>
            <w:hideMark/>
          </w:tcPr>
          <w:p w14:paraId="3BD3AC45" w14:textId="77777777" w:rsidR="00B71EAA" w:rsidRPr="00297DA6" w:rsidRDefault="00B71EAA" w:rsidP="008A545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297DA6">
              <w:rPr>
                <w:rFonts w:eastAsia="Calibri" w:cs="Times New Roman"/>
                <w:sz w:val="20"/>
                <w:szCs w:val="20"/>
              </w:rPr>
              <w:t>30 215,93</w:t>
            </w:r>
          </w:p>
        </w:tc>
        <w:tc>
          <w:tcPr>
            <w:tcW w:w="1275" w:type="dxa"/>
            <w:tcBorders>
              <w:top w:val="single" w:sz="4" w:space="0" w:color="FFFFFF" w:themeColor="background1"/>
            </w:tcBorders>
            <w:hideMark/>
          </w:tcPr>
          <w:p w14:paraId="4284AAE2" w14:textId="77777777" w:rsidR="00B71EAA" w:rsidRPr="00297DA6" w:rsidRDefault="00B71EAA" w:rsidP="008A545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297DA6">
              <w:rPr>
                <w:rFonts w:eastAsia="Calibri" w:cs="Times New Roman"/>
                <w:sz w:val="20"/>
                <w:szCs w:val="20"/>
              </w:rPr>
              <w:t>17 263,66</w:t>
            </w:r>
          </w:p>
        </w:tc>
        <w:tc>
          <w:tcPr>
            <w:tcW w:w="1276" w:type="dxa"/>
            <w:tcBorders>
              <w:top w:val="single" w:sz="4" w:space="0" w:color="FFFFFF" w:themeColor="background1"/>
            </w:tcBorders>
            <w:hideMark/>
          </w:tcPr>
          <w:p w14:paraId="769C7571" w14:textId="77777777" w:rsidR="00B71EAA" w:rsidRPr="00297DA6" w:rsidRDefault="00B71EAA" w:rsidP="008A545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297DA6">
              <w:rPr>
                <w:rFonts w:eastAsia="Calibri" w:cs="Times New Roman"/>
                <w:sz w:val="20"/>
                <w:szCs w:val="20"/>
              </w:rPr>
              <w:t>11 248,96</w:t>
            </w:r>
          </w:p>
        </w:tc>
        <w:tc>
          <w:tcPr>
            <w:tcW w:w="1559" w:type="dxa"/>
            <w:tcBorders>
              <w:top w:val="single" w:sz="4" w:space="0" w:color="FFFFFF" w:themeColor="background1"/>
            </w:tcBorders>
            <w:hideMark/>
          </w:tcPr>
          <w:p w14:paraId="6B526BFB" w14:textId="77777777" w:rsidR="00B71EAA" w:rsidRPr="00297DA6" w:rsidRDefault="00B71EAA" w:rsidP="008A545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297DA6">
              <w:rPr>
                <w:rFonts w:eastAsia="Calibri" w:cs="Times New Roman"/>
                <w:sz w:val="20"/>
                <w:szCs w:val="20"/>
              </w:rPr>
              <w:t>-6 014,70</w:t>
            </w:r>
          </w:p>
        </w:tc>
        <w:tc>
          <w:tcPr>
            <w:tcW w:w="1553" w:type="dxa"/>
            <w:tcBorders>
              <w:top w:val="single" w:sz="4" w:space="0" w:color="FFFFFF" w:themeColor="background1"/>
            </w:tcBorders>
            <w:hideMark/>
          </w:tcPr>
          <w:p w14:paraId="540566CE" w14:textId="25575BF5" w:rsidR="00B71EAA" w:rsidRPr="00297DA6" w:rsidRDefault="00B71EAA" w:rsidP="008A5453">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297DA6">
              <w:rPr>
                <w:rFonts w:eastAsia="Calibri" w:cs="Times New Roman"/>
                <w:sz w:val="20"/>
                <w:szCs w:val="20"/>
              </w:rPr>
              <w:t>-18 967</w:t>
            </w:r>
          </w:p>
        </w:tc>
      </w:tr>
    </w:tbl>
    <w:p w14:paraId="6BDC4E3F" w14:textId="77777777" w:rsidR="00297DA6" w:rsidRDefault="00297DA6" w:rsidP="00AA7CB9">
      <w:pPr>
        <w:tabs>
          <w:tab w:val="left" w:pos="1134"/>
        </w:tabs>
        <w:spacing w:before="240" w:after="0" w:line="360" w:lineRule="auto"/>
        <w:contextualSpacing/>
        <w:jc w:val="both"/>
        <w:rPr>
          <w:rFonts w:ascii="Myriad Pro" w:eastAsia="Calibri" w:hAnsi="Myriad Pro" w:cs="Times New Roman"/>
          <w:b/>
          <w:i/>
          <w:sz w:val="26"/>
          <w:szCs w:val="26"/>
        </w:rPr>
      </w:pPr>
    </w:p>
    <w:p w14:paraId="083B401E" w14:textId="4AAD0D19" w:rsidR="00D31F3F" w:rsidRPr="00FB0A3A" w:rsidRDefault="00FE12C5" w:rsidP="00AA7CB9">
      <w:pPr>
        <w:tabs>
          <w:tab w:val="left" w:pos="1134"/>
        </w:tabs>
        <w:spacing w:before="240" w:after="0" w:line="360" w:lineRule="auto"/>
        <w:contextualSpacing/>
        <w:jc w:val="both"/>
        <w:rPr>
          <w:rFonts w:ascii="Myriad Pro" w:eastAsia="Calibri" w:hAnsi="Myriad Pro" w:cs="Times New Roman"/>
          <w:b/>
          <w:i/>
          <w:sz w:val="26"/>
          <w:szCs w:val="26"/>
        </w:rPr>
      </w:pPr>
      <w:r w:rsidRPr="00FB0A3A">
        <w:rPr>
          <w:rFonts w:ascii="Myriad Pro" w:eastAsia="Calibri" w:hAnsi="Myriad Pro" w:cs="Times New Roman"/>
          <w:b/>
          <w:i/>
          <w:sz w:val="26"/>
          <w:szCs w:val="26"/>
        </w:rPr>
        <w:t>Расходы на содержание управляющей компании</w:t>
      </w:r>
    </w:p>
    <w:p w14:paraId="63D42145" w14:textId="77777777" w:rsidR="00B75877" w:rsidRPr="00FB0A3A" w:rsidRDefault="00B75877"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 xml:space="preserve">В соответствии с п.16 Основ ценообразования № 1178 определение состава расходов, включаемых в необходимую валовую выручку, и оценка их </w:t>
      </w:r>
      <w:r w:rsidRPr="00FB0A3A">
        <w:rPr>
          <w:rFonts w:ascii="Myriad Pro" w:eastAsia="Calibri" w:hAnsi="Myriad Pro" w:cs="Times New Roman"/>
          <w:sz w:val="26"/>
          <w:szCs w:val="26"/>
        </w:rPr>
        <w:lastRenderedPageBreak/>
        <w:t>экономической обоснованности производятся в соответствии с законодательством Российской Федерации и нормативными правовыми актами, регулирующими отношения в сфере бухгалтерского учета.</w:t>
      </w:r>
    </w:p>
    <w:p w14:paraId="5C0D492E" w14:textId="719F9D8B" w:rsidR="00B75877" w:rsidRPr="00FB0A3A" w:rsidRDefault="00B75877"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 xml:space="preserve">Согласно п. 1 ст. 48 Гражданского кодекса Российской Федерации (далее </w:t>
      </w:r>
      <w:r w:rsidR="009808E8">
        <w:rPr>
          <w:rFonts w:ascii="Myriad Pro" w:eastAsia="Calibri" w:hAnsi="Myriad Pro" w:cs="Times New Roman"/>
          <w:sz w:val="26"/>
          <w:szCs w:val="26"/>
        </w:rPr>
        <w:t>–</w:t>
      </w:r>
      <w:r w:rsidRPr="00FB0A3A">
        <w:rPr>
          <w:rFonts w:ascii="Myriad Pro" w:eastAsia="Calibri" w:hAnsi="Myriad Pro" w:cs="Times New Roman"/>
          <w:sz w:val="26"/>
          <w:szCs w:val="26"/>
        </w:rPr>
        <w:t xml:space="preserve"> ГК</w:t>
      </w:r>
      <w:r w:rsidR="009808E8">
        <w:rPr>
          <w:rFonts w:ascii="Myriad Pro" w:eastAsia="Calibri" w:hAnsi="Myriad Pro" w:cs="Times New Roman"/>
          <w:sz w:val="26"/>
          <w:szCs w:val="26"/>
        </w:rPr>
        <w:t> </w:t>
      </w:r>
      <w:r w:rsidRPr="00FB0A3A">
        <w:rPr>
          <w:rFonts w:ascii="Myriad Pro" w:eastAsia="Calibri" w:hAnsi="Myriad Pro" w:cs="Times New Roman"/>
          <w:sz w:val="26"/>
          <w:szCs w:val="26"/>
        </w:rPr>
        <w:t>РФ) юридическим лицом признается организация, которая имеет в собственности, хозяйственном ведении или оперативном управлении обособленное имущество и отвечает по своим обязательствам этим имуществом, может от своего имени приобретать и осуществлять имущественные и личные неимущественные права, нести обязанности, быть истцом и ответчиком в суде.</w:t>
      </w:r>
    </w:p>
    <w:p w14:paraId="04BD3FE2" w14:textId="77777777" w:rsidR="00B75877" w:rsidRPr="00FB0A3A" w:rsidRDefault="00B75877"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Юридическое лицо подлежит государственной регистрации в уполномоченном государственном органе в порядке, определяемом законом о государственной регистрации юридических лиц (п. 1 ст. 51 ГК РФ).</w:t>
      </w:r>
    </w:p>
    <w:p w14:paraId="6B48703B" w14:textId="77777777" w:rsidR="00B75877" w:rsidRPr="00FB0A3A" w:rsidRDefault="00B75877"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Филиалом является обособленное подразделение юридического лица, расположенное вне места его нахождения и осуществляющее все его функции или их часть, в том числе функции представительства (п. 2 ст. 55 ГК РФ).</w:t>
      </w:r>
    </w:p>
    <w:p w14:paraId="55066AF0" w14:textId="77777777" w:rsidR="00B75877" w:rsidRPr="00FB0A3A" w:rsidRDefault="00B75877"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Филиалы не являются юридическими лицами. Они наделяются имуществом создавшим их юридическим лицом и действуют на основании утвержденных им положений (п. 3 ст. 55 ГК РФ). При этом на отдельный баланс филиалов распределяется лишь часть имущества юридического лица; совокупность имущества, отнесенного на балансы филиалов, не составляет имущество юридического лица целиком.</w:t>
      </w:r>
    </w:p>
    <w:p w14:paraId="72415B6A" w14:textId="77777777" w:rsidR="00B75877" w:rsidRPr="00FB0A3A" w:rsidRDefault="00B75877"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Таким образом, отношения между головной организацией и филиалами одного юридического лица являются отношениями внутри организации, которые регулируются исключительно внутренними организационно-распорядительными документами данной организации.</w:t>
      </w:r>
    </w:p>
    <w:p w14:paraId="505CF6BB" w14:textId="76F14BC2" w:rsidR="00B75877" w:rsidRPr="00FB0A3A" w:rsidRDefault="00B75877"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 xml:space="preserve">Согласно п. 9 Положения по бухгалтерскому учету </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Учетная политика организации</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 xml:space="preserve"> (ПБУ 1/2008), утвержденного приказом Минфина России от 06.10.2008 № 106н, способы ведения бухгалтерского учета, избранные организацией при формировании учетной политики, применяются с первого января года, следующего за годом утверждения соответствующего организационно-распорядительного документа. При этом они применяются </w:t>
      </w:r>
      <w:r w:rsidRPr="00FB0A3A">
        <w:rPr>
          <w:rFonts w:ascii="Myriad Pro" w:eastAsia="Calibri" w:hAnsi="Myriad Pro" w:cs="Times New Roman"/>
          <w:sz w:val="26"/>
          <w:szCs w:val="26"/>
        </w:rPr>
        <w:lastRenderedPageBreak/>
        <w:t>всеми филиалами, представительствами и иными подразделениями организации (включая выделенные на отдельный баланс), независимо от их места нахождения.</w:t>
      </w:r>
    </w:p>
    <w:p w14:paraId="19723C47" w14:textId="77777777" w:rsidR="00B75877" w:rsidRPr="00FB0A3A" w:rsidRDefault="00B75877"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Также, в соответствии с п. 24 Методических указаний по расчету регулируемых тарифов и цен на электрическую (тепловую) энергию на розничном (потребительском) рынке, утвержденных приказом ФСТ России от 06.08.2004 № 20- э/2, распределение расходов также может осуществляться в соответствии с учетной политикой, принятой в организации.</w:t>
      </w:r>
    </w:p>
    <w:p w14:paraId="46F2FD65" w14:textId="52D7B986" w:rsidR="00FE12C5" w:rsidRPr="00FB0A3A" w:rsidRDefault="00FE12C5" w:rsidP="00AA7CB9">
      <w:pPr>
        <w:pStyle w:val="afff4"/>
        <w:rPr>
          <w:lang w:val="ru-RU"/>
        </w:rPr>
      </w:pPr>
      <w:r w:rsidRPr="00FB0A3A">
        <w:rPr>
          <w:lang w:val="ru-RU"/>
        </w:rPr>
        <w:t xml:space="preserve">Принимая во внимание позицию Верховного суда, изложенную в определении от 21.07.2016 </w:t>
      </w:r>
      <w:r w:rsidR="00471352" w:rsidRPr="00FB0A3A">
        <w:rPr>
          <w:lang w:val="ru-RU"/>
        </w:rPr>
        <w:t xml:space="preserve">№55-АПГ16-4 в части отказа </w:t>
      </w:r>
      <w:r w:rsidR="0025782C" w:rsidRPr="00FB0A3A">
        <w:rPr>
          <w:lang w:val="ru-RU"/>
        </w:rPr>
        <w:t>ПАО «МРСК</w:t>
      </w:r>
      <w:r w:rsidRPr="00FB0A3A">
        <w:rPr>
          <w:lang w:val="ru-RU"/>
        </w:rPr>
        <w:t xml:space="preserve"> Сибири</w:t>
      </w:r>
      <w:r w:rsidR="00655FFA" w:rsidRPr="00FB0A3A">
        <w:rPr>
          <w:lang w:val="ru-RU"/>
        </w:rPr>
        <w:t>»</w:t>
      </w:r>
      <w:r w:rsidRPr="00FB0A3A">
        <w:rPr>
          <w:lang w:val="ru-RU"/>
        </w:rPr>
        <w:t xml:space="preserve"> во включении в состав необходимой валовой выручки расходов на содержание управляющей компании по причине отсутствия их экономического обоснования и документального подтверждения (а не по причине их признания экономически нецелесообразными), данные расходы могут быть включены в состав необходимой валовой выручки при должном их обосновании и подтверждении.</w:t>
      </w:r>
    </w:p>
    <w:tbl>
      <w:tblPr>
        <w:tblStyle w:val="afff6"/>
        <w:tblW w:w="5000" w:type="pct"/>
        <w:tblLook w:val="04A0" w:firstRow="1" w:lastRow="0" w:firstColumn="1" w:lastColumn="0" w:noHBand="0" w:noVBand="1"/>
      </w:tblPr>
      <w:tblGrid>
        <w:gridCol w:w="2444"/>
        <w:gridCol w:w="1241"/>
        <w:gridCol w:w="2055"/>
        <w:gridCol w:w="933"/>
        <w:gridCol w:w="1664"/>
        <w:gridCol w:w="1007"/>
      </w:tblGrid>
      <w:tr w:rsidR="00AA7CB9" w:rsidRPr="00FB0A3A" w14:paraId="1627BB9E" w14:textId="77777777" w:rsidTr="009071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17D3179A" w14:textId="77777777" w:rsidR="00FE12C5" w:rsidRPr="00FB0A3A" w:rsidRDefault="00FE12C5" w:rsidP="00AA7CB9">
            <w:pPr>
              <w:tabs>
                <w:tab w:val="left" w:pos="1134"/>
              </w:tabs>
              <w:jc w:val="center"/>
              <w:rPr>
                <w:rFonts w:eastAsia="Calibri" w:cs="Times New Roman"/>
                <w:szCs w:val="18"/>
              </w:rPr>
            </w:pPr>
            <w:r w:rsidRPr="00FB0A3A">
              <w:rPr>
                <w:rFonts w:eastAsia="Calibri" w:cs="Times New Roman"/>
                <w:szCs w:val="18"/>
              </w:rPr>
              <w:t> Наименование статьи</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183D1D07" w14:textId="505F56C6" w:rsidR="00FE12C5" w:rsidRPr="00FB0A3A" w:rsidRDefault="00AA7CB9" w:rsidP="00AA7CB9">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Факт за 2017,</w:t>
            </w:r>
            <w:r w:rsidRPr="00FB0A3A">
              <w:rPr>
                <w:rFonts w:eastAsia="Calibri" w:cs="Times New Roman"/>
                <w:szCs w:val="18"/>
              </w:rPr>
              <w:br/>
            </w:r>
            <w:r w:rsidR="00FE12C5" w:rsidRPr="00FB0A3A">
              <w:rPr>
                <w:rFonts w:eastAsia="Calibri" w:cs="Times New Roman"/>
                <w:szCs w:val="18"/>
              </w:rPr>
              <w:t>тыс. руб.</w:t>
            </w:r>
          </w:p>
        </w:tc>
        <w:tc>
          <w:tcPr>
            <w:tcW w:w="11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B8F6437" w14:textId="1B400396" w:rsidR="00FE12C5" w:rsidRPr="00FB0A3A" w:rsidRDefault="00FE12C5" w:rsidP="00AA7CB9">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 xml:space="preserve">Заявлено филиалом ПАО </w:t>
            </w:r>
            <w:r w:rsidR="00655FFA" w:rsidRPr="00FB0A3A">
              <w:rPr>
                <w:rFonts w:eastAsia="Calibri" w:cs="Times New Roman"/>
                <w:szCs w:val="18"/>
              </w:rPr>
              <w:t>«</w:t>
            </w:r>
            <w:r w:rsidR="00F619B6" w:rsidRPr="00FB0A3A">
              <w:rPr>
                <w:rFonts w:eastAsia="Calibri" w:cs="Times New Roman"/>
                <w:szCs w:val="18"/>
              </w:rPr>
              <w:t>МРСК Северо-Запада</w:t>
            </w:r>
            <w:r w:rsidR="00655FFA" w:rsidRPr="00FB0A3A">
              <w:rPr>
                <w:rFonts w:eastAsia="Calibri" w:cs="Times New Roman"/>
                <w:szCs w:val="18"/>
              </w:rPr>
              <w:t>»</w:t>
            </w:r>
            <w:r w:rsidR="00F619B6" w:rsidRPr="00FB0A3A">
              <w:rPr>
                <w:rFonts w:eastAsia="Calibri" w:cs="Times New Roman"/>
                <w:szCs w:val="18"/>
              </w:rPr>
              <w:t xml:space="preserve"> </w:t>
            </w:r>
            <w:r w:rsidR="00655FFA" w:rsidRPr="00FB0A3A">
              <w:rPr>
                <w:rFonts w:eastAsia="Calibri" w:cs="Times New Roman"/>
                <w:szCs w:val="18"/>
              </w:rPr>
              <w:t>«</w:t>
            </w:r>
            <w:r w:rsidRPr="00FB0A3A">
              <w:rPr>
                <w:rFonts w:eastAsia="Calibri" w:cs="Times New Roman"/>
                <w:szCs w:val="18"/>
              </w:rPr>
              <w:t>Колэнерго</w:t>
            </w:r>
            <w:r w:rsidR="00655FFA" w:rsidRPr="00FB0A3A">
              <w:rPr>
                <w:rFonts w:eastAsia="Calibri" w:cs="Times New Roman"/>
                <w:szCs w:val="18"/>
              </w:rPr>
              <w:t>»</w:t>
            </w:r>
            <w:r w:rsidRPr="00FB0A3A">
              <w:rPr>
                <w:rFonts w:eastAsia="Calibri" w:cs="Times New Roman"/>
                <w:szCs w:val="18"/>
              </w:rPr>
              <w:t xml:space="preserve"> на 2019, тыс. руб.</w:t>
            </w:r>
          </w:p>
        </w:tc>
        <w:tc>
          <w:tcPr>
            <w:tcW w:w="4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704878B" w14:textId="77777777" w:rsidR="00FE12C5" w:rsidRPr="00FB0A3A" w:rsidRDefault="00FE12C5" w:rsidP="00AA7CB9">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ТБР на 2019, тыс. руб.</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3D0B930" w14:textId="77777777" w:rsidR="00FE12C5" w:rsidRPr="00FB0A3A" w:rsidRDefault="00FE12C5" w:rsidP="00AA7CB9">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Отклонение ТБР на 2019/ заявка на 2019, %</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95D2A2C" w14:textId="77777777" w:rsidR="00FE12C5" w:rsidRPr="00FB0A3A" w:rsidRDefault="00FE12C5" w:rsidP="00AA7CB9">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ТБР на 2019 /факт за 2017, %</w:t>
            </w:r>
          </w:p>
        </w:tc>
      </w:tr>
      <w:tr w:rsidR="00AA7CB9" w:rsidRPr="00FB0A3A" w14:paraId="7FA7A713" w14:textId="77777777" w:rsidTr="00907125">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tcBorders>
            <w:hideMark/>
          </w:tcPr>
          <w:p w14:paraId="53D53F19" w14:textId="33C17AD7" w:rsidR="00B75877" w:rsidRPr="00FB0A3A" w:rsidRDefault="00B75877" w:rsidP="00AA7CB9">
            <w:pPr>
              <w:tabs>
                <w:tab w:val="left" w:pos="1134"/>
              </w:tabs>
              <w:rPr>
                <w:rFonts w:eastAsia="Calibri" w:cs="Times New Roman"/>
                <w:szCs w:val="18"/>
              </w:rPr>
            </w:pPr>
            <w:r w:rsidRPr="00FB0A3A">
              <w:rPr>
                <w:rFonts w:eastAsia="Calibri" w:cs="Times New Roman"/>
                <w:szCs w:val="18"/>
              </w:rPr>
              <w:t xml:space="preserve">Управленческие услуги ПАО </w:t>
            </w:r>
            <w:r w:rsidR="00655FFA" w:rsidRPr="00FB0A3A">
              <w:rPr>
                <w:rFonts w:eastAsia="Calibri" w:cs="Times New Roman"/>
                <w:szCs w:val="18"/>
              </w:rPr>
              <w:t>«</w:t>
            </w:r>
            <w:r w:rsidR="00597FD5" w:rsidRPr="00FB0A3A">
              <w:rPr>
                <w:rFonts w:eastAsia="Calibri" w:cs="Times New Roman"/>
                <w:szCs w:val="18"/>
              </w:rPr>
              <w:t>МРСК Северо-Запада</w:t>
            </w:r>
            <w:r w:rsidR="00655FFA" w:rsidRPr="00FB0A3A">
              <w:rPr>
                <w:rFonts w:eastAsia="Calibri" w:cs="Times New Roman"/>
                <w:szCs w:val="18"/>
              </w:rPr>
              <w:t>»</w:t>
            </w:r>
          </w:p>
        </w:tc>
        <w:tc>
          <w:tcPr>
            <w:tcW w:w="0" w:type="auto"/>
            <w:tcBorders>
              <w:top w:val="single" w:sz="4" w:space="0" w:color="FFFFFF" w:themeColor="background1"/>
            </w:tcBorders>
            <w:hideMark/>
          </w:tcPr>
          <w:p w14:paraId="36E27C26" w14:textId="77777777" w:rsidR="00B75877" w:rsidRPr="00FB0A3A" w:rsidRDefault="00B75877" w:rsidP="00AA7CB9">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207 224,10</w:t>
            </w:r>
          </w:p>
        </w:tc>
        <w:tc>
          <w:tcPr>
            <w:tcW w:w="1100" w:type="pct"/>
            <w:tcBorders>
              <w:top w:val="single" w:sz="4" w:space="0" w:color="FFFFFF" w:themeColor="background1"/>
            </w:tcBorders>
            <w:hideMark/>
          </w:tcPr>
          <w:p w14:paraId="29C17E05" w14:textId="77777777" w:rsidR="00B75877" w:rsidRPr="00FB0A3A" w:rsidRDefault="00B75877" w:rsidP="00AA7CB9">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223 487,03</w:t>
            </w:r>
          </w:p>
        </w:tc>
        <w:tc>
          <w:tcPr>
            <w:tcW w:w="499" w:type="pct"/>
            <w:tcBorders>
              <w:top w:val="single" w:sz="4" w:space="0" w:color="FFFFFF" w:themeColor="background1"/>
            </w:tcBorders>
            <w:hideMark/>
          </w:tcPr>
          <w:p w14:paraId="7F0C52D7" w14:textId="77777777" w:rsidR="00B75877" w:rsidRPr="00FB0A3A" w:rsidRDefault="00B75877" w:rsidP="00AA7CB9">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28 338,44</w:t>
            </w:r>
          </w:p>
        </w:tc>
        <w:tc>
          <w:tcPr>
            <w:tcW w:w="0" w:type="auto"/>
            <w:tcBorders>
              <w:top w:val="single" w:sz="4" w:space="0" w:color="FFFFFF" w:themeColor="background1"/>
            </w:tcBorders>
            <w:hideMark/>
          </w:tcPr>
          <w:p w14:paraId="16D2F7D2" w14:textId="77777777" w:rsidR="00B75877" w:rsidRPr="00FB0A3A" w:rsidRDefault="00B75877" w:rsidP="00AA7CB9">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-87,3</w:t>
            </w:r>
          </w:p>
        </w:tc>
        <w:tc>
          <w:tcPr>
            <w:tcW w:w="0" w:type="auto"/>
            <w:tcBorders>
              <w:top w:val="single" w:sz="4" w:space="0" w:color="FFFFFF" w:themeColor="background1"/>
            </w:tcBorders>
            <w:hideMark/>
          </w:tcPr>
          <w:p w14:paraId="3679F48D" w14:textId="77777777" w:rsidR="00B75877" w:rsidRPr="00FB0A3A" w:rsidRDefault="00B75877" w:rsidP="00AA7CB9">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-86,32</w:t>
            </w:r>
          </w:p>
        </w:tc>
      </w:tr>
    </w:tbl>
    <w:p w14:paraId="0566BB39" w14:textId="77777777" w:rsidR="00297DA6" w:rsidRDefault="00297DA6" w:rsidP="00AA7CB9">
      <w:pPr>
        <w:tabs>
          <w:tab w:val="left" w:pos="1134"/>
        </w:tabs>
        <w:spacing w:after="0" w:line="360" w:lineRule="auto"/>
        <w:contextualSpacing/>
        <w:jc w:val="both"/>
        <w:rPr>
          <w:rFonts w:ascii="Myriad Pro" w:eastAsia="Calibri" w:hAnsi="Myriad Pro" w:cs="Times New Roman"/>
          <w:b/>
          <w:sz w:val="26"/>
          <w:szCs w:val="26"/>
        </w:rPr>
      </w:pPr>
    </w:p>
    <w:p w14:paraId="7CC869E3" w14:textId="4DE5D69A" w:rsidR="00BF3B08" w:rsidRPr="00C04ABD" w:rsidRDefault="00BF3B08" w:rsidP="00AA7CB9">
      <w:pPr>
        <w:tabs>
          <w:tab w:val="left" w:pos="1134"/>
        </w:tabs>
        <w:spacing w:after="0" w:line="360" w:lineRule="auto"/>
        <w:contextualSpacing/>
        <w:jc w:val="both"/>
        <w:rPr>
          <w:rFonts w:ascii="Myriad Pro" w:eastAsia="Calibri" w:hAnsi="Myriad Pro" w:cs="Times New Roman"/>
          <w:b/>
          <w:sz w:val="26"/>
          <w:szCs w:val="26"/>
        </w:rPr>
      </w:pPr>
      <w:r w:rsidRPr="00C04ABD">
        <w:rPr>
          <w:rFonts w:ascii="Myriad Pro" w:eastAsia="Calibri" w:hAnsi="Myriad Pro" w:cs="Times New Roman"/>
          <w:b/>
          <w:sz w:val="26"/>
          <w:szCs w:val="26"/>
        </w:rPr>
        <w:t>ПОЗИЦИЯ ТЕРРИТОРИАЛЬНОЙ СЕТЕВОЙ ОРГАНИЗАЦИИ</w:t>
      </w:r>
    </w:p>
    <w:p w14:paraId="2F932313" w14:textId="2AB4FE54" w:rsidR="00BF3B08" w:rsidRPr="00C04ABD" w:rsidRDefault="00BF3B08"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 xml:space="preserve">Расходы на </w:t>
      </w:r>
      <w:r w:rsidR="00FE12C5" w:rsidRPr="00C04ABD">
        <w:rPr>
          <w:rFonts w:ascii="Myriad Pro" w:eastAsia="Calibri" w:hAnsi="Myriad Pro" w:cs="Times New Roman"/>
          <w:sz w:val="26"/>
          <w:szCs w:val="26"/>
        </w:rPr>
        <w:t>содержание управляющей компании</w:t>
      </w:r>
      <w:r w:rsidRPr="00C04ABD">
        <w:rPr>
          <w:rFonts w:ascii="Myriad Pro" w:eastAsia="Calibri" w:hAnsi="Myriad Pro" w:cs="Times New Roman"/>
          <w:sz w:val="26"/>
          <w:szCs w:val="26"/>
        </w:rPr>
        <w:t xml:space="preserve"> определены филиалом </w:t>
      </w:r>
      <w:r w:rsidR="00655FFA" w:rsidRPr="00C04ABD">
        <w:rPr>
          <w:rFonts w:ascii="Myriad Pro" w:eastAsia="Calibri" w:hAnsi="Myriad Pro" w:cs="Times New Roman"/>
          <w:sz w:val="26"/>
          <w:szCs w:val="26"/>
        </w:rPr>
        <w:t>ПАО</w:t>
      </w:r>
      <w:r w:rsidR="009808E8" w:rsidRPr="00C04ABD">
        <w:rPr>
          <w:rFonts w:ascii="Myriad Pro" w:eastAsia="Calibri" w:hAnsi="Myriad Pro" w:cs="Times New Roman"/>
          <w:sz w:val="26"/>
          <w:szCs w:val="26"/>
        </w:rPr>
        <w:t> </w:t>
      </w:r>
      <w:r w:rsidR="00655FFA" w:rsidRPr="00C04ABD">
        <w:rPr>
          <w:rFonts w:ascii="Myriad Pro" w:eastAsia="Calibri" w:hAnsi="Myriad Pro" w:cs="Times New Roman"/>
          <w:sz w:val="26"/>
          <w:szCs w:val="26"/>
        </w:rPr>
        <w:t xml:space="preserve">«МРСК </w:t>
      </w:r>
      <w:r w:rsidR="00350B0A" w:rsidRPr="00C04ABD">
        <w:rPr>
          <w:rFonts w:ascii="Myriad Pro" w:eastAsia="Calibri" w:hAnsi="Myriad Pro" w:cs="Times New Roman"/>
          <w:sz w:val="26"/>
          <w:szCs w:val="26"/>
        </w:rPr>
        <w:t>Северо-Запада</w:t>
      </w:r>
      <w:r w:rsidR="00655FFA" w:rsidRPr="00C04ABD">
        <w:rPr>
          <w:rFonts w:ascii="Myriad Pro" w:eastAsia="Calibri" w:hAnsi="Myriad Pro" w:cs="Times New Roman"/>
          <w:sz w:val="26"/>
          <w:szCs w:val="26"/>
        </w:rPr>
        <w:t>»</w:t>
      </w:r>
      <w:r w:rsidR="00350B0A" w:rsidRPr="00C04ABD">
        <w:rPr>
          <w:rFonts w:ascii="Myriad Pro" w:eastAsia="Calibri" w:hAnsi="Myriad Pro" w:cs="Times New Roman"/>
          <w:sz w:val="26"/>
          <w:szCs w:val="26"/>
        </w:rPr>
        <w:t xml:space="preserve"> </w:t>
      </w:r>
      <w:r w:rsidR="00655FFA" w:rsidRPr="00C04ABD">
        <w:rPr>
          <w:rFonts w:ascii="Myriad Pro" w:eastAsia="Calibri" w:hAnsi="Myriad Pro" w:cs="Times New Roman"/>
          <w:sz w:val="26"/>
          <w:szCs w:val="26"/>
        </w:rPr>
        <w:t>«</w:t>
      </w:r>
      <w:r w:rsidR="00350B0A" w:rsidRPr="00C04ABD">
        <w:rPr>
          <w:rFonts w:ascii="Myriad Pro" w:eastAsia="Calibri" w:hAnsi="Myriad Pro" w:cs="Times New Roman"/>
          <w:sz w:val="26"/>
          <w:szCs w:val="26"/>
        </w:rPr>
        <w:t>Колэнерго</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 xml:space="preserve"> в необходимой валовой выручке на 2019 год и предъявлены в составе заявления от 28.04.2018 №МР2/4/02/3129 об установлении тарифов на услуги по передаче электрической энергии в размере </w:t>
      </w:r>
      <w:r w:rsidR="00FE12C5" w:rsidRPr="00C04ABD">
        <w:rPr>
          <w:rFonts w:ascii="Myriad Pro" w:eastAsia="Calibri" w:hAnsi="Myriad Pro" w:cs="Times New Roman"/>
          <w:sz w:val="26"/>
          <w:szCs w:val="26"/>
        </w:rPr>
        <w:t>223 487,03</w:t>
      </w:r>
      <w:r w:rsidRPr="00C04ABD">
        <w:rPr>
          <w:rFonts w:ascii="Myriad Pro" w:eastAsia="Calibri" w:hAnsi="Myriad Pro" w:cs="Times New Roman"/>
          <w:sz w:val="26"/>
          <w:szCs w:val="26"/>
        </w:rPr>
        <w:t xml:space="preserve"> тыс. руб.</w:t>
      </w:r>
    </w:p>
    <w:p w14:paraId="526DC5D2" w14:textId="0B75AD4E" w:rsidR="00740269" w:rsidRPr="00C04ABD" w:rsidRDefault="00740269"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 xml:space="preserve">Затраты на управленческие расходы на 2019 год </w:t>
      </w:r>
      <w:r w:rsidR="00E663D3">
        <w:rPr>
          <w:rFonts w:ascii="Myriad Pro" w:eastAsia="Calibri" w:hAnsi="Myriad Pro" w:cs="Times New Roman"/>
          <w:sz w:val="26"/>
          <w:szCs w:val="26"/>
        </w:rPr>
        <w:t>в размере</w:t>
      </w:r>
      <w:r w:rsidRPr="00C04ABD">
        <w:rPr>
          <w:rFonts w:ascii="Myriad Pro" w:eastAsia="Calibri" w:hAnsi="Myriad Pro" w:cs="Times New Roman"/>
          <w:sz w:val="26"/>
          <w:szCs w:val="26"/>
        </w:rPr>
        <w:t xml:space="preserve"> 223 487,0 тыс. руб. были определены, исходя из суммы аналогичных фактических расходов за 2017 год - 207 224,1</w:t>
      </w:r>
      <w:r w:rsidR="0032497E" w:rsidRPr="00C04ABD">
        <w:rPr>
          <w:rFonts w:ascii="Myriad Pro" w:eastAsia="Calibri" w:hAnsi="Myriad Pro" w:cs="Times New Roman"/>
          <w:sz w:val="26"/>
          <w:szCs w:val="26"/>
        </w:rPr>
        <w:t xml:space="preserve"> тыс. руб</w:t>
      </w:r>
      <w:r w:rsidRPr="00C04ABD">
        <w:rPr>
          <w:rFonts w:ascii="Myriad Pro" w:eastAsia="Calibri" w:hAnsi="Myriad Pro" w:cs="Times New Roman"/>
          <w:sz w:val="26"/>
          <w:szCs w:val="26"/>
        </w:rPr>
        <w:t>. Расходы на 2018-2019 гг. по данной статье спрогнозированы на уровне ИПЦ по прогнозу Минэкономразвития к фактическим расходам 2017 года.</w:t>
      </w:r>
    </w:p>
    <w:p w14:paraId="584AFD47" w14:textId="6323B808" w:rsidR="00740269" w:rsidRPr="00C04ABD" w:rsidRDefault="00740269"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lastRenderedPageBreak/>
        <w:t xml:space="preserve">Затраты Исполнительного аппарата ПАО </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МРСК Северо-Запада</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 xml:space="preserve"> (далее – ИА), включая расходы на оплату услуг ПАО </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Россети</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 xml:space="preserve">, распределяются на основании </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 xml:space="preserve">Методики распределения доходов и расходов исполнительного аппарата </w:t>
      </w:r>
      <w:r w:rsidR="00655FFA" w:rsidRPr="00C04ABD">
        <w:rPr>
          <w:rFonts w:ascii="Myriad Pro" w:eastAsia="Calibri" w:hAnsi="Myriad Pro" w:cs="Times New Roman"/>
          <w:sz w:val="26"/>
          <w:szCs w:val="26"/>
        </w:rPr>
        <w:t>ПАО</w:t>
      </w:r>
      <w:r w:rsidR="009808E8" w:rsidRPr="00C04ABD">
        <w:rPr>
          <w:rFonts w:ascii="Myriad Pro" w:eastAsia="Calibri" w:hAnsi="Myriad Pro" w:cs="Times New Roman"/>
          <w:sz w:val="26"/>
          <w:szCs w:val="26"/>
        </w:rPr>
        <w:t> </w:t>
      </w:r>
      <w:r w:rsidR="00655FFA" w:rsidRPr="00C04ABD">
        <w:rPr>
          <w:rFonts w:ascii="Myriad Pro" w:eastAsia="Calibri" w:hAnsi="Myriad Pro" w:cs="Times New Roman"/>
          <w:sz w:val="26"/>
          <w:szCs w:val="26"/>
        </w:rPr>
        <w:t xml:space="preserve">«МРСК </w:t>
      </w:r>
      <w:r w:rsidRPr="00C04ABD">
        <w:rPr>
          <w:rFonts w:ascii="Myriad Pro" w:eastAsia="Calibri" w:hAnsi="Myriad Pro" w:cs="Times New Roman"/>
          <w:sz w:val="26"/>
          <w:szCs w:val="26"/>
        </w:rPr>
        <w:t>Северо-Запада</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 xml:space="preserve"> (далее – Методика распределения управленческих затрат ИА), утвержденной Приказом Общества от 28.02.2016 № 836. </w:t>
      </w:r>
    </w:p>
    <w:p w14:paraId="4FE36D86" w14:textId="060142BB" w:rsidR="00740269" w:rsidRPr="00C04ABD" w:rsidRDefault="00740269"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 xml:space="preserve">Методика распределения управленческих затрат ИА разработана в соответствии с законодательством Российской Федерации и нормативными правовыми актами, регулирующими отношения в сфере бухгалтерского учета и регламентирующими распределение доходов и расходов </w:t>
      </w:r>
      <w:r w:rsidR="00994DAE" w:rsidRPr="00C04ABD">
        <w:rPr>
          <w:rFonts w:ascii="Myriad Pro" w:hAnsi="Myriad Pro"/>
          <w:sz w:val="26"/>
          <w:szCs w:val="26"/>
        </w:rPr>
        <w:t>Исполнительного аппарата</w:t>
      </w:r>
      <w:r w:rsidRPr="00C04ABD">
        <w:rPr>
          <w:rFonts w:ascii="Myriad Pro" w:eastAsia="Calibri" w:hAnsi="Myriad Pro" w:cs="Times New Roman"/>
          <w:sz w:val="26"/>
          <w:szCs w:val="26"/>
        </w:rPr>
        <w:t xml:space="preserve"> ПАО </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МРСК Северо-Запада</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 xml:space="preserve"> между филиалами в целях формирования тарифов на услуги по регулируемым видам деятельности, а также в целях формирования управленческой отчетности.</w:t>
      </w:r>
    </w:p>
    <w:p w14:paraId="62ED9AA0" w14:textId="5A3A890E" w:rsidR="00740269" w:rsidRPr="00C04ABD" w:rsidRDefault="00740269"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 xml:space="preserve">Доходы и расходы </w:t>
      </w:r>
      <w:r w:rsidR="00994DAE" w:rsidRPr="00C04ABD">
        <w:rPr>
          <w:rFonts w:ascii="Myriad Pro" w:hAnsi="Myriad Pro"/>
          <w:sz w:val="26"/>
          <w:szCs w:val="26"/>
        </w:rPr>
        <w:t>Исполнительного аппарата</w:t>
      </w:r>
      <w:r w:rsidRPr="00C04ABD">
        <w:rPr>
          <w:rFonts w:ascii="Myriad Pro" w:eastAsia="Calibri" w:hAnsi="Myriad Pro" w:cs="Times New Roman"/>
          <w:sz w:val="26"/>
          <w:szCs w:val="26"/>
        </w:rPr>
        <w:t xml:space="preserve"> Общества (плановые и фактические значения) распределяются между филиалами пропорционально утвержденной региональными регулирующими органами на текущий год себестоимости услуг по передаче электрической энергии за вычетом покупной электроэнергии на компенсацию потерь, а также расходов на оплату услуг территориальных сетевых организаций.</w:t>
      </w:r>
    </w:p>
    <w:p w14:paraId="5051CA02" w14:textId="5C8A1EA6" w:rsidR="00740269" w:rsidRPr="00C04ABD" w:rsidRDefault="00740269"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 xml:space="preserve">Сумма затрат </w:t>
      </w:r>
      <w:r w:rsidR="00994DAE" w:rsidRPr="00C04ABD">
        <w:rPr>
          <w:rFonts w:ascii="Myriad Pro" w:hAnsi="Myriad Pro"/>
          <w:sz w:val="26"/>
          <w:szCs w:val="26"/>
        </w:rPr>
        <w:t>Исполнительного аппарата</w:t>
      </w:r>
      <w:r w:rsidRPr="00C04ABD">
        <w:rPr>
          <w:rFonts w:ascii="Myriad Pro" w:eastAsia="Calibri" w:hAnsi="Myriad Pro" w:cs="Times New Roman"/>
          <w:sz w:val="26"/>
          <w:szCs w:val="26"/>
        </w:rPr>
        <w:t xml:space="preserve"> за 2017 год составила по Филиалу 207 224,1 тыс. руб. в соответствии с Методикой распределения управленческих затрат </w:t>
      </w:r>
      <w:r w:rsidR="00994DAE" w:rsidRPr="00C04ABD">
        <w:rPr>
          <w:rFonts w:ascii="Myriad Pro" w:hAnsi="Myriad Pro"/>
          <w:sz w:val="26"/>
          <w:szCs w:val="26"/>
        </w:rPr>
        <w:t>Исполнительного аппарата</w:t>
      </w:r>
      <w:r w:rsidRPr="00C04ABD">
        <w:rPr>
          <w:rFonts w:ascii="Myriad Pro" w:eastAsia="Calibri" w:hAnsi="Myriad Pro" w:cs="Times New Roman"/>
          <w:sz w:val="26"/>
          <w:szCs w:val="26"/>
        </w:rPr>
        <w:t xml:space="preserve">. Расшифровка затрат за 2017 год представлена </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 xml:space="preserve">Оборотно-сальдовой ведомостью по счету 26 </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Общехозяйственные расходы</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 управленческой отчетностью с разбивкой по статьям затрат, подтверждающими обоснованность произведенных расходов.</w:t>
      </w:r>
    </w:p>
    <w:p w14:paraId="6CBF9F6B" w14:textId="5DD0A698" w:rsidR="00740269" w:rsidRPr="00C04ABD" w:rsidRDefault="00740269"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 xml:space="preserve">Затраты </w:t>
      </w:r>
      <w:r w:rsidR="00994DAE" w:rsidRPr="00C04ABD">
        <w:rPr>
          <w:rFonts w:ascii="Myriad Pro" w:hAnsi="Myriad Pro"/>
          <w:sz w:val="26"/>
          <w:szCs w:val="26"/>
        </w:rPr>
        <w:t>Исполнительного аппарата</w:t>
      </w:r>
      <w:r w:rsidRPr="00C04ABD">
        <w:rPr>
          <w:rFonts w:ascii="Myriad Pro" w:eastAsia="Calibri" w:hAnsi="Myriad Pro" w:cs="Times New Roman"/>
          <w:sz w:val="26"/>
          <w:szCs w:val="26"/>
        </w:rPr>
        <w:t>, подлежащие включению в необходимую валовую выручку определены в соответствии с пп.16-29 Основ ценообразования.</w:t>
      </w:r>
    </w:p>
    <w:p w14:paraId="0E53ACE8" w14:textId="4276DF9C" w:rsidR="00740269" w:rsidRPr="00C04ABD" w:rsidRDefault="00740269"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 xml:space="preserve">В обоснование вышеприведенных расходов представлены расчеты по отдельным элементам и копии договоров в сканированном образе согласно </w:t>
      </w:r>
      <w:r w:rsidR="000C264C" w:rsidRPr="00C04ABD">
        <w:rPr>
          <w:rFonts w:ascii="Myriad Pro" w:eastAsia="Calibri" w:hAnsi="Myriad Pro" w:cs="Times New Roman"/>
          <w:sz w:val="26"/>
          <w:szCs w:val="26"/>
        </w:rPr>
        <w:t>реестрам договоров,</w:t>
      </w:r>
      <w:r w:rsidRPr="00C04ABD">
        <w:rPr>
          <w:rFonts w:ascii="Myriad Pro" w:eastAsia="Calibri" w:hAnsi="Myriad Pro" w:cs="Times New Roman"/>
          <w:sz w:val="26"/>
          <w:szCs w:val="26"/>
        </w:rPr>
        <w:t xml:space="preserve"> за 2017 -2018 гг. Копии договоров направляются на электронном носителе.</w:t>
      </w:r>
    </w:p>
    <w:p w14:paraId="3AB56240" w14:textId="1DAF38AF" w:rsidR="00BF3B08" w:rsidRPr="00C04ABD" w:rsidRDefault="00BF3B08"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lastRenderedPageBreak/>
        <w:t xml:space="preserve">Для обоснования заявленной суммы расходов на </w:t>
      </w:r>
      <w:r w:rsidR="00FE12C5" w:rsidRPr="00C04ABD">
        <w:rPr>
          <w:rFonts w:ascii="Myriad Pro" w:eastAsia="Calibri" w:hAnsi="Myriad Pro" w:cs="Times New Roman"/>
          <w:sz w:val="26"/>
          <w:szCs w:val="26"/>
        </w:rPr>
        <w:t>содержание управляющей компании</w:t>
      </w:r>
      <w:r w:rsidRPr="00C04ABD">
        <w:rPr>
          <w:rFonts w:ascii="Myriad Pro" w:eastAsia="Calibri" w:hAnsi="Myriad Pro" w:cs="Times New Roman"/>
          <w:sz w:val="26"/>
          <w:szCs w:val="26"/>
        </w:rPr>
        <w:t xml:space="preserve"> филиалом </w:t>
      </w:r>
      <w:r w:rsidR="00350B0A" w:rsidRPr="00C04ABD">
        <w:rPr>
          <w:rFonts w:ascii="Myriad Pro" w:eastAsia="Calibri" w:hAnsi="Myriad Pro" w:cs="Times New Roman"/>
          <w:sz w:val="26"/>
          <w:szCs w:val="26"/>
        </w:rPr>
        <w:t xml:space="preserve">ПАО </w:t>
      </w:r>
      <w:r w:rsidR="00655FFA" w:rsidRPr="00C04ABD">
        <w:rPr>
          <w:rFonts w:ascii="Myriad Pro" w:eastAsia="Calibri" w:hAnsi="Myriad Pro" w:cs="Times New Roman"/>
          <w:sz w:val="26"/>
          <w:szCs w:val="26"/>
        </w:rPr>
        <w:t>«</w:t>
      </w:r>
      <w:r w:rsidR="00350B0A" w:rsidRPr="00C04ABD">
        <w:rPr>
          <w:rFonts w:ascii="Myriad Pro" w:eastAsia="Calibri" w:hAnsi="Myriad Pro" w:cs="Times New Roman"/>
          <w:sz w:val="26"/>
          <w:szCs w:val="26"/>
        </w:rPr>
        <w:t>МРСК Северо-Запада</w:t>
      </w:r>
      <w:r w:rsidR="00655FFA" w:rsidRPr="00C04ABD">
        <w:rPr>
          <w:rFonts w:ascii="Myriad Pro" w:eastAsia="Calibri" w:hAnsi="Myriad Pro" w:cs="Times New Roman"/>
          <w:sz w:val="26"/>
          <w:szCs w:val="26"/>
        </w:rPr>
        <w:t>»</w:t>
      </w:r>
      <w:r w:rsidR="00350B0A" w:rsidRPr="00C04ABD">
        <w:rPr>
          <w:rFonts w:ascii="Myriad Pro" w:eastAsia="Calibri" w:hAnsi="Myriad Pro" w:cs="Times New Roman"/>
          <w:sz w:val="26"/>
          <w:szCs w:val="26"/>
        </w:rPr>
        <w:t xml:space="preserve"> </w:t>
      </w:r>
      <w:r w:rsidR="00655FFA" w:rsidRPr="00C04ABD">
        <w:rPr>
          <w:rFonts w:ascii="Myriad Pro" w:eastAsia="Calibri" w:hAnsi="Myriad Pro" w:cs="Times New Roman"/>
          <w:sz w:val="26"/>
          <w:szCs w:val="26"/>
        </w:rPr>
        <w:t>«</w:t>
      </w:r>
      <w:r w:rsidR="00350B0A" w:rsidRPr="00C04ABD">
        <w:rPr>
          <w:rFonts w:ascii="Myriad Pro" w:eastAsia="Calibri" w:hAnsi="Myriad Pro" w:cs="Times New Roman"/>
          <w:sz w:val="26"/>
          <w:szCs w:val="26"/>
        </w:rPr>
        <w:t>Колэнерго</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 xml:space="preserve"> были представлены следующие документы:</w:t>
      </w:r>
    </w:p>
    <w:p w14:paraId="5B86FCA0" w14:textId="5078E6FC" w:rsidR="00BF3B08" w:rsidRPr="00C04ABD" w:rsidRDefault="00BF3B08" w:rsidP="009B0BC1">
      <w:pPr>
        <w:pStyle w:val="a4"/>
        <w:numPr>
          <w:ilvl w:val="0"/>
          <w:numId w:val="6"/>
        </w:numPr>
        <w:tabs>
          <w:tab w:val="left" w:pos="1134"/>
        </w:tabs>
        <w:spacing w:after="0" w:line="360" w:lineRule="auto"/>
        <w:ind w:left="0" w:firstLine="567"/>
        <w:jc w:val="both"/>
        <w:rPr>
          <w:rFonts w:ascii="Myriad Pro" w:hAnsi="Myriad Pro"/>
          <w:b/>
          <w:sz w:val="26"/>
          <w:szCs w:val="26"/>
        </w:rPr>
      </w:pPr>
      <w:r w:rsidRPr="00C04ABD">
        <w:rPr>
          <w:rFonts w:ascii="Myriad Pro" w:hAnsi="Myriad Pro"/>
          <w:sz w:val="26"/>
          <w:szCs w:val="26"/>
        </w:rPr>
        <w:t xml:space="preserve">Расчет </w:t>
      </w:r>
      <w:r w:rsidR="00F6258A" w:rsidRPr="00C04ABD">
        <w:rPr>
          <w:rFonts w:ascii="Myriad Pro" w:hAnsi="Myriad Pro"/>
          <w:sz w:val="26"/>
          <w:szCs w:val="26"/>
        </w:rPr>
        <w:t>плановых расходов на 219 год;</w:t>
      </w:r>
    </w:p>
    <w:p w14:paraId="42B04DD9" w14:textId="0533EAF0" w:rsidR="00FE12C5" w:rsidRPr="00C04ABD" w:rsidRDefault="00FE12C5"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 xml:space="preserve">Управленческие расходы за 2017 год Исполнительного аппарата </w:t>
      </w:r>
      <w:r w:rsidR="00655FFA" w:rsidRPr="00C04ABD">
        <w:rPr>
          <w:rFonts w:ascii="Myriad Pro" w:hAnsi="Myriad Pro"/>
          <w:sz w:val="26"/>
          <w:szCs w:val="26"/>
        </w:rPr>
        <w:t>ПАО</w:t>
      </w:r>
      <w:r w:rsidR="009808E8" w:rsidRPr="00C04ABD">
        <w:rPr>
          <w:rFonts w:ascii="Myriad Pro" w:hAnsi="Myriad Pro"/>
          <w:sz w:val="26"/>
          <w:szCs w:val="26"/>
        </w:rPr>
        <w:t> </w:t>
      </w:r>
      <w:r w:rsidR="00655FFA" w:rsidRPr="00C04ABD">
        <w:rPr>
          <w:rFonts w:ascii="Myriad Pro" w:hAnsi="Myriad Pro"/>
          <w:sz w:val="26"/>
          <w:szCs w:val="26"/>
        </w:rPr>
        <w:t xml:space="preserve">«МРСК </w:t>
      </w:r>
      <w:r w:rsidR="00597FD5" w:rsidRPr="00C04ABD">
        <w:rPr>
          <w:rFonts w:ascii="Myriad Pro" w:hAnsi="Myriad Pro"/>
          <w:sz w:val="26"/>
          <w:szCs w:val="26"/>
        </w:rPr>
        <w:t>Северо-Запада</w:t>
      </w:r>
      <w:r w:rsidR="00655FFA" w:rsidRPr="00C04ABD">
        <w:rPr>
          <w:rFonts w:ascii="Myriad Pro" w:hAnsi="Myriad Pro"/>
          <w:sz w:val="26"/>
          <w:szCs w:val="26"/>
        </w:rPr>
        <w:t>»</w:t>
      </w:r>
      <w:r w:rsidRPr="00C04ABD">
        <w:rPr>
          <w:rFonts w:ascii="Myriad Pro" w:hAnsi="Myriad Pro"/>
          <w:sz w:val="26"/>
          <w:szCs w:val="26"/>
        </w:rPr>
        <w:t>.</w:t>
      </w:r>
    </w:p>
    <w:p w14:paraId="00A743E5" w14:textId="363E344A" w:rsidR="00FE12C5" w:rsidRPr="00C04ABD" w:rsidRDefault="00FE12C5"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 xml:space="preserve">Фактические расходы Исполнительного аппарата ПАО </w:t>
      </w:r>
      <w:r w:rsidR="00655FFA" w:rsidRPr="00C04ABD">
        <w:rPr>
          <w:rFonts w:ascii="Myriad Pro" w:hAnsi="Myriad Pro"/>
          <w:sz w:val="26"/>
          <w:szCs w:val="26"/>
        </w:rPr>
        <w:t>«</w:t>
      </w:r>
      <w:r w:rsidRPr="00C04ABD">
        <w:rPr>
          <w:rFonts w:ascii="Myriad Pro" w:hAnsi="Myriad Pro"/>
          <w:sz w:val="26"/>
          <w:szCs w:val="26"/>
        </w:rPr>
        <w:t>МРСК Северо-Запада</w:t>
      </w:r>
      <w:r w:rsidR="00655FFA" w:rsidRPr="00C04ABD">
        <w:rPr>
          <w:rFonts w:ascii="Myriad Pro" w:hAnsi="Myriad Pro"/>
          <w:sz w:val="26"/>
          <w:szCs w:val="26"/>
        </w:rPr>
        <w:t>»</w:t>
      </w:r>
      <w:r w:rsidRPr="00C04ABD">
        <w:rPr>
          <w:rFonts w:ascii="Myriad Pro" w:hAnsi="Myriad Pro"/>
          <w:sz w:val="26"/>
          <w:szCs w:val="26"/>
        </w:rPr>
        <w:t xml:space="preserve"> по видам деятельности за 2017 год, распределенные на филиал </w:t>
      </w:r>
      <w:r w:rsidR="00B376BC" w:rsidRPr="00C04ABD">
        <w:rPr>
          <w:rFonts w:ascii="Myriad Pro" w:hAnsi="Myriad Pro"/>
          <w:sz w:val="26"/>
          <w:szCs w:val="26"/>
        </w:rPr>
        <w:t>ПАО</w:t>
      </w:r>
      <w:r w:rsidR="009808E8" w:rsidRPr="00C04ABD">
        <w:rPr>
          <w:rFonts w:ascii="Myriad Pro" w:hAnsi="Myriad Pro"/>
          <w:sz w:val="26"/>
          <w:szCs w:val="26"/>
        </w:rPr>
        <w:t> </w:t>
      </w:r>
      <w:r w:rsidR="00655FFA" w:rsidRPr="00C04ABD">
        <w:rPr>
          <w:rFonts w:ascii="Myriad Pro" w:hAnsi="Myriad Pro"/>
          <w:sz w:val="26"/>
          <w:szCs w:val="26"/>
        </w:rPr>
        <w:t>«</w:t>
      </w:r>
      <w:r w:rsidR="00B376BC" w:rsidRPr="00C04ABD">
        <w:rPr>
          <w:rFonts w:ascii="Myriad Pro" w:hAnsi="Myriad Pro"/>
          <w:sz w:val="26"/>
          <w:szCs w:val="26"/>
        </w:rPr>
        <w:t>МРСК Северо-Запада</w:t>
      </w:r>
      <w:r w:rsidR="00655FFA" w:rsidRPr="00C04ABD">
        <w:rPr>
          <w:rFonts w:ascii="Myriad Pro" w:hAnsi="Myriad Pro"/>
          <w:sz w:val="26"/>
          <w:szCs w:val="26"/>
        </w:rPr>
        <w:t>»</w:t>
      </w:r>
      <w:r w:rsidR="00B376BC" w:rsidRPr="00C04ABD">
        <w:rPr>
          <w:rFonts w:ascii="Myriad Pro" w:hAnsi="Myriad Pro"/>
          <w:sz w:val="26"/>
          <w:szCs w:val="26"/>
        </w:rPr>
        <w:t xml:space="preserve"> </w:t>
      </w:r>
      <w:r w:rsidR="00655FFA" w:rsidRPr="00C04ABD">
        <w:rPr>
          <w:rFonts w:ascii="Myriad Pro" w:hAnsi="Myriad Pro"/>
          <w:sz w:val="26"/>
          <w:szCs w:val="26"/>
        </w:rPr>
        <w:t>«</w:t>
      </w:r>
      <w:r w:rsidRPr="00C04ABD">
        <w:rPr>
          <w:rFonts w:ascii="Myriad Pro" w:hAnsi="Myriad Pro"/>
          <w:sz w:val="26"/>
          <w:szCs w:val="26"/>
        </w:rPr>
        <w:t>Колэнерго</w:t>
      </w:r>
      <w:r w:rsidR="00655FFA" w:rsidRPr="00C04ABD">
        <w:rPr>
          <w:rFonts w:ascii="Myriad Pro" w:hAnsi="Myriad Pro"/>
          <w:sz w:val="26"/>
          <w:szCs w:val="26"/>
        </w:rPr>
        <w:t>»</w:t>
      </w:r>
      <w:r w:rsidRPr="00C04ABD">
        <w:rPr>
          <w:rFonts w:ascii="Myriad Pro" w:hAnsi="Myriad Pro"/>
          <w:sz w:val="26"/>
          <w:szCs w:val="26"/>
        </w:rPr>
        <w:t>;</w:t>
      </w:r>
    </w:p>
    <w:p w14:paraId="2BE4554D" w14:textId="50524A4F" w:rsidR="00FE12C5" w:rsidRPr="00C04ABD" w:rsidRDefault="00FE12C5"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 xml:space="preserve">Методика распределения доходов и расходов исполнительного аппарата ПАО </w:t>
      </w:r>
      <w:r w:rsidR="00655FFA" w:rsidRPr="00C04ABD">
        <w:rPr>
          <w:rFonts w:ascii="Myriad Pro" w:hAnsi="Myriad Pro"/>
          <w:sz w:val="26"/>
          <w:szCs w:val="26"/>
        </w:rPr>
        <w:t>«</w:t>
      </w:r>
      <w:r w:rsidR="00597FD5" w:rsidRPr="00C04ABD">
        <w:rPr>
          <w:rFonts w:ascii="Myriad Pro" w:hAnsi="Myriad Pro"/>
          <w:sz w:val="26"/>
          <w:szCs w:val="26"/>
        </w:rPr>
        <w:t>МРСК Северо-Запада</w:t>
      </w:r>
      <w:r w:rsidR="00655FFA" w:rsidRPr="00C04ABD">
        <w:rPr>
          <w:rFonts w:ascii="Myriad Pro" w:hAnsi="Myriad Pro"/>
          <w:sz w:val="26"/>
          <w:szCs w:val="26"/>
        </w:rPr>
        <w:t>»</w:t>
      </w:r>
      <w:r w:rsidR="00F6258A" w:rsidRPr="00C04ABD">
        <w:rPr>
          <w:rFonts w:ascii="Myriad Pro" w:hAnsi="Myriad Pro"/>
          <w:sz w:val="26"/>
          <w:szCs w:val="26"/>
        </w:rPr>
        <w:t xml:space="preserve">. </w:t>
      </w:r>
      <w:r w:rsidRPr="00C04ABD">
        <w:rPr>
          <w:rFonts w:ascii="Myriad Pro" w:hAnsi="Myriad Pro"/>
          <w:sz w:val="26"/>
          <w:szCs w:val="26"/>
        </w:rPr>
        <w:t>Копия приказа № 836 от 28.02.2016;</w:t>
      </w:r>
    </w:p>
    <w:p w14:paraId="71A92BC9" w14:textId="77777777" w:rsidR="00FE12C5" w:rsidRPr="00C04ABD" w:rsidRDefault="00FE12C5"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Реестр подтверждающих документов по статье управленческие расходы;</w:t>
      </w:r>
    </w:p>
    <w:p w14:paraId="0201A7EF" w14:textId="239D13A3" w:rsidR="00FE12C5" w:rsidRPr="00C04ABD" w:rsidRDefault="00FE12C5"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 xml:space="preserve">Оборотно-сальдовая ведомость по счету 26 </w:t>
      </w:r>
      <w:r w:rsidR="00655FFA" w:rsidRPr="00C04ABD">
        <w:rPr>
          <w:rFonts w:ascii="Myriad Pro" w:hAnsi="Myriad Pro"/>
          <w:sz w:val="26"/>
          <w:szCs w:val="26"/>
        </w:rPr>
        <w:t>«</w:t>
      </w:r>
      <w:r w:rsidRPr="00C04ABD">
        <w:rPr>
          <w:rFonts w:ascii="Myriad Pro" w:hAnsi="Myriad Pro"/>
          <w:sz w:val="26"/>
          <w:szCs w:val="26"/>
        </w:rPr>
        <w:t>Общехозяйственные расходы (ИА-МРСК управленческие) за 2017 год;</w:t>
      </w:r>
    </w:p>
    <w:p w14:paraId="149438E5" w14:textId="4B0EBA47" w:rsidR="00FE12C5" w:rsidRPr="00C04ABD" w:rsidRDefault="00F50BAF"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 xml:space="preserve">Анализ счета 26 </w:t>
      </w:r>
      <w:r w:rsidR="00655FFA" w:rsidRPr="00C04ABD">
        <w:rPr>
          <w:rFonts w:ascii="Myriad Pro" w:hAnsi="Myriad Pro"/>
          <w:sz w:val="26"/>
          <w:szCs w:val="26"/>
        </w:rPr>
        <w:t>«</w:t>
      </w:r>
      <w:r w:rsidR="00FE12C5" w:rsidRPr="00C04ABD">
        <w:rPr>
          <w:rFonts w:ascii="Myriad Pro" w:hAnsi="Myriad Pro"/>
          <w:sz w:val="26"/>
          <w:szCs w:val="26"/>
        </w:rPr>
        <w:t>Общехозяйственные расходы (ИА МРСК - управленческие)</w:t>
      </w:r>
      <w:r w:rsidR="00655FFA" w:rsidRPr="00C04ABD">
        <w:rPr>
          <w:rFonts w:ascii="Myriad Pro" w:hAnsi="Myriad Pro"/>
          <w:sz w:val="26"/>
          <w:szCs w:val="26"/>
        </w:rPr>
        <w:t>»</w:t>
      </w:r>
      <w:r w:rsidR="00FE12C5" w:rsidRPr="00C04ABD">
        <w:rPr>
          <w:rFonts w:ascii="Myriad Pro" w:hAnsi="Myriad Pro"/>
          <w:sz w:val="26"/>
          <w:szCs w:val="26"/>
        </w:rPr>
        <w:t>;</w:t>
      </w:r>
    </w:p>
    <w:p w14:paraId="15575E19" w14:textId="384977C6" w:rsidR="00FE12C5" w:rsidRPr="00C04ABD" w:rsidRDefault="00FE12C5"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 xml:space="preserve">Форма П-4 </w:t>
      </w:r>
      <w:r w:rsidR="00655FFA" w:rsidRPr="00C04ABD">
        <w:rPr>
          <w:rFonts w:ascii="Myriad Pro" w:hAnsi="Myriad Pro"/>
          <w:sz w:val="26"/>
          <w:szCs w:val="26"/>
        </w:rPr>
        <w:t>«</w:t>
      </w:r>
      <w:r w:rsidRPr="00C04ABD">
        <w:rPr>
          <w:rFonts w:ascii="Myriad Pro" w:hAnsi="Myriad Pro"/>
          <w:sz w:val="26"/>
          <w:szCs w:val="26"/>
        </w:rPr>
        <w:t>Сведения о численности и заработной плате работников</w:t>
      </w:r>
      <w:r w:rsidR="00655FFA" w:rsidRPr="00C04ABD">
        <w:rPr>
          <w:rFonts w:ascii="Myriad Pro" w:hAnsi="Myriad Pro"/>
          <w:sz w:val="26"/>
          <w:szCs w:val="26"/>
        </w:rPr>
        <w:t>»</w:t>
      </w:r>
      <w:r w:rsidRPr="00C04ABD">
        <w:rPr>
          <w:rFonts w:ascii="Myriad Pro" w:hAnsi="Myriad Pro"/>
          <w:sz w:val="26"/>
          <w:szCs w:val="26"/>
        </w:rPr>
        <w:t xml:space="preserve"> за каждый месяц 2017 года;</w:t>
      </w:r>
    </w:p>
    <w:p w14:paraId="53C19256" w14:textId="77777777" w:rsidR="00FE12C5" w:rsidRPr="00C04ABD" w:rsidRDefault="00FE12C5"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Положения о департаментах, отделах, управлениях Исполнительного аппарата;</w:t>
      </w:r>
    </w:p>
    <w:p w14:paraId="4417E25B" w14:textId="45EB2C0F" w:rsidR="00FE12C5" w:rsidRPr="00C04ABD" w:rsidRDefault="00FE12C5"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 xml:space="preserve">Штатное расписание Исполнительного аппарата ПАО </w:t>
      </w:r>
      <w:r w:rsidR="00655FFA" w:rsidRPr="00C04ABD">
        <w:rPr>
          <w:rFonts w:ascii="Myriad Pro" w:hAnsi="Myriad Pro"/>
          <w:sz w:val="26"/>
          <w:szCs w:val="26"/>
        </w:rPr>
        <w:t>«</w:t>
      </w:r>
      <w:r w:rsidRPr="00C04ABD">
        <w:rPr>
          <w:rFonts w:ascii="Myriad Pro" w:hAnsi="Myriad Pro"/>
          <w:sz w:val="26"/>
          <w:szCs w:val="26"/>
        </w:rPr>
        <w:t>МРСК Северо-Запада</w:t>
      </w:r>
      <w:r w:rsidR="00655FFA" w:rsidRPr="00C04ABD">
        <w:rPr>
          <w:rFonts w:ascii="Myriad Pro" w:hAnsi="Myriad Pro"/>
          <w:sz w:val="26"/>
          <w:szCs w:val="26"/>
        </w:rPr>
        <w:t>»</w:t>
      </w:r>
      <w:r w:rsidRPr="00C04ABD">
        <w:rPr>
          <w:rFonts w:ascii="Myriad Pro" w:hAnsi="Myriad Pro"/>
          <w:sz w:val="26"/>
          <w:szCs w:val="26"/>
        </w:rPr>
        <w:t xml:space="preserve"> на 01.04.2018г.</w:t>
      </w:r>
    </w:p>
    <w:p w14:paraId="63539339" w14:textId="77777777" w:rsidR="00FE12C5" w:rsidRPr="00C04ABD" w:rsidRDefault="00FE12C5"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Расчет расходов на оплату труда Исполнительного аппарата 2017 (факт), 2018 (ожидаемое), 2019 (прогноз);</w:t>
      </w:r>
    </w:p>
    <w:p w14:paraId="1843ED91" w14:textId="3A8D6E57" w:rsidR="00FE12C5" w:rsidRPr="00C04ABD" w:rsidRDefault="00FE12C5"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Копии договоров, протоколов, счетов на оплату, подтверждающих фактические расходы Исполнительного аппарата за 2017 год;</w:t>
      </w:r>
    </w:p>
    <w:p w14:paraId="00FD90D2" w14:textId="5ABC736D" w:rsidR="00FE12C5" w:rsidRPr="00C04ABD" w:rsidRDefault="00FE12C5"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 xml:space="preserve">Расчет расходов Исполнительного аппарата ПАО </w:t>
      </w:r>
      <w:r w:rsidR="00655FFA" w:rsidRPr="00C04ABD">
        <w:rPr>
          <w:rFonts w:ascii="Myriad Pro" w:hAnsi="Myriad Pro"/>
          <w:sz w:val="26"/>
          <w:szCs w:val="26"/>
        </w:rPr>
        <w:t>«</w:t>
      </w:r>
      <w:r w:rsidR="00597FD5" w:rsidRPr="00C04ABD">
        <w:rPr>
          <w:rFonts w:ascii="Myriad Pro" w:hAnsi="Myriad Pro"/>
          <w:sz w:val="26"/>
          <w:szCs w:val="26"/>
        </w:rPr>
        <w:t>МРСК Северо-Запада</w:t>
      </w:r>
      <w:r w:rsidR="00655FFA" w:rsidRPr="00C04ABD">
        <w:rPr>
          <w:rFonts w:ascii="Myriad Pro" w:hAnsi="Myriad Pro"/>
          <w:sz w:val="26"/>
          <w:szCs w:val="26"/>
        </w:rPr>
        <w:t>»</w:t>
      </w:r>
      <w:r w:rsidRPr="00C04ABD">
        <w:rPr>
          <w:rFonts w:ascii="Myriad Pro" w:hAnsi="Myriad Pro"/>
          <w:sz w:val="26"/>
          <w:szCs w:val="26"/>
        </w:rPr>
        <w:t xml:space="preserve"> по виду деятельности </w:t>
      </w:r>
      <w:r w:rsidR="00655FFA" w:rsidRPr="00C04ABD">
        <w:rPr>
          <w:rFonts w:ascii="Myriad Pro" w:hAnsi="Myriad Pro"/>
          <w:sz w:val="26"/>
          <w:szCs w:val="26"/>
        </w:rPr>
        <w:t>«</w:t>
      </w:r>
      <w:r w:rsidRPr="00C04ABD">
        <w:rPr>
          <w:rFonts w:ascii="Myriad Pro" w:hAnsi="Myriad Pro"/>
          <w:sz w:val="26"/>
          <w:szCs w:val="26"/>
        </w:rPr>
        <w:t>Передача электрической энергии</w:t>
      </w:r>
      <w:r w:rsidR="00655FFA" w:rsidRPr="00C04ABD">
        <w:rPr>
          <w:rFonts w:ascii="Myriad Pro" w:hAnsi="Myriad Pro"/>
          <w:sz w:val="26"/>
          <w:szCs w:val="26"/>
        </w:rPr>
        <w:t>»</w:t>
      </w:r>
      <w:r w:rsidRPr="00C04ABD">
        <w:rPr>
          <w:rFonts w:ascii="Myriad Pro" w:hAnsi="Myriad Pro"/>
          <w:sz w:val="26"/>
          <w:szCs w:val="26"/>
        </w:rPr>
        <w:t xml:space="preserve"> на 2019 год, распределенные на филиал </w:t>
      </w:r>
      <w:r w:rsidR="00B376BC" w:rsidRPr="00C04ABD">
        <w:rPr>
          <w:rFonts w:ascii="Myriad Pro" w:hAnsi="Myriad Pro"/>
          <w:sz w:val="26"/>
          <w:szCs w:val="26"/>
        </w:rPr>
        <w:t xml:space="preserve">ПАО </w:t>
      </w:r>
      <w:r w:rsidR="00655FFA" w:rsidRPr="00C04ABD">
        <w:rPr>
          <w:rFonts w:ascii="Myriad Pro" w:hAnsi="Myriad Pro"/>
          <w:sz w:val="26"/>
          <w:szCs w:val="26"/>
        </w:rPr>
        <w:t>«</w:t>
      </w:r>
      <w:r w:rsidR="00B376BC" w:rsidRPr="00C04ABD">
        <w:rPr>
          <w:rFonts w:ascii="Myriad Pro" w:hAnsi="Myriad Pro"/>
          <w:sz w:val="26"/>
          <w:szCs w:val="26"/>
        </w:rPr>
        <w:t>МРСК Северо-Запада</w:t>
      </w:r>
      <w:r w:rsidR="00655FFA" w:rsidRPr="00C04ABD">
        <w:rPr>
          <w:rFonts w:ascii="Myriad Pro" w:hAnsi="Myriad Pro"/>
          <w:sz w:val="26"/>
          <w:szCs w:val="26"/>
        </w:rPr>
        <w:t>»</w:t>
      </w:r>
      <w:r w:rsidR="00B376BC" w:rsidRPr="00C04ABD">
        <w:rPr>
          <w:rFonts w:ascii="Myriad Pro" w:hAnsi="Myriad Pro"/>
          <w:sz w:val="26"/>
          <w:szCs w:val="26"/>
        </w:rPr>
        <w:t xml:space="preserve"> </w:t>
      </w:r>
      <w:r w:rsidR="00655FFA" w:rsidRPr="00C04ABD">
        <w:rPr>
          <w:rFonts w:ascii="Myriad Pro" w:hAnsi="Myriad Pro"/>
          <w:sz w:val="26"/>
          <w:szCs w:val="26"/>
        </w:rPr>
        <w:t>«</w:t>
      </w:r>
      <w:r w:rsidRPr="00C04ABD">
        <w:rPr>
          <w:rFonts w:ascii="Myriad Pro" w:hAnsi="Myriad Pro"/>
          <w:sz w:val="26"/>
          <w:szCs w:val="26"/>
        </w:rPr>
        <w:t>Колэнерго</w:t>
      </w:r>
      <w:r w:rsidR="00655FFA" w:rsidRPr="00C04ABD">
        <w:rPr>
          <w:rFonts w:ascii="Myriad Pro" w:hAnsi="Myriad Pro"/>
          <w:sz w:val="26"/>
          <w:szCs w:val="26"/>
        </w:rPr>
        <w:t>»</w:t>
      </w:r>
      <w:r w:rsidRPr="00C04ABD">
        <w:rPr>
          <w:rFonts w:ascii="Myriad Pro" w:hAnsi="Myriad Pro"/>
          <w:sz w:val="26"/>
          <w:szCs w:val="26"/>
        </w:rPr>
        <w:t>;</w:t>
      </w:r>
    </w:p>
    <w:p w14:paraId="1AA98429" w14:textId="77777777" w:rsidR="00FE12C5" w:rsidRPr="00C04ABD" w:rsidRDefault="00FE12C5"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lastRenderedPageBreak/>
        <w:t>Реестр управленческих расходов по Исполнительному аппарату за 2017 год;</w:t>
      </w:r>
    </w:p>
    <w:p w14:paraId="743FD164" w14:textId="01583614" w:rsidR="00FE12C5" w:rsidRPr="00C04ABD" w:rsidRDefault="00FE12C5"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 xml:space="preserve">Расчет затрат по статье </w:t>
      </w:r>
      <w:r w:rsidR="00655FFA" w:rsidRPr="00C04ABD">
        <w:rPr>
          <w:rFonts w:ascii="Myriad Pro" w:hAnsi="Myriad Pro"/>
          <w:sz w:val="26"/>
          <w:szCs w:val="26"/>
        </w:rPr>
        <w:t>«</w:t>
      </w:r>
      <w:r w:rsidRPr="00C04ABD">
        <w:rPr>
          <w:rFonts w:ascii="Myriad Pro" w:hAnsi="Myriad Pro"/>
          <w:sz w:val="26"/>
          <w:szCs w:val="26"/>
        </w:rPr>
        <w:t>Аренда прочего имущества (помещений), занимаемых Исполнительным аппаратом</w:t>
      </w:r>
      <w:r w:rsidR="00655FFA" w:rsidRPr="00C04ABD">
        <w:rPr>
          <w:rFonts w:ascii="Myriad Pro" w:hAnsi="Myriad Pro"/>
          <w:sz w:val="26"/>
          <w:szCs w:val="26"/>
        </w:rPr>
        <w:t>»</w:t>
      </w:r>
      <w:r w:rsidRPr="00C04ABD">
        <w:rPr>
          <w:rFonts w:ascii="Myriad Pro" w:hAnsi="Myriad Pro"/>
          <w:sz w:val="26"/>
          <w:szCs w:val="26"/>
        </w:rPr>
        <w:t xml:space="preserve"> на 2019 год с приложением подтверждающего письма Арендодателя;</w:t>
      </w:r>
    </w:p>
    <w:p w14:paraId="4F50CD05" w14:textId="77777777" w:rsidR="00FE12C5" w:rsidRPr="00C04ABD" w:rsidRDefault="00FE12C5"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 xml:space="preserve"> Копии договоров аренды, результаты конкурсных процедур;</w:t>
      </w:r>
    </w:p>
    <w:p w14:paraId="69D61966" w14:textId="02FBD0D4" w:rsidR="00FE12C5" w:rsidRPr="00C04ABD" w:rsidRDefault="00FE12C5"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Расчет амортизации ОС на 2019 год Исполнительного аппарата;</w:t>
      </w:r>
    </w:p>
    <w:p w14:paraId="55993D10" w14:textId="77777777" w:rsidR="00FE12C5" w:rsidRPr="00C04ABD" w:rsidRDefault="00FE12C5"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Расчет ФОТ Исполнительного аппарата на 2019 год;</w:t>
      </w:r>
    </w:p>
    <w:p w14:paraId="72C874F0" w14:textId="77777777" w:rsidR="00FE12C5" w:rsidRPr="00C04ABD" w:rsidRDefault="00FE12C5"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Расшифровка консультационных услуг с приложением копий договоров и заключений закупочной комиссии;</w:t>
      </w:r>
    </w:p>
    <w:p w14:paraId="0F3B0B22" w14:textId="77777777" w:rsidR="00FE12C5" w:rsidRPr="00C04ABD" w:rsidRDefault="00FE12C5"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Расчет расходов на транспортные услуги по Исполнительному аппарату;</w:t>
      </w:r>
    </w:p>
    <w:p w14:paraId="6726D936" w14:textId="77777777" w:rsidR="00FE12C5" w:rsidRPr="00C04ABD" w:rsidRDefault="00FE12C5"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Протоколы заседаний конкурсной комиссии относительно выбора победителя для оказания транспортных услуг;</w:t>
      </w:r>
    </w:p>
    <w:p w14:paraId="5867DFDB" w14:textId="77777777" w:rsidR="00FE12C5" w:rsidRPr="00C04ABD" w:rsidRDefault="00FE12C5"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Расчет налога на имущество на 2019 год Исполнительного аппарата;</w:t>
      </w:r>
    </w:p>
    <w:p w14:paraId="2403BC56" w14:textId="5039C8EE" w:rsidR="00FE12C5" w:rsidRPr="00C04ABD" w:rsidRDefault="00FE12C5"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Расчет расходов на прочие затраты Исполнительного аппарата на 2019</w:t>
      </w:r>
      <w:r w:rsidR="009808E8" w:rsidRPr="00C04ABD">
        <w:rPr>
          <w:rFonts w:ascii="Myriad Pro" w:hAnsi="Myriad Pro"/>
          <w:sz w:val="26"/>
          <w:szCs w:val="26"/>
        </w:rPr>
        <w:t> </w:t>
      </w:r>
      <w:r w:rsidRPr="00C04ABD">
        <w:rPr>
          <w:rFonts w:ascii="Myriad Pro" w:hAnsi="Myriad Pro"/>
          <w:sz w:val="26"/>
          <w:szCs w:val="26"/>
        </w:rPr>
        <w:t>год;</w:t>
      </w:r>
    </w:p>
    <w:p w14:paraId="3E5CF8AC" w14:textId="0BEC3828" w:rsidR="00FE12C5" w:rsidRPr="00C04ABD" w:rsidRDefault="00FE12C5"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Копии счетов на оплату прочих услуг, членских взносов за 2017</w:t>
      </w:r>
      <w:r w:rsidR="007B347B" w:rsidRPr="00C04ABD">
        <w:rPr>
          <w:rFonts w:ascii="Myriad Pro" w:hAnsi="Myriad Pro"/>
          <w:sz w:val="26"/>
          <w:szCs w:val="26"/>
        </w:rPr>
        <w:t>г.</w:t>
      </w:r>
      <w:r w:rsidRPr="00C04ABD">
        <w:rPr>
          <w:rFonts w:ascii="Myriad Pro" w:hAnsi="Myriad Pro"/>
          <w:sz w:val="26"/>
          <w:szCs w:val="26"/>
        </w:rPr>
        <w:t>;</w:t>
      </w:r>
    </w:p>
    <w:p w14:paraId="7DF38CEF" w14:textId="77777777" w:rsidR="00FE12C5" w:rsidRPr="00C04ABD" w:rsidRDefault="00FE12C5"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Реестр управленческих расходов 2017,2019 год;</w:t>
      </w:r>
    </w:p>
    <w:p w14:paraId="0372998D" w14:textId="77777777" w:rsidR="00FE12C5" w:rsidRPr="00C04ABD" w:rsidRDefault="00FE12C5"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Организационная и функциональная структура Исполнительного аппарата на 31.12.2014 и 31.10.2018 с описанием выполняемых функций;</w:t>
      </w:r>
    </w:p>
    <w:p w14:paraId="5E7958EA" w14:textId="065E67C1" w:rsidR="00FE12C5" w:rsidRPr="00C04ABD" w:rsidRDefault="00FE12C5"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Отчет по закупкам на 05.12.2018 г. по Исполнительному аппарату (менее 500 т.</w:t>
      </w:r>
      <w:r w:rsidR="005D6513" w:rsidRPr="00C04ABD">
        <w:rPr>
          <w:rFonts w:ascii="Myriad Pro" w:hAnsi="Myriad Pro"/>
          <w:sz w:val="26"/>
          <w:szCs w:val="26"/>
        </w:rPr>
        <w:t xml:space="preserve"> </w:t>
      </w:r>
      <w:r w:rsidRPr="00C04ABD">
        <w:rPr>
          <w:rFonts w:ascii="Myriad Pro" w:hAnsi="Myriad Pro"/>
          <w:sz w:val="26"/>
          <w:szCs w:val="26"/>
        </w:rPr>
        <w:t>р.);</w:t>
      </w:r>
    </w:p>
    <w:p w14:paraId="7054E6AA" w14:textId="0B234D12" w:rsidR="00FE12C5" w:rsidRPr="00C04ABD" w:rsidRDefault="00FE12C5"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Конкурсная документация – оценка и консультационные услуги (закупка на 2019 год);</w:t>
      </w:r>
    </w:p>
    <w:p w14:paraId="042209EA" w14:textId="408DDBCE" w:rsidR="00FE12C5" w:rsidRPr="00C04ABD" w:rsidRDefault="00FE12C5"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 xml:space="preserve"> Договоры, акты сдачи-приемки консультац</w:t>
      </w:r>
      <w:r w:rsidR="007B347B" w:rsidRPr="00C04ABD">
        <w:rPr>
          <w:rFonts w:ascii="Myriad Pro" w:hAnsi="Myriad Pro"/>
          <w:sz w:val="26"/>
          <w:szCs w:val="26"/>
        </w:rPr>
        <w:t>ионных услуг за 2018 г.</w:t>
      </w:r>
      <w:r w:rsidRPr="00C04ABD">
        <w:rPr>
          <w:rFonts w:ascii="Myriad Pro" w:hAnsi="Myriad Pro"/>
          <w:sz w:val="26"/>
          <w:szCs w:val="26"/>
        </w:rPr>
        <w:t>;</w:t>
      </w:r>
    </w:p>
    <w:p w14:paraId="28E2F6C1" w14:textId="77777777" w:rsidR="00FE12C5" w:rsidRPr="00C04ABD" w:rsidRDefault="00FE12C5"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Конкурсная документация (закупка на 2019 год) на прочие услуги;</w:t>
      </w:r>
    </w:p>
    <w:p w14:paraId="26210C0D" w14:textId="77777777" w:rsidR="00FE12C5" w:rsidRPr="00C04ABD" w:rsidRDefault="00FE12C5"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Конкурсная документация (закупка на 2019 год) на почтово-телеграфные услуги;</w:t>
      </w:r>
    </w:p>
    <w:p w14:paraId="5CD82291" w14:textId="77777777" w:rsidR="00FE12C5" w:rsidRPr="00C04ABD" w:rsidRDefault="00FE12C5"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Конкурсная документация (закупка на 2019 год) – аренда помещений;</w:t>
      </w:r>
    </w:p>
    <w:p w14:paraId="6AB2F854" w14:textId="77777777" w:rsidR="00FE12C5" w:rsidRPr="00C04ABD" w:rsidRDefault="00FE12C5"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Реестр проведенных в 2018 году закупок на 2019 год.</w:t>
      </w:r>
    </w:p>
    <w:p w14:paraId="2CED7631" w14:textId="703F2D32" w:rsidR="00FE12C5" w:rsidRPr="00C04ABD" w:rsidRDefault="00FE12C5" w:rsidP="00A31747">
      <w:pPr>
        <w:pStyle w:val="a4"/>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lastRenderedPageBreak/>
        <w:t xml:space="preserve">В пояснительной записке к расчету необходимой валовой выручки </w:t>
      </w:r>
      <w:r w:rsidR="00B376BC" w:rsidRPr="00C04ABD">
        <w:rPr>
          <w:rFonts w:ascii="Myriad Pro" w:hAnsi="Myriad Pro"/>
          <w:sz w:val="26"/>
          <w:szCs w:val="26"/>
        </w:rPr>
        <w:t xml:space="preserve">филиала </w:t>
      </w:r>
      <w:r w:rsidRPr="00C04ABD">
        <w:rPr>
          <w:rFonts w:ascii="Myriad Pro" w:hAnsi="Myriad Pro"/>
          <w:sz w:val="26"/>
          <w:szCs w:val="26"/>
        </w:rPr>
        <w:t xml:space="preserve">ПАО </w:t>
      </w:r>
      <w:r w:rsidR="00655FFA" w:rsidRPr="00C04ABD">
        <w:rPr>
          <w:rFonts w:ascii="Myriad Pro" w:hAnsi="Myriad Pro"/>
          <w:sz w:val="26"/>
          <w:szCs w:val="26"/>
        </w:rPr>
        <w:t>«</w:t>
      </w:r>
      <w:r w:rsidRPr="00C04ABD">
        <w:rPr>
          <w:rFonts w:ascii="Myriad Pro" w:hAnsi="Myriad Pro"/>
          <w:sz w:val="26"/>
          <w:szCs w:val="26"/>
        </w:rPr>
        <w:t xml:space="preserve">МРСК Северо-Запада </w:t>
      </w:r>
      <w:r w:rsidR="00655FFA" w:rsidRPr="00C04ABD">
        <w:rPr>
          <w:rFonts w:ascii="Myriad Pro" w:hAnsi="Myriad Pro"/>
          <w:sz w:val="26"/>
          <w:szCs w:val="26"/>
        </w:rPr>
        <w:t>«</w:t>
      </w:r>
      <w:r w:rsidRPr="00C04ABD">
        <w:rPr>
          <w:rFonts w:ascii="Myriad Pro" w:hAnsi="Myriad Pro"/>
          <w:sz w:val="26"/>
          <w:szCs w:val="26"/>
        </w:rPr>
        <w:t>Колэнерго</w:t>
      </w:r>
      <w:r w:rsidR="00655FFA" w:rsidRPr="00C04ABD">
        <w:rPr>
          <w:rFonts w:ascii="Myriad Pro" w:hAnsi="Myriad Pro"/>
          <w:sz w:val="26"/>
          <w:szCs w:val="26"/>
        </w:rPr>
        <w:t>»</w:t>
      </w:r>
      <w:r w:rsidRPr="00C04ABD">
        <w:rPr>
          <w:rFonts w:ascii="Myriad Pro" w:hAnsi="Myriad Pro"/>
          <w:sz w:val="26"/>
          <w:szCs w:val="26"/>
        </w:rPr>
        <w:t xml:space="preserve"> представлены пояснения по планированию управленческих расходов на 2019 год.</w:t>
      </w:r>
    </w:p>
    <w:p w14:paraId="4EC9FF2E" w14:textId="77777777" w:rsidR="00FE12C5" w:rsidRPr="00C04ABD" w:rsidRDefault="00FE12C5" w:rsidP="00A31747">
      <w:pPr>
        <w:pStyle w:val="a4"/>
        <w:tabs>
          <w:tab w:val="left" w:pos="1134"/>
        </w:tabs>
        <w:spacing w:after="0" w:line="360" w:lineRule="auto"/>
        <w:ind w:left="0" w:firstLine="567"/>
        <w:jc w:val="both"/>
        <w:rPr>
          <w:rFonts w:ascii="Myriad Pro" w:hAnsi="Myriad Pro"/>
          <w:b/>
          <w:sz w:val="26"/>
          <w:szCs w:val="26"/>
        </w:rPr>
      </w:pPr>
    </w:p>
    <w:p w14:paraId="64967BFC" w14:textId="77777777" w:rsidR="00BF3B08" w:rsidRPr="00C04ABD" w:rsidRDefault="00BF3B08" w:rsidP="00AA7CB9">
      <w:pPr>
        <w:tabs>
          <w:tab w:val="left" w:pos="1134"/>
        </w:tabs>
        <w:spacing w:after="0" w:line="360" w:lineRule="auto"/>
        <w:contextualSpacing/>
        <w:jc w:val="both"/>
        <w:rPr>
          <w:rFonts w:ascii="Myriad Pro" w:eastAsia="Calibri" w:hAnsi="Myriad Pro" w:cs="Times New Roman"/>
          <w:b/>
          <w:sz w:val="26"/>
          <w:szCs w:val="26"/>
        </w:rPr>
      </w:pPr>
      <w:r w:rsidRPr="00C04ABD">
        <w:rPr>
          <w:rFonts w:ascii="Myriad Pro" w:eastAsia="Calibri" w:hAnsi="Myriad Pro" w:cs="Times New Roman"/>
          <w:b/>
          <w:sz w:val="26"/>
          <w:szCs w:val="26"/>
        </w:rPr>
        <w:t>ПОЗИЦИЯ ОРГАНА РЕГУЛИРОВАНИЯ</w:t>
      </w:r>
    </w:p>
    <w:p w14:paraId="1314E94F" w14:textId="56A12343" w:rsidR="00827DCC" w:rsidRPr="00C04ABD" w:rsidRDefault="00827DCC"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Комитет отмечает, что действующим законодательством в сфере тарифного регулирования затраты на содержание исполнительного аппарата в перечень экономически обоснованных расходов не включены.</w:t>
      </w:r>
    </w:p>
    <w:p w14:paraId="11128C3A" w14:textId="42181373" w:rsidR="00BF3B08" w:rsidRPr="00C04ABD" w:rsidRDefault="00827DCC"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Комитетом проведен анализ судебной практики, которая также не относит такие затраты к расходам, учитываемым при расчете тарифов. Так в определении Верховного Суда РФ от 10.10.2014 №302-К</w:t>
      </w:r>
      <w:r w:rsidR="008C0ACF" w:rsidRPr="00C04ABD">
        <w:rPr>
          <w:rFonts w:ascii="Myriad Pro" w:eastAsia="Calibri" w:hAnsi="Myriad Pro" w:cs="Times New Roman"/>
          <w:sz w:val="26"/>
          <w:szCs w:val="26"/>
        </w:rPr>
        <w:t>Г14-2371 по делу №10-1359/2012 С</w:t>
      </w:r>
      <w:r w:rsidRPr="00C04ABD">
        <w:rPr>
          <w:rFonts w:ascii="Myriad Pro" w:eastAsia="Calibri" w:hAnsi="Myriad Pro" w:cs="Times New Roman"/>
          <w:sz w:val="26"/>
          <w:szCs w:val="26"/>
        </w:rPr>
        <w:t xml:space="preserve">уд </w:t>
      </w:r>
      <w:r w:rsidR="008C0ACF" w:rsidRPr="00C04ABD">
        <w:rPr>
          <w:rFonts w:ascii="Myriad Pro" w:eastAsia="Calibri" w:hAnsi="Myriad Pro" w:cs="Times New Roman"/>
          <w:sz w:val="26"/>
          <w:szCs w:val="26"/>
        </w:rPr>
        <w:t xml:space="preserve">пришел к выводу о недоказанности сетевой компанией занижения размеров тарифов в связи с занижением регулирующим органом </w:t>
      </w:r>
      <w:r w:rsidR="00471352" w:rsidRPr="00C04ABD">
        <w:rPr>
          <w:rFonts w:ascii="Myriad Pro" w:eastAsia="Calibri" w:hAnsi="Myriad Pro" w:cs="Times New Roman"/>
          <w:sz w:val="26"/>
          <w:szCs w:val="26"/>
        </w:rPr>
        <w:t>размера необходимой валовой выручки ввиду не</w:t>
      </w:r>
      <w:r w:rsidR="00F6258A" w:rsidRPr="00C04ABD">
        <w:rPr>
          <w:rFonts w:ascii="Myriad Pro" w:eastAsia="Calibri" w:hAnsi="Myriad Pro" w:cs="Times New Roman"/>
          <w:sz w:val="26"/>
          <w:szCs w:val="26"/>
        </w:rPr>
        <w:t xml:space="preserve"> </w:t>
      </w:r>
      <w:r w:rsidR="00471352" w:rsidRPr="00C04ABD">
        <w:rPr>
          <w:rFonts w:ascii="Myriad Pro" w:eastAsia="Calibri" w:hAnsi="Myriad Pro" w:cs="Times New Roman"/>
          <w:sz w:val="26"/>
          <w:szCs w:val="26"/>
        </w:rPr>
        <w:t xml:space="preserve">учета затрат на содержание исполнительного аппарата. </w:t>
      </w:r>
    </w:p>
    <w:p w14:paraId="02B4B6E5" w14:textId="3367004A" w:rsidR="00827DCC" w:rsidRPr="00C04ABD" w:rsidRDefault="00471352"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Аналогичное мнение изложено в определении Верховного суда РФ от 21.07.2016 № 55-АПГ16-4, согласно которому включение в валовую выручку фактических расходов на оплату услуг по управлению компаниями не имеет экономического обоснования и документального подтверждения.</w:t>
      </w:r>
    </w:p>
    <w:p w14:paraId="1182F585" w14:textId="1A6BEB29" w:rsidR="00471352" w:rsidRPr="00C04ABD" w:rsidRDefault="00471352"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 xml:space="preserve">Комитетом отмечено, что в ходе рабочего совещания 10.12.2018 с представителями как Филиала, так и ПАО </w:t>
      </w:r>
      <w:r w:rsidR="00655FFA" w:rsidRPr="00C04ABD">
        <w:rPr>
          <w:rFonts w:ascii="Myriad Pro" w:eastAsia="Calibri" w:hAnsi="Myriad Pro" w:cs="Times New Roman"/>
          <w:sz w:val="26"/>
          <w:szCs w:val="26"/>
        </w:rPr>
        <w:t>«</w:t>
      </w:r>
      <w:r w:rsidR="00597FD5" w:rsidRPr="00C04ABD">
        <w:rPr>
          <w:rFonts w:ascii="Myriad Pro" w:eastAsia="Calibri" w:hAnsi="Myriad Pro" w:cs="Times New Roman"/>
          <w:sz w:val="26"/>
          <w:szCs w:val="26"/>
        </w:rPr>
        <w:t>МРСК Северо-Запада</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 xml:space="preserve">, было указано на отсутствие в </w:t>
      </w:r>
      <w:r w:rsidR="00994DAE" w:rsidRPr="00C04ABD">
        <w:rPr>
          <w:rFonts w:ascii="Myriad Pro" w:eastAsia="Calibri" w:hAnsi="Myriad Pro" w:cs="Times New Roman"/>
          <w:sz w:val="26"/>
          <w:szCs w:val="26"/>
        </w:rPr>
        <w:t>ф</w:t>
      </w:r>
      <w:r w:rsidRPr="00C04ABD">
        <w:rPr>
          <w:rFonts w:ascii="Myriad Pro" w:eastAsia="Calibri" w:hAnsi="Myriad Pro" w:cs="Times New Roman"/>
          <w:sz w:val="26"/>
          <w:szCs w:val="26"/>
        </w:rPr>
        <w:t xml:space="preserve">илиале </w:t>
      </w:r>
      <w:r w:rsidR="00994DAE" w:rsidRPr="00C04ABD">
        <w:rPr>
          <w:rFonts w:ascii="Myriad Pro" w:eastAsia="Calibri" w:hAnsi="Myriad Pro" w:cs="Times New Roman"/>
          <w:sz w:val="26"/>
          <w:szCs w:val="26"/>
        </w:rPr>
        <w:t xml:space="preserve">ПАО «МРСК Северо-Запада» «Колэнерго» </w:t>
      </w:r>
      <w:r w:rsidRPr="00C04ABD">
        <w:rPr>
          <w:rFonts w:ascii="Myriad Pro" w:eastAsia="Calibri" w:hAnsi="Myriad Pro" w:cs="Times New Roman"/>
          <w:sz w:val="26"/>
          <w:szCs w:val="26"/>
        </w:rPr>
        <w:t>только функций казначейства в св</w:t>
      </w:r>
      <w:r w:rsidR="00EC3FAB" w:rsidRPr="00C04ABD">
        <w:rPr>
          <w:rFonts w:ascii="Myriad Pro" w:eastAsia="Calibri" w:hAnsi="Myriad Pro" w:cs="Times New Roman"/>
          <w:sz w:val="26"/>
          <w:szCs w:val="26"/>
        </w:rPr>
        <w:t>я</w:t>
      </w:r>
      <w:r w:rsidRPr="00C04ABD">
        <w:rPr>
          <w:rFonts w:ascii="Myriad Pro" w:eastAsia="Calibri" w:hAnsi="Myriad Pro" w:cs="Times New Roman"/>
          <w:sz w:val="26"/>
          <w:szCs w:val="26"/>
        </w:rPr>
        <w:t xml:space="preserve">зи с ее передачей в </w:t>
      </w:r>
      <w:r w:rsidR="00655FFA" w:rsidRPr="00C04ABD">
        <w:rPr>
          <w:rFonts w:ascii="Myriad Pro" w:eastAsia="Calibri" w:hAnsi="Myriad Pro" w:cs="Times New Roman"/>
          <w:sz w:val="26"/>
          <w:szCs w:val="26"/>
        </w:rPr>
        <w:t xml:space="preserve">ПАО «МРСК </w:t>
      </w:r>
      <w:r w:rsidR="00597FD5" w:rsidRPr="00C04ABD">
        <w:rPr>
          <w:rFonts w:ascii="Myriad Pro" w:eastAsia="Calibri" w:hAnsi="Myriad Pro" w:cs="Times New Roman"/>
          <w:sz w:val="26"/>
          <w:szCs w:val="26"/>
        </w:rPr>
        <w:t>Северо-Запада</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w:t>
      </w:r>
    </w:p>
    <w:p w14:paraId="6C4564F6" w14:textId="530C7BAD" w:rsidR="00112397" w:rsidRPr="00C04ABD" w:rsidRDefault="00112397"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 xml:space="preserve">Согласно Протоколу от 28.12.2018 Комитетом по итогам проведенного анализа фактических расходов исполнительного аппарата ПАО </w:t>
      </w:r>
      <w:r w:rsidR="00655FFA" w:rsidRPr="00C04ABD">
        <w:rPr>
          <w:rFonts w:ascii="Myriad Pro" w:eastAsia="Calibri" w:hAnsi="Myriad Pro" w:cs="Times New Roman"/>
          <w:sz w:val="26"/>
          <w:szCs w:val="26"/>
        </w:rPr>
        <w:t>«</w:t>
      </w:r>
      <w:r w:rsidR="00B765A5" w:rsidRPr="00C04ABD">
        <w:rPr>
          <w:rFonts w:ascii="Myriad Pro" w:eastAsia="Calibri" w:hAnsi="Myriad Pro" w:cs="Times New Roman"/>
          <w:sz w:val="26"/>
          <w:szCs w:val="26"/>
        </w:rPr>
        <w:t>МРСК Северо-Запада</w:t>
      </w:r>
      <w:r w:rsidR="00655FFA" w:rsidRPr="00C04ABD">
        <w:rPr>
          <w:rFonts w:ascii="Myriad Pro" w:eastAsia="Calibri" w:hAnsi="Myriad Pro" w:cs="Times New Roman"/>
          <w:sz w:val="26"/>
          <w:szCs w:val="26"/>
        </w:rPr>
        <w:t>»</w:t>
      </w:r>
      <w:r w:rsidR="00B765A5" w:rsidRPr="00C04ABD">
        <w:rPr>
          <w:rFonts w:ascii="Myriad Pro" w:eastAsia="Calibri" w:hAnsi="Myriad Pro" w:cs="Times New Roman"/>
          <w:sz w:val="26"/>
          <w:szCs w:val="26"/>
        </w:rPr>
        <w:t xml:space="preserve"> </w:t>
      </w:r>
      <w:r w:rsidRPr="00C04ABD">
        <w:rPr>
          <w:rFonts w:ascii="Myriad Pro" w:eastAsia="Calibri" w:hAnsi="Myriad Pro" w:cs="Times New Roman"/>
          <w:sz w:val="26"/>
          <w:szCs w:val="26"/>
        </w:rPr>
        <w:t xml:space="preserve">за 2017 год приняты расходы в общем размере 4 133,30 тыс. руб. </w:t>
      </w:r>
    </w:p>
    <w:p w14:paraId="3AFF27EE" w14:textId="13741E60" w:rsidR="00112397" w:rsidRPr="00C04ABD" w:rsidRDefault="00112397"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 xml:space="preserve">Согласно Протоколу от 29.12.2018 Комитетом по итогам изучения особого мнения и дополнительных материалов, представленных Филиалом, экспертной группой Комитета в состав НВВ на 2019 год включены (скорректированы), в том числе статья подконтрольных расходов на содержание управляющей компании в размере 29 434,83 тыс. руб. (ЭОУ) (в проценте штатных единиц, отсутствующих в </w:t>
      </w:r>
      <w:r w:rsidRPr="00C04ABD">
        <w:rPr>
          <w:rFonts w:ascii="Myriad Pro" w:eastAsia="Calibri" w:hAnsi="Myriad Pro" w:cs="Times New Roman"/>
          <w:sz w:val="26"/>
          <w:szCs w:val="26"/>
        </w:rPr>
        <w:lastRenderedPageBreak/>
        <w:t>Филиале, в доле, распределенной на Филиал) включено в НВВ 28 338,44 тыс. руб. (0,7*ЭОУ+0,3*МА)</w:t>
      </w:r>
    </w:p>
    <w:p w14:paraId="0A4F6FFB" w14:textId="77777777" w:rsidR="00827DCC" w:rsidRPr="00C04ABD" w:rsidRDefault="00827DCC" w:rsidP="00A31747">
      <w:pPr>
        <w:tabs>
          <w:tab w:val="left" w:pos="1134"/>
        </w:tabs>
        <w:spacing w:after="0" w:line="360" w:lineRule="auto"/>
        <w:ind w:firstLine="567"/>
        <w:contextualSpacing/>
        <w:jc w:val="both"/>
        <w:rPr>
          <w:rFonts w:ascii="Myriad Pro" w:eastAsia="Calibri" w:hAnsi="Myriad Pro" w:cs="Times New Roman"/>
          <w:b/>
          <w:sz w:val="26"/>
          <w:szCs w:val="26"/>
        </w:rPr>
      </w:pPr>
    </w:p>
    <w:p w14:paraId="0F9A5993" w14:textId="77777777" w:rsidR="00BF3B08" w:rsidRPr="00C04ABD" w:rsidRDefault="00BF3B08" w:rsidP="00AA7CB9">
      <w:pPr>
        <w:tabs>
          <w:tab w:val="left" w:pos="1134"/>
        </w:tabs>
        <w:spacing w:after="0" w:line="360" w:lineRule="auto"/>
        <w:contextualSpacing/>
        <w:jc w:val="both"/>
        <w:rPr>
          <w:rFonts w:ascii="Myriad Pro" w:eastAsia="Calibri" w:hAnsi="Myriad Pro" w:cs="Times New Roman"/>
          <w:b/>
          <w:sz w:val="26"/>
          <w:szCs w:val="26"/>
        </w:rPr>
      </w:pPr>
      <w:r w:rsidRPr="00C04ABD">
        <w:rPr>
          <w:rFonts w:ascii="Myriad Pro" w:eastAsia="Calibri" w:hAnsi="Myriad Pro" w:cs="Times New Roman"/>
          <w:b/>
          <w:sz w:val="26"/>
          <w:szCs w:val="26"/>
        </w:rPr>
        <w:t>ПОЗИЦИЯ ИСПОЛНИТЕЛЯ</w:t>
      </w:r>
    </w:p>
    <w:p w14:paraId="3C399E49" w14:textId="40408D0E" w:rsidR="00A3527A" w:rsidRPr="00C04ABD" w:rsidRDefault="00A3527A" w:rsidP="00A31747">
      <w:pPr>
        <w:tabs>
          <w:tab w:val="left" w:pos="1134"/>
        </w:tabs>
        <w:spacing w:after="0" w:line="360" w:lineRule="auto"/>
        <w:ind w:firstLine="567"/>
        <w:jc w:val="both"/>
        <w:rPr>
          <w:rFonts w:ascii="Myriad Pro" w:eastAsia="Calibri" w:hAnsi="Myriad Pro" w:cs="Times New Roman"/>
          <w:sz w:val="26"/>
          <w:szCs w:val="26"/>
        </w:rPr>
      </w:pPr>
      <w:r w:rsidRPr="00C04ABD">
        <w:rPr>
          <w:rFonts w:ascii="Myriad Pro" w:eastAsia="Calibri" w:hAnsi="Myriad Pro" w:cs="Times New Roman"/>
          <w:sz w:val="26"/>
          <w:szCs w:val="26"/>
        </w:rPr>
        <w:t xml:space="preserve">Фактические расходы на содержание Исполнительного аппарата, отнесенные организацией на вид деятельности </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передача электрической энергии</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 за 2017 год составили 207 224,1 тыс. руб.  Соответствующие расходы за 2018 год: учтенные регулирующим органом – 82 075,2 тыс. руб., ожидаемые – 202 326,3 тыс. руб.</w:t>
      </w:r>
    </w:p>
    <w:p w14:paraId="4113B199" w14:textId="5082A637" w:rsidR="00B75877" w:rsidRPr="00C04ABD" w:rsidRDefault="00B75877"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 xml:space="preserve">ПАО </w:t>
      </w:r>
      <w:r w:rsidR="00655FFA" w:rsidRPr="00C04ABD">
        <w:rPr>
          <w:rFonts w:ascii="Myriad Pro" w:eastAsia="Calibri" w:hAnsi="Myriad Pro" w:cs="Times New Roman"/>
          <w:sz w:val="26"/>
          <w:szCs w:val="26"/>
        </w:rPr>
        <w:t>«</w:t>
      </w:r>
      <w:r w:rsidR="00597FD5" w:rsidRPr="00C04ABD">
        <w:rPr>
          <w:rFonts w:ascii="Myriad Pro" w:eastAsia="Calibri" w:hAnsi="Myriad Pro" w:cs="Times New Roman"/>
          <w:sz w:val="26"/>
          <w:szCs w:val="26"/>
        </w:rPr>
        <w:t>МРСК Северо-Запада</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 xml:space="preserve"> представляет собой акционерное общество с филиальной сетью, в котором Исполнительный аппарат является не управляющей компанией, а структурным подразделением, при этом отдельно взятый филиал никогда не выполнял и не может выполнять все функции акционерного общества исходя из его структуры.</w:t>
      </w:r>
    </w:p>
    <w:p w14:paraId="2B9120A3" w14:textId="0D9B548B" w:rsidR="00B75877" w:rsidRPr="00C04ABD" w:rsidRDefault="00B75877"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 xml:space="preserve">Согласно основным положениям Бухгалтерской учетной политики </w:t>
      </w:r>
      <w:r w:rsidR="00655FFA" w:rsidRPr="00C04ABD">
        <w:rPr>
          <w:rFonts w:ascii="Myriad Pro" w:eastAsia="Calibri" w:hAnsi="Myriad Pro" w:cs="Times New Roman"/>
          <w:sz w:val="26"/>
          <w:szCs w:val="26"/>
        </w:rPr>
        <w:t>ПАО</w:t>
      </w:r>
      <w:r w:rsidR="009808E8" w:rsidRPr="00C04ABD">
        <w:rPr>
          <w:rFonts w:ascii="Myriad Pro" w:eastAsia="Calibri" w:hAnsi="Myriad Pro" w:cs="Times New Roman"/>
          <w:sz w:val="26"/>
          <w:szCs w:val="26"/>
        </w:rPr>
        <w:t> </w:t>
      </w:r>
      <w:r w:rsidR="00655FFA" w:rsidRPr="00C04ABD">
        <w:rPr>
          <w:rFonts w:ascii="Myriad Pro" w:eastAsia="Calibri" w:hAnsi="Myriad Pro" w:cs="Times New Roman"/>
          <w:sz w:val="26"/>
          <w:szCs w:val="26"/>
        </w:rPr>
        <w:t xml:space="preserve">«МРСК </w:t>
      </w:r>
      <w:r w:rsidR="00D076DA" w:rsidRPr="00C04ABD">
        <w:rPr>
          <w:rFonts w:ascii="Myriad Pro" w:eastAsia="Calibri" w:hAnsi="Myriad Pro" w:cs="Times New Roman"/>
          <w:sz w:val="26"/>
          <w:szCs w:val="26"/>
        </w:rPr>
        <w:t>Северо-Запада</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 xml:space="preserve"> (далее - положения БУП), утвержденной приказом от 30.12.2014 № 1028 (в ред. приказа от 29.12.2015 № 1160), затраты ИА (общехозяйственные затраты) распределяются на филиалы пропорционально доле НВВ филиала в общей сумме НВВ Общества, включаются в расходы филиала, относящиеся на деятельность по передаче и распределению электрической энергии, и распределены по статьям, что соотносится с действующим законодательством.</w:t>
      </w:r>
    </w:p>
    <w:p w14:paraId="5FB0D4E4" w14:textId="438B71AA" w:rsidR="00EC3FAB" w:rsidRPr="00C04ABD" w:rsidRDefault="00EC3FAB"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 xml:space="preserve">Исполнитель считает неверным трактование Комитетом решений Суда в части экономической целесообразности расходов. Суды указали, что документально не подтверждены расходы по управлению компаниями. Однако, в материалах дела исследовался совершенно другой пакет документов. В рамках тарифного дела предоставлены подтверждающие </w:t>
      </w:r>
      <w:r w:rsidR="003F1A90" w:rsidRPr="00C04ABD">
        <w:rPr>
          <w:rFonts w:ascii="Myriad Pro" w:eastAsia="Calibri" w:hAnsi="Myriad Pro" w:cs="Times New Roman"/>
          <w:sz w:val="26"/>
          <w:szCs w:val="26"/>
        </w:rPr>
        <w:t>документы по фактически понесенным расходам 2017 года и обоснования по планируемым расходам 2019 года.</w:t>
      </w:r>
    </w:p>
    <w:p w14:paraId="581E200D" w14:textId="547EDB2E" w:rsidR="002E7C85" w:rsidRPr="00C04ABD" w:rsidRDefault="002E7C85"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 xml:space="preserve">Затраты исполнительного аппарата ПАО </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МР</w:t>
      </w:r>
      <w:r w:rsidR="00355E1C" w:rsidRPr="00C04ABD">
        <w:rPr>
          <w:rFonts w:ascii="Myriad Pro" w:eastAsia="Calibri" w:hAnsi="Myriad Pro" w:cs="Times New Roman"/>
          <w:sz w:val="26"/>
          <w:szCs w:val="26"/>
        </w:rPr>
        <w:t>СК</w:t>
      </w:r>
      <w:r w:rsidRPr="00C04ABD">
        <w:rPr>
          <w:rFonts w:ascii="Myriad Pro" w:eastAsia="Calibri" w:hAnsi="Myriad Pro" w:cs="Times New Roman"/>
          <w:sz w:val="26"/>
          <w:szCs w:val="26"/>
        </w:rPr>
        <w:t xml:space="preserve"> Северо-Запада</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 xml:space="preserve"> распределяются на основании </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 xml:space="preserve">Методики распределения доходов и расходов </w:t>
      </w:r>
      <w:r w:rsidRPr="00C04ABD">
        <w:rPr>
          <w:rFonts w:ascii="Myriad Pro" w:eastAsia="Calibri" w:hAnsi="Myriad Pro" w:cs="Times New Roman"/>
          <w:sz w:val="26"/>
          <w:szCs w:val="26"/>
        </w:rPr>
        <w:lastRenderedPageBreak/>
        <w:t xml:space="preserve">исполнительного аппарата ПАО </w:t>
      </w:r>
      <w:r w:rsidR="00655FFA" w:rsidRPr="00C04ABD">
        <w:rPr>
          <w:rFonts w:ascii="Myriad Pro" w:eastAsia="Calibri" w:hAnsi="Myriad Pro" w:cs="Times New Roman"/>
          <w:sz w:val="26"/>
          <w:szCs w:val="26"/>
        </w:rPr>
        <w:t>«</w:t>
      </w:r>
      <w:r w:rsidR="00597FD5" w:rsidRPr="00C04ABD">
        <w:rPr>
          <w:rFonts w:ascii="Myriad Pro" w:eastAsia="Calibri" w:hAnsi="Myriad Pro" w:cs="Times New Roman"/>
          <w:sz w:val="26"/>
          <w:szCs w:val="26"/>
        </w:rPr>
        <w:t>МРСК Северо-Запада</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 xml:space="preserve"> (далее Методика), утвержденной приказом от 28.02.2016 № 836.</w:t>
      </w:r>
    </w:p>
    <w:p w14:paraId="1DF0BC2F" w14:textId="7ABEC5F8" w:rsidR="00A3527A" w:rsidRPr="00C04ABD" w:rsidRDefault="00A3527A" w:rsidP="00A31747">
      <w:pPr>
        <w:tabs>
          <w:tab w:val="left" w:pos="1134"/>
        </w:tabs>
        <w:spacing w:after="0" w:line="360" w:lineRule="auto"/>
        <w:ind w:firstLine="567"/>
        <w:jc w:val="both"/>
        <w:rPr>
          <w:rFonts w:ascii="Myriad Pro" w:eastAsia="Calibri" w:hAnsi="Myriad Pro" w:cs="Times New Roman"/>
          <w:sz w:val="26"/>
          <w:szCs w:val="26"/>
        </w:rPr>
      </w:pPr>
      <w:r w:rsidRPr="00C04ABD">
        <w:rPr>
          <w:rFonts w:ascii="Myriad Pro" w:eastAsia="Calibri" w:hAnsi="Myriad Pro" w:cs="Times New Roman"/>
          <w:sz w:val="26"/>
          <w:szCs w:val="26"/>
        </w:rPr>
        <w:t xml:space="preserve">Доходы и расходы исполнительного аппарата, в соответствии с пунктом 5.2.2 Методики распределения доходов и расходов исполнительного аппарата </w:t>
      </w:r>
      <w:r w:rsidR="00655FFA" w:rsidRPr="00C04ABD">
        <w:rPr>
          <w:rFonts w:ascii="Myriad Pro" w:eastAsia="Calibri" w:hAnsi="Myriad Pro" w:cs="Times New Roman"/>
          <w:sz w:val="26"/>
          <w:szCs w:val="26"/>
        </w:rPr>
        <w:t>ПАО</w:t>
      </w:r>
      <w:r w:rsidR="009808E8" w:rsidRPr="00C04ABD">
        <w:rPr>
          <w:rFonts w:ascii="Myriad Pro" w:eastAsia="Calibri" w:hAnsi="Myriad Pro" w:cs="Times New Roman"/>
          <w:sz w:val="26"/>
          <w:szCs w:val="26"/>
        </w:rPr>
        <w:t> </w:t>
      </w:r>
      <w:r w:rsidR="00655FFA" w:rsidRPr="00C04ABD">
        <w:rPr>
          <w:rFonts w:ascii="Myriad Pro" w:eastAsia="Calibri" w:hAnsi="Myriad Pro" w:cs="Times New Roman"/>
          <w:sz w:val="26"/>
          <w:szCs w:val="26"/>
        </w:rPr>
        <w:t xml:space="preserve">«МРСК </w:t>
      </w:r>
      <w:r w:rsidRPr="00C04ABD">
        <w:rPr>
          <w:rFonts w:ascii="Myriad Pro" w:eastAsia="Calibri" w:hAnsi="Myriad Pro" w:cs="Times New Roman"/>
          <w:sz w:val="26"/>
          <w:szCs w:val="26"/>
        </w:rPr>
        <w:t>Северо-Запада</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 xml:space="preserve">, утвержденной приказом генерального директора </w:t>
      </w:r>
      <w:r w:rsidR="00655FFA" w:rsidRPr="00C04ABD">
        <w:rPr>
          <w:rFonts w:ascii="Myriad Pro" w:eastAsia="Calibri" w:hAnsi="Myriad Pro" w:cs="Times New Roman"/>
          <w:sz w:val="26"/>
          <w:szCs w:val="26"/>
        </w:rPr>
        <w:t xml:space="preserve">ПАО «МРСК </w:t>
      </w:r>
      <w:r w:rsidRPr="00C04ABD">
        <w:rPr>
          <w:rFonts w:ascii="Myriad Pro" w:eastAsia="Calibri" w:hAnsi="Myriad Pro" w:cs="Times New Roman"/>
          <w:sz w:val="26"/>
          <w:szCs w:val="26"/>
        </w:rPr>
        <w:t>Северо-Запада</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 xml:space="preserve"> от 28.12.2016 № 836, распределяются между филиалами (</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Архэнерго</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 xml:space="preserve">, </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Вологдаэнерго</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 xml:space="preserve">, </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Карелэнерго</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 xml:space="preserve">, </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Колэнерго</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 xml:space="preserve">, </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Комиэнерго</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 xml:space="preserve">, </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Новгородэнерго</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 xml:space="preserve">, </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Псковэнерго</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 пропорционально утвержденной региональными регулирующими органами на текущий год  себестоимости услуг по передаче электрической энергии за исключением покупной электрической энергии на  компенсацию потерь и расходов на оплату услуг территориальных сетевых организаций.</w:t>
      </w:r>
    </w:p>
    <w:p w14:paraId="5EDCE45A" w14:textId="1D7FCA1F" w:rsidR="002E7C85" w:rsidRPr="00C04ABD" w:rsidRDefault="002E7C85"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Для подтверждения управленческих расходов регулируемой организацией была представлена бухгалтерская отчетность исполнительного аппарата за 2017</w:t>
      </w:r>
      <w:r w:rsidR="009808E8" w:rsidRPr="00C04ABD">
        <w:rPr>
          <w:rFonts w:ascii="Myriad Pro" w:eastAsia="Calibri" w:hAnsi="Myriad Pro" w:cs="Times New Roman"/>
          <w:sz w:val="26"/>
          <w:szCs w:val="26"/>
        </w:rPr>
        <w:t> </w:t>
      </w:r>
      <w:r w:rsidRPr="00C04ABD">
        <w:rPr>
          <w:rFonts w:ascii="Myriad Pro" w:eastAsia="Calibri" w:hAnsi="Myriad Pro" w:cs="Times New Roman"/>
          <w:sz w:val="26"/>
          <w:szCs w:val="26"/>
        </w:rPr>
        <w:t xml:space="preserve">гг., копии договоров, заключенных исполнительным аппаратом в 2017-2018 гг., а также конкурсная документация по закупкам, проведенным в 2018 году для обеспечения текущей деятельности на 2019 год. Выполнен расчет расходов на оплату труда, расчет амортизационных отчислений основных средств и нематериальных активов. В подтверждение расходов по арендной плате также представлено письмо собственника помещения ООО </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ДМД</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 xml:space="preserve"> с расчетом амортизационных отчислений и налога на имущество. Следует отметить, что в расчете амортизационных отчислений, направленном собственником, допущена ошиб</w:t>
      </w:r>
      <w:r w:rsidR="003F1A90" w:rsidRPr="00C04ABD">
        <w:rPr>
          <w:rFonts w:ascii="Myriad Pro" w:eastAsia="Calibri" w:hAnsi="Myriad Pro" w:cs="Times New Roman"/>
          <w:sz w:val="26"/>
          <w:szCs w:val="26"/>
        </w:rPr>
        <w:t>ка в части включения в плановые расходы годовой</w:t>
      </w:r>
      <w:r w:rsidR="00D779E0" w:rsidRPr="00C04ABD">
        <w:rPr>
          <w:rFonts w:ascii="Myriad Pro" w:eastAsia="Calibri" w:hAnsi="Myriad Pro" w:cs="Times New Roman"/>
          <w:sz w:val="26"/>
          <w:szCs w:val="26"/>
        </w:rPr>
        <w:t xml:space="preserve"> </w:t>
      </w:r>
      <w:r w:rsidR="003F1A90" w:rsidRPr="00C04ABD">
        <w:rPr>
          <w:rFonts w:ascii="Myriad Pro" w:eastAsia="Calibri" w:hAnsi="Myriad Pro" w:cs="Times New Roman"/>
          <w:sz w:val="26"/>
          <w:szCs w:val="26"/>
        </w:rPr>
        <w:t>величины</w:t>
      </w:r>
      <w:r w:rsidRPr="00C04ABD">
        <w:rPr>
          <w:rFonts w:ascii="Myriad Pro" w:eastAsia="Calibri" w:hAnsi="Myriad Pro" w:cs="Times New Roman"/>
          <w:sz w:val="26"/>
          <w:szCs w:val="26"/>
        </w:rPr>
        <w:t xml:space="preserve"> амортизации на 2019 год всей суммы амортизационных отчислений, начисленных с момент постановки на учет объекта основного средства (за 7 лет).</w:t>
      </w:r>
    </w:p>
    <w:p w14:paraId="3A72BC28" w14:textId="5E7B4978" w:rsidR="00A3527A" w:rsidRPr="00C04ABD" w:rsidRDefault="00A3527A"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Комитетом не принята часть управленческих расходов по причине их экономической нецелесообразности. Регулирующим органом не представлены пояснения и расчет учтенных расходов в НВВ 2019 года.</w:t>
      </w:r>
    </w:p>
    <w:p w14:paraId="5B3129EF" w14:textId="64943E6C" w:rsidR="002E7C85" w:rsidRPr="00C04ABD" w:rsidRDefault="002E7C85"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Данные в расчетных таблицах по факту 2017 году соответствуют данным</w:t>
      </w:r>
      <w:r w:rsidR="009C6C73" w:rsidRPr="00C04ABD">
        <w:rPr>
          <w:rFonts w:ascii="Myriad Pro" w:eastAsia="Calibri" w:hAnsi="Myriad Pro" w:cs="Times New Roman"/>
          <w:sz w:val="26"/>
          <w:szCs w:val="26"/>
        </w:rPr>
        <w:t>,</w:t>
      </w:r>
      <w:r w:rsidRPr="00C04ABD">
        <w:rPr>
          <w:rFonts w:ascii="Myriad Pro" w:eastAsia="Calibri" w:hAnsi="Myriad Pro" w:cs="Times New Roman"/>
          <w:sz w:val="26"/>
          <w:szCs w:val="26"/>
        </w:rPr>
        <w:t xml:space="preserve"> представленным в бухгалтерской отчетности.</w:t>
      </w:r>
    </w:p>
    <w:p w14:paraId="7A881A02" w14:textId="052A963A" w:rsidR="003C3306" w:rsidRPr="00FB0A3A" w:rsidRDefault="003C3306" w:rsidP="00AA7CB9">
      <w:pPr>
        <w:pStyle w:val="afff4"/>
        <w:rPr>
          <w:lang w:val="ru-RU"/>
        </w:rPr>
      </w:pPr>
      <w:r w:rsidRPr="00C04ABD">
        <w:rPr>
          <w:lang w:val="ru-RU"/>
        </w:rPr>
        <w:lastRenderedPageBreak/>
        <w:t xml:space="preserve">Как уже отмечалось ранее, Комитетом не принята часть управленческих расходов по причине их экономической нецелесообразности (по мнению регулятора). Регулирующим органом не представлены дополнительные пояснения относительно снижения подлежащих включению расходов на оплату труда. Как следует из Протокола Коллегии от 28-29.12.2018 г.  регулирующий орган считает экономически обоснованными </w:t>
      </w:r>
      <w:r w:rsidR="000C264C" w:rsidRPr="00C04ABD">
        <w:rPr>
          <w:lang w:val="ru-RU"/>
        </w:rPr>
        <w:t>расходами только</w:t>
      </w:r>
      <w:r w:rsidRPr="00C04ABD">
        <w:rPr>
          <w:lang w:val="ru-RU"/>
        </w:rPr>
        <w:t xml:space="preserve"> расходы </w:t>
      </w:r>
      <w:r w:rsidR="00655FFA" w:rsidRPr="00C04ABD">
        <w:rPr>
          <w:lang w:val="ru-RU"/>
        </w:rPr>
        <w:t>«</w:t>
      </w:r>
      <w:r w:rsidRPr="00C04ABD">
        <w:rPr>
          <w:lang w:val="ru-RU"/>
        </w:rPr>
        <w:t>являющиеся неотъемлемой частью функционирования исполнительного аппарата</w:t>
      </w:r>
      <w:r w:rsidR="00655FFA" w:rsidRPr="00C04ABD">
        <w:rPr>
          <w:lang w:val="ru-RU"/>
        </w:rPr>
        <w:t>»</w:t>
      </w:r>
      <w:r w:rsidRPr="00C04ABD">
        <w:rPr>
          <w:lang w:val="ru-RU"/>
        </w:rPr>
        <w:t xml:space="preserve">. При этом в состав соответствующих расходов не включены амортизация ОС, расходы на услуги сторожевой и вневедомственной охраны, услуги по подготовке кадров, расходы на содержание автотранспорта и налог на имущество. Объектами основных средств являются системы хранения данных, серверы, диспетчерский щит, а также мебель.  Принимая во внимание состав материалов, предоставленных филиалом ПАО </w:t>
      </w:r>
      <w:r w:rsidR="00655FFA" w:rsidRPr="00C04ABD">
        <w:rPr>
          <w:lang w:val="ru-RU"/>
        </w:rPr>
        <w:t>«</w:t>
      </w:r>
      <w:r w:rsidRPr="00C04ABD">
        <w:rPr>
          <w:lang w:val="ru-RU"/>
        </w:rPr>
        <w:t>МРСК Северо-Запада</w:t>
      </w:r>
      <w:r w:rsidR="00655FFA" w:rsidRPr="00C04ABD">
        <w:rPr>
          <w:lang w:val="ru-RU"/>
        </w:rPr>
        <w:t>»</w:t>
      </w:r>
      <w:r w:rsidRPr="00C04ABD">
        <w:rPr>
          <w:lang w:val="ru-RU"/>
        </w:rPr>
        <w:t xml:space="preserve"> </w:t>
      </w:r>
      <w:r w:rsidR="00655FFA" w:rsidRPr="00C04ABD">
        <w:rPr>
          <w:lang w:val="ru-RU"/>
        </w:rPr>
        <w:t>«</w:t>
      </w:r>
      <w:r w:rsidRPr="00C04ABD">
        <w:rPr>
          <w:lang w:val="ru-RU"/>
        </w:rPr>
        <w:t>Колэнерго</w:t>
      </w:r>
      <w:r w:rsidR="00655FFA" w:rsidRPr="00C04ABD">
        <w:rPr>
          <w:lang w:val="ru-RU"/>
        </w:rPr>
        <w:t>»</w:t>
      </w:r>
      <w:r w:rsidRPr="00C04ABD">
        <w:rPr>
          <w:lang w:val="ru-RU"/>
        </w:rPr>
        <w:t xml:space="preserve"> в регулирующий орган, Исполнитель считает обоснованными перечисленные выше затраты в составе управленческих расходов. </w:t>
      </w:r>
    </w:p>
    <w:tbl>
      <w:tblPr>
        <w:tblStyle w:val="afff6"/>
        <w:tblW w:w="5000" w:type="pct"/>
        <w:tblLook w:val="04A0" w:firstRow="1" w:lastRow="0" w:firstColumn="1" w:lastColumn="0" w:noHBand="0" w:noVBand="1"/>
      </w:tblPr>
      <w:tblGrid>
        <w:gridCol w:w="864"/>
        <w:gridCol w:w="3047"/>
        <w:gridCol w:w="1255"/>
        <w:gridCol w:w="2092"/>
        <w:gridCol w:w="2086"/>
      </w:tblGrid>
      <w:tr w:rsidR="00AA7CB9" w:rsidRPr="00FB0A3A" w14:paraId="641128E9" w14:textId="77777777" w:rsidTr="009071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5D7D3C1C" w14:textId="1F95EF16" w:rsidR="005A10B6" w:rsidRPr="00FB0A3A" w:rsidRDefault="00AA7CB9" w:rsidP="00AA7CB9">
            <w:pPr>
              <w:tabs>
                <w:tab w:val="left" w:pos="1134"/>
              </w:tabs>
              <w:jc w:val="center"/>
              <w:rPr>
                <w:rFonts w:eastAsia="Calibri" w:cs="Times New Roman"/>
                <w:szCs w:val="18"/>
              </w:rPr>
            </w:pPr>
            <w:r w:rsidRPr="00FB0A3A">
              <w:rPr>
                <w:rFonts w:eastAsia="Calibri" w:cs="Times New Roman"/>
                <w:szCs w:val="18"/>
              </w:rPr>
              <w:t>№</w:t>
            </w:r>
          </w:p>
        </w:tc>
        <w:tc>
          <w:tcPr>
            <w:tcW w:w="16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2877F708" w14:textId="77777777" w:rsidR="005A10B6" w:rsidRPr="00FB0A3A" w:rsidRDefault="005A10B6" w:rsidP="00AA7CB9">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Наименование</w:t>
            </w:r>
          </w:p>
        </w:tc>
        <w:tc>
          <w:tcPr>
            <w:tcW w:w="6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D4CC739" w14:textId="77777777" w:rsidR="005A10B6" w:rsidRPr="00FB0A3A" w:rsidRDefault="005A10B6" w:rsidP="00AA7CB9">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Сумма затрат 2017 год, тыс. руб.</w:t>
            </w:r>
          </w:p>
        </w:tc>
        <w:tc>
          <w:tcPr>
            <w:tcW w:w="11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5839CF7" w14:textId="77777777" w:rsidR="005A10B6" w:rsidRPr="00FB0A3A" w:rsidRDefault="005A10B6" w:rsidP="00AA7CB9">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Сумма плановых затрат 2019 год, тыс. руб.</w:t>
            </w:r>
            <w:r w:rsidRPr="00FB0A3A">
              <w:rPr>
                <w:rFonts w:eastAsia="Calibri" w:cs="Times New Roman"/>
                <w:szCs w:val="18"/>
              </w:rPr>
              <w:br/>
              <w:t>(предложение Филиала)</w:t>
            </w:r>
          </w:p>
        </w:tc>
        <w:tc>
          <w:tcPr>
            <w:tcW w:w="11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5297F9B" w14:textId="77777777" w:rsidR="005A10B6" w:rsidRPr="00FB0A3A" w:rsidRDefault="005A10B6" w:rsidP="00AA7CB9">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Сумма плановых затрат 2019 год, тыс. руб.</w:t>
            </w:r>
            <w:r w:rsidRPr="00FB0A3A">
              <w:rPr>
                <w:rFonts w:eastAsia="Calibri" w:cs="Times New Roman"/>
                <w:szCs w:val="18"/>
              </w:rPr>
              <w:br/>
              <w:t>(предложение Исполнителя)</w:t>
            </w:r>
          </w:p>
        </w:tc>
      </w:tr>
      <w:tr w:rsidR="00786ED1" w:rsidRPr="00FB0A3A" w14:paraId="22E02BCB" w14:textId="77777777" w:rsidTr="00907125">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tcBorders>
            <w:hideMark/>
          </w:tcPr>
          <w:p w14:paraId="015B570D" w14:textId="77777777" w:rsidR="005A10B6" w:rsidRPr="00FB0A3A" w:rsidRDefault="005A10B6" w:rsidP="00AA7CB9">
            <w:pPr>
              <w:tabs>
                <w:tab w:val="left" w:pos="1134"/>
              </w:tabs>
              <w:jc w:val="center"/>
              <w:rPr>
                <w:rFonts w:eastAsia="Calibri" w:cs="Times New Roman"/>
                <w:szCs w:val="18"/>
              </w:rPr>
            </w:pPr>
            <w:r w:rsidRPr="00FB0A3A">
              <w:rPr>
                <w:rFonts w:eastAsia="Calibri" w:cs="Times New Roman"/>
                <w:szCs w:val="18"/>
              </w:rPr>
              <w:t>1.</w:t>
            </w:r>
          </w:p>
        </w:tc>
        <w:tc>
          <w:tcPr>
            <w:tcW w:w="1633" w:type="pct"/>
            <w:tcBorders>
              <w:top w:val="single" w:sz="4" w:space="0" w:color="FFFFFF" w:themeColor="background1"/>
            </w:tcBorders>
            <w:hideMark/>
          </w:tcPr>
          <w:p w14:paraId="2827507C" w14:textId="77777777" w:rsidR="005A10B6" w:rsidRPr="00FB0A3A" w:rsidRDefault="005A10B6" w:rsidP="00AA7CB9">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Себестоимость всего</w:t>
            </w:r>
          </w:p>
        </w:tc>
        <w:tc>
          <w:tcPr>
            <w:tcW w:w="673" w:type="pct"/>
            <w:tcBorders>
              <w:top w:val="single" w:sz="4" w:space="0" w:color="FFFFFF" w:themeColor="background1"/>
            </w:tcBorders>
            <w:noWrap/>
            <w:hideMark/>
          </w:tcPr>
          <w:p w14:paraId="074778D2" w14:textId="6E6856FB" w:rsidR="005A10B6" w:rsidRPr="00FB0A3A" w:rsidRDefault="005A10B6" w:rsidP="00AA7CB9">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207 224,27</w:t>
            </w:r>
          </w:p>
        </w:tc>
        <w:tc>
          <w:tcPr>
            <w:tcW w:w="1121" w:type="pct"/>
            <w:tcBorders>
              <w:top w:val="single" w:sz="4" w:space="0" w:color="FFFFFF" w:themeColor="background1"/>
            </w:tcBorders>
            <w:noWrap/>
            <w:hideMark/>
          </w:tcPr>
          <w:p w14:paraId="5BF2D21D" w14:textId="33DDBD57" w:rsidR="005A10B6" w:rsidRPr="00FB0A3A" w:rsidRDefault="005A10B6" w:rsidP="00AA7CB9">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223 486,95</w:t>
            </w:r>
          </w:p>
        </w:tc>
        <w:tc>
          <w:tcPr>
            <w:tcW w:w="1117" w:type="pct"/>
            <w:tcBorders>
              <w:top w:val="single" w:sz="4" w:space="0" w:color="FFFFFF" w:themeColor="background1"/>
            </w:tcBorders>
            <w:noWrap/>
            <w:hideMark/>
          </w:tcPr>
          <w:p w14:paraId="0D737F1D" w14:textId="5CB58AA5" w:rsidR="005A10B6" w:rsidRPr="00FB0A3A" w:rsidRDefault="005A10B6" w:rsidP="00AA7CB9">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70 547,18</w:t>
            </w:r>
          </w:p>
        </w:tc>
      </w:tr>
      <w:tr w:rsidR="00786ED1" w:rsidRPr="00FB0A3A" w14:paraId="5DFCC8E5" w14:textId="77777777" w:rsidTr="00AA7CB9">
        <w:tc>
          <w:tcPr>
            <w:cnfStyle w:val="001000000000" w:firstRow="0" w:lastRow="0" w:firstColumn="1" w:lastColumn="0" w:oddVBand="0" w:evenVBand="0" w:oddHBand="0" w:evenHBand="0" w:firstRowFirstColumn="0" w:firstRowLastColumn="0" w:lastRowFirstColumn="0" w:lastRowLastColumn="0"/>
            <w:tcW w:w="0" w:type="auto"/>
            <w:hideMark/>
          </w:tcPr>
          <w:p w14:paraId="0CFCBD53" w14:textId="77777777" w:rsidR="005A10B6" w:rsidRPr="00FB0A3A" w:rsidRDefault="005A10B6" w:rsidP="00AA7CB9">
            <w:pPr>
              <w:tabs>
                <w:tab w:val="left" w:pos="1134"/>
              </w:tabs>
              <w:jc w:val="center"/>
              <w:rPr>
                <w:rFonts w:eastAsia="Calibri" w:cs="Times New Roman"/>
                <w:szCs w:val="18"/>
              </w:rPr>
            </w:pPr>
            <w:r w:rsidRPr="00FB0A3A">
              <w:rPr>
                <w:rFonts w:eastAsia="Calibri" w:cs="Times New Roman"/>
                <w:szCs w:val="18"/>
              </w:rPr>
              <w:t>1.1.</w:t>
            </w:r>
          </w:p>
        </w:tc>
        <w:tc>
          <w:tcPr>
            <w:tcW w:w="1633" w:type="pct"/>
            <w:hideMark/>
          </w:tcPr>
          <w:p w14:paraId="56F7E3EE" w14:textId="77777777" w:rsidR="005A10B6" w:rsidRPr="00FB0A3A" w:rsidRDefault="005A10B6" w:rsidP="00AA7CB9">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Материальные затраты</w:t>
            </w:r>
          </w:p>
        </w:tc>
        <w:tc>
          <w:tcPr>
            <w:tcW w:w="673" w:type="pct"/>
            <w:noWrap/>
            <w:hideMark/>
          </w:tcPr>
          <w:p w14:paraId="7EF005F0" w14:textId="3B94C631" w:rsidR="005A10B6" w:rsidRPr="00FB0A3A" w:rsidRDefault="005A10B6" w:rsidP="00AA7CB9">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12 409,03</w:t>
            </w:r>
          </w:p>
        </w:tc>
        <w:tc>
          <w:tcPr>
            <w:tcW w:w="1121" w:type="pct"/>
            <w:noWrap/>
            <w:hideMark/>
          </w:tcPr>
          <w:p w14:paraId="5920B847" w14:textId="55840F01" w:rsidR="005A10B6" w:rsidRPr="00FB0A3A" w:rsidRDefault="005A10B6" w:rsidP="00AA7CB9">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12 043,38</w:t>
            </w:r>
          </w:p>
        </w:tc>
        <w:tc>
          <w:tcPr>
            <w:tcW w:w="1117" w:type="pct"/>
            <w:noWrap/>
            <w:hideMark/>
          </w:tcPr>
          <w:p w14:paraId="574A71CE" w14:textId="464084F6" w:rsidR="005A10B6" w:rsidRPr="00FB0A3A" w:rsidRDefault="005A10B6" w:rsidP="00AA7CB9">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11 830,74</w:t>
            </w:r>
          </w:p>
        </w:tc>
      </w:tr>
      <w:tr w:rsidR="00786ED1" w:rsidRPr="00FB0A3A" w14:paraId="757C2CDB" w14:textId="77777777" w:rsidTr="00AA7CB9">
        <w:tc>
          <w:tcPr>
            <w:cnfStyle w:val="001000000000" w:firstRow="0" w:lastRow="0" w:firstColumn="1" w:lastColumn="0" w:oddVBand="0" w:evenVBand="0" w:oddHBand="0" w:evenHBand="0" w:firstRowFirstColumn="0" w:firstRowLastColumn="0" w:lastRowFirstColumn="0" w:lastRowLastColumn="0"/>
            <w:tcW w:w="0" w:type="auto"/>
            <w:hideMark/>
          </w:tcPr>
          <w:p w14:paraId="45B3E9F5" w14:textId="77777777" w:rsidR="005A10B6" w:rsidRPr="00FB0A3A" w:rsidRDefault="005A10B6" w:rsidP="00AA7CB9">
            <w:pPr>
              <w:tabs>
                <w:tab w:val="left" w:pos="1134"/>
              </w:tabs>
              <w:jc w:val="center"/>
              <w:rPr>
                <w:rFonts w:eastAsia="Calibri" w:cs="Times New Roman"/>
                <w:szCs w:val="18"/>
              </w:rPr>
            </w:pPr>
            <w:r w:rsidRPr="00FB0A3A">
              <w:rPr>
                <w:rFonts w:eastAsia="Calibri" w:cs="Times New Roman"/>
                <w:szCs w:val="18"/>
              </w:rPr>
              <w:t>1.1.1.</w:t>
            </w:r>
          </w:p>
        </w:tc>
        <w:tc>
          <w:tcPr>
            <w:tcW w:w="1633" w:type="pct"/>
            <w:hideMark/>
          </w:tcPr>
          <w:p w14:paraId="22234402" w14:textId="77777777" w:rsidR="005A10B6" w:rsidRPr="00FB0A3A" w:rsidRDefault="005A10B6" w:rsidP="00AA7CB9">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 xml:space="preserve">Сырье и материалы </w:t>
            </w:r>
          </w:p>
        </w:tc>
        <w:tc>
          <w:tcPr>
            <w:tcW w:w="673" w:type="pct"/>
            <w:noWrap/>
            <w:hideMark/>
          </w:tcPr>
          <w:p w14:paraId="3DF4B8B3" w14:textId="3439A4EA" w:rsidR="005A10B6" w:rsidRPr="00FB0A3A" w:rsidRDefault="005A10B6" w:rsidP="00AA7CB9">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1 003,00</w:t>
            </w:r>
          </w:p>
        </w:tc>
        <w:tc>
          <w:tcPr>
            <w:tcW w:w="1121" w:type="pct"/>
            <w:noWrap/>
            <w:hideMark/>
          </w:tcPr>
          <w:p w14:paraId="705E78CD" w14:textId="22786CCB" w:rsidR="005A10B6" w:rsidRPr="00FB0A3A" w:rsidRDefault="005A10B6" w:rsidP="00AA7CB9">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1 093,08</w:t>
            </w:r>
          </w:p>
        </w:tc>
        <w:tc>
          <w:tcPr>
            <w:tcW w:w="1117" w:type="pct"/>
            <w:noWrap/>
            <w:hideMark/>
          </w:tcPr>
          <w:p w14:paraId="734D3F24" w14:textId="00F25BAD" w:rsidR="005A10B6" w:rsidRPr="00FB0A3A" w:rsidRDefault="005A10B6" w:rsidP="00AA7CB9">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881,53</w:t>
            </w:r>
          </w:p>
        </w:tc>
      </w:tr>
      <w:tr w:rsidR="00786ED1" w:rsidRPr="00FB0A3A" w14:paraId="67E77164" w14:textId="77777777" w:rsidTr="00AA7CB9">
        <w:tc>
          <w:tcPr>
            <w:cnfStyle w:val="001000000000" w:firstRow="0" w:lastRow="0" w:firstColumn="1" w:lastColumn="0" w:oddVBand="0" w:evenVBand="0" w:oddHBand="0" w:evenHBand="0" w:firstRowFirstColumn="0" w:firstRowLastColumn="0" w:lastRowFirstColumn="0" w:lastRowLastColumn="0"/>
            <w:tcW w:w="0" w:type="auto"/>
            <w:hideMark/>
          </w:tcPr>
          <w:p w14:paraId="37D1B33D" w14:textId="77777777" w:rsidR="005A10B6" w:rsidRPr="00FB0A3A" w:rsidRDefault="005A10B6" w:rsidP="00AA7CB9">
            <w:pPr>
              <w:tabs>
                <w:tab w:val="left" w:pos="1134"/>
              </w:tabs>
              <w:jc w:val="center"/>
              <w:rPr>
                <w:rFonts w:eastAsia="Calibri" w:cs="Times New Roman"/>
                <w:szCs w:val="18"/>
              </w:rPr>
            </w:pPr>
            <w:r w:rsidRPr="00FB0A3A">
              <w:rPr>
                <w:rFonts w:eastAsia="Calibri" w:cs="Times New Roman"/>
                <w:szCs w:val="18"/>
              </w:rPr>
              <w:t>1.1.2.</w:t>
            </w:r>
          </w:p>
        </w:tc>
        <w:tc>
          <w:tcPr>
            <w:tcW w:w="1633" w:type="pct"/>
            <w:hideMark/>
          </w:tcPr>
          <w:p w14:paraId="02D5F15F" w14:textId="77777777" w:rsidR="005A10B6" w:rsidRPr="00FB0A3A" w:rsidRDefault="005A10B6" w:rsidP="00AA7CB9">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Работы и услуги производственного характера</w:t>
            </w:r>
          </w:p>
        </w:tc>
        <w:tc>
          <w:tcPr>
            <w:tcW w:w="673" w:type="pct"/>
            <w:noWrap/>
            <w:hideMark/>
          </w:tcPr>
          <w:p w14:paraId="6499848E" w14:textId="6CB3AA9A" w:rsidR="005A10B6" w:rsidRPr="00FB0A3A" w:rsidRDefault="005A10B6" w:rsidP="00AA7CB9">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11 406,04</w:t>
            </w:r>
          </w:p>
        </w:tc>
        <w:tc>
          <w:tcPr>
            <w:tcW w:w="1121" w:type="pct"/>
            <w:noWrap/>
            <w:hideMark/>
          </w:tcPr>
          <w:p w14:paraId="707F1A85" w14:textId="43A4BCF9" w:rsidR="005A10B6" w:rsidRPr="00FB0A3A" w:rsidRDefault="005A10B6" w:rsidP="00AA7CB9">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10 950,30</w:t>
            </w:r>
          </w:p>
        </w:tc>
        <w:tc>
          <w:tcPr>
            <w:tcW w:w="1117" w:type="pct"/>
            <w:noWrap/>
            <w:hideMark/>
          </w:tcPr>
          <w:p w14:paraId="5729567A" w14:textId="21F2788C" w:rsidR="005A10B6" w:rsidRPr="00FB0A3A" w:rsidRDefault="005A10B6" w:rsidP="00AA7CB9">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10 949,21</w:t>
            </w:r>
          </w:p>
        </w:tc>
      </w:tr>
      <w:tr w:rsidR="00786ED1" w:rsidRPr="00FB0A3A" w14:paraId="057E5FC7" w14:textId="77777777" w:rsidTr="00AA7CB9">
        <w:tc>
          <w:tcPr>
            <w:cnfStyle w:val="001000000000" w:firstRow="0" w:lastRow="0" w:firstColumn="1" w:lastColumn="0" w:oddVBand="0" w:evenVBand="0" w:oddHBand="0" w:evenHBand="0" w:firstRowFirstColumn="0" w:firstRowLastColumn="0" w:lastRowFirstColumn="0" w:lastRowLastColumn="0"/>
            <w:tcW w:w="0" w:type="auto"/>
            <w:hideMark/>
          </w:tcPr>
          <w:p w14:paraId="34F5F8D3" w14:textId="77777777" w:rsidR="005A10B6" w:rsidRPr="00FB0A3A" w:rsidRDefault="005A10B6" w:rsidP="00AA7CB9">
            <w:pPr>
              <w:tabs>
                <w:tab w:val="left" w:pos="1134"/>
              </w:tabs>
              <w:jc w:val="center"/>
              <w:rPr>
                <w:rFonts w:eastAsia="Calibri" w:cs="Times New Roman"/>
                <w:szCs w:val="18"/>
              </w:rPr>
            </w:pPr>
            <w:r w:rsidRPr="00FB0A3A">
              <w:rPr>
                <w:rFonts w:eastAsia="Calibri" w:cs="Times New Roman"/>
                <w:szCs w:val="18"/>
              </w:rPr>
              <w:t>1.1.2.1.1.</w:t>
            </w:r>
          </w:p>
        </w:tc>
        <w:tc>
          <w:tcPr>
            <w:tcW w:w="1633" w:type="pct"/>
            <w:hideMark/>
          </w:tcPr>
          <w:p w14:paraId="5B5774EB" w14:textId="77777777" w:rsidR="005A10B6" w:rsidRPr="00FB0A3A" w:rsidRDefault="005A10B6" w:rsidP="00AA7CB9">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Услуги подрядчиков по обслуживанию</w:t>
            </w:r>
          </w:p>
        </w:tc>
        <w:tc>
          <w:tcPr>
            <w:tcW w:w="673" w:type="pct"/>
            <w:noWrap/>
            <w:hideMark/>
          </w:tcPr>
          <w:p w14:paraId="452D330A" w14:textId="6E074F66" w:rsidR="005A10B6" w:rsidRPr="00FB0A3A" w:rsidRDefault="005A10B6" w:rsidP="00AA7CB9">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2 200,00</w:t>
            </w:r>
          </w:p>
        </w:tc>
        <w:tc>
          <w:tcPr>
            <w:tcW w:w="1121" w:type="pct"/>
            <w:noWrap/>
            <w:hideMark/>
          </w:tcPr>
          <w:p w14:paraId="720BCE09" w14:textId="297DF344" w:rsidR="005A10B6" w:rsidRPr="00FB0A3A" w:rsidRDefault="005A10B6" w:rsidP="00AA7CB9">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2 200,00</w:t>
            </w:r>
          </w:p>
        </w:tc>
        <w:tc>
          <w:tcPr>
            <w:tcW w:w="1117" w:type="pct"/>
            <w:noWrap/>
            <w:hideMark/>
          </w:tcPr>
          <w:p w14:paraId="49EC3371" w14:textId="5FEA513E" w:rsidR="005A10B6" w:rsidRPr="00FB0A3A" w:rsidRDefault="005A10B6" w:rsidP="00AA7CB9">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2 200,00</w:t>
            </w:r>
          </w:p>
        </w:tc>
      </w:tr>
      <w:tr w:rsidR="00786ED1" w:rsidRPr="00FB0A3A" w14:paraId="74B53641" w14:textId="77777777" w:rsidTr="00AA7CB9">
        <w:tc>
          <w:tcPr>
            <w:cnfStyle w:val="001000000000" w:firstRow="0" w:lastRow="0" w:firstColumn="1" w:lastColumn="0" w:oddVBand="0" w:evenVBand="0" w:oddHBand="0" w:evenHBand="0" w:firstRowFirstColumn="0" w:firstRowLastColumn="0" w:lastRowFirstColumn="0" w:lastRowLastColumn="0"/>
            <w:tcW w:w="0" w:type="auto"/>
            <w:hideMark/>
          </w:tcPr>
          <w:p w14:paraId="5C2D1415" w14:textId="77777777" w:rsidR="005A10B6" w:rsidRPr="00FB0A3A" w:rsidRDefault="005A10B6" w:rsidP="00AA7CB9">
            <w:pPr>
              <w:tabs>
                <w:tab w:val="left" w:pos="1134"/>
              </w:tabs>
              <w:jc w:val="center"/>
              <w:rPr>
                <w:rFonts w:eastAsia="Calibri" w:cs="Times New Roman"/>
                <w:szCs w:val="18"/>
              </w:rPr>
            </w:pPr>
            <w:r w:rsidRPr="00FB0A3A">
              <w:rPr>
                <w:rFonts w:eastAsia="Calibri" w:cs="Times New Roman"/>
                <w:szCs w:val="18"/>
              </w:rPr>
              <w:t>1.1.2.1.2.</w:t>
            </w:r>
          </w:p>
        </w:tc>
        <w:tc>
          <w:tcPr>
            <w:tcW w:w="1633" w:type="pct"/>
            <w:hideMark/>
          </w:tcPr>
          <w:p w14:paraId="48684BB6" w14:textId="77777777" w:rsidR="005A10B6" w:rsidRPr="00FB0A3A" w:rsidRDefault="005A10B6" w:rsidP="00AA7CB9">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Услуги подрядчиков по ремонту</w:t>
            </w:r>
          </w:p>
        </w:tc>
        <w:tc>
          <w:tcPr>
            <w:tcW w:w="673" w:type="pct"/>
            <w:noWrap/>
            <w:hideMark/>
          </w:tcPr>
          <w:p w14:paraId="642D560A" w14:textId="3B3B93B0" w:rsidR="005A10B6" w:rsidRPr="00FB0A3A" w:rsidRDefault="005A10B6" w:rsidP="00AA7CB9">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71,22</w:t>
            </w:r>
          </w:p>
        </w:tc>
        <w:tc>
          <w:tcPr>
            <w:tcW w:w="1121" w:type="pct"/>
            <w:noWrap/>
            <w:hideMark/>
          </w:tcPr>
          <w:p w14:paraId="3A4A9E11" w14:textId="779D8A72" w:rsidR="005A10B6" w:rsidRPr="00FB0A3A" w:rsidRDefault="005A10B6" w:rsidP="00AA7CB9">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77,62</w:t>
            </w:r>
          </w:p>
        </w:tc>
        <w:tc>
          <w:tcPr>
            <w:tcW w:w="1117" w:type="pct"/>
            <w:noWrap/>
            <w:hideMark/>
          </w:tcPr>
          <w:p w14:paraId="5B9EC33F" w14:textId="71D52A80" w:rsidR="005A10B6" w:rsidRPr="00FB0A3A" w:rsidRDefault="005A10B6" w:rsidP="00AA7CB9">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76,53</w:t>
            </w:r>
          </w:p>
        </w:tc>
      </w:tr>
      <w:tr w:rsidR="00786ED1" w:rsidRPr="00FB0A3A" w14:paraId="36C21DBB" w14:textId="77777777" w:rsidTr="00AA7CB9">
        <w:tc>
          <w:tcPr>
            <w:cnfStyle w:val="001000000000" w:firstRow="0" w:lastRow="0" w:firstColumn="1" w:lastColumn="0" w:oddVBand="0" w:evenVBand="0" w:oddHBand="0" w:evenHBand="0" w:firstRowFirstColumn="0" w:firstRowLastColumn="0" w:lastRowFirstColumn="0" w:lastRowLastColumn="0"/>
            <w:tcW w:w="0" w:type="auto"/>
            <w:hideMark/>
          </w:tcPr>
          <w:p w14:paraId="66EF4ACE" w14:textId="77777777" w:rsidR="005A10B6" w:rsidRPr="00FB0A3A" w:rsidRDefault="005A10B6" w:rsidP="00AA7CB9">
            <w:pPr>
              <w:tabs>
                <w:tab w:val="left" w:pos="1134"/>
              </w:tabs>
              <w:jc w:val="center"/>
              <w:rPr>
                <w:rFonts w:eastAsia="Calibri" w:cs="Times New Roman"/>
                <w:szCs w:val="18"/>
              </w:rPr>
            </w:pPr>
            <w:r w:rsidRPr="00FB0A3A">
              <w:rPr>
                <w:rFonts w:eastAsia="Calibri" w:cs="Times New Roman"/>
                <w:szCs w:val="18"/>
              </w:rPr>
              <w:t>1.1.2.2.</w:t>
            </w:r>
          </w:p>
        </w:tc>
        <w:tc>
          <w:tcPr>
            <w:tcW w:w="1633" w:type="pct"/>
            <w:hideMark/>
          </w:tcPr>
          <w:p w14:paraId="0515AFF5" w14:textId="77777777" w:rsidR="005A10B6" w:rsidRPr="00FB0A3A" w:rsidRDefault="005A10B6" w:rsidP="00AA7CB9">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Транспортные услуги</w:t>
            </w:r>
          </w:p>
        </w:tc>
        <w:tc>
          <w:tcPr>
            <w:tcW w:w="673" w:type="pct"/>
            <w:noWrap/>
            <w:hideMark/>
          </w:tcPr>
          <w:p w14:paraId="2C0C0BCB" w14:textId="19CC70B4" w:rsidR="005A10B6" w:rsidRPr="00FB0A3A" w:rsidRDefault="005A10B6" w:rsidP="00AA7CB9">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9 134,81</w:t>
            </w:r>
          </w:p>
        </w:tc>
        <w:tc>
          <w:tcPr>
            <w:tcW w:w="1121" w:type="pct"/>
            <w:noWrap/>
            <w:hideMark/>
          </w:tcPr>
          <w:p w14:paraId="652D30A7" w14:textId="530C7B23" w:rsidR="005A10B6" w:rsidRPr="00FB0A3A" w:rsidRDefault="005A10B6" w:rsidP="00AA7CB9">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8 672,68</w:t>
            </w:r>
          </w:p>
        </w:tc>
        <w:tc>
          <w:tcPr>
            <w:tcW w:w="1117" w:type="pct"/>
            <w:noWrap/>
            <w:hideMark/>
          </w:tcPr>
          <w:p w14:paraId="11B06291" w14:textId="20DCCE13" w:rsidR="005A10B6" w:rsidRPr="00FB0A3A" w:rsidRDefault="005A10B6" w:rsidP="00AA7CB9">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8 672,68</w:t>
            </w:r>
          </w:p>
        </w:tc>
      </w:tr>
      <w:tr w:rsidR="00786ED1" w:rsidRPr="00FB0A3A" w14:paraId="7300B089" w14:textId="77777777" w:rsidTr="00AA7CB9">
        <w:tc>
          <w:tcPr>
            <w:cnfStyle w:val="001000000000" w:firstRow="0" w:lastRow="0" w:firstColumn="1" w:lastColumn="0" w:oddVBand="0" w:evenVBand="0" w:oddHBand="0" w:evenHBand="0" w:firstRowFirstColumn="0" w:firstRowLastColumn="0" w:lastRowFirstColumn="0" w:lastRowLastColumn="0"/>
            <w:tcW w:w="0" w:type="auto"/>
            <w:hideMark/>
          </w:tcPr>
          <w:p w14:paraId="4FFB6C98" w14:textId="77777777" w:rsidR="005A10B6" w:rsidRPr="00FB0A3A" w:rsidRDefault="005A10B6" w:rsidP="00AA7CB9">
            <w:pPr>
              <w:tabs>
                <w:tab w:val="left" w:pos="1134"/>
              </w:tabs>
              <w:jc w:val="center"/>
              <w:rPr>
                <w:rFonts w:eastAsia="Calibri" w:cs="Times New Roman"/>
                <w:szCs w:val="18"/>
              </w:rPr>
            </w:pPr>
            <w:r w:rsidRPr="00FB0A3A">
              <w:rPr>
                <w:rFonts w:eastAsia="Calibri" w:cs="Times New Roman"/>
                <w:szCs w:val="18"/>
              </w:rPr>
              <w:t>1.2.</w:t>
            </w:r>
          </w:p>
        </w:tc>
        <w:tc>
          <w:tcPr>
            <w:tcW w:w="1633" w:type="pct"/>
            <w:hideMark/>
          </w:tcPr>
          <w:p w14:paraId="7B81DF01" w14:textId="77777777" w:rsidR="005A10B6" w:rsidRPr="00FB0A3A" w:rsidRDefault="005A10B6" w:rsidP="00AA7CB9">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Затраты на оплату труда</w:t>
            </w:r>
          </w:p>
        </w:tc>
        <w:tc>
          <w:tcPr>
            <w:tcW w:w="673" w:type="pct"/>
            <w:noWrap/>
            <w:hideMark/>
          </w:tcPr>
          <w:p w14:paraId="405516C2" w14:textId="51DA7901" w:rsidR="005A10B6" w:rsidRPr="00FB0A3A" w:rsidRDefault="005A10B6" w:rsidP="00AA7CB9">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91 043,06</w:t>
            </w:r>
          </w:p>
        </w:tc>
        <w:tc>
          <w:tcPr>
            <w:tcW w:w="1121" w:type="pct"/>
            <w:noWrap/>
            <w:hideMark/>
          </w:tcPr>
          <w:p w14:paraId="1B56F1D0" w14:textId="45610DDB" w:rsidR="005A10B6" w:rsidRPr="00FB0A3A" w:rsidRDefault="005A10B6" w:rsidP="00AA7CB9">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110 135,35</w:t>
            </w:r>
          </w:p>
        </w:tc>
        <w:tc>
          <w:tcPr>
            <w:tcW w:w="1117" w:type="pct"/>
            <w:noWrap/>
            <w:hideMark/>
          </w:tcPr>
          <w:p w14:paraId="71876A2A" w14:textId="375D5304" w:rsidR="005A10B6" w:rsidRPr="00FB0A3A" w:rsidRDefault="005A10B6" w:rsidP="00AA7CB9">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43 915,80</w:t>
            </w:r>
          </w:p>
        </w:tc>
      </w:tr>
      <w:tr w:rsidR="00786ED1" w:rsidRPr="00FB0A3A" w14:paraId="112EA7A1" w14:textId="77777777" w:rsidTr="00AA7CB9">
        <w:tc>
          <w:tcPr>
            <w:cnfStyle w:val="001000000000" w:firstRow="0" w:lastRow="0" w:firstColumn="1" w:lastColumn="0" w:oddVBand="0" w:evenVBand="0" w:oddHBand="0" w:evenHBand="0" w:firstRowFirstColumn="0" w:firstRowLastColumn="0" w:lastRowFirstColumn="0" w:lastRowLastColumn="0"/>
            <w:tcW w:w="0" w:type="auto"/>
            <w:hideMark/>
          </w:tcPr>
          <w:p w14:paraId="7C816B88" w14:textId="77777777" w:rsidR="005A10B6" w:rsidRPr="00FB0A3A" w:rsidRDefault="005A10B6" w:rsidP="00AA7CB9">
            <w:pPr>
              <w:tabs>
                <w:tab w:val="left" w:pos="1134"/>
              </w:tabs>
              <w:jc w:val="center"/>
              <w:rPr>
                <w:rFonts w:eastAsia="Calibri" w:cs="Times New Roman"/>
                <w:szCs w:val="18"/>
              </w:rPr>
            </w:pPr>
            <w:r w:rsidRPr="00FB0A3A">
              <w:rPr>
                <w:rFonts w:eastAsia="Calibri" w:cs="Times New Roman"/>
                <w:szCs w:val="18"/>
              </w:rPr>
              <w:t>1.3.</w:t>
            </w:r>
          </w:p>
        </w:tc>
        <w:tc>
          <w:tcPr>
            <w:tcW w:w="1633" w:type="pct"/>
            <w:hideMark/>
          </w:tcPr>
          <w:p w14:paraId="0C0732AD" w14:textId="77777777" w:rsidR="005A10B6" w:rsidRPr="00FB0A3A" w:rsidRDefault="005A10B6" w:rsidP="00AA7CB9">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Страховые взносы</w:t>
            </w:r>
          </w:p>
        </w:tc>
        <w:tc>
          <w:tcPr>
            <w:tcW w:w="673" w:type="pct"/>
            <w:noWrap/>
            <w:hideMark/>
          </w:tcPr>
          <w:p w14:paraId="0B2FCA7A" w14:textId="12468CBC" w:rsidR="005A10B6" w:rsidRPr="00FB0A3A" w:rsidRDefault="005A10B6" w:rsidP="00AA7CB9">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21 034,58</w:t>
            </w:r>
          </w:p>
        </w:tc>
        <w:tc>
          <w:tcPr>
            <w:tcW w:w="1121" w:type="pct"/>
            <w:noWrap/>
            <w:hideMark/>
          </w:tcPr>
          <w:p w14:paraId="43776391" w14:textId="3791B854" w:rsidR="005A10B6" w:rsidRPr="00FB0A3A" w:rsidRDefault="005A10B6" w:rsidP="00AA7CB9">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25 445,66</w:t>
            </w:r>
          </w:p>
        </w:tc>
        <w:tc>
          <w:tcPr>
            <w:tcW w:w="1117" w:type="pct"/>
            <w:noWrap/>
            <w:hideMark/>
          </w:tcPr>
          <w:p w14:paraId="563382D2" w14:textId="6C59328C" w:rsidR="005A10B6" w:rsidRPr="00FB0A3A" w:rsidRDefault="005A10B6" w:rsidP="00AA7CB9">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10 146,30</w:t>
            </w:r>
          </w:p>
        </w:tc>
      </w:tr>
      <w:tr w:rsidR="00786ED1" w:rsidRPr="00FB0A3A" w14:paraId="25646A0C" w14:textId="77777777" w:rsidTr="00AA7CB9">
        <w:tc>
          <w:tcPr>
            <w:cnfStyle w:val="001000000000" w:firstRow="0" w:lastRow="0" w:firstColumn="1" w:lastColumn="0" w:oddVBand="0" w:evenVBand="0" w:oddHBand="0" w:evenHBand="0" w:firstRowFirstColumn="0" w:firstRowLastColumn="0" w:lastRowFirstColumn="0" w:lastRowLastColumn="0"/>
            <w:tcW w:w="0" w:type="auto"/>
            <w:hideMark/>
          </w:tcPr>
          <w:p w14:paraId="45E19033" w14:textId="77777777" w:rsidR="005A10B6" w:rsidRPr="00FB0A3A" w:rsidRDefault="005A10B6" w:rsidP="00AA7CB9">
            <w:pPr>
              <w:tabs>
                <w:tab w:val="left" w:pos="1134"/>
              </w:tabs>
              <w:jc w:val="center"/>
              <w:rPr>
                <w:rFonts w:eastAsia="Calibri" w:cs="Times New Roman"/>
                <w:szCs w:val="18"/>
              </w:rPr>
            </w:pPr>
            <w:r w:rsidRPr="00FB0A3A">
              <w:rPr>
                <w:rFonts w:eastAsia="Calibri" w:cs="Times New Roman"/>
                <w:szCs w:val="18"/>
              </w:rPr>
              <w:t>1.4.</w:t>
            </w:r>
          </w:p>
        </w:tc>
        <w:tc>
          <w:tcPr>
            <w:tcW w:w="1633" w:type="pct"/>
            <w:hideMark/>
          </w:tcPr>
          <w:p w14:paraId="7965BDA7" w14:textId="77777777" w:rsidR="005A10B6" w:rsidRPr="00FB0A3A" w:rsidRDefault="005A10B6" w:rsidP="00AA7CB9">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Отчисления на НПО</w:t>
            </w:r>
          </w:p>
        </w:tc>
        <w:tc>
          <w:tcPr>
            <w:tcW w:w="673" w:type="pct"/>
            <w:noWrap/>
            <w:hideMark/>
          </w:tcPr>
          <w:p w14:paraId="4F29BAA9" w14:textId="34F5225E" w:rsidR="005A10B6" w:rsidRPr="00FB0A3A" w:rsidRDefault="005A10B6" w:rsidP="00AA7CB9">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669,88</w:t>
            </w:r>
          </w:p>
        </w:tc>
        <w:tc>
          <w:tcPr>
            <w:tcW w:w="1121" w:type="pct"/>
            <w:noWrap/>
            <w:hideMark/>
          </w:tcPr>
          <w:p w14:paraId="0EEABD24" w14:textId="3B342D37" w:rsidR="005A10B6" w:rsidRPr="00FB0A3A" w:rsidRDefault="005A10B6" w:rsidP="00AA7CB9">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730,05</w:t>
            </w:r>
          </w:p>
        </w:tc>
        <w:tc>
          <w:tcPr>
            <w:tcW w:w="1117" w:type="pct"/>
            <w:noWrap/>
            <w:hideMark/>
          </w:tcPr>
          <w:p w14:paraId="5E66B617" w14:textId="5BB7723E" w:rsidR="005A10B6" w:rsidRPr="00FB0A3A" w:rsidRDefault="005A10B6" w:rsidP="00AA7CB9">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0,00</w:t>
            </w:r>
          </w:p>
        </w:tc>
      </w:tr>
      <w:tr w:rsidR="00786ED1" w:rsidRPr="00FB0A3A" w14:paraId="76BA86D1" w14:textId="77777777" w:rsidTr="00AA7CB9">
        <w:tc>
          <w:tcPr>
            <w:cnfStyle w:val="001000000000" w:firstRow="0" w:lastRow="0" w:firstColumn="1" w:lastColumn="0" w:oddVBand="0" w:evenVBand="0" w:oddHBand="0" w:evenHBand="0" w:firstRowFirstColumn="0" w:firstRowLastColumn="0" w:lastRowFirstColumn="0" w:lastRowLastColumn="0"/>
            <w:tcW w:w="0" w:type="auto"/>
            <w:hideMark/>
          </w:tcPr>
          <w:p w14:paraId="18451219" w14:textId="77777777" w:rsidR="005A10B6" w:rsidRPr="00FB0A3A" w:rsidRDefault="005A10B6" w:rsidP="00AA7CB9">
            <w:pPr>
              <w:tabs>
                <w:tab w:val="left" w:pos="1134"/>
              </w:tabs>
              <w:jc w:val="center"/>
              <w:rPr>
                <w:rFonts w:eastAsia="Calibri" w:cs="Times New Roman"/>
                <w:szCs w:val="18"/>
              </w:rPr>
            </w:pPr>
            <w:r w:rsidRPr="00FB0A3A">
              <w:rPr>
                <w:rFonts w:eastAsia="Calibri" w:cs="Times New Roman"/>
                <w:szCs w:val="18"/>
              </w:rPr>
              <w:t>1.5.</w:t>
            </w:r>
          </w:p>
        </w:tc>
        <w:tc>
          <w:tcPr>
            <w:tcW w:w="1633" w:type="pct"/>
            <w:hideMark/>
          </w:tcPr>
          <w:p w14:paraId="2CD4045A" w14:textId="77777777" w:rsidR="005A10B6" w:rsidRPr="00FB0A3A" w:rsidRDefault="005A10B6" w:rsidP="00AA7CB9">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Амортизация</w:t>
            </w:r>
          </w:p>
        </w:tc>
        <w:tc>
          <w:tcPr>
            <w:tcW w:w="673" w:type="pct"/>
            <w:hideMark/>
          </w:tcPr>
          <w:p w14:paraId="5CB7BE2B" w14:textId="77777777" w:rsidR="005A10B6" w:rsidRPr="00FB0A3A" w:rsidRDefault="005A10B6" w:rsidP="00AA7CB9">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1 374,13</w:t>
            </w:r>
          </w:p>
        </w:tc>
        <w:tc>
          <w:tcPr>
            <w:tcW w:w="1121" w:type="pct"/>
            <w:hideMark/>
          </w:tcPr>
          <w:p w14:paraId="100770C9" w14:textId="77777777" w:rsidR="005A10B6" w:rsidRPr="00FB0A3A" w:rsidRDefault="005A10B6" w:rsidP="00AA7CB9">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1 346,33</w:t>
            </w:r>
          </w:p>
        </w:tc>
        <w:tc>
          <w:tcPr>
            <w:tcW w:w="1117" w:type="pct"/>
            <w:noWrap/>
            <w:hideMark/>
          </w:tcPr>
          <w:p w14:paraId="087E777C" w14:textId="27A69781" w:rsidR="005A10B6" w:rsidRPr="00FB0A3A" w:rsidRDefault="005A10B6" w:rsidP="00AA7CB9">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1 346,33</w:t>
            </w:r>
          </w:p>
        </w:tc>
      </w:tr>
      <w:tr w:rsidR="00786ED1" w:rsidRPr="00FB0A3A" w14:paraId="11EA2FF6" w14:textId="77777777" w:rsidTr="00AA7CB9">
        <w:tc>
          <w:tcPr>
            <w:cnfStyle w:val="001000000000" w:firstRow="0" w:lastRow="0" w:firstColumn="1" w:lastColumn="0" w:oddVBand="0" w:evenVBand="0" w:oddHBand="0" w:evenHBand="0" w:firstRowFirstColumn="0" w:firstRowLastColumn="0" w:lastRowFirstColumn="0" w:lastRowLastColumn="0"/>
            <w:tcW w:w="0" w:type="auto"/>
            <w:hideMark/>
          </w:tcPr>
          <w:p w14:paraId="6CD2F7A9" w14:textId="77777777" w:rsidR="005A10B6" w:rsidRPr="00FB0A3A" w:rsidRDefault="005A10B6" w:rsidP="00AA7CB9">
            <w:pPr>
              <w:tabs>
                <w:tab w:val="left" w:pos="1134"/>
              </w:tabs>
              <w:jc w:val="center"/>
              <w:rPr>
                <w:rFonts w:eastAsia="Calibri" w:cs="Times New Roman"/>
                <w:szCs w:val="18"/>
              </w:rPr>
            </w:pPr>
            <w:r w:rsidRPr="00FB0A3A">
              <w:rPr>
                <w:rFonts w:eastAsia="Calibri" w:cs="Times New Roman"/>
                <w:szCs w:val="18"/>
              </w:rPr>
              <w:t>1.6.</w:t>
            </w:r>
          </w:p>
        </w:tc>
        <w:tc>
          <w:tcPr>
            <w:tcW w:w="1633" w:type="pct"/>
            <w:hideMark/>
          </w:tcPr>
          <w:p w14:paraId="7473F26C" w14:textId="77777777" w:rsidR="005A10B6" w:rsidRPr="00FB0A3A" w:rsidRDefault="005A10B6" w:rsidP="00AA7CB9">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Прочие затраты</w:t>
            </w:r>
          </w:p>
        </w:tc>
        <w:tc>
          <w:tcPr>
            <w:tcW w:w="673" w:type="pct"/>
            <w:noWrap/>
            <w:hideMark/>
          </w:tcPr>
          <w:p w14:paraId="1F2805F5" w14:textId="3D0F07AE" w:rsidR="005A10B6" w:rsidRPr="00FB0A3A" w:rsidRDefault="005A10B6" w:rsidP="00AA7CB9">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80 693,58</w:t>
            </w:r>
          </w:p>
        </w:tc>
        <w:tc>
          <w:tcPr>
            <w:tcW w:w="1121" w:type="pct"/>
            <w:noWrap/>
            <w:hideMark/>
          </w:tcPr>
          <w:p w14:paraId="5D79510F" w14:textId="04A6738F" w:rsidR="005A10B6" w:rsidRPr="00FB0A3A" w:rsidRDefault="005A10B6" w:rsidP="00AA7CB9">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73 786,17</w:t>
            </w:r>
          </w:p>
        </w:tc>
        <w:tc>
          <w:tcPr>
            <w:tcW w:w="1117" w:type="pct"/>
            <w:noWrap/>
            <w:hideMark/>
          </w:tcPr>
          <w:p w14:paraId="12278A1D" w14:textId="00ABE429" w:rsidR="005A10B6" w:rsidRPr="00FB0A3A" w:rsidRDefault="005A10B6" w:rsidP="00AA7CB9">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3 308,00</w:t>
            </w:r>
          </w:p>
        </w:tc>
      </w:tr>
      <w:tr w:rsidR="00786ED1" w:rsidRPr="00FB0A3A" w14:paraId="7CBE7A8D" w14:textId="77777777" w:rsidTr="00AA7CB9">
        <w:tc>
          <w:tcPr>
            <w:cnfStyle w:val="001000000000" w:firstRow="0" w:lastRow="0" w:firstColumn="1" w:lastColumn="0" w:oddVBand="0" w:evenVBand="0" w:oddHBand="0" w:evenHBand="0" w:firstRowFirstColumn="0" w:firstRowLastColumn="0" w:lastRowFirstColumn="0" w:lastRowLastColumn="0"/>
            <w:tcW w:w="0" w:type="auto"/>
            <w:hideMark/>
          </w:tcPr>
          <w:p w14:paraId="603EB766" w14:textId="77777777" w:rsidR="005A10B6" w:rsidRPr="00FB0A3A" w:rsidRDefault="005A10B6" w:rsidP="00AA7CB9">
            <w:pPr>
              <w:tabs>
                <w:tab w:val="left" w:pos="1134"/>
              </w:tabs>
              <w:jc w:val="center"/>
              <w:rPr>
                <w:rFonts w:eastAsia="Calibri" w:cs="Times New Roman"/>
                <w:szCs w:val="18"/>
              </w:rPr>
            </w:pPr>
            <w:r w:rsidRPr="00FB0A3A">
              <w:rPr>
                <w:rFonts w:eastAsia="Calibri" w:cs="Times New Roman"/>
                <w:szCs w:val="18"/>
              </w:rPr>
              <w:t>1.6.1.</w:t>
            </w:r>
          </w:p>
        </w:tc>
        <w:tc>
          <w:tcPr>
            <w:tcW w:w="1633" w:type="pct"/>
            <w:hideMark/>
          </w:tcPr>
          <w:p w14:paraId="610EA563" w14:textId="77777777" w:rsidR="005A10B6" w:rsidRPr="00FB0A3A" w:rsidRDefault="005A10B6" w:rsidP="00AA7CB9">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Арендная плата</w:t>
            </w:r>
          </w:p>
        </w:tc>
        <w:tc>
          <w:tcPr>
            <w:tcW w:w="673" w:type="pct"/>
            <w:noWrap/>
            <w:hideMark/>
          </w:tcPr>
          <w:p w14:paraId="09EB9EEF" w14:textId="5D5C96A4" w:rsidR="005A10B6" w:rsidRPr="00FB0A3A" w:rsidRDefault="005A10B6" w:rsidP="00AA7CB9">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12 840,08</w:t>
            </w:r>
          </w:p>
        </w:tc>
        <w:tc>
          <w:tcPr>
            <w:tcW w:w="1121" w:type="pct"/>
            <w:noWrap/>
            <w:hideMark/>
          </w:tcPr>
          <w:p w14:paraId="2F3CF3BE" w14:textId="440BEFB0" w:rsidR="005A10B6" w:rsidRPr="00FB0A3A" w:rsidRDefault="005A10B6" w:rsidP="00AA7CB9">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5 838,37</w:t>
            </w:r>
          </w:p>
        </w:tc>
        <w:tc>
          <w:tcPr>
            <w:tcW w:w="1117" w:type="pct"/>
            <w:noWrap/>
            <w:hideMark/>
          </w:tcPr>
          <w:p w14:paraId="505F8D59" w14:textId="18F71DA3" w:rsidR="005A10B6" w:rsidRPr="00FB0A3A" w:rsidRDefault="005A10B6" w:rsidP="00AA7CB9">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0,00</w:t>
            </w:r>
          </w:p>
        </w:tc>
      </w:tr>
      <w:tr w:rsidR="00786ED1" w:rsidRPr="00FB0A3A" w14:paraId="5BCAE01D" w14:textId="77777777" w:rsidTr="00AA7CB9">
        <w:tc>
          <w:tcPr>
            <w:cnfStyle w:val="001000000000" w:firstRow="0" w:lastRow="0" w:firstColumn="1" w:lastColumn="0" w:oddVBand="0" w:evenVBand="0" w:oddHBand="0" w:evenHBand="0" w:firstRowFirstColumn="0" w:firstRowLastColumn="0" w:lastRowFirstColumn="0" w:lastRowLastColumn="0"/>
            <w:tcW w:w="0" w:type="auto"/>
            <w:hideMark/>
          </w:tcPr>
          <w:p w14:paraId="327070A7" w14:textId="77777777" w:rsidR="005A10B6" w:rsidRPr="00FB0A3A" w:rsidRDefault="005A10B6" w:rsidP="00AA7CB9">
            <w:pPr>
              <w:tabs>
                <w:tab w:val="left" w:pos="1134"/>
              </w:tabs>
              <w:jc w:val="center"/>
              <w:rPr>
                <w:rFonts w:eastAsia="Calibri" w:cs="Times New Roman"/>
                <w:szCs w:val="18"/>
              </w:rPr>
            </w:pPr>
            <w:r w:rsidRPr="00FB0A3A">
              <w:rPr>
                <w:rFonts w:eastAsia="Calibri" w:cs="Times New Roman"/>
                <w:szCs w:val="18"/>
              </w:rPr>
              <w:t>1.6.2.</w:t>
            </w:r>
          </w:p>
        </w:tc>
        <w:tc>
          <w:tcPr>
            <w:tcW w:w="1633" w:type="pct"/>
            <w:hideMark/>
          </w:tcPr>
          <w:p w14:paraId="1E9E9335" w14:textId="77777777" w:rsidR="005A10B6" w:rsidRPr="00FB0A3A" w:rsidRDefault="005A10B6" w:rsidP="00AA7CB9">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Услуги сторонних организаций</w:t>
            </w:r>
          </w:p>
        </w:tc>
        <w:tc>
          <w:tcPr>
            <w:tcW w:w="673" w:type="pct"/>
            <w:noWrap/>
            <w:hideMark/>
          </w:tcPr>
          <w:p w14:paraId="4482183E" w14:textId="5B38C2DD" w:rsidR="005A10B6" w:rsidRPr="00FB0A3A" w:rsidRDefault="005A10B6" w:rsidP="00AA7CB9">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47 996,90</w:t>
            </w:r>
          </w:p>
        </w:tc>
        <w:tc>
          <w:tcPr>
            <w:tcW w:w="1121" w:type="pct"/>
            <w:noWrap/>
            <w:hideMark/>
          </w:tcPr>
          <w:p w14:paraId="4DE8E102" w14:textId="2B989185" w:rsidR="005A10B6" w:rsidRPr="00FB0A3A" w:rsidRDefault="005A10B6" w:rsidP="00AA7CB9">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46 312,41</w:t>
            </w:r>
          </w:p>
        </w:tc>
        <w:tc>
          <w:tcPr>
            <w:tcW w:w="1117" w:type="pct"/>
            <w:noWrap/>
            <w:hideMark/>
          </w:tcPr>
          <w:p w14:paraId="7A0CE570" w14:textId="1713711D" w:rsidR="005A10B6" w:rsidRPr="00FB0A3A" w:rsidRDefault="005A10B6" w:rsidP="00AA7CB9">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3 249,61</w:t>
            </w:r>
          </w:p>
        </w:tc>
      </w:tr>
      <w:tr w:rsidR="00786ED1" w:rsidRPr="00FB0A3A" w14:paraId="63ED272C" w14:textId="77777777" w:rsidTr="00AA7CB9">
        <w:tc>
          <w:tcPr>
            <w:cnfStyle w:val="001000000000" w:firstRow="0" w:lastRow="0" w:firstColumn="1" w:lastColumn="0" w:oddVBand="0" w:evenVBand="0" w:oddHBand="0" w:evenHBand="0" w:firstRowFirstColumn="0" w:firstRowLastColumn="0" w:lastRowFirstColumn="0" w:lastRowLastColumn="0"/>
            <w:tcW w:w="0" w:type="auto"/>
            <w:hideMark/>
          </w:tcPr>
          <w:p w14:paraId="11049E11" w14:textId="77777777" w:rsidR="005A10B6" w:rsidRPr="00FB0A3A" w:rsidRDefault="005A10B6" w:rsidP="00AA7CB9">
            <w:pPr>
              <w:tabs>
                <w:tab w:val="left" w:pos="1134"/>
              </w:tabs>
              <w:jc w:val="center"/>
              <w:rPr>
                <w:rFonts w:eastAsia="Calibri" w:cs="Times New Roman"/>
                <w:szCs w:val="18"/>
              </w:rPr>
            </w:pPr>
            <w:r w:rsidRPr="00FB0A3A">
              <w:rPr>
                <w:rFonts w:eastAsia="Calibri" w:cs="Times New Roman"/>
                <w:szCs w:val="18"/>
              </w:rPr>
              <w:t>1.6.2.1.</w:t>
            </w:r>
          </w:p>
        </w:tc>
        <w:tc>
          <w:tcPr>
            <w:tcW w:w="1633" w:type="pct"/>
            <w:hideMark/>
          </w:tcPr>
          <w:p w14:paraId="7930AA5E" w14:textId="77777777" w:rsidR="005A10B6" w:rsidRPr="00FB0A3A" w:rsidRDefault="005A10B6" w:rsidP="00AA7CB9">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Коммунальные услуги</w:t>
            </w:r>
          </w:p>
        </w:tc>
        <w:tc>
          <w:tcPr>
            <w:tcW w:w="673" w:type="pct"/>
            <w:noWrap/>
            <w:hideMark/>
          </w:tcPr>
          <w:p w14:paraId="5B04E131" w14:textId="5FE7182F" w:rsidR="005A10B6" w:rsidRPr="00FB0A3A" w:rsidRDefault="005A10B6" w:rsidP="00AA7CB9">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655,39</w:t>
            </w:r>
          </w:p>
        </w:tc>
        <w:tc>
          <w:tcPr>
            <w:tcW w:w="1121" w:type="pct"/>
            <w:noWrap/>
            <w:hideMark/>
          </w:tcPr>
          <w:p w14:paraId="653FF72E" w14:textId="3F97BB2F" w:rsidR="005A10B6" w:rsidRPr="00FB0A3A" w:rsidRDefault="005A10B6" w:rsidP="00AA7CB9">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714,26</w:t>
            </w:r>
          </w:p>
        </w:tc>
        <w:tc>
          <w:tcPr>
            <w:tcW w:w="1117" w:type="pct"/>
            <w:noWrap/>
            <w:hideMark/>
          </w:tcPr>
          <w:p w14:paraId="61FA8C81" w14:textId="3AF4DA6F" w:rsidR="005A10B6" w:rsidRPr="00FB0A3A" w:rsidRDefault="005A10B6" w:rsidP="00AA7CB9">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704,26</w:t>
            </w:r>
          </w:p>
        </w:tc>
      </w:tr>
      <w:tr w:rsidR="00786ED1" w:rsidRPr="00FB0A3A" w14:paraId="38FC8EAB" w14:textId="77777777" w:rsidTr="00AA7CB9">
        <w:tc>
          <w:tcPr>
            <w:cnfStyle w:val="001000000000" w:firstRow="0" w:lastRow="0" w:firstColumn="1" w:lastColumn="0" w:oddVBand="0" w:evenVBand="0" w:oddHBand="0" w:evenHBand="0" w:firstRowFirstColumn="0" w:firstRowLastColumn="0" w:lastRowFirstColumn="0" w:lastRowLastColumn="0"/>
            <w:tcW w:w="0" w:type="auto"/>
            <w:hideMark/>
          </w:tcPr>
          <w:p w14:paraId="1C04BBEC" w14:textId="77777777" w:rsidR="005A10B6" w:rsidRPr="00FB0A3A" w:rsidRDefault="005A10B6" w:rsidP="00AA7CB9">
            <w:pPr>
              <w:tabs>
                <w:tab w:val="left" w:pos="1134"/>
              </w:tabs>
              <w:jc w:val="center"/>
              <w:rPr>
                <w:rFonts w:eastAsia="Calibri" w:cs="Times New Roman"/>
                <w:szCs w:val="18"/>
              </w:rPr>
            </w:pPr>
            <w:r w:rsidRPr="00FB0A3A">
              <w:rPr>
                <w:rFonts w:eastAsia="Calibri" w:cs="Times New Roman"/>
                <w:szCs w:val="18"/>
              </w:rPr>
              <w:t>1.6.2.2.</w:t>
            </w:r>
          </w:p>
        </w:tc>
        <w:tc>
          <w:tcPr>
            <w:tcW w:w="1633" w:type="pct"/>
            <w:hideMark/>
          </w:tcPr>
          <w:p w14:paraId="7CAA06A7" w14:textId="77777777" w:rsidR="005A10B6" w:rsidRPr="00FB0A3A" w:rsidRDefault="005A10B6" w:rsidP="00AA7CB9">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Услуги связи</w:t>
            </w:r>
          </w:p>
        </w:tc>
        <w:tc>
          <w:tcPr>
            <w:tcW w:w="673" w:type="pct"/>
            <w:noWrap/>
            <w:hideMark/>
          </w:tcPr>
          <w:p w14:paraId="21CE1E2B" w14:textId="5E6C9E6D" w:rsidR="005A10B6" w:rsidRPr="00FB0A3A" w:rsidRDefault="005A10B6" w:rsidP="00AA7CB9">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758,84</w:t>
            </w:r>
          </w:p>
        </w:tc>
        <w:tc>
          <w:tcPr>
            <w:tcW w:w="1121" w:type="pct"/>
            <w:noWrap/>
            <w:hideMark/>
          </w:tcPr>
          <w:p w14:paraId="7B6827DE" w14:textId="0806AE18" w:rsidR="005A10B6" w:rsidRPr="00FB0A3A" w:rsidRDefault="005A10B6" w:rsidP="00AA7CB9">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826,99</w:t>
            </w:r>
          </w:p>
        </w:tc>
        <w:tc>
          <w:tcPr>
            <w:tcW w:w="1117" w:type="pct"/>
            <w:noWrap/>
            <w:hideMark/>
          </w:tcPr>
          <w:p w14:paraId="65CE5E17" w14:textId="035170D1" w:rsidR="005A10B6" w:rsidRPr="00FB0A3A" w:rsidRDefault="005A10B6" w:rsidP="00AA7CB9">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815,41</w:t>
            </w:r>
          </w:p>
        </w:tc>
      </w:tr>
      <w:tr w:rsidR="00786ED1" w:rsidRPr="00FB0A3A" w14:paraId="380A09D3" w14:textId="77777777" w:rsidTr="00AA7CB9">
        <w:tc>
          <w:tcPr>
            <w:cnfStyle w:val="001000000000" w:firstRow="0" w:lastRow="0" w:firstColumn="1" w:lastColumn="0" w:oddVBand="0" w:evenVBand="0" w:oddHBand="0" w:evenHBand="0" w:firstRowFirstColumn="0" w:firstRowLastColumn="0" w:lastRowFirstColumn="0" w:lastRowLastColumn="0"/>
            <w:tcW w:w="0" w:type="auto"/>
            <w:hideMark/>
          </w:tcPr>
          <w:p w14:paraId="4BFA08B1" w14:textId="77777777" w:rsidR="005A10B6" w:rsidRPr="00FB0A3A" w:rsidRDefault="005A10B6" w:rsidP="00AA7CB9">
            <w:pPr>
              <w:tabs>
                <w:tab w:val="left" w:pos="1134"/>
              </w:tabs>
              <w:jc w:val="center"/>
              <w:rPr>
                <w:rFonts w:eastAsia="Calibri" w:cs="Times New Roman"/>
                <w:szCs w:val="18"/>
              </w:rPr>
            </w:pPr>
            <w:r w:rsidRPr="00FB0A3A">
              <w:rPr>
                <w:rFonts w:eastAsia="Calibri" w:cs="Times New Roman"/>
                <w:szCs w:val="18"/>
              </w:rPr>
              <w:t>1.6.2.3.</w:t>
            </w:r>
          </w:p>
        </w:tc>
        <w:tc>
          <w:tcPr>
            <w:tcW w:w="1633" w:type="pct"/>
            <w:hideMark/>
          </w:tcPr>
          <w:p w14:paraId="522C4E95" w14:textId="77777777" w:rsidR="005A10B6" w:rsidRPr="00FB0A3A" w:rsidRDefault="005A10B6" w:rsidP="00AA7CB9">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Аренда каналов связи</w:t>
            </w:r>
          </w:p>
        </w:tc>
        <w:tc>
          <w:tcPr>
            <w:tcW w:w="673" w:type="pct"/>
            <w:noWrap/>
            <w:hideMark/>
          </w:tcPr>
          <w:p w14:paraId="08CF93A2" w14:textId="6661A7D6" w:rsidR="005A10B6" w:rsidRPr="00FB0A3A" w:rsidRDefault="005A10B6" w:rsidP="00AA7CB9">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244,67</w:t>
            </w:r>
          </w:p>
        </w:tc>
        <w:tc>
          <w:tcPr>
            <w:tcW w:w="1121" w:type="pct"/>
            <w:noWrap/>
            <w:hideMark/>
          </w:tcPr>
          <w:p w14:paraId="1E5F57BD" w14:textId="4B70B980" w:rsidR="005A10B6" w:rsidRPr="00FB0A3A" w:rsidRDefault="005A10B6" w:rsidP="00AA7CB9">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266,65</w:t>
            </w:r>
          </w:p>
        </w:tc>
        <w:tc>
          <w:tcPr>
            <w:tcW w:w="1117" w:type="pct"/>
            <w:noWrap/>
            <w:hideMark/>
          </w:tcPr>
          <w:p w14:paraId="4AB5B5BE" w14:textId="3E893E8A" w:rsidR="005A10B6" w:rsidRPr="00FB0A3A" w:rsidRDefault="005A10B6" w:rsidP="00AA7CB9">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262,91</w:t>
            </w:r>
          </w:p>
        </w:tc>
      </w:tr>
      <w:tr w:rsidR="00786ED1" w:rsidRPr="00FB0A3A" w14:paraId="59334455" w14:textId="77777777" w:rsidTr="00AA7CB9">
        <w:tc>
          <w:tcPr>
            <w:cnfStyle w:val="001000000000" w:firstRow="0" w:lastRow="0" w:firstColumn="1" w:lastColumn="0" w:oddVBand="0" w:evenVBand="0" w:oddHBand="0" w:evenHBand="0" w:firstRowFirstColumn="0" w:firstRowLastColumn="0" w:lastRowFirstColumn="0" w:lastRowLastColumn="0"/>
            <w:tcW w:w="0" w:type="auto"/>
            <w:hideMark/>
          </w:tcPr>
          <w:p w14:paraId="7427A849" w14:textId="77777777" w:rsidR="005A10B6" w:rsidRPr="00FB0A3A" w:rsidRDefault="005A10B6" w:rsidP="00AA7CB9">
            <w:pPr>
              <w:tabs>
                <w:tab w:val="left" w:pos="1134"/>
              </w:tabs>
              <w:jc w:val="center"/>
              <w:rPr>
                <w:rFonts w:eastAsia="Calibri" w:cs="Times New Roman"/>
                <w:szCs w:val="18"/>
              </w:rPr>
            </w:pPr>
            <w:r w:rsidRPr="00FB0A3A">
              <w:rPr>
                <w:rFonts w:eastAsia="Calibri" w:cs="Times New Roman"/>
                <w:szCs w:val="18"/>
              </w:rPr>
              <w:lastRenderedPageBreak/>
              <w:t>1.6.2.4.</w:t>
            </w:r>
          </w:p>
        </w:tc>
        <w:tc>
          <w:tcPr>
            <w:tcW w:w="1633" w:type="pct"/>
            <w:hideMark/>
          </w:tcPr>
          <w:p w14:paraId="306FE10C" w14:textId="77777777" w:rsidR="005A10B6" w:rsidRPr="00FB0A3A" w:rsidRDefault="005A10B6" w:rsidP="00AA7CB9">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Почтово-телеграфные расходы</w:t>
            </w:r>
          </w:p>
        </w:tc>
        <w:tc>
          <w:tcPr>
            <w:tcW w:w="673" w:type="pct"/>
            <w:noWrap/>
            <w:hideMark/>
          </w:tcPr>
          <w:p w14:paraId="4F194BD2" w14:textId="32310236" w:rsidR="005A10B6" w:rsidRPr="00FB0A3A" w:rsidRDefault="005A10B6" w:rsidP="00AA7CB9">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142,32</w:t>
            </w:r>
          </w:p>
        </w:tc>
        <w:tc>
          <w:tcPr>
            <w:tcW w:w="1121" w:type="pct"/>
            <w:noWrap/>
            <w:hideMark/>
          </w:tcPr>
          <w:p w14:paraId="187E958D" w14:textId="1D2E8F6F" w:rsidR="005A10B6" w:rsidRPr="00FB0A3A" w:rsidRDefault="005A10B6" w:rsidP="00AA7CB9">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155,11</w:t>
            </w:r>
          </w:p>
        </w:tc>
        <w:tc>
          <w:tcPr>
            <w:tcW w:w="1117" w:type="pct"/>
            <w:noWrap/>
            <w:hideMark/>
          </w:tcPr>
          <w:p w14:paraId="4B3C0908" w14:textId="1E41698C" w:rsidR="005A10B6" w:rsidRPr="00FB0A3A" w:rsidRDefault="005A10B6" w:rsidP="00AA7CB9">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152,94</w:t>
            </w:r>
          </w:p>
        </w:tc>
      </w:tr>
      <w:tr w:rsidR="00786ED1" w:rsidRPr="00FB0A3A" w14:paraId="30F9D854" w14:textId="77777777" w:rsidTr="00AA7CB9">
        <w:tc>
          <w:tcPr>
            <w:cnfStyle w:val="001000000000" w:firstRow="0" w:lastRow="0" w:firstColumn="1" w:lastColumn="0" w:oddVBand="0" w:evenVBand="0" w:oddHBand="0" w:evenHBand="0" w:firstRowFirstColumn="0" w:firstRowLastColumn="0" w:lastRowFirstColumn="0" w:lastRowLastColumn="0"/>
            <w:tcW w:w="0" w:type="auto"/>
            <w:hideMark/>
          </w:tcPr>
          <w:p w14:paraId="1ED15536" w14:textId="77777777" w:rsidR="005A10B6" w:rsidRPr="00FB0A3A" w:rsidRDefault="005A10B6" w:rsidP="00AA7CB9">
            <w:pPr>
              <w:tabs>
                <w:tab w:val="left" w:pos="1134"/>
              </w:tabs>
              <w:jc w:val="center"/>
              <w:rPr>
                <w:rFonts w:eastAsia="Calibri" w:cs="Times New Roman"/>
                <w:szCs w:val="18"/>
              </w:rPr>
            </w:pPr>
            <w:r w:rsidRPr="00FB0A3A">
              <w:rPr>
                <w:rFonts w:eastAsia="Calibri" w:cs="Times New Roman"/>
                <w:szCs w:val="18"/>
              </w:rPr>
              <w:t>1.6.2.5.</w:t>
            </w:r>
          </w:p>
        </w:tc>
        <w:tc>
          <w:tcPr>
            <w:tcW w:w="1633" w:type="pct"/>
            <w:hideMark/>
          </w:tcPr>
          <w:p w14:paraId="5FBEB469" w14:textId="77777777" w:rsidR="005A10B6" w:rsidRPr="00FB0A3A" w:rsidRDefault="005A10B6" w:rsidP="00AA7CB9">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Консультационные услуги</w:t>
            </w:r>
          </w:p>
        </w:tc>
        <w:tc>
          <w:tcPr>
            <w:tcW w:w="673" w:type="pct"/>
            <w:noWrap/>
            <w:hideMark/>
          </w:tcPr>
          <w:p w14:paraId="321BF809" w14:textId="4E7AD9A1" w:rsidR="005A10B6" w:rsidRPr="00FB0A3A" w:rsidRDefault="005A10B6" w:rsidP="00AA7CB9">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33 084,52</w:t>
            </w:r>
          </w:p>
        </w:tc>
        <w:tc>
          <w:tcPr>
            <w:tcW w:w="1121" w:type="pct"/>
            <w:noWrap/>
            <w:hideMark/>
          </w:tcPr>
          <w:p w14:paraId="76074D94" w14:textId="59FBD10D" w:rsidR="005A10B6" w:rsidRPr="00FB0A3A" w:rsidRDefault="005A10B6" w:rsidP="00AA7CB9">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32 308,40</w:t>
            </w:r>
          </w:p>
        </w:tc>
        <w:tc>
          <w:tcPr>
            <w:tcW w:w="1117" w:type="pct"/>
            <w:noWrap/>
            <w:hideMark/>
          </w:tcPr>
          <w:p w14:paraId="11381E94" w14:textId="2C8FB837" w:rsidR="005A10B6" w:rsidRPr="00FB0A3A" w:rsidRDefault="005A10B6" w:rsidP="00AA7CB9">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0,00</w:t>
            </w:r>
          </w:p>
        </w:tc>
      </w:tr>
      <w:tr w:rsidR="00786ED1" w:rsidRPr="00FB0A3A" w14:paraId="731750B7" w14:textId="77777777" w:rsidTr="00AA7CB9">
        <w:tc>
          <w:tcPr>
            <w:cnfStyle w:val="001000000000" w:firstRow="0" w:lastRow="0" w:firstColumn="1" w:lastColumn="0" w:oddVBand="0" w:evenVBand="0" w:oddHBand="0" w:evenHBand="0" w:firstRowFirstColumn="0" w:firstRowLastColumn="0" w:lastRowFirstColumn="0" w:lastRowLastColumn="0"/>
            <w:tcW w:w="0" w:type="auto"/>
            <w:hideMark/>
          </w:tcPr>
          <w:p w14:paraId="7BECC9B5" w14:textId="77777777" w:rsidR="005A10B6" w:rsidRPr="00FB0A3A" w:rsidRDefault="005A10B6" w:rsidP="00AA7CB9">
            <w:pPr>
              <w:tabs>
                <w:tab w:val="left" w:pos="1134"/>
              </w:tabs>
              <w:jc w:val="center"/>
              <w:rPr>
                <w:rFonts w:eastAsia="Calibri" w:cs="Times New Roman"/>
                <w:szCs w:val="18"/>
              </w:rPr>
            </w:pPr>
            <w:r w:rsidRPr="00FB0A3A">
              <w:rPr>
                <w:rFonts w:eastAsia="Calibri" w:cs="Times New Roman"/>
                <w:szCs w:val="18"/>
              </w:rPr>
              <w:t>1.6.2.6.</w:t>
            </w:r>
          </w:p>
        </w:tc>
        <w:tc>
          <w:tcPr>
            <w:tcW w:w="1633" w:type="pct"/>
            <w:hideMark/>
          </w:tcPr>
          <w:p w14:paraId="460311A0" w14:textId="77777777" w:rsidR="005A10B6" w:rsidRPr="00FB0A3A" w:rsidRDefault="005A10B6" w:rsidP="00AA7CB9">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Аудиторские услуги</w:t>
            </w:r>
          </w:p>
        </w:tc>
        <w:tc>
          <w:tcPr>
            <w:tcW w:w="673" w:type="pct"/>
            <w:noWrap/>
            <w:hideMark/>
          </w:tcPr>
          <w:p w14:paraId="7EC7FE1D" w14:textId="44CA390D" w:rsidR="005A10B6" w:rsidRPr="00FB0A3A" w:rsidRDefault="005A10B6" w:rsidP="00AA7CB9">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463,20</w:t>
            </w:r>
          </w:p>
        </w:tc>
        <w:tc>
          <w:tcPr>
            <w:tcW w:w="1121" w:type="pct"/>
            <w:noWrap/>
            <w:hideMark/>
          </w:tcPr>
          <w:p w14:paraId="596C9A51" w14:textId="1CFB7BCC" w:rsidR="005A10B6" w:rsidRPr="00FB0A3A" w:rsidRDefault="005A10B6" w:rsidP="00AA7CB9">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504,80</w:t>
            </w:r>
          </w:p>
        </w:tc>
        <w:tc>
          <w:tcPr>
            <w:tcW w:w="1117" w:type="pct"/>
            <w:noWrap/>
            <w:hideMark/>
          </w:tcPr>
          <w:p w14:paraId="3668F1F7" w14:textId="76C903F1" w:rsidR="005A10B6" w:rsidRPr="00FB0A3A" w:rsidRDefault="005A10B6" w:rsidP="00AA7CB9">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497,73</w:t>
            </w:r>
          </w:p>
        </w:tc>
      </w:tr>
      <w:tr w:rsidR="00786ED1" w:rsidRPr="00FB0A3A" w14:paraId="4D36F296" w14:textId="77777777" w:rsidTr="00AA7CB9">
        <w:tc>
          <w:tcPr>
            <w:cnfStyle w:val="001000000000" w:firstRow="0" w:lastRow="0" w:firstColumn="1" w:lastColumn="0" w:oddVBand="0" w:evenVBand="0" w:oddHBand="0" w:evenHBand="0" w:firstRowFirstColumn="0" w:firstRowLastColumn="0" w:lastRowFirstColumn="0" w:lastRowLastColumn="0"/>
            <w:tcW w:w="0" w:type="auto"/>
            <w:hideMark/>
          </w:tcPr>
          <w:p w14:paraId="60808154" w14:textId="77777777" w:rsidR="005A10B6" w:rsidRPr="00FB0A3A" w:rsidRDefault="005A10B6" w:rsidP="00AA7CB9">
            <w:pPr>
              <w:tabs>
                <w:tab w:val="left" w:pos="1134"/>
              </w:tabs>
              <w:jc w:val="center"/>
              <w:rPr>
                <w:rFonts w:eastAsia="Calibri" w:cs="Times New Roman"/>
                <w:szCs w:val="18"/>
              </w:rPr>
            </w:pPr>
            <w:r w:rsidRPr="00FB0A3A">
              <w:rPr>
                <w:rFonts w:eastAsia="Calibri" w:cs="Times New Roman"/>
                <w:szCs w:val="18"/>
              </w:rPr>
              <w:t>1.6.2.7.</w:t>
            </w:r>
          </w:p>
        </w:tc>
        <w:tc>
          <w:tcPr>
            <w:tcW w:w="1633" w:type="pct"/>
            <w:hideMark/>
          </w:tcPr>
          <w:p w14:paraId="3CEE4F4E" w14:textId="77777777" w:rsidR="005A10B6" w:rsidRPr="00FB0A3A" w:rsidRDefault="005A10B6" w:rsidP="00AA7CB9">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Юридические и нотариальные услуги</w:t>
            </w:r>
          </w:p>
        </w:tc>
        <w:tc>
          <w:tcPr>
            <w:tcW w:w="673" w:type="pct"/>
            <w:hideMark/>
          </w:tcPr>
          <w:p w14:paraId="1D652A5F" w14:textId="77777777" w:rsidR="005A10B6" w:rsidRPr="00FB0A3A" w:rsidRDefault="005A10B6" w:rsidP="00AA7CB9">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53,66</w:t>
            </w:r>
          </w:p>
        </w:tc>
        <w:tc>
          <w:tcPr>
            <w:tcW w:w="1121" w:type="pct"/>
            <w:hideMark/>
          </w:tcPr>
          <w:p w14:paraId="4D17397B" w14:textId="77777777" w:rsidR="005A10B6" w:rsidRPr="00FB0A3A" w:rsidRDefault="005A10B6" w:rsidP="00AA7CB9">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27,52</w:t>
            </w:r>
          </w:p>
        </w:tc>
        <w:tc>
          <w:tcPr>
            <w:tcW w:w="1117" w:type="pct"/>
            <w:noWrap/>
            <w:hideMark/>
          </w:tcPr>
          <w:p w14:paraId="0F04FBA7" w14:textId="18A935A8" w:rsidR="005A10B6" w:rsidRPr="00FB0A3A" w:rsidRDefault="005A10B6" w:rsidP="00AA7CB9">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57,66</w:t>
            </w:r>
          </w:p>
        </w:tc>
      </w:tr>
      <w:tr w:rsidR="00786ED1" w:rsidRPr="00FB0A3A" w14:paraId="609A441A" w14:textId="77777777" w:rsidTr="00AA7CB9">
        <w:tc>
          <w:tcPr>
            <w:cnfStyle w:val="001000000000" w:firstRow="0" w:lastRow="0" w:firstColumn="1" w:lastColumn="0" w:oddVBand="0" w:evenVBand="0" w:oddHBand="0" w:evenHBand="0" w:firstRowFirstColumn="0" w:firstRowLastColumn="0" w:lastRowFirstColumn="0" w:lastRowLastColumn="0"/>
            <w:tcW w:w="0" w:type="auto"/>
            <w:hideMark/>
          </w:tcPr>
          <w:p w14:paraId="500531D1" w14:textId="77777777" w:rsidR="005A10B6" w:rsidRPr="00FB0A3A" w:rsidRDefault="005A10B6" w:rsidP="00AA7CB9">
            <w:pPr>
              <w:tabs>
                <w:tab w:val="left" w:pos="1134"/>
              </w:tabs>
              <w:jc w:val="center"/>
              <w:rPr>
                <w:rFonts w:eastAsia="Calibri" w:cs="Times New Roman"/>
                <w:szCs w:val="18"/>
              </w:rPr>
            </w:pPr>
            <w:r w:rsidRPr="00FB0A3A">
              <w:rPr>
                <w:rFonts w:eastAsia="Calibri" w:cs="Times New Roman"/>
                <w:szCs w:val="18"/>
              </w:rPr>
              <w:t>1.6.2.8.</w:t>
            </w:r>
          </w:p>
        </w:tc>
        <w:tc>
          <w:tcPr>
            <w:tcW w:w="1633" w:type="pct"/>
            <w:hideMark/>
          </w:tcPr>
          <w:p w14:paraId="72550A25" w14:textId="77777777" w:rsidR="005A10B6" w:rsidRPr="00FB0A3A" w:rsidRDefault="005A10B6" w:rsidP="00AA7CB9">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Информационные услуги</w:t>
            </w:r>
          </w:p>
        </w:tc>
        <w:tc>
          <w:tcPr>
            <w:tcW w:w="673" w:type="pct"/>
            <w:noWrap/>
            <w:hideMark/>
          </w:tcPr>
          <w:p w14:paraId="43732ADF" w14:textId="2E7C204F" w:rsidR="005A10B6" w:rsidRPr="00FB0A3A" w:rsidRDefault="005A10B6" w:rsidP="00AA7CB9">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136,38</w:t>
            </w:r>
          </w:p>
        </w:tc>
        <w:tc>
          <w:tcPr>
            <w:tcW w:w="1121" w:type="pct"/>
            <w:noWrap/>
            <w:hideMark/>
          </w:tcPr>
          <w:p w14:paraId="3440898D" w14:textId="6AF04BF7" w:rsidR="005A10B6" w:rsidRPr="00FB0A3A" w:rsidRDefault="005A10B6" w:rsidP="00AA7CB9">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148,63</w:t>
            </w:r>
          </w:p>
        </w:tc>
        <w:tc>
          <w:tcPr>
            <w:tcW w:w="1117" w:type="pct"/>
            <w:noWrap/>
            <w:hideMark/>
          </w:tcPr>
          <w:p w14:paraId="2AE9A637" w14:textId="1F9F37B2" w:rsidR="005A10B6" w:rsidRPr="00FB0A3A" w:rsidRDefault="005A10B6" w:rsidP="00AA7CB9">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0,00</w:t>
            </w:r>
          </w:p>
        </w:tc>
      </w:tr>
      <w:tr w:rsidR="00786ED1" w:rsidRPr="00FB0A3A" w14:paraId="7141D43F" w14:textId="77777777" w:rsidTr="00AA7CB9">
        <w:tc>
          <w:tcPr>
            <w:cnfStyle w:val="001000000000" w:firstRow="0" w:lastRow="0" w:firstColumn="1" w:lastColumn="0" w:oddVBand="0" w:evenVBand="0" w:oddHBand="0" w:evenHBand="0" w:firstRowFirstColumn="0" w:firstRowLastColumn="0" w:lastRowFirstColumn="0" w:lastRowLastColumn="0"/>
            <w:tcW w:w="0" w:type="auto"/>
            <w:hideMark/>
          </w:tcPr>
          <w:p w14:paraId="19337529" w14:textId="77777777" w:rsidR="005A10B6" w:rsidRPr="00FB0A3A" w:rsidRDefault="005A10B6" w:rsidP="00AA7CB9">
            <w:pPr>
              <w:tabs>
                <w:tab w:val="left" w:pos="1134"/>
              </w:tabs>
              <w:jc w:val="center"/>
              <w:rPr>
                <w:rFonts w:eastAsia="Calibri" w:cs="Times New Roman"/>
                <w:szCs w:val="18"/>
              </w:rPr>
            </w:pPr>
            <w:r w:rsidRPr="00FB0A3A">
              <w:rPr>
                <w:rFonts w:eastAsia="Calibri" w:cs="Times New Roman"/>
                <w:szCs w:val="18"/>
              </w:rPr>
              <w:t>1.6.2.9.</w:t>
            </w:r>
          </w:p>
        </w:tc>
        <w:tc>
          <w:tcPr>
            <w:tcW w:w="1633" w:type="pct"/>
            <w:hideMark/>
          </w:tcPr>
          <w:p w14:paraId="662265F5" w14:textId="77777777" w:rsidR="005A10B6" w:rsidRPr="00FB0A3A" w:rsidRDefault="005A10B6" w:rsidP="00AA7CB9">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Расходы на рекламу и PR</w:t>
            </w:r>
          </w:p>
        </w:tc>
        <w:tc>
          <w:tcPr>
            <w:tcW w:w="673" w:type="pct"/>
            <w:noWrap/>
            <w:hideMark/>
          </w:tcPr>
          <w:p w14:paraId="50AE4D75" w14:textId="3A286FF8" w:rsidR="005A10B6" w:rsidRPr="00FB0A3A" w:rsidRDefault="005A10B6" w:rsidP="00AA7CB9">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5 666,92</w:t>
            </w:r>
          </w:p>
        </w:tc>
        <w:tc>
          <w:tcPr>
            <w:tcW w:w="1121" w:type="pct"/>
            <w:noWrap/>
            <w:hideMark/>
          </w:tcPr>
          <w:p w14:paraId="49DE5918" w14:textId="3C5C61CC" w:rsidR="005A10B6" w:rsidRPr="00FB0A3A" w:rsidRDefault="005A10B6" w:rsidP="00AA7CB9">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3 861,78</w:t>
            </w:r>
          </w:p>
        </w:tc>
        <w:tc>
          <w:tcPr>
            <w:tcW w:w="1117" w:type="pct"/>
            <w:noWrap/>
            <w:hideMark/>
          </w:tcPr>
          <w:p w14:paraId="720CD485" w14:textId="3F20ADBF" w:rsidR="005A10B6" w:rsidRPr="00FB0A3A" w:rsidRDefault="005A10B6" w:rsidP="00AA7CB9">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0,00</w:t>
            </w:r>
          </w:p>
        </w:tc>
      </w:tr>
      <w:tr w:rsidR="00786ED1" w:rsidRPr="00FB0A3A" w14:paraId="3A4056C3" w14:textId="77777777" w:rsidTr="00AA7CB9">
        <w:tc>
          <w:tcPr>
            <w:cnfStyle w:val="001000000000" w:firstRow="0" w:lastRow="0" w:firstColumn="1" w:lastColumn="0" w:oddVBand="0" w:evenVBand="0" w:oddHBand="0" w:evenHBand="0" w:firstRowFirstColumn="0" w:firstRowLastColumn="0" w:lastRowFirstColumn="0" w:lastRowLastColumn="0"/>
            <w:tcW w:w="0" w:type="auto"/>
            <w:hideMark/>
          </w:tcPr>
          <w:p w14:paraId="05785E51" w14:textId="77777777" w:rsidR="005A10B6" w:rsidRPr="00FB0A3A" w:rsidRDefault="005A10B6" w:rsidP="00AA7CB9">
            <w:pPr>
              <w:tabs>
                <w:tab w:val="left" w:pos="1134"/>
              </w:tabs>
              <w:jc w:val="center"/>
              <w:rPr>
                <w:rFonts w:eastAsia="Calibri" w:cs="Times New Roman"/>
                <w:szCs w:val="18"/>
              </w:rPr>
            </w:pPr>
            <w:r w:rsidRPr="00FB0A3A">
              <w:rPr>
                <w:rFonts w:eastAsia="Calibri" w:cs="Times New Roman"/>
                <w:szCs w:val="18"/>
              </w:rPr>
              <w:t>1.6.2.10.</w:t>
            </w:r>
          </w:p>
        </w:tc>
        <w:tc>
          <w:tcPr>
            <w:tcW w:w="1633" w:type="pct"/>
            <w:hideMark/>
          </w:tcPr>
          <w:p w14:paraId="75C6EC6A" w14:textId="77777777" w:rsidR="005A10B6" w:rsidRPr="00FB0A3A" w:rsidRDefault="005A10B6" w:rsidP="00AA7CB9">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Услуги сторожевой и вневедомственной охраны</w:t>
            </w:r>
          </w:p>
        </w:tc>
        <w:tc>
          <w:tcPr>
            <w:tcW w:w="673" w:type="pct"/>
            <w:noWrap/>
            <w:hideMark/>
          </w:tcPr>
          <w:p w14:paraId="6B68980A" w14:textId="63B63BAC" w:rsidR="005A10B6" w:rsidRPr="00FB0A3A" w:rsidRDefault="005A10B6" w:rsidP="00AA7CB9">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603,00</w:t>
            </w:r>
          </w:p>
        </w:tc>
        <w:tc>
          <w:tcPr>
            <w:tcW w:w="1121" w:type="pct"/>
            <w:noWrap/>
            <w:hideMark/>
          </w:tcPr>
          <w:p w14:paraId="269DA973" w14:textId="611C13AB" w:rsidR="005A10B6" w:rsidRPr="00FB0A3A" w:rsidRDefault="005A10B6" w:rsidP="00AA7CB9">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657,16</w:t>
            </w:r>
          </w:p>
        </w:tc>
        <w:tc>
          <w:tcPr>
            <w:tcW w:w="1117" w:type="pct"/>
            <w:noWrap/>
            <w:hideMark/>
          </w:tcPr>
          <w:p w14:paraId="097A7753" w14:textId="0D2B6D54" w:rsidR="005A10B6" w:rsidRPr="00FB0A3A" w:rsidRDefault="005A10B6" w:rsidP="00AA7CB9">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647,95</w:t>
            </w:r>
          </w:p>
        </w:tc>
      </w:tr>
      <w:tr w:rsidR="00786ED1" w:rsidRPr="00FB0A3A" w14:paraId="2327057E" w14:textId="77777777" w:rsidTr="00AA7CB9">
        <w:tc>
          <w:tcPr>
            <w:cnfStyle w:val="001000000000" w:firstRow="0" w:lastRow="0" w:firstColumn="1" w:lastColumn="0" w:oddVBand="0" w:evenVBand="0" w:oddHBand="0" w:evenHBand="0" w:firstRowFirstColumn="0" w:firstRowLastColumn="0" w:lastRowFirstColumn="0" w:lastRowLastColumn="0"/>
            <w:tcW w:w="0" w:type="auto"/>
            <w:hideMark/>
          </w:tcPr>
          <w:p w14:paraId="514D45BD" w14:textId="77777777" w:rsidR="005A10B6" w:rsidRPr="00FB0A3A" w:rsidRDefault="005A10B6" w:rsidP="00AA7CB9">
            <w:pPr>
              <w:tabs>
                <w:tab w:val="left" w:pos="1134"/>
              </w:tabs>
              <w:jc w:val="center"/>
              <w:rPr>
                <w:rFonts w:eastAsia="Calibri" w:cs="Times New Roman"/>
                <w:szCs w:val="18"/>
              </w:rPr>
            </w:pPr>
            <w:r w:rsidRPr="00FB0A3A">
              <w:rPr>
                <w:rFonts w:eastAsia="Calibri" w:cs="Times New Roman"/>
                <w:szCs w:val="18"/>
              </w:rPr>
              <w:t>1.6.2.13.</w:t>
            </w:r>
          </w:p>
        </w:tc>
        <w:tc>
          <w:tcPr>
            <w:tcW w:w="1633" w:type="pct"/>
            <w:hideMark/>
          </w:tcPr>
          <w:p w14:paraId="1C7947C4" w14:textId="77777777" w:rsidR="005A10B6" w:rsidRPr="00FB0A3A" w:rsidRDefault="005A10B6" w:rsidP="00AA7CB9">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Услуги по подготовке кадров</w:t>
            </w:r>
          </w:p>
        </w:tc>
        <w:tc>
          <w:tcPr>
            <w:tcW w:w="673" w:type="pct"/>
            <w:noWrap/>
            <w:hideMark/>
          </w:tcPr>
          <w:p w14:paraId="73C2F774" w14:textId="560DD9B3" w:rsidR="005A10B6" w:rsidRPr="00FB0A3A" w:rsidRDefault="005A10B6" w:rsidP="00AA7CB9">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503,12</w:t>
            </w:r>
          </w:p>
        </w:tc>
        <w:tc>
          <w:tcPr>
            <w:tcW w:w="1121" w:type="pct"/>
            <w:noWrap/>
            <w:hideMark/>
          </w:tcPr>
          <w:p w14:paraId="199C0166" w14:textId="6C658BFB" w:rsidR="005A10B6" w:rsidRPr="00FB0A3A" w:rsidRDefault="005A10B6" w:rsidP="00AA7CB9">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47,53</w:t>
            </w:r>
          </w:p>
        </w:tc>
        <w:tc>
          <w:tcPr>
            <w:tcW w:w="1117" w:type="pct"/>
            <w:noWrap/>
            <w:hideMark/>
          </w:tcPr>
          <w:p w14:paraId="10EE5B08" w14:textId="0EB801DD" w:rsidR="005A10B6" w:rsidRPr="00FB0A3A" w:rsidRDefault="005A10B6" w:rsidP="00AA7CB9">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47,53</w:t>
            </w:r>
          </w:p>
        </w:tc>
      </w:tr>
      <w:tr w:rsidR="00786ED1" w:rsidRPr="00FB0A3A" w14:paraId="34580006" w14:textId="77777777" w:rsidTr="00AA7CB9">
        <w:tc>
          <w:tcPr>
            <w:cnfStyle w:val="001000000000" w:firstRow="0" w:lastRow="0" w:firstColumn="1" w:lastColumn="0" w:oddVBand="0" w:evenVBand="0" w:oddHBand="0" w:evenHBand="0" w:firstRowFirstColumn="0" w:firstRowLastColumn="0" w:lastRowFirstColumn="0" w:lastRowLastColumn="0"/>
            <w:tcW w:w="0" w:type="auto"/>
            <w:hideMark/>
          </w:tcPr>
          <w:p w14:paraId="2B0A8678" w14:textId="77777777" w:rsidR="005A10B6" w:rsidRPr="00FB0A3A" w:rsidRDefault="005A10B6" w:rsidP="00AA7CB9">
            <w:pPr>
              <w:tabs>
                <w:tab w:val="left" w:pos="1134"/>
              </w:tabs>
              <w:jc w:val="center"/>
              <w:rPr>
                <w:rFonts w:eastAsia="Calibri" w:cs="Times New Roman"/>
                <w:szCs w:val="18"/>
              </w:rPr>
            </w:pPr>
            <w:r w:rsidRPr="00FB0A3A">
              <w:rPr>
                <w:rFonts w:eastAsia="Calibri" w:cs="Times New Roman"/>
                <w:szCs w:val="18"/>
              </w:rPr>
              <w:t>1.6.2.16.</w:t>
            </w:r>
          </w:p>
        </w:tc>
        <w:tc>
          <w:tcPr>
            <w:tcW w:w="1633" w:type="pct"/>
            <w:hideMark/>
          </w:tcPr>
          <w:p w14:paraId="4DD57F50" w14:textId="77777777" w:rsidR="005A10B6" w:rsidRPr="00FB0A3A" w:rsidRDefault="005A10B6" w:rsidP="00AA7CB9">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Техосмотр, регистрация и пропуски автотранспорта</w:t>
            </w:r>
          </w:p>
        </w:tc>
        <w:tc>
          <w:tcPr>
            <w:tcW w:w="673" w:type="pct"/>
            <w:noWrap/>
            <w:hideMark/>
          </w:tcPr>
          <w:p w14:paraId="1281F21D" w14:textId="442C417E" w:rsidR="005A10B6" w:rsidRPr="00FB0A3A" w:rsidRDefault="005A10B6" w:rsidP="00AA7CB9">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58,84</w:t>
            </w:r>
          </w:p>
        </w:tc>
        <w:tc>
          <w:tcPr>
            <w:tcW w:w="1121" w:type="pct"/>
            <w:noWrap/>
            <w:hideMark/>
          </w:tcPr>
          <w:p w14:paraId="1E31F20B" w14:textId="70D9602D" w:rsidR="005A10B6" w:rsidRPr="00FB0A3A" w:rsidRDefault="005A10B6" w:rsidP="00AA7CB9">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64,12</w:t>
            </w:r>
          </w:p>
        </w:tc>
        <w:tc>
          <w:tcPr>
            <w:tcW w:w="1117" w:type="pct"/>
            <w:noWrap/>
            <w:hideMark/>
          </w:tcPr>
          <w:p w14:paraId="7D1F499D" w14:textId="5E4BA3A5" w:rsidR="005A10B6" w:rsidRPr="00FB0A3A" w:rsidRDefault="005A10B6" w:rsidP="00AA7CB9">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63,23</w:t>
            </w:r>
          </w:p>
        </w:tc>
      </w:tr>
      <w:tr w:rsidR="00786ED1" w:rsidRPr="00FB0A3A" w14:paraId="6BD87119" w14:textId="77777777" w:rsidTr="00AA7CB9">
        <w:tc>
          <w:tcPr>
            <w:cnfStyle w:val="001000000000" w:firstRow="0" w:lastRow="0" w:firstColumn="1" w:lastColumn="0" w:oddVBand="0" w:evenVBand="0" w:oddHBand="0" w:evenHBand="0" w:firstRowFirstColumn="0" w:firstRowLastColumn="0" w:lastRowFirstColumn="0" w:lastRowLastColumn="0"/>
            <w:tcW w:w="0" w:type="auto"/>
            <w:hideMark/>
          </w:tcPr>
          <w:p w14:paraId="2F05C6EA" w14:textId="77777777" w:rsidR="005A10B6" w:rsidRPr="00FB0A3A" w:rsidRDefault="005A10B6" w:rsidP="00AA7CB9">
            <w:pPr>
              <w:tabs>
                <w:tab w:val="left" w:pos="1134"/>
              </w:tabs>
              <w:jc w:val="center"/>
              <w:rPr>
                <w:rFonts w:eastAsia="Calibri" w:cs="Times New Roman"/>
                <w:szCs w:val="18"/>
              </w:rPr>
            </w:pPr>
            <w:r w:rsidRPr="00FB0A3A">
              <w:rPr>
                <w:rFonts w:eastAsia="Calibri" w:cs="Times New Roman"/>
                <w:szCs w:val="18"/>
              </w:rPr>
              <w:t>1.6.2.18.</w:t>
            </w:r>
          </w:p>
        </w:tc>
        <w:tc>
          <w:tcPr>
            <w:tcW w:w="1633" w:type="pct"/>
            <w:hideMark/>
          </w:tcPr>
          <w:p w14:paraId="0BACC598" w14:textId="77777777" w:rsidR="005A10B6" w:rsidRPr="00FB0A3A" w:rsidRDefault="005A10B6" w:rsidP="00AA7CB9">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IT - услуги</w:t>
            </w:r>
          </w:p>
        </w:tc>
        <w:tc>
          <w:tcPr>
            <w:tcW w:w="673" w:type="pct"/>
            <w:noWrap/>
            <w:hideMark/>
          </w:tcPr>
          <w:p w14:paraId="7E250FBD" w14:textId="16D1D02E" w:rsidR="005A10B6" w:rsidRPr="00FB0A3A" w:rsidRDefault="005A10B6" w:rsidP="00AA7CB9">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2 353,39</w:t>
            </w:r>
          </w:p>
        </w:tc>
        <w:tc>
          <w:tcPr>
            <w:tcW w:w="1121" w:type="pct"/>
            <w:noWrap/>
            <w:hideMark/>
          </w:tcPr>
          <w:p w14:paraId="6ED9B65A" w14:textId="0A2C2305" w:rsidR="005A10B6" w:rsidRPr="00FB0A3A" w:rsidRDefault="005A10B6" w:rsidP="00AA7CB9">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2 571,17</w:t>
            </w:r>
          </w:p>
        </w:tc>
        <w:tc>
          <w:tcPr>
            <w:tcW w:w="1117" w:type="pct"/>
            <w:noWrap/>
            <w:hideMark/>
          </w:tcPr>
          <w:p w14:paraId="31357BBB" w14:textId="5A483408" w:rsidR="005A10B6" w:rsidRPr="00FB0A3A" w:rsidRDefault="005A10B6" w:rsidP="00AA7CB9">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0,00</w:t>
            </w:r>
          </w:p>
        </w:tc>
      </w:tr>
      <w:tr w:rsidR="00786ED1" w:rsidRPr="00FB0A3A" w14:paraId="46032B06" w14:textId="77777777" w:rsidTr="00AA7CB9">
        <w:tc>
          <w:tcPr>
            <w:cnfStyle w:val="001000000000" w:firstRow="0" w:lastRow="0" w:firstColumn="1" w:lastColumn="0" w:oddVBand="0" w:evenVBand="0" w:oddHBand="0" w:evenHBand="0" w:firstRowFirstColumn="0" w:firstRowLastColumn="0" w:lastRowFirstColumn="0" w:lastRowLastColumn="0"/>
            <w:tcW w:w="0" w:type="auto"/>
            <w:hideMark/>
          </w:tcPr>
          <w:p w14:paraId="6977C6D0" w14:textId="77777777" w:rsidR="005A10B6" w:rsidRPr="00FB0A3A" w:rsidRDefault="005A10B6" w:rsidP="00AA7CB9">
            <w:pPr>
              <w:tabs>
                <w:tab w:val="left" w:pos="1134"/>
              </w:tabs>
              <w:jc w:val="center"/>
              <w:rPr>
                <w:rFonts w:eastAsia="Calibri" w:cs="Times New Roman"/>
                <w:szCs w:val="18"/>
              </w:rPr>
            </w:pPr>
            <w:r w:rsidRPr="00FB0A3A">
              <w:rPr>
                <w:rFonts w:eastAsia="Calibri" w:cs="Times New Roman"/>
                <w:szCs w:val="18"/>
              </w:rPr>
              <w:t>1.6.2.19.</w:t>
            </w:r>
          </w:p>
        </w:tc>
        <w:tc>
          <w:tcPr>
            <w:tcW w:w="1633" w:type="pct"/>
            <w:hideMark/>
          </w:tcPr>
          <w:p w14:paraId="331307C8" w14:textId="77777777" w:rsidR="005A10B6" w:rsidRPr="00FB0A3A" w:rsidRDefault="005A10B6" w:rsidP="00AA7CB9">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Прочие услуги сторонних организаций</w:t>
            </w:r>
          </w:p>
        </w:tc>
        <w:tc>
          <w:tcPr>
            <w:tcW w:w="673" w:type="pct"/>
            <w:noWrap/>
            <w:hideMark/>
          </w:tcPr>
          <w:p w14:paraId="7C1E64E9" w14:textId="1F01001C" w:rsidR="005A10B6" w:rsidRPr="00FB0A3A" w:rsidRDefault="005A10B6" w:rsidP="00AA7CB9">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3 272,64</w:t>
            </w:r>
          </w:p>
        </w:tc>
        <w:tc>
          <w:tcPr>
            <w:tcW w:w="1121" w:type="pct"/>
            <w:noWrap/>
            <w:hideMark/>
          </w:tcPr>
          <w:p w14:paraId="35123602" w14:textId="046DE68D" w:rsidR="005A10B6" w:rsidRPr="00FB0A3A" w:rsidRDefault="005A10B6" w:rsidP="00AA7CB9">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4 158,29</w:t>
            </w:r>
          </w:p>
        </w:tc>
        <w:tc>
          <w:tcPr>
            <w:tcW w:w="1117" w:type="pct"/>
            <w:noWrap/>
            <w:hideMark/>
          </w:tcPr>
          <w:p w14:paraId="16AEABD8" w14:textId="0732616E" w:rsidR="005A10B6" w:rsidRPr="00FB0A3A" w:rsidRDefault="005A10B6" w:rsidP="00AA7CB9">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0,00</w:t>
            </w:r>
          </w:p>
        </w:tc>
      </w:tr>
      <w:tr w:rsidR="00786ED1" w:rsidRPr="00FB0A3A" w14:paraId="22AB201D" w14:textId="77777777" w:rsidTr="00AA7CB9">
        <w:tc>
          <w:tcPr>
            <w:cnfStyle w:val="001000000000" w:firstRow="0" w:lastRow="0" w:firstColumn="1" w:lastColumn="0" w:oddVBand="0" w:evenVBand="0" w:oddHBand="0" w:evenHBand="0" w:firstRowFirstColumn="0" w:firstRowLastColumn="0" w:lastRowFirstColumn="0" w:lastRowLastColumn="0"/>
            <w:tcW w:w="0" w:type="auto"/>
            <w:hideMark/>
          </w:tcPr>
          <w:p w14:paraId="02966FCF" w14:textId="77777777" w:rsidR="005A10B6" w:rsidRPr="00FB0A3A" w:rsidRDefault="005A10B6" w:rsidP="00AA7CB9">
            <w:pPr>
              <w:tabs>
                <w:tab w:val="left" w:pos="1134"/>
              </w:tabs>
              <w:jc w:val="center"/>
              <w:rPr>
                <w:rFonts w:eastAsia="Calibri" w:cs="Times New Roman"/>
                <w:szCs w:val="18"/>
              </w:rPr>
            </w:pPr>
            <w:r w:rsidRPr="00FB0A3A">
              <w:rPr>
                <w:rFonts w:eastAsia="Calibri" w:cs="Times New Roman"/>
                <w:szCs w:val="18"/>
              </w:rPr>
              <w:t>1.6.3.</w:t>
            </w:r>
          </w:p>
        </w:tc>
        <w:tc>
          <w:tcPr>
            <w:tcW w:w="1633" w:type="pct"/>
            <w:hideMark/>
          </w:tcPr>
          <w:p w14:paraId="604BF785" w14:textId="77777777" w:rsidR="005A10B6" w:rsidRPr="00FB0A3A" w:rsidRDefault="005A10B6" w:rsidP="00AA7CB9">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 xml:space="preserve">Налоги и прочие сборы </w:t>
            </w:r>
          </w:p>
        </w:tc>
        <w:tc>
          <w:tcPr>
            <w:tcW w:w="673" w:type="pct"/>
            <w:noWrap/>
            <w:hideMark/>
          </w:tcPr>
          <w:p w14:paraId="5D63804F" w14:textId="32D060E6" w:rsidR="005A10B6" w:rsidRPr="00FB0A3A" w:rsidRDefault="005A10B6" w:rsidP="00AA7CB9">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48,00</w:t>
            </w:r>
          </w:p>
        </w:tc>
        <w:tc>
          <w:tcPr>
            <w:tcW w:w="1121" w:type="pct"/>
            <w:noWrap/>
            <w:hideMark/>
          </w:tcPr>
          <w:p w14:paraId="4D3E431F" w14:textId="7F222A46" w:rsidR="005A10B6" w:rsidRPr="00FB0A3A" w:rsidRDefault="005A10B6" w:rsidP="00AA7CB9">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44,25</w:t>
            </w:r>
          </w:p>
        </w:tc>
        <w:tc>
          <w:tcPr>
            <w:tcW w:w="1117" w:type="pct"/>
            <w:noWrap/>
            <w:hideMark/>
          </w:tcPr>
          <w:p w14:paraId="68A1CFBB" w14:textId="5CBCADA6" w:rsidR="005A10B6" w:rsidRPr="00FB0A3A" w:rsidRDefault="005A10B6" w:rsidP="00AA7CB9">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44,25</w:t>
            </w:r>
          </w:p>
        </w:tc>
      </w:tr>
      <w:tr w:rsidR="00786ED1" w:rsidRPr="00FB0A3A" w14:paraId="2B145914" w14:textId="77777777" w:rsidTr="00AA7CB9">
        <w:tc>
          <w:tcPr>
            <w:cnfStyle w:val="001000000000" w:firstRow="0" w:lastRow="0" w:firstColumn="1" w:lastColumn="0" w:oddVBand="0" w:evenVBand="0" w:oddHBand="0" w:evenHBand="0" w:firstRowFirstColumn="0" w:firstRowLastColumn="0" w:lastRowFirstColumn="0" w:lastRowLastColumn="0"/>
            <w:tcW w:w="0" w:type="auto"/>
            <w:hideMark/>
          </w:tcPr>
          <w:p w14:paraId="19FBB096" w14:textId="77777777" w:rsidR="005A10B6" w:rsidRPr="00FB0A3A" w:rsidRDefault="005A10B6" w:rsidP="00AA7CB9">
            <w:pPr>
              <w:tabs>
                <w:tab w:val="left" w:pos="1134"/>
              </w:tabs>
              <w:jc w:val="center"/>
              <w:rPr>
                <w:rFonts w:eastAsia="Calibri" w:cs="Times New Roman"/>
                <w:szCs w:val="18"/>
              </w:rPr>
            </w:pPr>
            <w:r w:rsidRPr="00FB0A3A">
              <w:rPr>
                <w:rFonts w:eastAsia="Calibri" w:cs="Times New Roman"/>
                <w:szCs w:val="18"/>
              </w:rPr>
              <w:t>1.6.4.</w:t>
            </w:r>
          </w:p>
        </w:tc>
        <w:tc>
          <w:tcPr>
            <w:tcW w:w="1633" w:type="pct"/>
            <w:hideMark/>
          </w:tcPr>
          <w:p w14:paraId="67B218DF" w14:textId="77777777" w:rsidR="005A10B6" w:rsidRPr="00FB0A3A" w:rsidRDefault="005A10B6" w:rsidP="00AA7CB9">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Расходы на лицензирование, получение сертификатов, регистрационных свидетельств</w:t>
            </w:r>
          </w:p>
        </w:tc>
        <w:tc>
          <w:tcPr>
            <w:tcW w:w="673" w:type="pct"/>
            <w:noWrap/>
            <w:hideMark/>
          </w:tcPr>
          <w:p w14:paraId="36710D90" w14:textId="4D5E9AA3" w:rsidR="005A10B6" w:rsidRPr="00FB0A3A" w:rsidRDefault="005A10B6" w:rsidP="00AA7CB9">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12,97</w:t>
            </w:r>
          </w:p>
        </w:tc>
        <w:tc>
          <w:tcPr>
            <w:tcW w:w="1121" w:type="pct"/>
            <w:noWrap/>
            <w:hideMark/>
          </w:tcPr>
          <w:p w14:paraId="2A220C07" w14:textId="415F372E" w:rsidR="005A10B6" w:rsidRPr="00FB0A3A" w:rsidRDefault="005A10B6" w:rsidP="00AA7CB9">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14,14</w:t>
            </w:r>
          </w:p>
        </w:tc>
        <w:tc>
          <w:tcPr>
            <w:tcW w:w="1117" w:type="pct"/>
            <w:noWrap/>
            <w:hideMark/>
          </w:tcPr>
          <w:p w14:paraId="773443A7" w14:textId="7CD4C2FD" w:rsidR="005A10B6" w:rsidRPr="00FB0A3A" w:rsidRDefault="005A10B6" w:rsidP="00AA7CB9">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14,14</w:t>
            </w:r>
          </w:p>
        </w:tc>
      </w:tr>
      <w:tr w:rsidR="00786ED1" w:rsidRPr="00FB0A3A" w14:paraId="69269C1E" w14:textId="77777777" w:rsidTr="00AA7CB9">
        <w:tc>
          <w:tcPr>
            <w:cnfStyle w:val="001000000000" w:firstRow="0" w:lastRow="0" w:firstColumn="1" w:lastColumn="0" w:oddVBand="0" w:evenVBand="0" w:oddHBand="0" w:evenHBand="0" w:firstRowFirstColumn="0" w:firstRowLastColumn="0" w:lastRowFirstColumn="0" w:lastRowLastColumn="0"/>
            <w:tcW w:w="0" w:type="auto"/>
            <w:hideMark/>
          </w:tcPr>
          <w:p w14:paraId="46AA0E09" w14:textId="77777777" w:rsidR="005A10B6" w:rsidRPr="00FB0A3A" w:rsidRDefault="005A10B6" w:rsidP="00AA7CB9">
            <w:pPr>
              <w:tabs>
                <w:tab w:val="left" w:pos="1134"/>
              </w:tabs>
              <w:jc w:val="center"/>
              <w:rPr>
                <w:rFonts w:eastAsia="Calibri" w:cs="Times New Roman"/>
                <w:szCs w:val="18"/>
              </w:rPr>
            </w:pPr>
            <w:r w:rsidRPr="00FB0A3A">
              <w:rPr>
                <w:rFonts w:eastAsia="Calibri" w:cs="Times New Roman"/>
                <w:szCs w:val="18"/>
              </w:rPr>
              <w:t>1.6.5.</w:t>
            </w:r>
          </w:p>
        </w:tc>
        <w:tc>
          <w:tcPr>
            <w:tcW w:w="1633" w:type="pct"/>
            <w:hideMark/>
          </w:tcPr>
          <w:p w14:paraId="04E94AD6" w14:textId="77777777" w:rsidR="005A10B6" w:rsidRPr="00FB0A3A" w:rsidRDefault="005A10B6" w:rsidP="00AA7CB9">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Расходы на страхование</w:t>
            </w:r>
          </w:p>
        </w:tc>
        <w:tc>
          <w:tcPr>
            <w:tcW w:w="673" w:type="pct"/>
            <w:noWrap/>
            <w:hideMark/>
          </w:tcPr>
          <w:p w14:paraId="04E8A5E0" w14:textId="0949579A" w:rsidR="005A10B6" w:rsidRPr="00FB0A3A" w:rsidRDefault="005A10B6" w:rsidP="00AA7CB9">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938,74</w:t>
            </w:r>
          </w:p>
        </w:tc>
        <w:tc>
          <w:tcPr>
            <w:tcW w:w="1121" w:type="pct"/>
            <w:noWrap/>
            <w:hideMark/>
          </w:tcPr>
          <w:p w14:paraId="6C302357" w14:textId="5DB273CE" w:rsidR="005A10B6" w:rsidRPr="00FB0A3A" w:rsidRDefault="005A10B6" w:rsidP="00AA7CB9">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1 023,06</w:t>
            </w:r>
          </w:p>
        </w:tc>
        <w:tc>
          <w:tcPr>
            <w:tcW w:w="1117" w:type="pct"/>
            <w:noWrap/>
            <w:hideMark/>
          </w:tcPr>
          <w:p w14:paraId="0DC8BDD0" w14:textId="22117CE8" w:rsidR="005A10B6" w:rsidRPr="00FB0A3A" w:rsidRDefault="005A10B6" w:rsidP="00AA7CB9">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0,00</w:t>
            </w:r>
          </w:p>
        </w:tc>
      </w:tr>
      <w:tr w:rsidR="00786ED1" w:rsidRPr="00FB0A3A" w14:paraId="3E099A9E" w14:textId="77777777" w:rsidTr="00AA7CB9">
        <w:tc>
          <w:tcPr>
            <w:cnfStyle w:val="001000000000" w:firstRow="0" w:lastRow="0" w:firstColumn="1" w:lastColumn="0" w:oddVBand="0" w:evenVBand="0" w:oddHBand="0" w:evenHBand="0" w:firstRowFirstColumn="0" w:firstRowLastColumn="0" w:lastRowFirstColumn="0" w:lastRowLastColumn="0"/>
            <w:tcW w:w="0" w:type="auto"/>
            <w:hideMark/>
          </w:tcPr>
          <w:p w14:paraId="094016A6" w14:textId="77777777" w:rsidR="005A10B6" w:rsidRPr="00FB0A3A" w:rsidRDefault="005A10B6" w:rsidP="00AA7CB9">
            <w:pPr>
              <w:tabs>
                <w:tab w:val="left" w:pos="1134"/>
              </w:tabs>
              <w:jc w:val="center"/>
              <w:rPr>
                <w:rFonts w:eastAsia="Calibri" w:cs="Times New Roman"/>
                <w:szCs w:val="18"/>
              </w:rPr>
            </w:pPr>
            <w:r w:rsidRPr="00FB0A3A">
              <w:rPr>
                <w:rFonts w:eastAsia="Calibri" w:cs="Times New Roman"/>
                <w:szCs w:val="18"/>
              </w:rPr>
              <w:t>1.6.6.</w:t>
            </w:r>
          </w:p>
        </w:tc>
        <w:tc>
          <w:tcPr>
            <w:tcW w:w="1633" w:type="pct"/>
            <w:hideMark/>
          </w:tcPr>
          <w:p w14:paraId="7AB1996B" w14:textId="77777777" w:rsidR="005A10B6" w:rsidRPr="00FB0A3A" w:rsidRDefault="005A10B6" w:rsidP="00AA7CB9">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Командировочные и представительские расходы</w:t>
            </w:r>
          </w:p>
        </w:tc>
        <w:tc>
          <w:tcPr>
            <w:tcW w:w="673" w:type="pct"/>
            <w:noWrap/>
            <w:hideMark/>
          </w:tcPr>
          <w:p w14:paraId="0A57AA24" w14:textId="13F1864F" w:rsidR="005A10B6" w:rsidRPr="00FB0A3A" w:rsidRDefault="005A10B6" w:rsidP="00AA7CB9">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18 185,35</w:t>
            </w:r>
          </w:p>
        </w:tc>
        <w:tc>
          <w:tcPr>
            <w:tcW w:w="1121" w:type="pct"/>
            <w:noWrap/>
            <w:hideMark/>
          </w:tcPr>
          <w:p w14:paraId="6026DBC0" w14:textId="33BA36C1" w:rsidR="005A10B6" w:rsidRPr="00FB0A3A" w:rsidRDefault="005A10B6" w:rsidP="00AA7CB9">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19 818,70</w:t>
            </w:r>
          </w:p>
        </w:tc>
        <w:tc>
          <w:tcPr>
            <w:tcW w:w="1117" w:type="pct"/>
            <w:noWrap/>
            <w:hideMark/>
          </w:tcPr>
          <w:p w14:paraId="4DC94930" w14:textId="09D34A7B" w:rsidR="005A10B6" w:rsidRPr="00FB0A3A" w:rsidRDefault="005A10B6" w:rsidP="00AA7CB9">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0,00</w:t>
            </w:r>
          </w:p>
        </w:tc>
      </w:tr>
      <w:tr w:rsidR="00786ED1" w:rsidRPr="00FB0A3A" w14:paraId="620E647E" w14:textId="77777777" w:rsidTr="00AA7CB9">
        <w:tc>
          <w:tcPr>
            <w:cnfStyle w:val="001000000000" w:firstRow="0" w:lastRow="0" w:firstColumn="1" w:lastColumn="0" w:oddVBand="0" w:evenVBand="0" w:oddHBand="0" w:evenHBand="0" w:firstRowFirstColumn="0" w:firstRowLastColumn="0" w:lastRowFirstColumn="0" w:lastRowLastColumn="0"/>
            <w:tcW w:w="0" w:type="auto"/>
            <w:hideMark/>
          </w:tcPr>
          <w:p w14:paraId="117D739F" w14:textId="77777777" w:rsidR="005A10B6" w:rsidRPr="00FB0A3A" w:rsidRDefault="005A10B6" w:rsidP="00AA7CB9">
            <w:pPr>
              <w:tabs>
                <w:tab w:val="left" w:pos="1134"/>
              </w:tabs>
              <w:jc w:val="center"/>
              <w:rPr>
                <w:rFonts w:eastAsia="Calibri" w:cs="Times New Roman"/>
                <w:szCs w:val="18"/>
              </w:rPr>
            </w:pPr>
            <w:r w:rsidRPr="00FB0A3A">
              <w:rPr>
                <w:rFonts w:eastAsia="Calibri" w:cs="Times New Roman"/>
                <w:szCs w:val="18"/>
              </w:rPr>
              <w:t>1.6.9.</w:t>
            </w:r>
          </w:p>
        </w:tc>
        <w:tc>
          <w:tcPr>
            <w:tcW w:w="1633" w:type="pct"/>
            <w:hideMark/>
          </w:tcPr>
          <w:p w14:paraId="14C95489" w14:textId="77777777" w:rsidR="005A10B6" w:rsidRPr="00FB0A3A" w:rsidRDefault="005A10B6" w:rsidP="00AA7CB9">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Агентское вознаграждение (по приему платежей и прочим услугам)</w:t>
            </w:r>
          </w:p>
        </w:tc>
        <w:tc>
          <w:tcPr>
            <w:tcW w:w="673" w:type="pct"/>
            <w:noWrap/>
            <w:hideMark/>
          </w:tcPr>
          <w:p w14:paraId="0ABCC0F9" w14:textId="09DD0549" w:rsidR="005A10B6" w:rsidRPr="00FB0A3A" w:rsidRDefault="005A10B6" w:rsidP="00AA7CB9">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92,10</w:t>
            </w:r>
          </w:p>
        </w:tc>
        <w:tc>
          <w:tcPr>
            <w:tcW w:w="1121" w:type="pct"/>
            <w:noWrap/>
            <w:hideMark/>
          </w:tcPr>
          <w:p w14:paraId="0643C297" w14:textId="7F20889F" w:rsidR="005A10B6" w:rsidRPr="00FB0A3A" w:rsidRDefault="005A10B6" w:rsidP="00AA7CB9">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100,37</w:t>
            </w:r>
          </w:p>
        </w:tc>
        <w:tc>
          <w:tcPr>
            <w:tcW w:w="1117" w:type="pct"/>
            <w:noWrap/>
            <w:hideMark/>
          </w:tcPr>
          <w:p w14:paraId="708CBBD2" w14:textId="1E264A6D" w:rsidR="005A10B6" w:rsidRPr="00FB0A3A" w:rsidRDefault="005A10B6" w:rsidP="00AA7CB9">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0,00</w:t>
            </w:r>
          </w:p>
        </w:tc>
      </w:tr>
      <w:tr w:rsidR="00786ED1" w:rsidRPr="00FB0A3A" w14:paraId="2CEFC05B" w14:textId="77777777" w:rsidTr="00AA7CB9">
        <w:tc>
          <w:tcPr>
            <w:cnfStyle w:val="001000000000" w:firstRow="0" w:lastRow="0" w:firstColumn="1" w:lastColumn="0" w:oddVBand="0" w:evenVBand="0" w:oddHBand="0" w:evenHBand="0" w:firstRowFirstColumn="0" w:firstRowLastColumn="0" w:lastRowFirstColumn="0" w:lastRowLastColumn="0"/>
            <w:tcW w:w="0" w:type="auto"/>
            <w:hideMark/>
          </w:tcPr>
          <w:p w14:paraId="5D3223B1" w14:textId="77777777" w:rsidR="005A10B6" w:rsidRPr="00FB0A3A" w:rsidRDefault="005A10B6" w:rsidP="00AA7CB9">
            <w:pPr>
              <w:tabs>
                <w:tab w:val="left" w:pos="1134"/>
              </w:tabs>
              <w:jc w:val="center"/>
              <w:rPr>
                <w:rFonts w:eastAsia="Calibri" w:cs="Times New Roman"/>
                <w:szCs w:val="18"/>
              </w:rPr>
            </w:pPr>
            <w:r w:rsidRPr="00FB0A3A">
              <w:rPr>
                <w:rFonts w:eastAsia="Calibri" w:cs="Times New Roman"/>
                <w:szCs w:val="18"/>
              </w:rPr>
              <w:t>1.6.10.</w:t>
            </w:r>
          </w:p>
        </w:tc>
        <w:tc>
          <w:tcPr>
            <w:tcW w:w="1633" w:type="pct"/>
            <w:hideMark/>
          </w:tcPr>
          <w:p w14:paraId="6790290C" w14:textId="77777777" w:rsidR="005A10B6" w:rsidRPr="00FB0A3A" w:rsidRDefault="005A10B6" w:rsidP="00AA7CB9">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НИОКР</w:t>
            </w:r>
          </w:p>
        </w:tc>
        <w:tc>
          <w:tcPr>
            <w:tcW w:w="673" w:type="pct"/>
            <w:noWrap/>
            <w:hideMark/>
          </w:tcPr>
          <w:p w14:paraId="208392D8" w14:textId="3E020B71" w:rsidR="005A10B6" w:rsidRPr="00FB0A3A" w:rsidRDefault="005A10B6" w:rsidP="00AA7CB9">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43,52</w:t>
            </w:r>
          </w:p>
        </w:tc>
        <w:tc>
          <w:tcPr>
            <w:tcW w:w="1121" w:type="pct"/>
            <w:noWrap/>
            <w:hideMark/>
          </w:tcPr>
          <w:p w14:paraId="72A52801" w14:textId="6F7DD1B4" w:rsidR="005A10B6" w:rsidRPr="00FB0A3A" w:rsidRDefault="005A10B6" w:rsidP="00AA7CB9">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47,43</w:t>
            </w:r>
          </w:p>
        </w:tc>
        <w:tc>
          <w:tcPr>
            <w:tcW w:w="1117" w:type="pct"/>
            <w:noWrap/>
            <w:hideMark/>
          </w:tcPr>
          <w:p w14:paraId="44FCAFC4" w14:textId="48E2D68F" w:rsidR="005A10B6" w:rsidRPr="00FB0A3A" w:rsidRDefault="005A10B6" w:rsidP="00AA7CB9">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0,00</w:t>
            </w:r>
          </w:p>
        </w:tc>
      </w:tr>
      <w:tr w:rsidR="00786ED1" w:rsidRPr="00FB0A3A" w14:paraId="2A18CD3A" w14:textId="77777777" w:rsidTr="00AA7CB9">
        <w:tc>
          <w:tcPr>
            <w:cnfStyle w:val="001000000000" w:firstRow="0" w:lastRow="0" w:firstColumn="1" w:lastColumn="0" w:oddVBand="0" w:evenVBand="0" w:oddHBand="0" w:evenHBand="0" w:firstRowFirstColumn="0" w:firstRowLastColumn="0" w:lastRowFirstColumn="0" w:lastRowLastColumn="0"/>
            <w:tcW w:w="0" w:type="auto"/>
            <w:hideMark/>
          </w:tcPr>
          <w:p w14:paraId="04B327D9" w14:textId="77777777" w:rsidR="005A10B6" w:rsidRPr="00FB0A3A" w:rsidRDefault="005A10B6" w:rsidP="00AA7CB9">
            <w:pPr>
              <w:tabs>
                <w:tab w:val="left" w:pos="1134"/>
              </w:tabs>
              <w:jc w:val="center"/>
              <w:rPr>
                <w:rFonts w:eastAsia="Calibri" w:cs="Times New Roman"/>
                <w:szCs w:val="18"/>
              </w:rPr>
            </w:pPr>
            <w:r w:rsidRPr="00FB0A3A">
              <w:rPr>
                <w:rFonts w:eastAsia="Calibri" w:cs="Times New Roman"/>
                <w:szCs w:val="18"/>
              </w:rPr>
              <w:t>1.6.11.</w:t>
            </w:r>
          </w:p>
        </w:tc>
        <w:tc>
          <w:tcPr>
            <w:tcW w:w="1633" w:type="pct"/>
            <w:hideMark/>
          </w:tcPr>
          <w:p w14:paraId="680C5991" w14:textId="77777777" w:rsidR="005A10B6" w:rsidRPr="00FB0A3A" w:rsidRDefault="005A10B6" w:rsidP="00AA7CB9">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Другие прочие затраты</w:t>
            </w:r>
          </w:p>
        </w:tc>
        <w:tc>
          <w:tcPr>
            <w:tcW w:w="673" w:type="pct"/>
            <w:noWrap/>
            <w:hideMark/>
          </w:tcPr>
          <w:p w14:paraId="3CD4F02F" w14:textId="414E02A4" w:rsidR="005A10B6" w:rsidRPr="00FB0A3A" w:rsidRDefault="005A10B6" w:rsidP="00AA7CB9">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535,91</w:t>
            </w:r>
          </w:p>
        </w:tc>
        <w:tc>
          <w:tcPr>
            <w:tcW w:w="1121" w:type="pct"/>
            <w:noWrap/>
            <w:hideMark/>
          </w:tcPr>
          <w:p w14:paraId="500F131D" w14:textId="68C82D7C" w:rsidR="005A10B6" w:rsidRPr="00FB0A3A" w:rsidRDefault="005A10B6" w:rsidP="00AA7CB9">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587,43</w:t>
            </w:r>
          </w:p>
        </w:tc>
        <w:tc>
          <w:tcPr>
            <w:tcW w:w="1117" w:type="pct"/>
            <w:noWrap/>
            <w:hideMark/>
          </w:tcPr>
          <w:p w14:paraId="6D5D29C8" w14:textId="6285DB11" w:rsidR="005A10B6" w:rsidRPr="00FB0A3A" w:rsidRDefault="005A10B6" w:rsidP="00AA7CB9">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0,00</w:t>
            </w:r>
          </w:p>
        </w:tc>
      </w:tr>
    </w:tbl>
    <w:p w14:paraId="14AB7C51" w14:textId="456C96C3" w:rsidR="005A10B6" w:rsidRPr="00FB0A3A" w:rsidRDefault="005A10B6" w:rsidP="001E1AB4">
      <w:pPr>
        <w:pStyle w:val="afff7"/>
      </w:pPr>
      <w:r w:rsidRPr="00FB0A3A">
        <w:t xml:space="preserve">На основании изложенного выше, документально подтвержденным и обоснованным по мнению Исполнителя является плановый уровень управленческих расходов в размере 70 547,18 тыс. руб., что ниже на 152 939,8 предложения </w:t>
      </w:r>
      <w:r w:rsidR="00994DAE" w:rsidRPr="00FB0A3A">
        <w:t xml:space="preserve">филиала </w:t>
      </w:r>
      <w:r w:rsidRPr="00FB0A3A">
        <w:t xml:space="preserve">ПАО </w:t>
      </w:r>
      <w:r w:rsidR="00655FFA" w:rsidRPr="00FB0A3A">
        <w:t>«</w:t>
      </w:r>
      <w:r w:rsidRPr="00FB0A3A">
        <w:t>МРСК Северо-Запада</w:t>
      </w:r>
      <w:r w:rsidR="00655FFA" w:rsidRPr="00FB0A3A">
        <w:t>»</w:t>
      </w:r>
      <w:r w:rsidRPr="00FB0A3A">
        <w:t xml:space="preserve"> </w:t>
      </w:r>
      <w:r w:rsidR="00655FFA" w:rsidRPr="00FB0A3A">
        <w:t>«</w:t>
      </w:r>
      <w:r w:rsidRPr="00FB0A3A">
        <w:t>Колэнерго</w:t>
      </w:r>
      <w:r w:rsidR="00655FFA" w:rsidRPr="00FB0A3A">
        <w:t>»</w:t>
      </w:r>
      <w:r w:rsidRPr="00FB0A3A">
        <w:t xml:space="preserve"> и выше на 41 112,35 тыс. руб. экономически обоснованного уровня, определенного Комитетом:</w:t>
      </w:r>
    </w:p>
    <w:p w14:paraId="33DD1592" w14:textId="268CEB7B" w:rsidR="005A10B6" w:rsidRPr="00FB0A3A" w:rsidRDefault="005A10B6" w:rsidP="009B0BC1">
      <w:pPr>
        <w:pStyle w:val="a4"/>
        <w:numPr>
          <w:ilvl w:val="0"/>
          <w:numId w:val="32"/>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 xml:space="preserve">расходы на оплату труда – подтверждены данными бухгалтерского учета, статистическими формами отчетности П-4. Исполнителем рассчитаны расходы на плату </w:t>
      </w:r>
      <w:r w:rsidR="00B82EA0" w:rsidRPr="00FB0A3A">
        <w:rPr>
          <w:rFonts w:ascii="Myriad Pro" w:hAnsi="Myriad Pro"/>
          <w:sz w:val="26"/>
          <w:szCs w:val="26"/>
        </w:rPr>
        <w:t xml:space="preserve">труда </w:t>
      </w:r>
      <w:r w:rsidRPr="00FB0A3A">
        <w:rPr>
          <w:rFonts w:ascii="Myriad Pro" w:hAnsi="Myriad Pro"/>
          <w:sz w:val="26"/>
          <w:szCs w:val="26"/>
        </w:rPr>
        <w:t>из расчета 53 штатных единицы</w:t>
      </w:r>
      <w:r w:rsidR="00B82EA0" w:rsidRPr="00FB0A3A">
        <w:rPr>
          <w:rFonts w:ascii="Myriad Pro" w:hAnsi="Myriad Pro"/>
          <w:sz w:val="26"/>
          <w:szCs w:val="26"/>
        </w:rPr>
        <w:t>, не имеющих функции в Филиале</w:t>
      </w:r>
      <w:r w:rsidRPr="00FB0A3A">
        <w:rPr>
          <w:rFonts w:ascii="Myriad Pro" w:hAnsi="Myriad Pro"/>
          <w:sz w:val="26"/>
          <w:szCs w:val="26"/>
        </w:rPr>
        <w:t xml:space="preserve"> и </w:t>
      </w:r>
      <w:r w:rsidR="00B82EA0" w:rsidRPr="00FB0A3A">
        <w:rPr>
          <w:rFonts w:ascii="Myriad Pro" w:hAnsi="Myriad Pro"/>
          <w:sz w:val="26"/>
          <w:szCs w:val="26"/>
        </w:rPr>
        <w:t xml:space="preserve">размера зарплаты по предложению Филиала в размере </w:t>
      </w:r>
      <w:r w:rsidRPr="00FB0A3A">
        <w:rPr>
          <w:rFonts w:ascii="Myriad Pro" w:hAnsi="Myriad Pro"/>
          <w:sz w:val="26"/>
          <w:szCs w:val="26"/>
        </w:rPr>
        <w:t>69,050</w:t>
      </w:r>
      <w:r w:rsidR="00B82EA0" w:rsidRPr="00FB0A3A">
        <w:rPr>
          <w:rFonts w:ascii="Myriad Pro" w:hAnsi="Myriad Pro"/>
          <w:sz w:val="26"/>
          <w:szCs w:val="26"/>
        </w:rPr>
        <w:t xml:space="preserve"> тыс. руб. в месяц;</w:t>
      </w:r>
    </w:p>
    <w:p w14:paraId="7C5A6763" w14:textId="7BAA662A" w:rsidR="005A10B6" w:rsidRPr="00FB0A3A" w:rsidRDefault="005A10B6" w:rsidP="009B0BC1">
      <w:pPr>
        <w:pStyle w:val="a4"/>
        <w:numPr>
          <w:ilvl w:val="0"/>
          <w:numId w:val="32"/>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lastRenderedPageBreak/>
        <w:t>транспортные услуги – подтверждены данными бухгалтерского учета, необходимы для обеспечения производственных процессов и перемещения персонала Исполнительного аппарата;</w:t>
      </w:r>
    </w:p>
    <w:p w14:paraId="333D4763" w14:textId="77777777" w:rsidR="005A10B6" w:rsidRPr="00FB0A3A" w:rsidRDefault="005A10B6" w:rsidP="009B0BC1">
      <w:pPr>
        <w:pStyle w:val="a4"/>
        <w:numPr>
          <w:ilvl w:val="0"/>
          <w:numId w:val="32"/>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услуги сторожевой и вневедомственной охраны – предусмотрены пунктом 28 Основ ценообразования №1178, подтверждены данными бухгалтерского учета, необходимы для обеспечения безопасности персонала Исполнительного аппарата;</w:t>
      </w:r>
    </w:p>
    <w:p w14:paraId="50E875B5" w14:textId="77777777" w:rsidR="005A10B6" w:rsidRPr="00FB0A3A" w:rsidRDefault="005A10B6" w:rsidP="009B0BC1">
      <w:pPr>
        <w:pStyle w:val="a4"/>
        <w:numPr>
          <w:ilvl w:val="0"/>
          <w:numId w:val="32"/>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услуги по подготовке кадров – предусмотрены статьей 196, 197 Трудового кодекса Российской Федерации, подтверждены данными бухгалтерского учета;</w:t>
      </w:r>
    </w:p>
    <w:p w14:paraId="73747302" w14:textId="77777777" w:rsidR="00B82EA0" w:rsidRPr="00FB0A3A" w:rsidRDefault="005A10B6" w:rsidP="009B0BC1">
      <w:pPr>
        <w:pStyle w:val="a4"/>
        <w:numPr>
          <w:ilvl w:val="0"/>
          <w:numId w:val="32"/>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амортизация и налоги – предусмотрены пунктами 27, 28 Основ ценообразования №1178, подтвержден</w:t>
      </w:r>
      <w:r w:rsidR="00B82EA0" w:rsidRPr="00FB0A3A">
        <w:rPr>
          <w:rFonts w:ascii="Myriad Pro" w:hAnsi="Myriad Pro"/>
          <w:sz w:val="26"/>
          <w:szCs w:val="26"/>
        </w:rPr>
        <w:t>ы данными бухгалтерского учета.</w:t>
      </w:r>
    </w:p>
    <w:p w14:paraId="00F88B4E" w14:textId="55E4870C" w:rsidR="005A10B6" w:rsidRPr="00FB0A3A" w:rsidRDefault="00B82EA0" w:rsidP="001E1AB4">
      <w:pPr>
        <w:pStyle w:val="afff4"/>
        <w:tabs>
          <w:tab w:val="clear" w:pos="960"/>
          <w:tab w:val="num" w:pos="1134"/>
        </w:tabs>
        <w:rPr>
          <w:lang w:val="ru-RU"/>
        </w:rPr>
      </w:pPr>
      <w:r w:rsidRPr="00FB0A3A">
        <w:rPr>
          <w:lang w:val="ru-RU"/>
        </w:rPr>
        <w:t>Исполнителем учитывались фактически понесенные и документально подтвержденные бухгалтерской и статистической отчетностью расходы за 2017 год</w:t>
      </w:r>
      <w:r w:rsidR="00046479" w:rsidRPr="00FB0A3A">
        <w:rPr>
          <w:lang w:val="ru-RU"/>
        </w:rPr>
        <w:t xml:space="preserve"> с учетом ИПЦ.</w:t>
      </w:r>
    </w:p>
    <w:tbl>
      <w:tblPr>
        <w:tblStyle w:val="afff6"/>
        <w:tblW w:w="5000" w:type="pct"/>
        <w:tblLook w:val="04A0" w:firstRow="1" w:lastRow="0" w:firstColumn="1" w:lastColumn="0" w:noHBand="0" w:noVBand="1"/>
      </w:tblPr>
      <w:tblGrid>
        <w:gridCol w:w="2510"/>
        <w:gridCol w:w="1271"/>
        <w:gridCol w:w="1174"/>
        <w:gridCol w:w="1426"/>
        <w:gridCol w:w="1483"/>
        <w:gridCol w:w="1480"/>
      </w:tblGrid>
      <w:tr w:rsidR="006050DD" w:rsidRPr="00FB0A3A" w14:paraId="7369FBA6" w14:textId="77777777" w:rsidTr="009071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1884409D" w14:textId="77777777" w:rsidR="006050DD" w:rsidRPr="00FB0A3A" w:rsidRDefault="006050DD" w:rsidP="001E1AB4">
            <w:pPr>
              <w:tabs>
                <w:tab w:val="left" w:pos="1134"/>
              </w:tabs>
              <w:jc w:val="center"/>
              <w:rPr>
                <w:rFonts w:eastAsia="Calibri" w:cs="Times New Roman"/>
              </w:rPr>
            </w:pPr>
            <w:r w:rsidRPr="00FB0A3A">
              <w:rPr>
                <w:rFonts w:eastAsia="Calibri" w:cs="Times New Roman"/>
              </w:rPr>
              <w:t> Наименование статьи</w:t>
            </w:r>
          </w:p>
        </w:tc>
        <w:tc>
          <w:tcPr>
            <w:tcW w:w="6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24AF9078" w14:textId="34E496DC" w:rsidR="006050DD" w:rsidRPr="00FB0A3A" w:rsidRDefault="006050DD" w:rsidP="001E1AB4">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rPr>
            </w:pPr>
            <w:r w:rsidRPr="00FB0A3A">
              <w:rPr>
                <w:rFonts w:eastAsia="Calibri" w:cs="Times New Roman"/>
              </w:rPr>
              <w:t>Заявлено</w:t>
            </w:r>
            <w:r w:rsidR="001E1AB4" w:rsidRPr="00FB0A3A">
              <w:rPr>
                <w:rFonts w:eastAsia="Calibri" w:cs="Times New Roman"/>
              </w:rPr>
              <w:br/>
            </w:r>
            <w:r w:rsidRPr="00FB0A3A">
              <w:rPr>
                <w:rFonts w:eastAsia="Calibri" w:cs="Times New Roman"/>
              </w:rPr>
              <w:t>Филиалом</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E45FF5E" w14:textId="77777777" w:rsidR="006050DD" w:rsidRPr="00FB0A3A" w:rsidRDefault="006050DD" w:rsidP="001E1AB4">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rPr>
            </w:pPr>
            <w:r w:rsidRPr="00FB0A3A">
              <w:rPr>
                <w:rFonts w:eastAsia="Calibri" w:cs="Times New Roman"/>
              </w:rPr>
              <w:t>Рассчитано Комитетом (ЭОУ)</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E62A6B1" w14:textId="77777777" w:rsidR="006050DD" w:rsidRPr="00FB0A3A" w:rsidRDefault="006050DD" w:rsidP="001E1AB4">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rPr>
            </w:pPr>
            <w:r w:rsidRPr="00FB0A3A">
              <w:rPr>
                <w:rFonts w:eastAsia="Calibri" w:cs="Times New Roman"/>
              </w:rPr>
              <w:t>Рассчитано Исполнителем (ЭОУ)</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9A1C3B9" w14:textId="77777777" w:rsidR="006050DD" w:rsidRPr="00FB0A3A" w:rsidRDefault="006050DD" w:rsidP="001E1AB4">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rPr>
            </w:pPr>
            <w:r w:rsidRPr="00FB0A3A">
              <w:rPr>
                <w:rFonts w:eastAsia="Calibri" w:cs="Times New Roman"/>
              </w:rPr>
              <w:t>Отклонение  между Исполнителем и Комитетом</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DDE4782" w14:textId="77777777" w:rsidR="006050DD" w:rsidRPr="00FB0A3A" w:rsidRDefault="006050DD" w:rsidP="001E1AB4">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rPr>
            </w:pPr>
            <w:r w:rsidRPr="00FB0A3A">
              <w:rPr>
                <w:rFonts w:eastAsia="Calibri" w:cs="Times New Roman"/>
              </w:rPr>
              <w:t>Отклонение  между Исполнителем и Филиалом</w:t>
            </w:r>
          </w:p>
        </w:tc>
      </w:tr>
      <w:tr w:rsidR="006050DD" w:rsidRPr="00FB0A3A" w14:paraId="418E2F10" w14:textId="77777777" w:rsidTr="00907125">
        <w:tc>
          <w:tcPr>
            <w:cnfStyle w:val="001000000000" w:firstRow="0" w:lastRow="0" w:firstColumn="1" w:lastColumn="0" w:oddVBand="0" w:evenVBand="0" w:oddHBand="0" w:evenHBand="0" w:firstRowFirstColumn="0" w:firstRowLastColumn="0" w:lastRowFirstColumn="0" w:lastRowLastColumn="0"/>
            <w:tcW w:w="1343" w:type="pct"/>
            <w:tcBorders>
              <w:top w:val="single" w:sz="4" w:space="0" w:color="FFFFFF" w:themeColor="background1"/>
            </w:tcBorders>
            <w:hideMark/>
          </w:tcPr>
          <w:p w14:paraId="43E7FCB3" w14:textId="77777777" w:rsidR="006050DD" w:rsidRPr="00FB0A3A" w:rsidRDefault="006050DD" w:rsidP="001E1AB4">
            <w:pPr>
              <w:tabs>
                <w:tab w:val="left" w:pos="1134"/>
              </w:tabs>
              <w:rPr>
                <w:rFonts w:eastAsia="Calibri" w:cs="Times New Roman"/>
              </w:rPr>
            </w:pPr>
            <w:r w:rsidRPr="00FB0A3A">
              <w:rPr>
                <w:rFonts w:eastAsia="Calibri" w:cs="Times New Roman"/>
              </w:rPr>
              <w:t>Содержание управляющей компании</w:t>
            </w:r>
          </w:p>
        </w:tc>
        <w:tc>
          <w:tcPr>
            <w:tcW w:w="680" w:type="pct"/>
            <w:tcBorders>
              <w:top w:val="single" w:sz="4" w:space="0" w:color="FFFFFF" w:themeColor="background1"/>
            </w:tcBorders>
            <w:hideMark/>
          </w:tcPr>
          <w:p w14:paraId="35D6405C" w14:textId="77777777" w:rsidR="006050DD" w:rsidRPr="00FB0A3A" w:rsidRDefault="006050DD" w:rsidP="001E1AB4">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rPr>
            </w:pPr>
            <w:r w:rsidRPr="00FB0A3A">
              <w:rPr>
                <w:rFonts w:eastAsia="Calibri" w:cs="Times New Roman"/>
              </w:rPr>
              <w:t>223 487,03</w:t>
            </w:r>
          </w:p>
        </w:tc>
        <w:tc>
          <w:tcPr>
            <w:tcW w:w="0" w:type="auto"/>
            <w:tcBorders>
              <w:top w:val="single" w:sz="4" w:space="0" w:color="FFFFFF" w:themeColor="background1"/>
            </w:tcBorders>
            <w:hideMark/>
          </w:tcPr>
          <w:p w14:paraId="776FE162" w14:textId="77777777" w:rsidR="006050DD" w:rsidRPr="00FB0A3A" w:rsidRDefault="006050DD" w:rsidP="001E1AB4">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rPr>
            </w:pPr>
            <w:r w:rsidRPr="00FB0A3A">
              <w:rPr>
                <w:rFonts w:eastAsia="Calibri" w:cs="Times New Roman"/>
              </w:rPr>
              <w:t>29 434,83</w:t>
            </w:r>
          </w:p>
        </w:tc>
        <w:tc>
          <w:tcPr>
            <w:tcW w:w="0" w:type="auto"/>
            <w:tcBorders>
              <w:top w:val="single" w:sz="4" w:space="0" w:color="FFFFFF" w:themeColor="background1"/>
            </w:tcBorders>
            <w:hideMark/>
          </w:tcPr>
          <w:p w14:paraId="1A26763F" w14:textId="77777777" w:rsidR="006050DD" w:rsidRPr="00FB0A3A" w:rsidRDefault="006050DD" w:rsidP="001E1AB4">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rPr>
            </w:pPr>
            <w:r w:rsidRPr="00FB0A3A">
              <w:rPr>
                <w:rFonts w:eastAsia="Calibri" w:cs="Times New Roman"/>
              </w:rPr>
              <w:t>70 547,18</w:t>
            </w:r>
          </w:p>
        </w:tc>
        <w:tc>
          <w:tcPr>
            <w:tcW w:w="0" w:type="auto"/>
            <w:tcBorders>
              <w:top w:val="single" w:sz="4" w:space="0" w:color="FFFFFF" w:themeColor="background1"/>
            </w:tcBorders>
            <w:hideMark/>
          </w:tcPr>
          <w:p w14:paraId="50931C49" w14:textId="77777777" w:rsidR="006050DD" w:rsidRPr="00FB0A3A" w:rsidRDefault="006050DD" w:rsidP="001E1AB4">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rPr>
            </w:pPr>
            <w:r w:rsidRPr="00FB0A3A">
              <w:rPr>
                <w:rFonts w:eastAsia="Calibri" w:cs="Times New Roman"/>
              </w:rPr>
              <w:t>41 112,35</w:t>
            </w:r>
          </w:p>
        </w:tc>
        <w:tc>
          <w:tcPr>
            <w:tcW w:w="0" w:type="auto"/>
            <w:tcBorders>
              <w:top w:val="single" w:sz="4" w:space="0" w:color="FFFFFF" w:themeColor="background1"/>
            </w:tcBorders>
            <w:hideMark/>
          </w:tcPr>
          <w:p w14:paraId="36B10EB6" w14:textId="77777777" w:rsidR="006050DD" w:rsidRPr="00FB0A3A" w:rsidRDefault="006050DD" w:rsidP="001E1AB4">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rPr>
            </w:pPr>
            <w:r w:rsidRPr="00FB0A3A">
              <w:rPr>
                <w:rFonts w:eastAsia="Calibri" w:cs="Times New Roman"/>
              </w:rPr>
              <w:t>-152 939,85</w:t>
            </w:r>
          </w:p>
        </w:tc>
      </w:tr>
    </w:tbl>
    <w:p w14:paraId="67E696A7" w14:textId="62C112B6" w:rsidR="002E7C85" w:rsidRPr="00C04ABD" w:rsidRDefault="003F1A90" w:rsidP="001E1AB4">
      <w:pPr>
        <w:pStyle w:val="afff7"/>
      </w:pPr>
      <w:r w:rsidRPr="00C04ABD">
        <w:t>По мнению Исполнителя</w:t>
      </w:r>
      <w:r w:rsidR="00A54224" w:rsidRPr="00C04ABD">
        <w:t>,</w:t>
      </w:r>
      <w:r w:rsidR="002E7C85" w:rsidRPr="00C04ABD">
        <w:t xml:space="preserve"> для подтверждения экономической целесообразности расходов на содержание исполнительного аппарата</w:t>
      </w:r>
      <w:r w:rsidR="00A54224" w:rsidRPr="00C04ABD">
        <w:t xml:space="preserve">, </w:t>
      </w:r>
      <w:r w:rsidR="002E7C85" w:rsidRPr="00C04ABD">
        <w:t xml:space="preserve">регулируемой организации необходимо было в дополнение к представленному пакету расчетных и обосновывающих материалов </w:t>
      </w:r>
      <w:r w:rsidR="002E7C85" w:rsidRPr="001835E4">
        <w:t>также предоставить:</w:t>
      </w:r>
      <w:r w:rsidR="002E7C85" w:rsidRPr="00C04ABD">
        <w:t xml:space="preserve"> </w:t>
      </w:r>
    </w:p>
    <w:p w14:paraId="72B67E63" w14:textId="30E72E51" w:rsidR="002E7C85" w:rsidRPr="00C04ABD" w:rsidRDefault="00B82EA0"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а</w:t>
      </w:r>
      <w:r w:rsidR="002E7C85" w:rsidRPr="00C04ABD">
        <w:rPr>
          <w:rFonts w:ascii="Myriad Pro" w:eastAsia="Calibri" w:hAnsi="Myriad Pro" w:cs="Times New Roman"/>
          <w:sz w:val="26"/>
          <w:szCs w:val="26"/>
        </w:rPr>
        <w:t>) Отчет органов управления (исполнительного аппарата) о выполненных функциях за отчетный период в разрезе функционала, возложенного на отделы, департаменты, управления Исполнительного аппарата в соответствии с положениями о структурных подразделениях.</w:t>
      </w:r>
    </w:p>
    <w:p w14:paraId="5E1B8A42" w14:textId="2FE89F2F" w:rsidR="002E7C85" w:rsidRPr="00C04ABD" w:rsidRDefault="00B82EA0"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б</w:t>
      </w:r>
      <w:r w:rsidR="002E7C85" w:rsidRPr="00C04ABD">
        <w:rPr>
          <w:rFonts w:ascii="Myriad Pro" w:eastAsia="Calibri" w:hAnsi="Myriad Pro" w:cs="Times New Roman"/>
          <w:sz w:val="26"/>
          <w:szCs w:val="26"/>
        </w:rPr>
        <w:t xml:space="preserve">) Расчет эффективности работы, выполняемой органами управления за отчетный период. </w:t>
      </w:r>
    </w:p>
    <w:p w14:paraId="6193EE33" w14:textId="0A2FAC0A" w:rsidR="002E7C85" w:rsidRPr="00C04ABD" w:rsidRDefault="00B82EA0"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lastRenderedPageBreak/>
        <w:t>в</w:t>
      </w:r>
      <w:r w:rsidR="002E7C85" w:rsidRPr="00C04ABD">
        <w:rPr>
          <w:rFonts w:ascii="Myriad Pro" w:eastAsia="Calibri" w:hAnsi="Myriad Pro" w:cs="Times New Roman"/>
          <w:sz w:val="26"/>
          <w:szCs w:val="26"/>
        </w:rPr>
        <w:t xml:space="preserve">) Экспертные заключения независимых экспертов, подтверждающие отсутствие дублирующих функций между филиалом и вышестоящими органами управления. </w:t>
      </w:r>
    </w:p>
    <w:p w14:paraId="03260DC5" w14:textId="77777777" w:rsidR="002E7C85" w:rsidRPr="00C04ABD" w:rsidRDefault="002E7C85"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г) Экспертные заключения независимых экспертов, подтверждающие экономическую целесообразность консолидированных функций управления.</w:t>
      </w:r>
    </w:p>
    <w:p w14:paraId="0C47F487" w14:textId="0C341672" w:rsidR="00A54224" w:rsidRPr="00C04ABD" w:rsidRDefault="00437BD0" w:rsidP="00256761">
      <w:pPr>
        <w:tabs>
          <w:tab w:val="left" w:pos="1134"/>
        </w:tabs>
        <w:spacing w:before="240" w:after="0" w:line="360" w:lineRule="auto"/>
        <w:jc w:val="both"/>
        <w:rPr>
          <w:rFonts w:ascii="Myriad Pro" w:eastAsia="Calibri" w:hAnsi="Myriad Pro" w:cs="Times New Roman"/>
          <w:b/>
          <w:i/>
          <w:sz w:val="26"/>
          <w:szCs w:val="26"/>
        </w:rPr>
      </w:pPr>
      <w:r w:rsidRPr="00C04ABD">
        <w:rPr>
          <w:rFonts w:ascii="Myriad Pro" w:eastAsia="Calibri" w:hAnsi="Myriad Pro" w:cs="Times New Roman"/>
          <w:b/>
          <w:i/>
          <w:sz w:val="26"/>
          <w:szCs w:val="26"/>
        </w:rPr>
        <w:t>Подконтрольные расходы из прибыли</w:t>
      </w:r>
    </w:p>
    <w:p w14:paraId="1ED990AB" w14:textId="77777777" w:rsidR="001E265A" w:rsidRPr="00C04ABD" w:rsidRDefault="001E265A" w:rsidP="00A31747">
      <w:pPr>
        <w:tabs>
          <w:tab w:val="left" w:pos="1134"/>
        </w:tabs>
        <w:spacing w:after="0" w:line="360" w:lineRule="auto"/>
        <w:ind w:firstLine="567"/>
        <w:jc w:val="both"/>
        <w:rPr>
          <w:rFonts w:ascii="Myriad Pro" w:hAnsi="Myriad Pro"/>
          <w:sz w:val="26"/>
          <w:szCs w:val="26"/>
        </w:rPr>
      </w:pPr>
      <w:r w:rsidRPr="00C04ABD">
        <w:rPr>
          <w:rFonts w:ascii="Myriad Pro" w:eastAsia="Calibri" w:hAnsi="Myriad Pro" w:cs="Times New Roman"/>
          <w:sz w:val="26"/>
          <w:szCs w:val="26"/>
        </w:rPr>
        <w:t xml:space="preserve">Согласно п. 12 Методических указаний №98-э при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w:t>
      </w:r>
      <w:r w:rsidRPr="00C04ABD">
        <w:rPr>
          <w:rFonts w:ascii="Myriad Pro" w:hAnsi="Myriad Pro"/>
          <w:sz w:val="26"/>
          <w:szCs w:val="26"/>
        </w:rPr>
        <w:t>другие подконтрольные расходы, в том числе расходы по коллективным договорам и другие расходы, осуществляемые из прибыли регулируемой организации.</w:t>
      </w:r>
    </w:p>
    <w:p w14:paraId="1B8FBE46" w14:textId="73AC7520" w:rsidR="001E265A" w:rsidRPr="00C04ABD" w:rsidRDefault="001E265A" w:rsidP="00A31747">
      <w:pPr>
        <w:tabs>
          <w:tab w:val="left" w:pos="1134"/>
        </w:tabs>
        <w:spacing w:after="0" w:line="360" w:lineRule="auto"/>
        <w:ind w:firstLine="567"/>
        <w:jc w:val="both"/>
        <w:rPr>
          <w:rFonts w:ascii="Myriad Pro" w:hAnsi="Myriad Pro"/>
          <w:sz w:val="26"/>
          <w:szCs w:val="26"/>
        </w:rPr>
      </w:pPr>
      <w:r w:rsidRPr="00C04ABD">
        <w:rPr>
          <w:rFonts w:ascii="Myriad Pro" w:hAnsi="Myriad Pro"/>
          <w:sz w:val="26"/>
          <w:szCs w:val="26"/>
        </w:rPr>
        <w:t xml:space="preserve">В соответствии с пунктом 17 Основ ценообразования №1178 в необходимую валовую выручку включаются расходы, не учитываемые при определении налоговой базы по налогу на прибыль. </w:t>
      </w:r>
    </w:p>
    <w:p w14:paraId="74834836" w14:textId="77777777" w:rsidR="001E265A" w:rsidRPr="00C04ABD" w:rsidRDefault="001E265A" w:rsidP="00A31747">
      <w:pPr>
        <w:tabs>
          <w:tab w:val="left" w:pos="1134"/>
        </w:tabs>
        <w:spacing w:after="0" w:line="360" w:lineRule="auto"/>
        <w:ind w:firstLine="567"/>
        <w:jc w:val="both"/>
        <w:rPr>
          <w:rFonts w:ascii="Myriad Pro" w:hAnsi="Myriad Pro"/>
          <w:sz w:val="26"/>
          <w:szCs w:val="26"/>
        </w:rPr>
      </w:pPr>
      <w:r w:rsidRPr="00C04ABD">
        <w:rPr>
          <w:rFonts w:ascii="Myriad Pro" w:hAnsi="Myriad Pro"/>
          <w:sz w:val="26"/>
          <w:szCs w:val="26"/>
        </w:rPr>
        <w:t>К составу таких расходов в соответствии с пунктом 19 Основ ценообразования №1178 относятся, в том числе экономически обоснованные расходы, относимые на прибыль после налогообложения, включая затраты организаций на предоставление льгот, гарантий и компенсаций в соответствии с отраслевыми тарифными соглашениями.</w:t>
      </w:r>
    </w:p>
    <w:p w14:paraId="6B763614" w14:textId="77777777" w:rsidR="001E265A" w:rsidRPr="00C04ABD" w:rsidRDefault="001E265A" w:rsidP="00A31747">
      <w:pPr>
        <w:tabs>
          <w:tab w:val="left" w:pos="1134"/>
        </w:tabs>
        <w:spacing w:after="0" w:line="360" w:lineRule="auto"/>
        <w:ind w:firstLine="567"/>
        <w:jc w:val="both"/>
        <w:rPr>
          <w:rFonts w:ascii="Myriad Pro" w:hAnsi="Myriad Pro"/>
          <w:sz w:val="26"/>
          <w:szCs w:val="26"/>
        </w:rPr>
      </w:pPr>
      <w:r w:rsidRPr="00C04ABD">
        <w:rPr>
          <w:rFonts w:ascii="Myriad Pro" w:hAnsi="Myriad Pro"/>
          <w:sz w:val="26"/>
          <w:szCs w:val="26"/>
        </w:rPr>
        <w:t>В соответствии с пунктом 6.1 Отраслевого тарифного соглашения в электроэнергетике РФ на 2013-2015 (продление на 2016-2018) работодатели обеспечивают предоставление работникам следующих льгот, гарантий и компенсаций, в том числе:</w:t>
      </w:r>
    </w:p>
    <w:p w14:paraId="31057DD9" w14:textId="77777777" w:rsidR="001E265A" w:rsidRPr="00C04ABD" w:rsidRDefault="001E265A" w:rsidP="009B0BC1">
      <w:pPr>
        <w:pStyle w:val="a4"/>
        <w:numPr>
          <w:ilvl w:val="0"/>
          <w:numId w:val="23"/>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Выплату единовременного пособия (материальной помощи) в случаях:</w:t>
      </w:r>
    </w:p>
    <w:p w14:paraId="3AB9CCEB" w14:textId="77777777" w:rsidR="001E265A" w:rsidRPr="00C04ABD" w:rsidRDefault="001E265A" w:rsidP="00256761">
      <w:pPr>
        <w:tabs>
          <w:tab w:val="left" w:pos="1701"/>
        </w:tabs>
        <w:spacing w:after="0" w:line="360" w:lineRule="auto"/>
        <w:ind w:left="567" w:firstLine="567"/>
        <w:jc w:val="both"/>
        <w:rPr>
          <w:rFonts w:ascii="Myriad Pro" w:hAnsi="Myriad Pro"/>
          <w:sz w:val="26"/>
          <w:szCs w:val="26"/>
        </w:rPr>
      </w:pPr>
      <w:bookmarkStart w:id="45" w:name="Par1"/>
      <w:bookmarkEnd w:id="45"/>
      <w:r w:rsidRPr="00C04ABD">
        <w:rPr>
          <w:rFonts w:ascii="Myriad Pro" w:hAnsi="Myriad Pro"/>
          <w:sz w:val="26"/>
          <w:szCs w:val="26"/>
        </w:rPr>
        <w:t>а) гибели работника на производстве на каждого его иждивенца в размере годового заработка погибшего;</w:t>
      </w:r>
    </w:p>
    <w:p w14:paraId="04F71A1B" w14:textId="447CA5E3" w:rsidR="001E265A" w:rsidRPr="00C04ABD" w:rsidRDefault="001E265A" w:rsidP="00256761">
      <w:pPr>
        <w:tabs>
          <w:tab w:val="left" w:pos="1701"/>
        </w:tabs>
        <w:spacing w:after="0" w:line="360" w:lineRule="auto"/>
        <w:ind w:left="567" w:firstLine="567"/>
        <w:jc w:val="both"/>
        <w:rPr>
          <w:rFonts w:ascii="Myriad Pro" w:hAnsi="Myriad Pro"/>
          <w:sz w:val="26"/>
          <w:szCs w:val="26"/>
        </w:rPr>
      </w:pPr>
      <w:bookmarkStart w:id="46" w:name="Par2"/>
      <w:bookmarkEnd w:id="46"/>
      <w:r w:rsidRPr="00C04ABD">
        <w:rPr>
          <w:rFonts w:ascii="Myriad Pro" w:hAnsi="Myriad Pro"/>
          <w:sz w:val="26"/>
          <w:szCs w:val="26"/>
        </w:rPr>
        <w:t>б) установления инвалидности в результате увечья по вине работодателя или профзаболевания.</w:t>
      </w:r>
    </w:p>
    <w:p w14:paraId="16B14345" w14:textId="77777777" w:rsidR="001E265A" w:rsidRPr="00C04ABD" w:rsidRDefault="001E265A" w:rsidP="009B0BC1">
      <w:pPr>
        <w:pStyle w:val="a4"/>
        <w:numPr>
          <w:ilvl w:val="0"/>
          <w:numId w:val="23"/>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Доплату к трудовой пенсии:</w:t>
      </w:r>
    </w:p>
    <w:p w14:paraId="296E7028" w14:textId="77777777" w:rsidR="001E265A" w:rsidRPr="00C04ABD" w:rsidRDefault="001E265A" w:rsidP="00256761">
      <w:pPr>
        <w:tabs>
          <w:tab w:val="left" w:pos="1701"/>
        </w:tabs>
        <w:spacing w:after="0" w:line="360" w:lineRule="auto"/>
        <w:ind w:left="567" w:firstLine="567"/>
        <w:jc w:val="both"/>
        <w:rPr>
          <w:rFonts w:ascii="Myriad Pro" w:hAnsi="Myriad Pro"/>
          <w:sz w:val="26"/>
          <w:szCs w:val="26"/>
        </w:rPr>
      </w:pPr>
      <w:r w:rsidRPr="00C04ABD">
        <w:rPr>
          <w:rFonts w:ascii="Myriad Pro" w:hAnsi="Myriad Pro"/>
          <w:sz w:val="26"/>
          <w:szCs w:val="26"/>
        </w:rPr>
        <w:lastRenderedPageBreak/>
        <w:t>а) по инвалидности - неработающему инвалиду, получившему инвалидность в результате увечья по вине работодателя;</w:t>
      </w:r>
    </w:p>
    <w:p w14:paraId="0CD169F4" w14:textId="77777777" w:rsidR="001E265A" w:rsidRPr="00C04ABD" w:rsidRDefault="001E265A" w:rsidP="00256761">
      <w:pPr>
        <w:tabs>
          <w:tab w:val="left" w:pos="1701"/>
        </w:tabs>
        <w:spacing w:after="0" w:line="360" w:lineRule="auto"/>
        <w:ind w:left="567" w:firstLine="567"/>
        <w:jc w:val="both"/>
        <w:rPr>
          <w:rFonts w:ascii="Myriad Pro" w:hAnsi="Myriad Pro"/>
          <w:sz w:val="26"/>
          <w:szCs w:val="26"/>
        </w:rPr>
      </w:pPr>
      <w:r w:rsidRPr="00C04ABD">
        <w:rPr>
          <w:rFonts w:ascii="Myriad Pro" w:hAnsi="Myriad Pro"/>
          <w:sz w:val="26"/>
          <w:szCs w:val="26"/>
        </w:rPr>
        <w:t>б) по случаю потери кормильца - детям погибшего на производстве работника;</w:t>
      </w:r>
    </w:p>
    <w:p w14:paraId="58DA6AB0" w14:textId="77777777" w:rsidR="001E265A" w:rsidRPr="00C04ABD" w:rsidRDefault="001E265A" w:rsidP="009B0BC1">
      <w:pPr>
        <w:pStyle w:val="a4"/>
        <w:numPr>
          <w:ilvl w:val="0"/>
          <w:numId w:val="23"/>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Выплату единовременной материальной помощи:</w:t>
      </w:r>
    </w:p>
    <w:p w14:paraId="4E3BD2DB" w14:textId="77777777" w:rsidR="001E265A" w:rsidRPr="00C04ABD" w:rsidRDefault="001E265A" w:rsidP="00256761">
      <w:pPr>
        <w:tabs>
          <w:tab w:val="left" w:pos="1701"/>
        </w:tabs>
        <w:spacing w:after="0" w:line="360" w:lineRule="auto"/>
        <w:ind w:left="567" w:firstLine="567"/>
        <w:jc w:val="both"/>
        <w:rPr>
          <w:rFonts w:ascii="Myriad Pro" w:hAnsi="Myriad Pro"/>
          <w:sz w:val="26"/>
          <w:szCs w:val="26"/>
        </w:rPr>
      </w:pPr>
      <w:r w:rsidRPr="00C04ABD">
        <w:rPr>
          <w:rFonts w:ascii="Myriad Pro" w:hAnsi="Myriad Pro"/>
          <w:sz w:val="26"/>
          <w:szCs w:val="26"/>
        </w:rPr>
        <w:t>а) при регистрации брака;</w:t>
      </w:r>
    </w:p>
    <w:p w14:paraId="6814EB21" w14:textId="77777777" w:rsidR="001E265A" w:rsidRPr="00C04ABD" w:rsidRDefault="001E265A" w:rsidP="00256761">
      <w:pPr>
        <w:tabs>
          <w:tab w:val="left" w:pos="1701"/>
        </w:tabs>
        <w:spacing w:after="0" w:line="360" w:lineRule="auto"/>
        <w:ind w:left="567" w:firstLine="567"/>
        <w:jc w:val="both"/>
        <w:rPr>
          <w:rFonts w:ascii="Myriad Pro" w:hAnsi="Myriad Pro"/>
          <w:sz w:val="26"/>
          <w:szCs w:val="26"/>
        </w:rPr>
      </w:pPr>
      <w:r w:rsidRPr="00C04ABD">
        <w:rPr>
          <w:rFonts w:ascii="Myriad Pro" w:hAnsi="Myriad Pro"/>
          <w:sz w:val="26"/>
          <w:szCs w:val="26"/>
        </w:rPr>
        <w:t>б) при рождении ребенка;</w:t>
      </w:r>
    </w:p>
    <w:p w14:paraId="058D4D73" w14:textId="77777777" w:rsidR="001E265A" w:rsidRPr="00C04ABD" w:rsidRDefault="001E265A" w:rsidP="00256761">
      <w:pPr>
        <w:tabs>
          <w:tab w:val="left" w:pos="1701"/>
        </w:tabs>
        <w:spacing w:after="0" w:line="360" w:lineRule="auto"/>
        <w:ind w:left="567" w:firstLine="567"/>
        <w:jc w:val="both"/>
        <w:rPr>
          <w:rFonts w:ascii="Myriad Pro" w:hAnsi="Myriad Pro"/>
          <w:sz w:val="26"/>
          <w:szCs w:val="26"/>
        </w:rPr>
      </w:pPr>
      <w:bookmarkStart w:id="47" w:name="Par15"/>
      <w:bookmarkEnd w:id="47"/>
      <w:r w:rsidRPr="00C04ABD">
        <w:rPr>
          <w:rFonts w:ascii="Myriad Pro" w:hAnsi="Myriad Pro"/>
          <w:sz w:val="26"/>
          <w:szCs w:val="26"/>
        </w:rPr>
        <w:t xml:space="preserve">в) семье работника в связи со смертью работника Организации; </w:t>
      </w:r>
    </w:p>
    <w:p w14:paraId="18E0DCF1" w14:textId="77777777" w:rsidR="001E265A" w:rsidRPr="00C04ABD" w:rsidRDefault="001E265A" w:rsidP="00256761">
      <w:pPr>
        <w:tabs>
          <w:tab w:val="left" w:pos="1701"/>
        </w:tabs>
        <w:spacing w:after="0" w:line="360" w:lineRule="auto"/>
        <w:ind w:left="567" w:firstLine="567"/>
        <w:jc w:val="both"/>
        <w:rPr>
          <w:rFonts w:ascii="Myriad Pro" w:hAnsi="Myriad Pro"/>
          <w:sz w:val="26"/>
          <w:szCs w:val="26"/>
        </w:rPr>
      </w:pPr>
      <w:r w:rsidRPr="00C04ABD">
        <w:rPr>
          <w:rFonts w:ascii="Myriad Pro" w:hAnsi="Myriad Pro"/>
          <w:sz w:val="26"/>
          <w:szCs w:val="26"/>
        </w:rPr>
        <w:t>г) на организацию похорон ветеранов Организации;</w:t>
      </w:r>
    </w:p>
    <w:p w14:paraId="0588CAD1" w14:textId="77777777" w:rsidR="001E265A" w:rsidRPr="00C04ABD" w:rsidRDefault="001E265A" w:rsidP="00256761">
      <w:pPr>
        <w:tabs>
          <w:tab w:val="left" w:pos="1701"/>
        </w:tabs>
        <w:spacing w:after="0" w:line="360" w:lineRule="auto"/>
        <w:ind w:left="567" w:firstLine="567"/>
        <w:jc w:val="both"/>
        <w:rPr>
          <w:rFonts w:ascii="Myriad Pro" w:hAnsi="Myriad Pro"/>
          <w:sz w:val="26"/>
          <w:szCs w:val="26"/>
        </w:rPr>
      </w:pPr>
      <w:r w:rsidRPr="00C04ABD">
        <w:rPr>
          <w:rFonts w:ascii="Myriad Pro" w:hAnsi="Myriad Pro"/>
          <w:sz w:val="26"/>
          <w:szCs w:val="26"/>
        </w:rPr>
        <w:t>д) работнику в связи со смертью его близких родственников (супруга(и), детей, родителей);</w:t>
      </w:r>
    </w:p>
    <w:p w14:paraId="6BD96F6B" w14:textId="77777777" w:rsidR="001E265A" w:rsidRPr="00C04ABD" w:rsidRDefault="001E265A" w:rsidP="009B0BC1">
      <w:pPr>
        <w:pStyle w:val="a4"/>
        <w:numPr>
          <w:ilvl w:val="0"/>
          <w:numId w:val="23"/>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Предоставление единовременной выплаты при уходе работника в ежегодный основной оплачиваемый отпуск;</w:t>
      </w:r>
    </w:p>
    <w:p w14:paraId="0F943E41" w14:textId="77777777" w:rsidR="001E265A" w:rsidRPr="00C04ABD" w:rsidRDefault="001E265A" w:rsidP="009B0BC1">
      <w:pPr>
        <w:pStyle w:val="a4"/>
        <w:numPr>
          <w:ilvl w:val="0"/>
          <w:numId w:val="23"/>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Выплату единовременной материальной помощи при увольнении работника из Организации по собственному желанию после установления трудовой пенсии по старости.</w:t>
      </w:r>
    </w:p>
    <w:p w14:paraId="45250A1F" w14:textId="77777777" w:rsidR="001E265A" w:rsidRPr="00C04ABD" w:rsidRDefault="001E265A" w:rsidP="00A31747">
      <w:pPr>
        <w:tabs>
          <w:tab w:val="left" w:pos="1134"/>
        </w:tabs>
        <w:spacing w:after="0" w:line="360" w:lineRule="auto"/>
        <w:ind w:firstLine="567"/>
        <w:jc w:val="both"/>
        <w:rPr>
          <w:rFonts w:ascii="Myriad Pro" w:hAnsi="Myriad Pro"/>
          <w:sz w:val="26"/>
          <w:szCs w:val="26"/>
        </w:rPr>
      </w:pPr>
      <w:r w:rsidRPr="00C04ABD">
        <w:rPr>
          <w:rFonts w:ascii="Myriad Pro" w:hAnsi="Myriad Pro"/>
          <w:sz w:val="26"/>
          <w:szCs w:val="26"/>
        </w:rPr>
        <w:t>В соответствии с пунктом 6.2 Отраслевого тарифного соглашения в электроэнергетике РФ на 2013-2015 (продление на 2016-2018) организации, исходя из своих финансовых возможностей, предусматривают предоставление следующих льгот, гарантий и компенсаций в порядке и на условиях, устанавливаемых непосредственно в Организации:</w:t>
      </w:r>
    </w:p>
    <w:p w14:paraId="39021E2E" w14:textId="77777777" w:rsidR="001E265A" w:rsidRPr="00C04ABD" w:rsidRDefault="001E265A" w:rsidP="009B0BC1">
      <w:pPr>
        <w:pStyle w:val="a4"/>
        <w:numPr>
          <w:ilvl w:val="0"/>
          <w:numId w:val="24"/>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Частичную или полную компенсацию подтвержденных расходов работников:</w:t>
      </w:r>
    </w:p>
    <w:p w14:paraId="214C992A" w14:textId="02501133" w:rsidR="001E265A" w:rsidRPr="00C04ABD" w:rsidRDefault="001E265A" w:rsidP="00256761">
      <w:pPr>
        <w:tabs>
          <w:tab w:val="left" w:pos="1701"/>
        </w:tabs>
        <w:spacing w:after="0" w:line="360" w:lineRule="auto"/>
        <w:ind w:left="567" w:firstLine="567"/>
        <w:jc w:val="both"/>
        <w:rPr>
          <w:rFonts w:ascii="Myriad Pro" w:hAnsi="Myriad Pro"/>
          <w:sz w:val="26"/>
          <w:szCs w:val="26"/>
        </w:rPr>
      </w:pPr>
      <w:r w:rsidRPr="00C04ABD">
        <w:rPr>
          <w:rFonts w:ascii="Myriad Pro" w:hAnsi="Myriad Pro"/>
          <w:sz w:val="26"/>
          <w:szCs w:val="26"/>
        </w:rPr>
        <w:t>а) на содержание в детских дошкольных учреждениях детей работников, в семьях которых сумма дохода на одного члена семьи не превышает 4</w:t>
      </w:r>
      <w:r w:rsidR="002F115E">
        <w:rPr>
          <w:rFonts w:ascii="Myriad Pro" w:hAnsi="Myriad Pro"/>
          <w:sz w:val="26"/>
          <w:szCs w:val="26"/>
        </w:rPr>
        <w:t xml:space="preserve"> </w:t>
      </w:r>
      <w:r w:rsidRPr="00C04ABD">
        <w:rPr>
          <w:rFonts w:ascii="Myriad Pro" w:hAnsi="Myriad Pro"/>
          <w:sz w:val="26"/>
          <w:szCs w:val="26"/>
        </w:rPr>
        <w:t>500 (Четырех тысяч пятисот) рублей;</w:t>
      </w:r>
    </w:p>
    <w:p w14:paraId="129C9A8E" w14:textId="77777777" w:rsidR="001E265A" w:rsidRPr="00C04ABD" w:rsidRDefault="001E265A" w:rsidP="00256761">
      <w:pPr>
        <w:tabs>
          <w:tab w:val="left" w:pos="1701"/>
        </w:tabs>
        <w:spacing w:after="0" w:line="360" w:lineRule="auto"/>
        <w:ind w:left="567" w:firstLine="567"/>
        <w:jc w:val="both"/>
        <w:rPr>
          <w:rFonts w:ascii="Myriad Pro" w:hAnsi="Myriad Pro"/>
          <w:sz w:val="26"/>
          <w:szCs w:val="26"/>
        </w:rPr>
      </w:pPr>
      <w:r w:rsidRPr="00C04ABD">
        <w:rPr>
          <w:rFonts w:ascii="Myriad Pro" w:hAnsi="Myriad Pro"/>
          <w:sz w:val="26"/>
          <w:szCs w:val="26"/>
        </w:rPr>
        <w:t>б) на содержание детей в детских дошкольных учреждениях семьям, имеющим троих и более детей;</w:t>
      </w:r>
    </w:p>
    <w:p w14:paraId="1CE1F934" w14:textId="77777777" w:rsidR="001E265A" w:rsidRPr="00C04ABD" w:rsidRDefault="001E265A" w:rsidP="00256761">
      <w:pPr>
        <w:tabs>
          <w:tab w:val="left" w:pos="1701"/>
        </w:tabs>
        <w:spacing w:after="0" w:line="360" w:lineRule="auto"/>
        <w:ind w:left="567" w:firstLine="567"/>
        <w:jc w:val="both"/>
        <w:rPr>
          <w:rFonts w:ascii="Myriad Pro" w:hAnsi="Myriad Pro"/>
          <w:sz w:val="26"/>
          <w:szCs w:val="26"/>
        </w:rPr>
      </w:pPr>
      <w:r w:rsidRPr="00C04ABD">
        <w:rPr>
          <w:rFonts w:ascii="Myriad Pro" w:hAnsi="Myriad Pro"/>
          <w:sz w:val="26"/>
          <w:szCs w:val="26"/>
        </w:rPr>
        <w:t>в) на приобретение путевок в оздоровительные лагеря детям работников, в семьях которых сумма дохода на одного члена семьи не превышает 4500 (Четырех тысяч пятисот) рублей;</w:t>
      </w:r>
    </w:p>
    <w:p w14:paraId="2421FB89" w14:textId="77777777" w:rsidR="001E265A" w:rsidRPr="00C04ABD" w:rsidRDefault="001E265A" w:rsidP="00256761">
      <w:pPr>
        <w:tabs>
          <w:tab w:val="left" w:pos="1701"/>
        </w:tabs>
        <w:spacing w:after="0" w:line="360" w:lineRule="auto"/>
        <w:ind w:left="567" w:firstLine="567"/>
        <w:jc w:val="both"/>
        <w:rPr>
          <w:rFonts w:ascii="Myriad Pro" w:hAnsi="Myriad Pro"/>
          <w:sz w:val="26"/>
          <w:szCs w:val="26"/>
        </w:rPr>
      </w:pPr>
      <w:r w:rsidRPr="00C04ABD">
        <w:rPr>
          <w:rFonts w:ascii="Myriad Pro" w:hAnsi="Myriad Pro"/>
          <w:sz w:val="26"/>
          <w:szCs w:val="26"/>
        </w:rPr>
        <w:lastRenderedPageBreak/>
        <w:t>г) на содержание детей-инвалидов в детских дошкольных учреждениях и приобретение им путевок в оздоровительные лагеря;</w:t>
      </w:r>
    </w:p>
    <w:p w14:paraId="46BB80B9" w14:textId="77777777" w:rsidR="001E265A" w:rsidRPr="00C04ABD" w:rsidRDefault="001E265A" w:rsidP="009B0BC1">
      <w:pPr>
        <w:pStyle w:val="a4"/>
        <w:numPr>
          <w:ilvl w:val="0"/>
          <w:numId w:val="24"/>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Выплату единовременной материальной помощи:</w:t>
      </w:r>
    </w:p>
    <w:p w14:paraId="22461DC3" w14:textId="77777777" w:rsidR="001E265A" w:rsidRPr="00C04ABD" w:rsidRDefault="001E265A" w:rsidP="00256761">
      <w:pPr>
        <w:tabs>
          <w:tab w:val="left" w:pos="1701"/>
        </w:tabs>
        <w:spacing w:after="0" w:line="360" w:lineRule="auto"/>
        <w:ind w:left="567" w:firstLine="567"/>
        <w:jc w:val="both"/>
        <w:rPr>
          <w:rFonts w:ascii="Myriad Pro" w:hAnsi="Myriad Pro"/>
          <w:sz w:val="26"/>
          <w:szCs w:val="26"/>
        </w:rPr>
      </w:pPr>
      <w:r w:rsidRPr="00C04ABD">
        <w:rPr>
          <w:rFonts w:ascii="Myriad Pro" w:hAnsi="Myriad Pro"/>
          <w:sz w:val="26"/>
          <w:szCs w:val="26"/>
        </w:rPr>
        <w:t>а) неработающим пенсионерам, вышедшим на пенсию из Организации и являющимся участниками Великой Отечественной войны, тружениками тыла, - в связи с празднованием Дня Победы;</w:t>
      </w:r>
    </w:p>
    <w:p w14:paraId="76F09289" w14:textId="77777777" w:rsidR="001E265A" w:rsidRPr="00C04ABD" w:rsidRDefault="001E265A" w:rsidP="00256761">
      <w:pPr>
        <w:tabs>
          <w:tab w:val="left" w:pos="1701"/>
        </w:tabs>
        <w:spacing w:after="0" w:line="360" w:lineRule="auto"/>
        <w:ind w:left="567" w:firstLine="567"/>
        <w:jc w:val="both"/>
        <w:rPr>
          <w:rFonts w:ascii="Myriad Pro" w:hAnsi="Myriad Pro"/>
          <w:sz w:val="26"/>
          <w:szCs w:val="26"/>
        </w:rPr>
      </w:pPr>
      <w:r w:rsidRPr="00C04ABD">
        <w:rPr>
          <w:rFonts w:ascii="Myriad Pro" w:hAnsi="Myriad Pro"/>
          <w:sz w:val="26"/>
          <w:szCs w:val="26"/>
        </w:rPr>
        <w:t>б) при возобновлении трудовых отношений после прохождения срочной военной службы в Вооруженных силах РФ по призыву в случае возобновления трудовых отношений в течение 3 месяцев после окончания службы;</w:t>
      </w:r>
    </w:p>
    <w:p w14:paraId="063283AA" w14:textId="1C2E65B0" w:rsidR="001E265A" w:rsidRPr="00C04ABD" w:rsidRDefault="001E265A" w:rsidP="00256761">
      <w:pPr>
        <w:tabs>
          <w:tab w:val="left" w:pos="1701"/>
        </w:tabs>
        <w:spacing w:after="0" w:line="360" w:lineRule="auto"/>
        <w:ind w:left="567" w:firstLine="567"/>
        <w:jc w:val="both"/>
        <w:rPr>
          <w:rFonts w:ascii="Myriad Pro" w:hAnsi="Myriad Pro"/>
          <w:sz w:val="26"/>
          <w:szCs w:val="26"/>
        </w:rPr>
      </w:pPr>
      <w:r w:rsidRPr="00C04ABD">
        <w:rPr>
          <w:rFonts w:ascii="Myriad Pro" w:hAnsi="Myriad Pro"/>
          <w:sz w:val="26"/>
          <w:szCs w:val="26"/>
        </w:rPr>
        <w:t xml:space="preserve">в) вместо выплаты, предусмотренной </w:t>
      </w:r>
      <w:hyperlink w:anchor="Par15" w:history="1">
        <w:r w:rsidRPr="00C04ABD">
          <w:rPr>
            <w:rFonts w:ascii="Myriad Pro" w:hAnsi="Myriad Pro"/>
            <w:sz w:val="26"/>
            <w:szCs w:val="26"/>
          </w:rPr>
          <w:t xml:space="preserve">подпунктом </w:t>
        </w:r>
        <w:r w:rsidR="00655FFA" w:rsidRPr="00C04ABD">
          <w:rPr>
            <w:rFonts w:ascii="Myriad Pro" w:hAnsi="Myriad Pro"/>
            <w:sz w:val="26"/>
            <w:szCs w:val="26"/>
          </w:rPr>
          <w:t>«</w:t>
        </w:r>
        <w:r w:rsidRPr="00C04ABD">
          <w:rPr>
            <w:rFonts w:ascii="Myriad Pro" w:hAnsi="Myriad Pro"/>
            <w:sz w:val="26"/>
            <w:szCs w:val="26"/>
          </w:rPr>
          <w:t>в</w:t>
        </w:r>
        <w:r w:rsidR="00655FFA" w:rsidRPr="00C04ABD">
          <w:rPr>
            <w:rFonts w:ascii="Myriad Pro" w:hAnsi="Myriad Pro"/>
            <w:sz w:val="26"/>
            <w:szCs w:val="26"/>
          </w:rPr>
          <w:t>»</w:t>
        </w:r>
        <w:r w:rsidRPr="00C04ABD">
          <w:rPr>
            <w:rFonts w:ascii="Myriad Pro" w:hAnsi="Myriad Pro"/>
            <w:sz w:val="26"/>
            <w:szCs w:val="26"/>
          </w:rPr>
          <w:t xml:space="preserve"> пункта 6.1.3</w:t>
        </w:r>
      </w:hyperlink>
      <w:r w:rsidRPr="00C04ABD">
        <w:rPr>
          <w:rFonts w:ascii="Myriad Pro" w:hAnsi="Myriad Pro"/>
          <w:sz w:val="26"/>
          <w:szCs w:val="26"/>
        </w:rPr>
        <w:t>, сверх норм, установленным законодательством Российской Федерации, в случае смерти работника от общего заболевания или несчастного случая в быту в размере 12000 (Двенадцати тысяч) рублей;</w:t>
      </w:r>
    </w:p>
    <w:p w14:paraId="5AF1C7D4" w14:textId="77777777" w:rsidR="001E265A" w:rsidRPr="00C04ABD" w:rsidRDefault="001E265A" w:rsidP="009B0BC1">
      <w:pPr>
        <w:pStyle w:val="a4"/>
        <w:numPr>
          <w:ilvl w:val="0"/>
          <w:numId w:val="24"/>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Предоставление ежемесячной компенсационной выплаты работникам, находящимся в оплачиваемом отпуске по уходу за ребенком, в размере, установленном непосредственно в Организациях;</w:t>
      </w:r>
    </w:p>
    <w:p w14:paraId="088BFD44" w14:textId="77777777" w:rsidR="001E265A" w:rsidRPr="00C04ABD" w:rsidRDefault="001E265A" w:rsidP="009B0BC1">
      <w:pPr>
        <w:pStyle w:val="a4"/>
        <w:numPr>
          <w:ilvl w:val="0"/>
          <w:numId w:val="24"/>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Выплату единовременного вознаграждения (материальной помощи) работникам, удостоенным государственных, отраслевых наград и почетных званий, в соответствии с перечнем и на условиях, определенных непосредственно в Организациях;</w:t>
      </w:r>
    </w:p>
    <w:p w14:paraId="7D7FC6BB" w14:textId="77777777" w:rsidR="001E265A" w:rsidRPr="00C04ABD" w:rsidRDefault="001E265A" w:rsidP="009B0BC1">
      <w:pPr>
        <w:pStyle w:val="a4"/>
        <w:numPr>
          <w:ilvl w:val="0"/>
          <w:numId w:val="24"/>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Участие в улучшении жилищных условий работников на условиях ипотечного кредитования.</w:t>
      </w:r>
    </w:p>
    <w:p w14:paraId="29F7FA82" w14:textId="77777777" w:rsidR="001E265A" w:rsidRPr="00AE37A7" w:rsidRDefault="001E265A" w:rsidP="009B0BC1">
      <w:pPr>
        <w:pStyle w:val="a4"/>
        <w:numPr>
          <w:ilvl w:val="0"/>
          <w:numId w:val="24"/>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 xml:space="preserve">Работникам отрасли предоставляется право на 50-процентную скидку установленной платы за электрическую </w:t>
      </w:r>
      <w:r w:rsidRPr="00AE37A7">
        <w:rPr>
          <w:rFonts w:ascii="Myriad Pro" w:hAnsi="Myriad Pro"/>
          <w:sz w:val="26"/>
          <w:szCs w:val="26"/>
        </w:rPr>
        <w:t>и тепловую энергию в порядке и на условиях, определяемых непосредственно в Организациях.</w:t>
      </w:r>
    </w:p>
    <w:p w14:paraId="29520965" w14:textId="77777777" w:rsidR="001E265A" w:rsidRPr="00FB0A3A" w:rsidRDefault="001E265A" w:rsidP="00256761">
      <w:pPr>
        <w:pStyle w:val="afff4"/>
        <w:rPr>
          <w:lang w:val="ru-RU"/>
        </w:rPr>
      </w:pPr>
      <w:r w:rsidRPr="00C04ABD">
        <w:rPr>
          <w:lang w:val="ru-RU"/>
        </w:rPr>
        <w:t>В соответствии с пунктом 6.5 Отраслевого тарифного соглашения в электроэнергетике РФ на 2013-2015 (продление на 2016-2018) организации, исходя из финансовых возможностей, могут предусматривать дополнительно иные льготы, гарантии и компенсации работникам</w:t>
      </w:r>
      <w:r w:rsidRPr="00FB0A3A">
        <w:rPr>
          <w:lang w:val="ru-RU"/>
        </w:rPr>
        <w:t>.</w:t>
      </w:r>
    </w:p>
    <w:tbl>
      <w:tblPr>
        <w:tblStyle w:val="afff6"/>
        <w:tblW w:w="5000" w:type="pct"/>
        <w:tblLook w:val="04A0" w:firstRow="1" w:lastRow="0" w:firstColumn="1" w:lastColumn="0" w:noHBand="0" w:noVBand="1"/>
      </w:tblPr>
      <w:tblGrid>
        <w:gridCol w:w="2399"/>
        <w:gridCol w:w="1241"/>
        <w:gridCol w:w="2175"/>
        <w:gridCol w:w="933"/>
        <w:gridCol w:w="1621"/>
        <w:gridCol w:w="975"/>
      </w:tblGrid>
      <w:tr w:rsidR="00256761" w:rsidRPr="00FB0A3A" w14:paraId="2B29E1FE" w14:textId="77777777" w:rsidTr="009071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658905DC" w14:textId="77777777" w:rsidR="0020788D" w:rsidRPr="00FB0A3A" w:rsidRDefault="0020788D" w:rsidP="00256761">
            <w:pPr>
              <w:tabs>
                <w:tab w:val="left" w:pos="1134"/>
              </w:tabs>
              <w:jc w:val="center"/>
              <w:rPr>
                <w:rFonts w:eastAsia="Calibri" w:cs="Times New Roman"/>
                <w:szCs w:val="18"/>
              </w:rPr>
            </w:pPr>
            <w:r w:rsidRPr="00FB0A3A">
              <w:rPr>
                <w:rFonts w:eastAsia="Calibri" w:cs="Times New Roman"/>
                <w:szCs w:val="18"/>
              </w:rPr>
              <w:lastRenderedPageBreak/>
              <w:t> Наименование статьи</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54B2C407" w14:textId="4765CE56" w:rsidR="0020788D" w:rsidRPr="00FB0A3A" w:rsidRDefault="00256761" w:rsidP="00256761">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Факт за 2017,</w:t>
            </w:r>
            <w:r w:rsidRPr="00FB0A3A">
              <w:rPr>
                <w:rFonts w:eastAsia="Calibri" w:cs="Times New Roman"/>
                <w:szCs w:val="18"/>
              </w:rPr>
              <w:br/>
            </w:r>
            <w:r w:rsidR="0020788D" w:rsidRPr="00FB0A3A">
              <w:rPr>
                <w:rFonts w:eastAsia="Calibri" w:cs="Times New Roman"/>
                <w:szCs w:val="18"/>
              </w:rPr>
              <w:t>тыс. руб.</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9172B17" w14:textId="5D205A08" w:rsidR="0020788D" w:rsidRPr="00FB0A3A" w:rsidRDefault="0020788D" w:rsidP="00256761">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 xml:space="preserve">Заявлено филиалом ПАО </w:t>
            </w:r>
            <w:r w:rsidR="00655FFA" w:rsidRPr="00FB0A3A">
              <w:rPr>
                <w:rFonts w:eastAsia="Calibri" w:cs="Times New Roman"/>
                <w:szCs w:val="18"/>
              </w:rPr>
              <w:t>«</w:t>
            </w:r>
            <w:r w:rsidR="00F619B6" w:rsidRPr="00FB0A3A">
              <w:rPr>
                <w:rFonts w:eastAsia="Calibri" w:cs="Times New Roman"/>
                <w:szCs w:val="18"/>
              </w:rPr>
              <w:t>МРСК Северо-Запада</w:t>
            </w:r>
            <w:r w:rsidR="00655FFA" w:rsidRPr="00FB0A3A">
              <w:rPr>
                <w:rFonts w:eastAsia="Calibri" w:cs="Times New Roman"/>
                <w:szCs w:val="18"/>
              </w:rPr>
              <w:t>»</w:t>
            </w:r>
            <w:r w:rsidR="00F619B6" w:rsidRPr="00FB0A3A">
              <w:rPr>
                <w:rFonts w:eastAsia="Calibri" w:cs="Times New Roman"/>
                <w:szCs w:val="18"/>
              </w:rPr>
              <w:t xml:space="preserve"> </w:t>
            </w:r>
            <w:r w:rsidR="00655FFA" w:rsidRPr="00FB0A3A">
              <w:rPr>
                <w:rFonts w:eastAsia="Calibri" w:cs="Times New Roman"/>
                <w:szCs w:val="18"/>
              </w:rPr>
              <w:t>«</w:t>
            </w:r>
            <w:r w:rsidRPr="00FB0A3A">
              <w:rPr>
                <w:rFonts w:eastAsia="Calibri" w:cs="Times New Roman"/>
                <w:szCs w:val="18"/>
              </w:rPr>
              <w:t>Колэнерго</w:t>
            </w:r>
            <w:r w:rsidR="00655FFA" w:rsidRPr="00FB0A3A">
              <w:rPr>
                <w:rFonts w:eastAsia="Calibri" w:cs="Times New Roman"/>
                <w:szCs w:val="18"/>
              </w:rPr>
              <w:t>»</w:t>
            </w:r>
            <w:r w:rsidRPr="00FB0A3A">
              <w:rPr>
                <w:rFonts w:eastAsia="Calibri" w:cs="Times New Roman"/>
                <w:szCs w:val="18"/>
              </w:rPr>
              <w:t xml:space="preserve"> на 2019, тыс. руб.</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8DCF66F" w14:textId="77777777" w:rsidR="0020788D" w:rsidRPr="00FB0A3A" w:rsidRDefault="0020788D" w:rsidP="00256761">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ТБР на 2019, тыс. руб.</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FE6DB71" w14:textId="77777777" w:rsidR="0020788D" w:rsidRPr="00FB0A3A" w:rsidRDefault="0020788D" w:rsidP="00256761">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Отклонение ТБР на 2019/ заявка на 2019, %</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67D2CBC" w14:textId="77777777" w:rsidR="0020788D" w:rsidRPr="00FB0A3A" w:rsidRDefault="0020788D" w:rsidP="00256761">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ТБР на 2019 /факт за 2017, %</w:t>
            </w:r>
          </w:p>
        </w:tc>
      </w:tr>
      <w:tr w:rsidR="0020788D" w:rsidRPr="00FB0A3A" w14:paraId="213A3C24" w14:textId="77777777" w:rsidTr="00907125">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tcBorders>
            <w:hideMark/>
          </w:tcPr>
          <w:p w14:paraId="22E244A0" w14:textId="77777777" w:rsidR="0020788D" w:rsidRPr="00FB0A3A" w:rsidRDefault="0020788D" w:rsidP="00256761">
            <w:pPr>
              <w:tabs>
                <w:tab w:val="left" w:pos="1134"/>
              </w:tabs>
              <w:rPr>
                <w:rFonts w:eastAsia="Calibri" w:cs="Times New Roman"/>
                <w:szCs w:val="18"/>
              </w:rPr>
            </w:pPr>
            <w:r w:rsidRPr="00FB0A3A">
              <w:rPr>
                <w:rFonts w:eastAsia="Calibri" w:cs="Times New Roman"/>
                <w:szCs w:val="18"/>
              </w:rPr>
              <w:t>Подконтрольные расходы из прибыли, в том числе:</w:t>
            </w:r>
          </w:p>
        </w:tc>
        <w:tc>
          <w:tcPr>
            <w:tcW w:w="0" w:type="auto"/>
            <w:tcBorders>
              <w:top w:val="single" w:sz="4" w:space="0" w:color="FFFFFF" w:themeColor="background1"/>
            </w:tcBorders>
            <w:hideMark/>
          </w:tcPr>
          <w:p w14:paraId="5D6F7C80" w14:textId="77777777" w:rsidR="0020788D" w:rsidRPr="00FB0A3A" w:rsidRDefault="0020788D" w:rsidP="005E7952">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144 273,60</w:t>
            </w:r>
          </w:p>
        </w:tc>
        <w:tc>
          <w:tcPr>
            <w:tcW w:w="0" w:type="auto"/>
            <w:tcBorders>
              <w:top w:val="single" w:sz="4" w:space="0" w:color="FFFFFF" w:themeColor="background1"/>
            </w:tcBorders>
            <w:hideMark/>
          </w:tcPr>
          <w:p w14:paraId="19081431" w14:textId="77777777" w:rsidR="0020788D" w:rsidRPr="00FB0A3A" w:rsidRDefault="0020788D" w:rsidP="005E7952">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148 172,90</w:t>
            </w:r>
          </w:p>
        </w:tc>
        <w:tc>
          <w:tcPr>
            <w:tcW w:w="0" w:type="auto"/>
            <w:tcBorders>
              <w:top w:val="single" w:sz="4" w:space="0" w:color="FFFFFF" w:themeColor="background1"/>
            </w:tcBorders>
            <w:hideMark/>
          </w:tcPr>
          <w:p w14:paraId="65FB5F89" w14:textId="77777777" w:rsidR="0020788D" w:rsidRPr="00FB0A3A" w:rsidRDefault="0020788D" w:rsidP="005E7952">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61 277,82</w:t>
            </w:r>
          </w:p>
        </w:tc>
        <w:tc>
          <w:tcPr>
            <w:tcW w:w="0" w:type="auto"/>
            <w:tcBorders>
              <w:top w:val="single" w:sz="4" w:space="0" w:color="FFFFFF" w:themeColor="background1"/>
            </w:tcBorders>
            <w:hideMark/>
          </w:tcPr>
          <w:p w14:paraId="778CEC66" w14:textId="77777777" w:rsidR="0020788D" w:rsidRPr="00FB0A3A" w:rsidRDefault="0020788D" w:rsidP="005E7952">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-58,6</w:t>
            </w:r>
          </w:p>
        </w:tc>
        <w:tc>
          <w:tcPr>
            <w:tcW w:w="0" w:type="auto"/>
            <w:tcBorders>
              <w:top w:val="single" w:sz="4" w:space="0" w:color="FFFFFF" w:themeColor="background1"/>
            </w:tcBorders>
            <w:hideMark/>
          </w:tcPr>
          <w:p w14:paraId="7455F8E4" w14:textId="77777777" w:rsidR="0020788D" w:rsidRPr="00FB0A3A" w:rsidRDefault="0020788D" w:rsidP="005E7952">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-57,53</w:t>
            </w:r>
          </w:p>
        </w:tc>
      </w:tr>
      <w:tr w:rsidR="0020788D" w:rsidRPr="00FB0A3A" w14:paraId="5F26107F" w14:textId="77777777" w:rsidTr="00256761">
        <w:tc>
          <w:tcPr>
            <w:cnfStyle w:val="001000000000" w:firstRow="0" w:lastRow="0" w:firstColumn="1" w:lastColumn="0" w:oddVBand="0" w:evenVBand="0" w:oddHBand="0" w:evenHBand="0" w:firstRowFirstColumn="0" w:firstRowLastColumn="0" w:lastRowFirstColumn="0" w:lastRowLastColumn="0"/>
            <w:tcW w:w="0" w:type="auto"/>
            <w:hideMark/>
          </w:tcPr>
          <w:p w14:paraId="5221E78D" w14:textId="444B5543" w:rsidR="0020788D" w:rsidRPr="00FB0A3A" w:rsidRDefault="00123C9C" w:rsidP="00256761">
            <w:pPr>
              <w:tabs>
                <w:tab w:val="left" w:pos="1134"/>
              </w:tabs>
              <w:ind w:left="164"/>
              <w:rPr>
                <w:rFonts w:eastAsia="Calibri" w:cs="Times New Roman"/>
                <w:szCs w:val="18"/>
              </w:rPr>
            </w:pPr>
            <w:r w:rsidRPr="00FB0A3A">
              <w:rPr>
                <w:rFonts w:eastAsia="Calibri" w:cs="Times New Roman"/>
                <w:szCs w:val="18"/>
              </w:rPr>
              <w:t>расходы по коллективному договору</w:t>
            </w:r>
          </w:p>
        </w:tc>
        <w:tc>
          <w:tcPr>
            <w:tcW w:w="0" w:type="auto"/>
            <w:hideMark/>
          </w:tcPr>
          <w:p w14:paraId="79BCE815" w14:textId="77777777" w:rsidR="0020788D" w:rsidRPr="00FB0A3A" w:rsidRDefault="0020788D" w:rsidP="005E7952">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33 191,30</w:t>
            </w:r>
          </w:p>
        </w:tc>
        <w:tc>
          <w:tcPr>
            <w:tcW w:w="0" w:type="auto"/>
            <w:hideMark/>
          </w:tcPr>
          <w:p w14:paraId="5F2061FE" w14:textId="77777777" w:rsidR="0020788D" w:rsidRPr="00FB0A3A" w:rsidRDefault="0020788D" w:rsidP="005E7952">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41 231,50</w:t>
            </w:r>
          </w:p>
        </w:tc>
        <w:tc>
          <w:tcPr>
            <w:tcW w:w="0" w:type="auto"/>
            <w:hideMark/>
          </w:tcPr>
          <w:p w14:paraId="785C2A8E" w14:textId="77777777" w:rsidR="0020788D" w:rsidRPr="00FB0A3A" w:rsidRDefault="0020788D" w:rsidP="005E7952">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23 771,45</w:t>
            </w:r>
          </w:p>
        </w:tc>
        <w:tc>
          <w:tcPr>
            <w:tcW w:w="0" w:type="auto"/>
            <w:hideMark/>
          </w:tcPr>
          <w:p w14:paraId="02D98F43" w14:textId="77777777" w:rsidR="0020788D" w:rsidRPr="00FB0A3A" w:rsidRDefault="0020788D" w:rsidP="005E7952">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-42,3</w:t>
            </w:r>
          </w:p>
        </w:tc>
        <w:tc>
          <w:tcPr>
            <w:tcW w:w="0" w:type="auto"/>
            <w:hideMark/>
          </w:tcPr>
          <w:p w14:paraId="6F59B29C" w14:textId="77777777" w:rsidR="0020788D" w:rsidRPr="00FB0A3A" w:rsidRDefault="0020788D" w:rsidP="005E7952">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-28,38</w:t>
            </w:r>
          </w:p>
        </w:tc>
      </w:tr>
      <w:tr w:rsidR="0020788D" w:rsidRPr="00FB0A3A" w14:paraId="4B455ACA" w14:textId="77777777" w:rsidTr="00256761">
        <w:tc>
          <w:tcPr>
            <w:cnfStyle w:val="001000000000" w:firstRow="0" w:lastRow="0" w:firstColumn="1" w:lastColumn="0" w:oddVBand="0" w:evenVBand="0" w:oddHBand="0" w:evenHBand="0" w:firstRowFirstColumn="0" w:firstRowLastColumn="0" w:lastRowFirstColumn="0" w:lastRowLastColumn="0"/>
            <w:tcW w:w="0" w:type="auto"/>
            <w:hideMark/>
          </w:tcPr>
          <w:p w14:paraId="5253B26D" w14:textId="77777777" w:rsidR="0020788D" w:rsidRPr="00FB0A3A" w:rsidRDefault="0020788D" w:rsidP="00256761">
            <w:pPr>
              <w:tabs>
                <w:tab w:val="left" w:pos="1134"/>
              </w:tabs>
              <w:ind w:left="164"/>
              <w:rPr>
                <w:rFonts w:eastAsia="Calibri" w:cs="Times New Roman"/>
                <w:szCs w:val="18"/>
              </w:rPr>
            </w:pPr>
            <w:r w:rsidRPr="00FB0A3A">
              <w:rPr>
                <w:rFonts w:eastAsia="Calibri" w:cs="Times New Roman"/>
                <w:szCs w:val="18"/>
              </w:rPr>
              <w:t>прибыль на прочие цели</w:t>
            </w:r>
          </w:p>
        </w:tc>
        <w:tc>
          <w:tcPr>
            <w:tcW w:w="0" w:type="auto"/>
            <w:hideMark/>
          </w:tcPr>
          <w:p w14:paraId="6FF0D4B7" w14:textId="77777777" w:rsidR="0020788D" w:rsidRPr="00FB0A3A" w:rsidRDefault="0020788D" w:rsidP="005E7952">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111 082,30</w:t>
            </w:r>
          </w:p>
        </w:tc>
        <w:tc>
          <w:tcPr>
            <w:tcW w:w="0" w:type="auto"/>
            <w:hideMark/>
          </w:tcPr>
          <w:p w14:paraId="051D5783" w14:textId="77777777" w:rsidR="0020788D" w:rsidRPr="00FB0A3A" w:rsidRDefault="0020788D" w:rsidP="005E7952">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106 941,40</w:t>
            </w:r>
          </w:p>
        </w:tc>
        <w:tc>
          <w:tcPr>
            <w:tcW w:w="0" w:type="auto"/>
            <w:hideMark/>
          </w:tcPr>
          <w:p w14:paraId="51B2E6C6" w14:textId="77777777" w:rsidR="0020788D" w:rsidRPr="00FB0A3A" w:rsidRDefault="0020788D" w:rsidP="005E7952">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37 506,36</w:t>
            </w:r>
          </w:p>
        </w:tc>
        <w:tc>
          <w:tcPr>
            <w:tcW w:w="0" w:type="auto"/>
            <w:hideMark/>
          </w:tcPr>
          <w:p w14:paraId="574C1DE2" w14:textId="77777777" w:rsidR="0020788D" w:rsidRPr="00FB0A3A" w:rsidRDefault="0020788D" w:rsidP="005E7952">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-64,9</w:t>
            </w:r>
          </w:p>
        </w:tc>
        <w:tc>
          <w:tcPr>
            <w:tcW w:w="0" w:type="auto"/>
            <w:hideMark/>
          </w:tcPr>
          <w:p w14:paraId="1E234CC8" w14:textId="77777777" w:rsidR="0020788D" w:rsidRPr="00FB0A3A" w:rsidRDefault="0020788D" w:rsidP="005E7952">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-66,24</w:t>
            </w:r>
          </w:p>
        </w:tc>
      </w:tr>
    </w:tbl>
    <w:p w14:paraId="7A7C0D69" w14:textId="77777777" w:rsidR="00A54224" w:rsidRPr="00FB0A3A" w:rsidRDefault="00A54224" w:rsidP="00A31747">
      <w:pPr>
        <w:tabs>
          <w:tab w:val="left" w:pos="1134"/>
        </w:tabs>
        <w:spacing w:after="0" w:line="360" w:lineRule="auto"/>
        <w:ind w:firstLine="567"/>
        <w:contextualSpacing/>
        <w:jc w:val="both"/>
        <w:rPr>
          <w:rFonts w:ascii="Myriad Pro" w:eastAsia="Calibri" w:hAnsi="Myriad Pro" w:cs="Times New Roman"/>
          <w:b/>
          <w:sz w:val="26"/>
          <w:szCs w:val="26"/>
        </w:rPr>
      </w:pPr>
    </w:p>
    <w:p w14:paraId="6AB119FC" w14:textId="4CA1E932" w:rsidR="00BF3B08" w:rsidRPr="00FB0A3A" w:rsidRDefault="00BF3B08" w:rsidP="00256761">
      <w:pPr>
        <w:tabs>
          <w:tab w:val="left" w:pos="1134"/>
        </w:tabs>
        <w:spacing w:after="0" w:line="360" w:lineRule="auto"/>
        <w:contextualSpacing/>
        <w:jc w:val="both"/>
        <w:rPr>
          <w:rFonts w:ascii="Myriad Pro" w:eastAsia="Calibri" w:hAnsi="Myriad Pro" w:cs="Times New Roman"/>
          <w:b/>
          <w:sz w:val="26"/>
          <w:szCs w:val="26"/>
        </w:rPr>
      </w:pPr>
      <w:r w:rsidRPr="00FB0A3A">
        <w:rPr>
          <w:rFonts w:ascii="Myriad Pro" w:eastAsia="Calibri" w:hAnsi="Myriad Pro" w:cs="Times New Roman"/>
          <w:b/>
          <w:sz w:val="26"/>
          <w:szCs w:val="26"/>
        </w:rPr>
        <w:t>ПОЗИЦИЯ ТЕРРИТОРИАЛЬНОЙ СЕТЕВОЙ ОРГАНИЗАЦИИ</w:t>
      </w:r>
    </w:p>
    <w:p w14:paraId="273EDA1A" w14:textId="7F763EA1" w:rsidR="00BF3B08" w:rsidRPr="00FB0A3A" w:rsidRDefault="00BF3B08"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 xml:space="preserve">Расходы на </w:t>
      </w:r>
      <w:r w:rsidR="00C11051" w:rsidRPr="00FB0A3A">
        <w:rPr>
          <w:rFonts w:ascii="Myriad Pro" w:eastAsia="Calibri" w:hAnsi="Myriad Pro" w:cs="Times New Roman"/>
          <w:sz w:val="26"/>
          <w:szCs w:val="26"/>
        </w:rPr>
        <w:t>подконтрольные расходы из прибыли</w:t>
      </w:r>
      <w:r w:rsidRPr="00FB0A3A">
        <w:rPr>
          <w:rFonts w:ascii="Myriad Pro" w:eastAsia="Calibri" w:hAnsi="Myriad Pro" w:cs="Times New Roman"/>
          <w:sz w:val="26"/>
          <w:szCs w:val="26"/>
        </w:rPr>
        <w:t xml:space="preserve"> определены филиалом </w:t>
      </w:r>
      <w:r w:rsidR="00350B0A" w:rsidRPr="00FB0A3A">
        <w:rPr>
          <w:rFonts w:ascii="Myriad Pro" w:eastAsia="Calibri" w:hAnsi="Myriad Pro" w:cs="Times New Roman"/>
          <w:sz w:val="26"/>
          <w:szCs w:val="26"/>
        </w:rPr>
        <w:t xml:space="preserve">ПАО </w:t>
      </w:r>
      <w:r w:rsidR="00655FFA" w:rsidRPr="00FB0A3A">
        <w:rPr>
          <w:rFonts w:ascii="Myriad Pro" w:eastAsia="Calibri" w:hAnsi="Myriad Pro" w:cs="Times New Roman"/>
          <w:sz w:val="26"/>
          <w:szCs w:val="26"/>
        </w:rPr>
        <w:t>«</w:t>
      </w:r>
      <w:r w:rsidR="00350B0A" w:rsidRPr="00FB0A3A">
        <w:rPr>
          <w:rFonts w:ascii="Myriad Pro" w:eastAsia="Calibri" w:hAnsi="Myriad Pro" w:cs="Times New Roman"/>
          <w:sz w:val="26"/>
          <w:szCs w:val="26"/>
        </w:rPr>
        <w:t>МРСК Северо-Запада</w:t>
      </w:r>
      <w:r w:rsidR="00655FFA" w:rsidRPr="00FB0A3A">
        <w:rPr>
          <w:rFonts w:ascii="Myriad Pro" w:eastAsia="Calibri" w:hAnsi="Myriad Pro" w:cs="Times New Roman"/>
          <w:sz w:val="26"/>
          <w:szCs w:val="26"/>
        </w:rPr>
        <w:t>»</w:t>
      </w:r>
      <w:r w:rsidR="00350B0A" w:rsidRPr="00FB0A3A">
        <w:rPr>
          <w:rFonts w:ascii="Myriad Pro" w:eastAsia="Calibri" w:hAnsi="Myriad Pro" w:cs="Times New Roman"/>
          <w:sz w:val="26"/>
          <w:szCs w:val="26"/>
        </w:rPr>
        <w:t xml:space="preserve"> </w:t>
      </w:r>
      <w:r w:rsidR="00655FFA" w:rsidRPr="00FB0A3A">
        <w:rPr>
          <w:rFonts w:ascii="Myriad Pro" w:eastAsia="Calibri" w:hAnsi="Myriad Pro" w:cs="Times New Roman"/>
          <w:sz w:val="26"/>
          <w:szCs w:val="26"/>
        </w:rPr>
        <w:t>«</w:t>
      </w:r>
      <w:r w:rsidR="00350B0A" w:rsidRPr="00FB0A3A">
        <w:rPr>
          <w:rFonts w:ascii="Myriad Pro" w:eastAsia="Calibri" w:hAnsi="Myriad Pro" w:cs="Times New Roman"/>
          <w:sz w:val="26"/>
          <w:szCs w:val="26"/>
        </w:rPr>
        <w:t>Колэнерго</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 xml:space="preserve"> в необходимой валовой выручке на 2019 год и предъявлены в составе заявления от 28.04.2018 №МР2/4/02/3129 об установлении тарифов на услуги по передаче электрической энергии в размере </w:t>
      </w:r>
      <w:r w:rsidR="00C11051" w:rsidRPr="00FB0A3A">
        <w:rPr>
          <w:rFonts w:ascii="Myriad Pro" w:eastAsia="Calibri" w:hAnsi="Myriad Pro" w:cs="Times New Roman"/>
          <w:sz w:val="26"/>
          <w:szCs w:val="26"/>
        </w:rPr>
        <w:t>148 172,90</w:t>
      </w:r>
      <w:r w:rsidRPr="00FB0A3A">
        <w:rPr>
          <w:rFonts w:ascii="Myriad Pro" w:eastAsia="Calibri" w:hAnsi="Myriad Pro" w:cs="Times New Roman"/>
          <w:sz w:val="26"/>
          <w:szCs w:val="26"/>
        </w:rPr>
        <w:t xml:space="preserve"> тыс. руб.</w:t>
      </w:r>
    </w:p>
    <w:p w14:paraId="21589B5F" w14:textId="67EEC3A7" w:rsidR="00B765A5" w:rsidRPr="00FB0A3A" w:rsidRDefault="00B765A5"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Перечень и размеры льгот, гарантий и компенсаций предусмотрены Отраслевым тарифным соглашением и Коллективным договором, заключенным между администрацией предприятия и его работниками. В соответствии с данным перечнем сформирована смета социальных выплат Приложение 1.16 с расшифровкой денежных выплат из прибыли по Коллективному договору (приложение 1.17)</w:t>
      </w:r>
      <w:r w:rsidR="00813339" w:rsidRPr="00FB0A3A">
        <w:rPr>
          <w:rFonts w:ascii="Myriad Pro" w:eastAsia="Calibri" w:hAnsi="Myriad Pro" w:cs="Times New Roman"/>
          <w:sz w:val="26"/>
          <w:szCs w:val="26"/>
        </w:rPr>
        <w:t>.</w:t>
      </w:r>
      <w:r w:rsidRPr="00FB0A3A">
        <w:rPr>
          <w:rFonts w:ascii="Myriad Pro" w:eastAsia="Calibri" w:hAnsi="Myriad Pro" w:cs="Times New Roman"/>
          <w:sz w:val="26"/>
          <w:szCs w:val="26"/>
        </w:rPr>
        <w:t xml:space="preserve">            </w:t>
      </w:r>
    </w:p>
    <w:p w14:paraId="5F4D41E8" w14:textId="77777777" w:rsidR="00B765A5" w:rsidRPr="00FB0A3A" w:rsidRDefault="00B765A5"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Смета формируется в разрезе видов выплат, установленных отраслевым тарифным соглашением и коллективным договором. По каждой выплате на базовый и плановый период регулирования формируется фактическое и плановое значение базы выплат и размера выплат.</w:t>
      </w:r>
    </w:p>
    <w:p w14:paraId="3141CD18" w14:textId="13BCC57E" w:rsidR="00BF3B08" w:rsidRPr="00FB0A3A" w:rsidRDefault="00BF3B08"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Для обоснован</w:t>
      </w:r>
      <w:r w:rsidR="00C11051" w:rsidRPr="00FB0A3A">
        <w:rPr>
          <w:rFonts w:ascii="Myriad Pro" w:eastAsia="Calibri" w:hAnsi="Myriad Pro" w:cs="Times New Roman"/>
          <w:sz w:val="26"/>
          <w:szCs w:val="26"/>
        </w:rPr>
        <w:t>ия заявленной суммы расходов на подконтрольные расходы из прибыли</w:t>
      </w:r>
      <w:r w:rsidRPr="00FB0A3A">
        <w:rPr>
          <w:rFonts w:ascii="Myriad Pro" w:eastAsia="Calibri" w:hAnsi="Myriad Pro" w:cs="Times New Roman"/>
          <w:sz w:val="26"/>
          <w:szCs w:val="26"/>
        </w:rPr>
        <w:t xml:space="preserve"> филиалом </w:t>
      </w:r>
      <w:r w:rsidR="00350B0A" w:rsidRPr="00FB0A3A">
        <w:rPr>
          <w:rFonts w:ascii="Myriad Pro" w:eastAsia="Calibri" w:hAnsi="Myriad Pro" w:cs="Times New Roman"/>
          <w:sz w:val="26"/>
          <w:szCs w:val="26"/>
        </w:rPr>
        <w:t xml:space="preserve">ПАО </w:t>
      </w:r>
      <w:r w:rsidR="00655FFA" w:rsidRPr="00FB0A3A">
        <w:rPr>
          <w:rFonts w:ascii="Myriad Pro" w:eastAsia="Calibri" w:hAnsi="Myriad Pro" w:cs="Times New Roman"/>
          <w:sz w:val="26"/>
          <w:szCs w:val="26"/>
        </w:rPr>
        <w:t>«</w:t>
      </w:r>
      <w:r w:rsidR="00350B0A" w:rsidRPr="00FB0A3A">
        <w:rPr>
          <w:rFonts w:ascii="Myriad Pro" w:eastAsia="Calibri" w:hAnsi="Myriad Pro" w:cs="Times New Roman"/>
          <w:sz w:val="26"/>
          <w:szCs w:val="26"/>
        </w:rPr>
        <w:t>МРСК Северо-Запада</w:t>
      </w:r>
      <w:r w:rsidR="00655FFA" w:rsidRPr="00FB0A3A">
        <w:rPr>
          <w:rFonts w:ascii="Myriad Pro" w:eastAsia="Calibri" w:hAnsi="Myriad Pro" w:cs="Times New Roman"/>
          <w:sz w:val="26"/>
          <w:szCs w:val="26"/>
        </w:rPr>
        <w:t>»</w:t>
      </w:r>
      <w:r w:rsidR="00350B0A" w:rsidRPr="00FB0A3A">
        <w:rPr>
          <w:rFonts w:ascii="Myriad Pro" w:eastAsia="Calibri" w:hAnsi="Myriad Pro" w:cs="Times New Roman"/>
          <w:sz w:val="26"/>
          <w:szCs w:val="26"/>
        </w:rPr>
        <w:t xml:space="preserve"> </w:t>
      </w:r>
      <w:r w:rsidR="00655FFA" w:rsidRPr="00FB0A3A">
        <w:rPr>
          <w:rFonts w:ascii="Myriad Pro" w:eastAsia="Calibri" w:hAnsi="Myriad Pro" w:cs="Times New Roman"/>
          <w:sz w:val="26"/>
          <w:szCs w:val="26"/>
        </w:rPr>
        <w:t>«</w:t>
      </w:r>
      <w:r w:rsidR="00350B0A" w:rsidRPr="00FB0A3A">
        <w:rPr>
          <w:rFonts w:ascii="Myriad Pro" w:eastAsia="Calibri" w:hAnsi="Myriad Pro" w:cs="Times New Roman"/>
          <w:sz w:val="26"/>
          <w:szCs w:val="26"/>
        </w:rPr>
        <w:t>Колэнерго</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 xml:space="preserve"> были представлены следующие документы:</w:t>
      </w:r>
    </w:p>
    <w:p w14:paraId="06BB3416" w14:textId="679C2B58" w:rsidR="00C11051" w:rsidRPr="00FB0A3A" w:rsidRDefault="00C11051"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Расшифровка затрат из прибыли к расчету балансовой прибыли, принимаемой при установлении тарифов на услуги по пе</w:t>
      </w:r>
      <w:r w:rsidR="00123C9C" w:rsidRPr="00FB0A3A">
        <w:rPr>
          <w:rFonts w:ascii="Myriad Pro" w:hAnsi="Myriad Pro"/>
          <w:sz w:val="26"/>
          <w:szCs w:val="26"/>
        </w:rPr>
        <w:t>редаче электрической энергии по фактическим расходам за 2017 год, ожидаемым расходам за 2018 год и плановым расходам на 2019-2023 гг.</w:t>
      </w:r>
    </w:p>
    <w:p w14:paraId="22FAAA95" w14:textId="66946291" w:rsidR="00123C9C" w:rsidRPr="00FB0A3A" w:rsidRDefault="00123C9C"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lastRenderedPageBreak/>
        <w:t>Расшифровка денежных выплат из прибыли по Коллективному договор по фактическим расходам за 2017 год, ожидаемым расходам за 2018 год и плановым расходам на 2019 г.</w:t>
      </w:r>
    </w:p>
    <w:p w14:paraId="6D37C6C7" w14:textId="0A8C0AB4" w:rsidR="00123C9C" w:rsidRPr="00FB0A3A" w:rsidRDefault="00123C9C"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Копии договоров</w:t>
      </w:r>
      <w:r w:rsidR="004A6C88" w:rsidRPr="00FB0A3A">
        <w:rPr>
          <w:rFonts w:ascii="Myriad Pro" w:hAnsi="Myriad Pro"/>
          <w:sz w:val="26"/>
          <w:szCs w:val="26"/>
        </w:rPr>
        <w:t xml:space="preserve"> на проведение соревнований профессионального мастерства</w:t>
      </w:r>
      <w:r w:rsidRPr="00FB0A3A">
        <w:rPr>
          <w:rFonts w:ascii="Myriad Pro" w:hAnsi="Myriad Pro"/>
          <w:sz w:val="26"/>
          <w:szCs w:val="26"/>
        </w:rPr>
        <w:t>;</w:t>
      </w:r>
    </w:p>
    <w:p w14:paraId="6D04EEFB" w14:textId="538F4BF5" w:rsidR="00123C9C" w:rsidRPr="00FB0A3A" w:rsidRDefault="00123C9C"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 xml:space="preserve">Коллективный договор ПАО </w:t>
      </w:r>
      <w:r w:rsidR="00655FFA" w:rsidRPr="00FB0A3A">
        <w:rPr>
          <w:rFonts w:ascii="Myriad Pro" w:hAnsi="Myriad Pro"/>
          <w:sz w:val="26"/>
          <w:szCs w:val="26"/>
        </w:rPr>
        <w:t>«</w:t>
      </w:r>
      <w:r w:rsidR="00597FD5" w:rsidRPr="00FB0A3A">
        <w:rPr>
          <w:rFonts w:ascii="Myriad Pro" w:hAnsi="Myriad Pro"/>
          <w:sz w:val="26"/>
          <w:szCs w:val="26"/>
        </w:rPr>
        <w:t>МРСК Северо-Запада</w:t>
      </w:r>
      <w:r w:rsidR="00655FFA" w:rsidRPr="00FB0A3A">
        <w:rPr>
          <w:rFonts w:ascii="Myriad Pro" w:hAnsi="Myriad Pro"/>
          <w:sz w:val="26"/>
          <w:szCs w:val="26"/>
        </w:rPr>
        <w:t>»</w:t>
      </w:r>
      <w:r w:rsidRPr="00FB0A3A">
        <w:rPr>
          <w:rFonts w:ascii="Myriad Pro" w:hAnsi="Myriad Pro"/>
          <w:sz w:val="26"/>
          <w:szCs w:val="26"/>
        </w:rPr>
        <w:t xml:space="preserve"> на 2017 год;</w:t>
      </w:r>
    </w:p>
    <w:p w14:paraId="71510872" w14:textId="5790B39A" w:rsidR="00123C9C" w:rsidRPr="00FB0A3A" w:rsidRDefault="00123C9C"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 xml:space="preserve">Соглашение о внесении изменений в коллективный договор </w:t>
      </w:r>
      <w:r w:rsidR="00655FFA" w:rsidRPr="00FB0A3A">
        <w:rPr>
          <w:rFonts w:ascii="Myriad Pro" w:hAnsi="Myriad Pro"/>
          <w:sz w:val="26"/>
          <w:szCs w:val="26"/>
        </w:rPr>
        <w:t xml:space="preserve">ПАО «МРСК </w:t>
      </w:r>
      <w:r w:rsidR="00597FD5" w:rsidRPr="00FB0A3A">
        <w:rPr>
          <w:rFonts w:ascii="Myriad Pro" w:hAnsi="Myriad Pro"/>
          <w:sz w:val="26"/>
          <w:szCs w:val="26"/>
        </w:rPr>
        <w:t>Северо-Запада</w:t>
      </w:r>
      <w:r w:rsidR="00655FFA" w:rsidRPr="00FB0A3A">
        <w:rPr>
          <w:rFonts w:ascii="Myriad Pro" w:hAnsi="Myriad Pro"/>
          <w:sz w:val="26"/>
          <w:szCs w:val="26"/>
        </w:rPr>
        <w:t>»</w:t>
      </w:r>
      <w:r w:rsidRPr="00FB0A3A">
        <w:rPr>
          <w:rFonts w:ascii="Myriad Pro" w:hAnsi="Myriad Pro"/>
          <w:sz w:val="26"/>
          <w:szCs w:val="26"/>
        </w:rPr>
        <w:t xml:space="preserve"> и продление срока его действия на 2018 год;</w:t>
      </w:r>
    </w:p>
    <w:p w14:paraId="39B685B8" w14:textId="77777777" w:rsidR="00123C9C" w:rsidRPr="00FB0A3A" w:rsidRDefault="00123C9C"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Отраслевое тарифное соглашение в электроэнергетике РФ на 2013-2015 годы от 18.03.2013;</w:t>
      </w:r>
    </w:p>
    <w:p w14:paraId="2A34C75A" w14:textId="77777777" w:rsidR="00123C9C" w:rsidRPr="00FB0A3A" w:rsidRDefault="00123C9C"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Соглашение о порядке, условиях и продлении срока действия Отраслевого тарифного соглашения в электроэнергетике РФ на 2013-2015 годы на период 2016-2018 годов от 22.12.2014;</w:t>
      </w:r>
    </w:p>
    <w:p w14:paraId="675CCBEE" w14:textId="416872FA" w:rsidR="00123C9C" w:rsidRPr="00FB0A3A" w:rsidRDefault="00123C9C"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 xml:space="preserve">Статистическая отчетность по форме № П-4 </w:t>
      </w:r>
      <w:r w:rsidR="00655FFA" w:rsidRPr="00FB0A3A">
        <w:rPr>
          <w:rFonts w:ascii="Myriad Pro" w:hAnsi="Myriad Pro"/>
          <w:sz w:val="26"/>
          <w:szCs w:val="26"/>
        </w:rPr>
        <w:t>«</w:t>
      </w:r>
      <w:r w:rsidRPr="00FB0A3A">
        <w:rPr>
          <w:rFonts w:ascii="Myriad Pro" w:hAnsi="Myriad Pro"/>
          <w:sz w:val="26"/>
          <w:szCs w:val="26"/>
        </w:rPr>
        <w:t>Сведения о численности и заработной плате работников</w:t>
      </w:r>
      <w:r w:rsidR="00655FFA" w:rsidRPr="00FB0A3A">
        <w:rPr>
          <w:rFonts w:ascii="Myriad Pro" w:hAnsi="Myriad Pro"/>
          <w:sz w:val="26"/>
          <w:szCs w:val="26"/>
        </w:rPr>
        <w:t>»</w:t>
      </w:r>
      <w:r w:rsidRPr="00FB0A3A">
        <w:rPr>
          <w:rFonts w:ascii="Myriad Pro" w:hAnsi="Myriad Pro"/>
          <w:sz w:val="26"/>
          <w:szCs w:val="26"/>
        </w:rPr>
        <w:t xml:space="preserve"> помесячно за истекший год.</w:t>
      </w:r>
    </w:p>
    <w:p w14:paraId="35CC6396" w14:textId="77777777" w:rsidR="00C11051" w:rsidRPr="00FB0A3A" w:rsidRDefault="00C11051" w:rsidP="00A31747">
      <w:pPr>
        <w:tabs>
          <w:tab w:val="left" w:pos="1134"/>
        </w:tabs>
        <w:spacing w:after="0" w:line="360" w:lineRule="auto"/>
        <w:ind w:firstLine="567"/>
        <w:jc w:val="both"/>
        <w:rPr>
          <w:rFonts w:ascii="Myriad Pro" w:hAnsi="Myriad Pro"/>
          <w:b/>
          <w:sz w:val="26"/>
          <w:szCs w:val="26"/>
        </w:rPr>
      </w:pPr>
    </w:p>
    <w:p w14:paraId="155B1B01" w14:textId="77777777" w:rsidR="00BF3B08" w:rsidRPr="00FB0A3A" w:rsidRDefault="00BF3B08" w:rsidP="00256761">
      <w:pPr>
        <w:tabs>
          <w:tab w:val="left" w:pos="1134"/>
        </w:tabs>
        <w:spacing w:after="0" w:line="360" w:lineRule="auto"/>
        <w:contextualSpacing/>
        <w:jc w:val="both"/>
        <w:rPr>
          <w:rFonts w:ascii="Myriad Pro" w:eastAsia="Calibri" w:hAnsi="Myriad Pro" w:cs="Times New Roman"/>
          <w:b/>
          <w:sz w:val="26"/>
          <w:szCs w:val="26"/>
        </w:rPr>
      </w:pPr>
      <w:r w:rsidRPr="00FB0A3A">
        <w:rPr>
          <w:rFonts w:ascii="Myriad Pro" w:eastAsia="Calibri" w:hAnsi="Myriad Pro" w:cs="Times New Roman"/>
          <w:b/>
          <w:sz w:val="26"/>
          <w:szCs w:val="26"/>
        </w:rPr>
        <w:t>ПОЗИЦИЯ ОРГАНА РЕГУЛИРОВАНИЯ</w:t>
      </w:r>
    </w:p>
    <w:p w14:paraId="6327A817" w14:textId="77777777" w:rsidR="00BF3B08" w:rsidRPr="00FB0A3A" w:rsidRDefault="00BF3B08" w:rsidP="00A31747">
      <w:pPr>
        <w:tabs>
          <w:tab w:val="left" w:pos="1134"/>
        </w:tabs>
        <w:spacing w:after="0" w:line="360" w:lineRule="auto"/>
        <w:ind w:firstLine="567"/>
        <w:jc w:val="both"/>
        <w:rPr>
          <w:rFonts w:ascii="Myriad Pro" w:eastAsia="Calibri" w:hAnsi="Myriad Pro" w:cs="Times New Roman"/>
          <w:sz w:val="26"/>
          <w:szCs w:val="26"/>
        </w:rPr>
      </w:pPr>
      <w:r w:rsidRPr="00FB0A3A">
        <w:rPr>
          <w:rFonts w:ascii="Myriad Pro" w:eastAsia="Calibri" w:hAnsi="Myriad Pro" w:cs="Times New Roman"/>
          <w:sz w:val="26"/>
          <w:szCs w:val="26"/>
        </w:rPr>
        <w:t>Величина расходов, принятая регулирующим органом на 2019 год:</w:t>
      </w:r>
    </w:p>
    <w:p w14:paraId="03685313" w14:textId="5B88FE9A" w:rsidR="00BF3B08" w:rsidRPr="00FB0A3A" w:rsidRDefault="00BF3B08"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экономически обосно</w:t>
      </w:r>
      <w:r w:rsidR="00123C9C" w:rsidRPr="00FB0A3A">
        <w:rPr>
          <w:rFonts w:ascii="Myriad Pro" w:hAnsi="Myriad Pro"/>
          <w:sz w:val="26"/>
          <w:szCs w:val="26"/>
        </w:rPr>
        <w:t xml:space="preserve">ванный уровень 63 648,6 тыс. руб. </w:t>
      </w:r>
      <w:r w:rsidR="00D779E0" w:rsidRPr="00FB0A3A">
        <w:rPr>
          <w:rFonts w:ascii="Myriad Pro" w:hAnsi="Myriad Pro"/>
          <w:sz w:val="26"/>
          <w:szCs w:val="26"/>
        </w:rPr>
        <w:t>(</w:t>
      </w:r>
      <w:r w:rsidR="00123C9C" w:rsidRPr="00FB0A3A">
        <w:rPr>
          <w:rFonts w:ascii="Myriad Pro" w:hAnsi="Myriad Pro"/>
          <w:sz w:val="26"/>
          <w:szCs w:val="26"/>
        </w:rPr>
        <w:t>в том числе: расходы по коллективному договору в размере 24 691,15 тыс. руб.; прибыль на прочие цели в размере 38 957,45 тыс. руб.)</w:t>
      </w:r>
    </w:p>
    <w:p w14:paraId="5447B5C6" w14:textId="3E5E09CE" w:rsidR="00BF3B08" w:rsidRPr="00FB0A3A" w:rsidRDefault="00BF3B08"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уровень, приняты</w:t>
      </w:r>
      <w:r w:rsidR="00123C9C" w:rsidRPr="00FB0A3A">
        <w:rPr>
          <w:rFonts w:ascii="Myriad Pro" w:hAnsi="Myriad Pro"/>
          <w:sz w:val="26"/>
          <w:szCs w:val="26"/>
        </w:rPr>
        <w:t>й при установлении НВВ – 61 277,82</w:t>
      </w:r>
      <w:r w:rsidRPr="00FB0A3A">
        <w:rPr>
          <w:rFonts w:ascii="Myriad Pro" w:hAnsi="Myriad Pro"/>
          <w:sz w:val="26"/>
          <w:szCs w:val="26"/>
        </w:rPr>
        <w:t xml:space="preserve"> тыс. руб.  (0,7*ЭОУ+0,3*МА)</w:t>
      </w:r>
    </w:p>
    <w:p w14:paraId="539574FB" w14:textId="57EBFC49" w:rsidR="00DD0884" w:rsidRPr="00FB0A3A" w:rsidRDefault="00DD0884"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 xml:space="preserve">По итогам проведенного анализа фактически понесенных расходов, Комитетом </w:t>
      </w:r>
      <w:r w:rsidR="004A6C88" w:rsidRPr="00FB0A3A">
        <w:rPr>
          <w:rFonts w:ascii="Myriad Pro" w:eastAsia="Calibri" w:hAnsi="Myriad Pro" w:cs="Times New Roman"/>
          <w:sz w:val="26"/>
          <w:szCs w:val="26"/>
        </w:rPr>
        <w:t xml:space="preserve">на 2019 год </w:t>
      </w:r>
      <w:r w:rsidRPr="00FB0A3A">
        <w:rPr>
          <w:rFonts w:ascii="Myriad Pro" w:eastAsia="Calibri" w:hAnsi="Myriad Pro" w:cs="Times New Roman"/>
          <w:sz w:val="26"/>
          <w:szCs w:val="26"/>
        </w:rPr>
        <w:t>приняты экономически обоснованные расходы за 2017 год с учетом ИПЦ.</w:t>
      </w:r>
    </w:p>
    <w:p w14:paraId="5E155DC5" w14:textId="5CBA79E8" w:rsidR="00BF3B08" w:rsidRPr="00FB0A3A" w:rsidRDefault="00DD0884"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ab/>
        <w:t xml:space="preserve">Исключены расходы по страховым взносам, отчисления на культурно-массовую и физкультурно-оздоровительную работу, расходы от уценки финансовых вложений, другие прочие расходы, расходы исполнительного аппарата в виду экономической необоснованности. </w:t>
      </w:r>
    </w:p>
    <w:p w14:paraId="4935C5E8" w14:textId="77777777" w:rsidR="00A54C03" w:rsidRDefault="00A54C03" w:rsidP="00256761">
      <w:pPr>
        <w:tabs>
          <w:tab w:val="left" w:pos="1134"/>
        </w:tabs>
        <w:spacing w:after="0" w:line="360" w:lineRule="auto"/>
        <w:contextualSpacing/>
        <w:jc w:val="both"/>
        <w:rPr>
          <w:rFonts w:ascii="Myriad Pro" w:eastAsia="Calibri" w:hAnsi="Myriad Pro" w:cs="Times New Roman"/>
          <w:b/>
          <w:sz w:val="26"/>
          <w:szCs w:val="26"/>
        </w:rPr>
      </w:pPr>
    </w:p>
    <w:p w14:paraId="74BB3D88" w14:textId="183520BE" w:rsidR="00BF3B08" w:rsidRPr="00FB0A3A" w:rsidRDefault="00BF3B08" w:rsidP="00256761">
      <w:pPr>
        <w:tabs>
          <w:tab w:val="left" w:pos="1134"/>
        </w:tabs>
        <w:spacing w:after="0" w:line="360" w:lineRule="auto"/>
        <w:contextualSpacing/>
        <w:jc w:val="both"/>
        <w:rPr>
          <w:rFonts w:ascii="Myriad Pro" w:eastAsia="Calibri" w:hAnsi="Myriad Pro" w:cs="Times New Roman"/>
          <w:b/>
          <w:sz w:val="26"/>
          <w:szCs w:val="26"/>
        </w:rPr>
      </w:pPr>
      <w:r w:rsidRPr="00FB0A3A">
        <w:rPr>
          <w:rFonts w:ascii="Myriad Pro" w:eastAsia="Calibri" w:hAnsi="Myriad Pro" w:cs="Times New Roman"/>
          <w:b/>
          <w:sz w:val="26"/>
          <w:szCs w:val="26"/>
        </w:rPr>
        <w:lastRenderedPageBreak/>
        <w:t>ПОЗИЦИЯ ИСПОЛНИТЕЛЯ</w:t>
      </w:r>
    </w:p>
    <w:p w14:paraId="3422517B" w14:textId="164D4F7F" w:rsidR="00BF3B08" w:rsidRPr="00FB0A3A" w:rsidRDefault="00F752EC" w:rsidP="00A31747">
      <w:pPr>
        <w:tabs>
          <w:tab w:val="left" w:pos="1134"/>
        </w:tabs>
        <w:spacing w:after="0" w:line="360" w:lineRule="auto"/>
        <w:ind w:firstLine="567"/>
        <w:contextualSpacing/>
        <w:jc w:val="both"/>
        <w:rPr>
          <w:rFonts w:ascii="Myriad Pro" w:hAnsi="Myriad Pro"/>
          <w:sz w:val="26"/>
          <w:szCs w:val="26"/>
        </w:rPr>
      </w:pPr>
      <w:r w:rsidRPr="00FB0A3A">
        <w:rPr>
          <w:rFonts w:ascii="Myriad Pro" w:hAnsi="Myriad Pro"/>
          <w:sz w:val="26"/>
          <w:szCs w:val="26"/>
        </w:rPr>
        <w:t xml:space="preserve">В ПАО </w:t>
      </w:r>
      <w:r w:rsidR="00655FFA" w:rsidRPr="00FB0A3A">
        <w:rPr>
          <w:rFonts w:ascii="Myriad Pro" w:hAnsi="Myriad Pro"/>
          <w:sz w:val="26"/>
          <w:szCs w:val="26"/>
        </w:rPr>
        <w:t>«</w:t>
      </w:r>
      <w:r w:rsidRPr="00FB0A3A">
        <w:rPr>
          <w:rFonts w:ascii="Myriad Pro" w:hAnsi="Myriad Pro"/>
          <w:sz w:val="26"/>
          <w:szCs w:val="26"/>
        </w:rPr>
        <w:t>МРСК Северо-Запада</w:t>
      </w:r>
      <w:r w:rsidR="00655FFA" w:rsidRPr="00FB0A3A">
        <w:rPr>
          <w:rFonts w:ascii="Myriad Pro" w:hAnsi="Myriad Pro"/>
          <w:sz w:val="26"/>
          <w:szCs w:val="26"/>
        </w:rPr>
        <w:t>»</w:t>
      </w:r>
      <w:r w:rsidRPr="00FB0A3A">
        <w:rPr>
          <w:rFonts w:ascii="Myriad Pro" w:hAnsi="Myriad Pro"/>
          <w:sz w:val="26"/>
          <w:szCs w:val="26"/>
        </w:rPr>
        <w:t xml:space="preserve"> заключен Коллективный договор. Договор является правовым актом, регулирующим социально - трудовые отношения в Обществе и устанавливающим, в том числе, права и обязанности сторон социального партнерства Общества, а именно Работодателя и Работников. Коллективный договор является обязательным для исполнения как Работодателя, так и Работников.</w:t>
      </w:r>
    </w:p>
    <w:p w14:paraId="549F04F2" w14:textId="6EF64B15" w:rsidR="0078615E" w:rsidRPr="00FB0A3A" w:rsidRDefault="0078615E" w:rsidP="00A31747">
      <w:pPr>
        <w:tabs>
          <w:tab w:val="left" w:pos="1134"/>
        </w:tabs>
        <w:spacing w:after="0" w:line="360" w:lineRule="auto"/>
        <w:ind w:firstLine="567"/>
        <w:contextualSpacing/>
        <w:jc w:val="both"/>
        <w:rPr>
          <w:rFonts w:ascii="Myriad Pro" w:hAnsi="Myriad Pro"/>
          <w:sz w:val="26"/>
          <w:szCs w:val="26"/>
        </w:rPr>
      </w:pPr>
      <w:r w:rsidRPr="00FB0A3A">
        <w:rPr>
          <w:rFonts w:ascii="Myriad Pro" w:eastAsia="Calibri" w:hAnsi="Myriad Pro" w:cs="Times New Roman"/>
          <w:sz w:val="26"/>
          <w:szCs w:val="26"/>
        </w:rPr>
        <w:t xml:space="preserve">Филиалом были заявлены расходы из прибыли социального характера (согласно коллективному договору) в размере 41 213,5 тыс. руб. Расчет представлен в табличной форме с указанием фактических данных за 2017 год, плановых расходов на 2018 и 2019 гг. </w:t>
      </w:r>
      <w:r w:rsidR="00A66646" w:rsidRPr="00FB0A3A">
        <w:rPr>
          <w:rFonts w:ascii="Myriad Pro" w:eastAsia="Calibri" w:hAnsi="Myriad Pro" w:cs="Times New Roman"/>
          <w:sz w:val="26"/>
          <w:szCs w:val="26"/>
        </w:rPr>
        <w:t>Пояснения по увеличению расходов по отдельным статьям не приложены.</w:t>
      </w:r>
    </w:p>
    <w:p w14:paraId="058074CD" w14:textId="53629E12" w:rsidR="007A4C55" w:rsidRPr="00FB0A3A" w:rsidRDefault="007A4C55" w:rsidP="00256761">
      <w:pPr>
        <w:pStyle w:val="afff4"/>
        <w:rPr>
          <w:lang w:val="ru-RU"/>
        </w:rPr>
      </w:pPr>
      <w:r w:rsidRPr="00FB0A3A">
        <w:rPr>
          <w:lang w:val="ru-RU"/>
        </w:rPr>
        <w:t xml:space="preserve">Фактические выплаты за 2017 год, произведенные в соответствии с условиями Коллективного договора </w:t>
      </w:r>
      <w:r w:rsidR="00F752EC" w:rsidRPr="00FB0A3A">
        <w:rPr>
          <w:lang w:val="ru-RU"/>
        </w:rPr>
        <w:t xml:space="preserve">составили 33 191,3 тыс. руб. </w:t>
      </w:r>
    </w:p>
    <w:tbl>
      <w:tblPr>
        <w:tblStyle w:val="afff6"/>
        <w:tblW w:w="5000" w:type="pct"/>
        <w:tblLook w:val="04A0" w:firstRow="1" w:lastRow="0" w:firstColumn="1" w:lastColumn="0" w:noHBand="0" w:noVBand="1"/>
      </w:tblPr>
      <w:tblGrid>
        <w:gridCol w:w="736"/>
        <w:gridCol w:w="5257"/>
        <w:gridCol w:w="1009"/>
        <w:gridCol w:w="999"/>
        <w:gridCol w:w="1343"/>
      </w:tblGrid>
      <w:tr w:rsidR="00907AB4" w:rsidRPr="00FB0A3A" w14:paraId="67D15818" w14:textId="77777777" w:rsidTr="009071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4B192C0" w14:textId="77777777" w:rsidR="000449B1" w:rsidRPr="00FB0A3A" w:rsidRDefault="000449B1" w:rsidP="00256761">
            <w:pPr>
              <w:tabs>
                <w:tab w:val="left" w:pos="1134"/>
              </w:tabs>
              <w:jc w:val="center"/>
              <w:rPr>
                <w:szCs w:val="18"/>
              </w:rPr>
            </w:pPr>
            <w:r w:rsidRPr="00FB0A3A">
              <w:rPr>
                <w:szCs w:val="18"/>
              </w:rPr>
              <w:t>№ п/п</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B57B940" w14:textId="77777777" w:rsidR="000449B1" w:rsidRPr="00FB0A3A" w:rsidRDefault="000449B1" w:rsidP="00256761">
            <w:pPr>
              <w:tabs>
                <w:tab w:val="left" w:pos="1134"/>
              </w:tabs>
              <w:cnfStyle w:val="100000000000" w:firstRow="1" w:lastRow="0" w:firstColumn="0" w:lastColumn="0" w:oddVBand="0" w:evenVBand="0" w:oddHBand="0" w:evenHBand="0" w:firstRowFirstColumn="0" w:firstRowLastColumn="0" w:lastRowFirstColumn="0" w:lastRowLastColumn="0"/>
              <w:rPr>
                <w:szCs w:val="18"/>
              </w:rPr>
            </w:pPr>
            <w:r w:rsidRPr="00FB0A3A">
              <w:rPr>
                <w:szCs w:val="18"/>
              </w:rPr>
              <w:t>Наименование</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F6A9C80" w14:textId="2C0E3567" w:rsidR="000449B1" w:rsidRPr="00FB0A3A" w:rsidRDefault="000449B1" w:rsidP="005E7952">
            <w:pPr>
              <w:tabs>
                <w:tab w:val="left" w:pos="1134"/>
              </w:tabs>
              <w:cnfStyle w:val="100000000000" w:firstRow="1" w:lastRow="0" w:firstColumn="0" w:lastColumn="0" w:oddVBand="0" w:evenVBand="0" w:oddHBand="0" w:evenHBand="0" w:firstRowFirstColumn="0" w:firstRowLastColumn="0" w:lastRowFirstColumn="0" w:lastRowLastColumn="0"/>
              <w:rPr>
                <w:szCs w:val="18"/>
              </w:rPr>
            </w:pPr>
            <w:r w:rsidRPr="00FB0A3A">
              <w:rPr>
                <w:szCs w:val="18"/>
              </w:rPr>
              <w:t xml:space="preserve">2017 г. </w:t>
            </w:r>
            <w:r w:rsidR="005E7952" w:rsidRPr="00FB0A3A">
              <w:rPr>
                <w:szCs w:val="18"/>
              </w:rPr>
              <w:t>ф</w:t>
            </w:r>
            <w:r w:rsidRPr="00FB0A3A">
              <w:rPr>
                <w:szCs w:val="18"/>
              </w:rPr>
              <w:t>акт</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802A295" w14:textId="75C0808D" w:rsidR="000449B1" w:rsidRPr="00FB0A3A" w:rsidRDefault="000449B1" w:rsidP="00256761">
            <w:pPr>
              <w:tabs>
                <w:tab w:val="left" w:pos="1134"/>
              </w:tabs>
              <w:cnfStyle w:val="100000000000" w:firstRow="1" w:lastRow="0" w:firstColumn="0" w:lastColumn="0" w:oddVBand="0" w:evenVBand="0" w:oddHBand="0" w:evenHBand="0" w:firstRowFirstColumn="0" w:firstRowLastColumn="0" w:lastRowFirstColumn="0" w:lastRowLastColumn="0"/>
              <w:rPr>
                <w:szCs w:val="18"/>
              </w:rPr>
            </w:pPr>
            <w:r w:rsidRPr="00FB0A3A">
              <w:rPr>
                <w:szCs w:val="18"/>
              </w:rPr>
              <w:t xml:space="preserve">2019 </w:t>
            </w:r>
            <w:r w:rsidR="005E7952" w:rsidRPr="00FB0A3A">
              <w:rPr>
                <w:szCs w:val="18"/>
              </w:rPr>
              <w:br/>
            </w:r>
            <w:r w:rsidRPr="00FB0A3A">
              <w:rPr>
                <w:szCs w:val="18"/>
              </w:rPr>
              <w:t>план Филиала</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4C58B6C" w14:textId="77777777" w:rsidR="000449B1" w:rsidRPr="00FB0A3A" w:rsidRDefault="000449B1" w:rsidP="00256761">
            <w:pPr>
              <w:tabs>
                <w:tab w:val="left" w:pos="1134"/>
              </w:tabs>
              <w:cnfStyle w:val="100000000000" w:firstRow="1" w:lastRow="0" w:firstColumn="0" w:lastColumn="0" w:oddVBand="0" w:evenVBand="0" w:oddHBand="0" w:evenHBand="0" w:firstRowFirstColumn="0" w:firstRowLastColumn="0" w:lastRowFirstColumn="0" w:lastRowLastColumn="0"/>
              <w:rPr>
                <w:szCs w:val="18"/>
              </w:rPr>
            </w:pPr>
            <w:r w:rsidRPr="00FB0A3A">
              <w:rPr>
                <w:szCs w:val="18"/>
              </w:rPr>
              <w:t xml:space="preserve">2019 </w:t>
            </w:r>
          </w:p>
          <w:p w14:paraId="0823FDEE" w14:textId="5E38669D" w:rsidR="000449B1" w:rsidRPr="00FB0A3A" w:rsidRDefault="000449B1" w:rsidP="00256761">
            <w:pPr>
              <w:tabs>
                <w:tab w:val="left" w:pos="1134"/>
              </w:tabs>
              <w:cnfStyle w:val="100000000000" w:firstRow="1" w:lastRow="0" w:firstColumn="0" w:lastColumn="0" w:oddVBand="0" w:evenVBand="0" w:oddHBand="0" w:evenHBand="0" w:firstRowFirstColumn="0" w:firstRowLastColumn="0" w:lastRowFirstColumn="0" w:lastRowLastColumn="0"/>
              <w:rPr>
                <w:szCs w:val="18"/>
              </w:rPr>
            </w:pPr>
            <w:r w:rsidRPr="00FB0A3A">
              <w:rPr>
                <w:szCs w:val="18"/>
              </w:rPr>
              <w:t>план Исполнителя</w:t>
            </w:r>
          </w:p>
        </w:tc>
      </w:tr>
      <w:tr w:rsidR="00907AB4" w:rsidRPr="00FB0A3A" w14:paraId="033EAEFB" w14:textId="77777777" w:rsidTr="00907125">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tcBorders>
            <w:noWrap/>
            <w:hideMark/>
          </w:tcPr>
          <w:p w14:paraId="0004BE7D" w14:textId="77777777" w:rsidR="000449B1" w:rsidRPr="00FB0A3A" w:rsidRDefault="000449B1" w:rsidP="00256761">
            <w:pPr>
              <w:tabs>
                <w:tab w:val="left" w:pos="1134"/>
              </w:tabs>
              <w:jc w:val="center"/>
              <w:rPr>
                <w:b/>
                <w:szCs w:val="18"/>
              </w:rPr>
            </w:pPr>
            <w:r w:rsidRPr="00FB0A3A">
              <w:rPr>
                <w:b/>
                <w:szCs w:val="18"/>
              </w:rPr>
              <w:t>1</w:t>
            </w:r>
          </w:p>
        </w:tc>
        <w:tc>
          <w:tcPr>
            <w:tcW w:w="0" w:type="auto"/>
            <w:tcBorders>
              <w:top w:val="single" w:sz="4" w:space="0" w:color="FFFFFF" w:themeColor="background1"/>
            </w:tcBorders>
            <w:hideMark/>
          </w:tcPr>
          <w:p w14:paraId="510C7110" w14:textId="77777777" w:rsidR="000449B1" w:rsidRPr="00FB0A3A" w:rsidRDefault="000449B1" w:rsidP="00256761">
            <w:pPr>
              <w:tabs>
                <w:tab w:val="left" w:pos="1134"/>
              </w:tabs>
              <w:jc w:val="left"/>
              <w:cnfStyle w:val="000000000000" w:firstRow="0" w:lastRow="0" w:firstColumn="0" w:lastColumn="0" w:oddVBand="0" w:evenVBand="0" w:oddHBand="0" w:evenHBand="0" w:firstRowFirstColumn="0" w:firstRowLastColumn="0" w:lastRowFirstColumn="0" w:lastRowLastColumn="0"/>
              <w:rPr>
                <w:b/>
                <w:szCs w:val="18"/>
              </w:rPr>
            </w:pPr>
            <w:r w:rsidRPr="00FB0A3A">
              <w:rPr>
                <w:b/>
                <w:szCs w:val="18"/>
              </w:rPr>
              <w:t>Прибыль на социальное развитие и поощрение, в том числе:</w:t>
            </w:r>
          </w:p>
        </w:tc>
        <w:tc>
          <w:tcPr>
            <w:tcW w:w="0" w:type="auto"/>
            <w:tcBorders>
              <w:top w:val="single" w:sz="4" w:space="0" w:color="FFFFFF" w:themeColor="background1"/>
            </w:tcBorders>
            <w:noWrap/>
            <w:hideMark/>
          </w:tcPr>
          <w:p w14:paraId="655A60BB" w14:textId="77777777" w:rsidR="000449B1" w:rsidRPr="00FB0A3A" w:rsidRDefault="000449B1" w:rsidP="00256761">
            <w:pPr>
              <w:tabs>
                <w:tab w:val="left" w:pos="1134"/>
              </w:tabs>
              <w:cnfStyle w:val="000000000000" w:firstRow="0" w:lastRow="0" w:firstColumn="0" w:lastColumn="0" w:oddVBand="0" w:evenVBand="0" w:oddHBand="0" w:evenHBand="0" w:firstRowFirstColumn="0" w:firstRowLastColumn="0" w:lastRowFirstColumn="0" w:lastRowLastColumn="0"/>
              <w:rPr>
                <w:b/>
                <w:szCs w:val="18"/>
              </w:rPr>
            </w:pPr>
            <w:r w:rsidRPr="00FB0A3A">
              <w:rPr>
                <w:b/>
                <w:szCs w:val="18"/>
              </w:rPr>
              <w:t>33 191,3</w:t>
            </w:r>
          </w:p>
        </w:tc>
        <w:tc>
          <w:tcPr>
            <w:tcW w:w="0" w:type="auto"/>
            <w:tcBorders>
              <w:top w:val="single" w:sz="4" w:space="0" w:color="FFFFFF" w:themeColor="background1"/>
            </w:tcBorders>
            <w:noWrap/>
            <w:hideMark/>
          </w:tcPr>
          <w:p w14:paraId="573DDF8B" w14:textId="77777777" w:rsidR="000449B1" w:rsidRPr="00FB0A3A" w:rsidRDefault="000449B1" w:rsidP="00256761">
            <w:pPr>
              <w:tabs>
                <w:tab w:val="left" w:pos="1134"/>
              </w:tabs>
              <w:cnfStyle w:val="000000000000" w:firstRow="0" w:lastRow="0" w:firstColumn="0" w:lastColumn="0" w:oddVBand="0" w:evenVBand="0" w:oddHBand="0" w:evenHBand="0" w:firstRowFirstColumn="0" w:firstRowLastColumn="0" w:lastRowFirstColumn="0" w:lastRowLastColumn="0"/>
              <w:rPr>
                <w:b/>
                <w:szCs w:val="18"/>
              </w:rPr>
            </w:pPr>
            <w:r w:rsidRPr="00FB0A3A">
              <w:rPr>
                <w:b/>
                <w:szCs w:val="18"/>
              </w:rPr>
              <w:t>41 213,5</w:t>
            </w:r>
          </w:p>
        </w:tc>
        <w:tc>
          <w:tcPr>
            <w:tcW w:w="0" w:type="auto"/>
            <w:tcBorders>
              <w:top w:val="single" w:sz="4" w:space="0" w:color="FFFFFF" w:themeColor="background1"/>
            </w:tcBorders>
            <w:noWrap/>
            <w:hideMark/>
          </w:tcPr>
          <w:p w14:paraId="7BB5A9C4" w14:textId="77777777" w:rsidR="000449B1" w:rsidRPr="00FB0A3A" w:rsidRDefault="000449B1" w:rsidP="00256761">
            <w:pPr>
              <w:tabs>
                <w:tab w:val="left" w:pos="1134"/>
              </w:tabs>
              <w:cnfStyle w:val="000000000000" w:firstRow="0" w:lastRow="0" w:firstColumn="0" w:lastColumn="0" w:oddVBand="0" w:evenVBand="0" w:oddHBand="0" w:evenHBand="0" w:firstRowFirstColumn="0" w:firstRowLastColumn="0" w:lastRowFirstColumn="0" w:lastRowLastColumn="0"/>
              <w:rPr>
                <w:b/>
                <w:szCs w:val="18"/>
              </w:rPr>
            </w:pPr>
            <w:r w:rsidRPr="00FB0A3A">
              <w:rPr>
                <w:b/>
                <w:szCs w:val="18"/>
              </w:rPr>
              <w:t>26 862,0</w:t>
            </w:r>
          </w:p>
        </w:tc>
      </w:tr>
      <w:tr w:rsidR="00907AB4" w:rsidRPr="00FB0A3A" w14:paraId="224F5B41" w14:textId="77777777" w:rsidTr="00256761">
        <w:tc>
          <w:tcPr>
            <w:cnfStyle w:val="001000000000" w:firstRow="0" w:lastRow="0" w:firstColumn="1" w:lastColumn="0" w:oddVBand="0" w:evenVBand="0" w:oddHBand="0" w:evenHBand="0" w:firstRowFirstColumn="0" w:firstRowLastColumn="0" w:lastRowFirstColumn="0" w:lastRowLastColumn="0"/>
            <w:tcW w:w="0" w:type="auto"/>
            <w:noWrap/>
            <w:hideMark/>
          </w:tcPr>
          <w:p w14:paraId="16CB8085" w14:textId="77777777" w:rsidR="000449B1" w:rsidRPr="00FB0A3A" w:rsidRDefault="000449B1" w:rsidP="00256761">
            <w:pPr>
              <w:tabs>
                <w:tab w:val="left" w:pos="1134"/>
              </w:tabs>
              <w:jc w:val="center"/>
              <w:rPr>
                <w:b/>
                <w:szCs w:val="18"/>
              </w:rPr>
            </w:pPr>
            <w:r w:rsidRPr="00FB0A3A">
              <w:rPr>
                <w:b/>
                <w:szCs w:val="18"/>
              </w:rPr>
              <w:t>1.1.</w:t>
            </w:r>
          </w:p>
        </w:tc>
        <w:tc>
          <w:tcPr>
            <w:tcW w:w="0" w:type="auto"/>
            <w:hideMark/>
          </w:tcPr>
          <w:p w14:paraId="180E1DAD" w14:textId="77777777" w:rsidR="000449B1" w:rsidRPr="00FB0A3A" w:rsidRDefault="000449B1" w:rsidP="00256761">
            <w:pPr>
              <w:tabs>
                <w:tab w:val="left" w:pos="1134"/>
              </w:tabs>
              <w:jc w:val="left"/>
              <w:cnfStyle w:val="000000000000" w:firstRow="0" w:lastRow="0" w:firstColumn="0" w:lastColumn="0" w:oddVBand="0" w:evenVBand="0" w:oddHBand="0" w:evenHBand="0" w:firstRowFirstColumn="0" w:firstRowLastColumn="0" w:lastRowFirstColumn="0" w:lastRowLastColumn="0"/>
              <w:rPr>
                <w:b/>
                <w:szCs w:val="18"/>
              </w:rPr>
            </w:pPr>
            <w:r w:rsidRPr="00FB0A3A">
              <w:rPr>
                <w:b/>
                <w:szCs w:val="18"/>
              </w:rPr>
              <w:t>Расходы социального характера на выплаты персоналу (ВСХ)</w:t>
            </w:r>
          </w:p>
        </w:tc>
        <w:tc>
          <w:tcPr>
            <w:tcW w:w="0" w:type="auto"/>
            <w:noWrap/>
            <w:hideMark/>
          </w:tcPr>
          <w:p w14:paraId="70953888" w14:textId="77777777" w:rsidR="000449B1" w:rsidRPr="00FB0A3A" w:rsidRDefault="000449B1" w:rsidP="00256761">
            <w:pPr>
              <w:tabs>
                <w:tab w:val="left" w:pos="1134"/>
              </w:tabs>
              <w:cnfStyle w:val="000000000000" w:firstRow="0" w:lastRow="0" w:firstColumn="0" w:lastColumn="0" w:oddVBand="0" w:evenVBand="0" w:oddHBand="0" w:evenHBand="0" w:firstRowFirstColumn="0" w:firstRowLastColumn="0" w:lastRowFirstColumn="0" w:lastRowLastColumn="0"/>
              <w:rPr>
                <w:b/>
                <w:szCs w:val="18"/>
              </w:rPr>
            </w:pPr>
            <w:r w:rsidRPr="00FB0A3A">
              <w:rPr>
                <w:b/>
                <w:szCs w:val="18"/>
              </w:rPr>
              <w:t>5 303,5</w:t>
            </w:r>
          </w:p>
        </w:tc>
        <w:tc>
          <w:tcPr>
            <w:tcW w:w="0" w:type="auto"/>
            <w:noWrap/>
            <w:hideMark/>
          </w:tcPr>
          <w:p w14:paraId="27A6AC93" w14:textId="77777777" w:rsidR="000449B1" w:rsidRPr="00FB0A3A" w:rsidRDefault="000449B1" w:rsidP="00256761">
            <w:pPr>
              <w:tabs>
                <w:tab w:val="left" w:pos="1134"/>
              </w:tabs>
              <w:cnfStyle w:val="000000000000" w:firstRow="0" w:lastRow="0" w:firstColumn="0" w:lastColumn="0" w:oddVBand="0" w:evenVBand="0" w:oddHBand="0" w:evenHBand="0" w:firstRowFirstColumn="0" w:firstRowLastColumn="0" w:lastRowFirstColumn="0" w:lastRowLastColumn="0"/>
              <w:rPr>
                <w:b/>
                <w:szCs w:val="18"/>
              </w:rPr>
            </w:pPr>
            <w:r w:rsidRPr="00FB0A3A">
              <w:rPr>
                <w:b/>
                <w:szCs w:val="18"/>
              </w:rPr>
              <w:t>6 524,1</w:t>
            </w:r>
          </w:p>
        </w:tc>
        <w:tc>
          <w:tcPr>
            <w:tcW w:w="0" w:type="auto"/>
            <w:noWrap/>
            <w:hideMark/>
          </w:tcPr>
          <w:p w14:paraId="40373DEC" w14:textId="77777777" w:rsidR="000449B1" w:rsidRPr="00FB0A3A" w:rsidRDefault="000449B1" w:rsidP="00256761">
            <w:pPr>
              <w:tabs>
                <w:tab w:val="left" w:pos="1134"/>
              </w:tabs>
              <w:cnfStyle w:val="000000000000" w:firstRow="0" w:lastRow="0" w:firstColumn="0" w:lastColumn="0" w:oddVBand="0" w:evenVBand="0" w:oddHBand="0" w:evenHBand="0" w:firstRowFirstColumn="0" w:firstRowLastColumn="0" w:lastRowFirstColumn="0" w:lastRowLastColumn="0"/>
              <w:rPr>
                <w:b/>
                <w:szCs w:val="18"/>
              </w:rPr>
            </w:pPr>
            <w:r w:rsidRPr="00FB0A3A">
              <w:rPr>
                <w:b/>
                <w:szCs w:val="18"/>
              </w:rPr>
              <w:t>3 590,1</w:t>
            </w:r>
          </w:p>
        </w:tc>
      </w:tr>
      <w:tr w:rsidR="00907AB4" w:rsidRPr="00FB0A3A" w14:paraId="31A89BA3" w14:textId="77777777" w:rsidTr="00256761">
        <w:tc>
          <w:tcPr>
            <w:cnfStyle w:val="001000000000" w:firstRow="0" w:lastRow="0" w:firstColumn="1" w:lastColumn="0" w:oddVBand="0" w:evenVBand="0" w:oddHBand="0" w:evenHBand="0" w:firstRowFirstColumn="0" w:firstRowLastColumn="0" w:lastRowFirstColumn="0" w:lastRowLastColumn="0"/>
            <w:tcW w:w="0" w:type="auto"/>
            <w:noWrap/>
            <w:hideMark/>
          </w:tcPr>
          <w:p w14:paraId="596CA241" w14:textId="238F2DC7" w:rsidR="000449B1" w:rsidRPr="00FB0A3A" w:rsidRDefault="000449B1" w:rsidP="00256761">
            <w:pPr>
              <w:tabs>
                <w:tab w:val="left" w:pos="1134"/>
              </w:tabs>
              <w:jc w:val="center"/>
              <w:rPr>
                <w:szCs w:val="18"/>
              </w:rPr>
            </w:pPr>
            <w:r w:rsidRPr="00FB0A3A">
              <w:rPr>
                <w:szCs w:val="18"/>
              </w:rPr>
              <w:t>1.1.1.</w:t>
            </w:r>
          </w:p>
        </w:tc>
        <w:tc>
          <w:tcPr>
            <w:tcW w:w="0" w:type="auto"/>
            <w:hideMark/>
          </w:tcPr>
          <w:p w14:paraId="3799890E" w14:textId="018EB539" w:rsidR="000449B1" w:rsidRPr="00FB0A3A" w:rsidRDefault="000449B1" w:rsidP="00256761">
            <w:pPr>
              <w:tabs>
                <w:tab w:val="left" w:pos="1134"/>
              </w:tabs>
              <w:jc w:val="left"/>
              <w:cnfStyle w:val="000000000000" w:firstRow="0" w:lastRow="0" w:firstColumn="0" w:lastColumn="0" w:oddVBand="0" w:evenVBand="0" w:oddHBand="0" w:evenHBand="0" w:firstRowFirstColumn="0" w:firstRowLastColumn="0" w:lastRowFirstColumn="0" w:lastRowLastColumn="0"/>
              <w:rPr>
                <w:szCs w:val="18"/>
              </w:rPr>
            </w:pPr>
            <w:r w:rsidRPr="00FB0A3A">
              <w:rPr>
                <w:szCs w:val="18"/>
              </w:rPr>
              <w:t>Единовременная мат</w:t>
            </w:r>
            <w:r w:rsidR="00507BAA" w:rsidRPr="00FB0A3A">
              <w:rPr>
                <w:szCs w:val="18"/>
              </w:rPr>
              <w:t xml:space="preserve">ериальная </w:t>
            </w:r>
            <w:r w:rsidRPr="00FB0A3A">
              <w:rPr>
                <w:szCs w:val="18"/>
              </w:rPr>
              <w:t>помощь при увольнении по собственному желанию после установления трудовой пенсии по старости либо инвалидности</w:t>
            </w:r>
          </w:p>
        </w:tc>
        <w:tc>
          <w:tcPr>
            <w:tcW w:w="0" w:type="auto"/>
            <w:noWrap/>
            <w:hideMark/>
          </w:tcPr>
          <w:p w14:paraId="182BB814" w14:textId="77777777" w:rsidR="000449B1" w:rsidRPr="00FB0A3A" w:rsidRDefault="000449B1" w:rsidP="00256761">
            <w:pPr>
              <w:tabs>
                <w:tab w:val="left" w:pos="1134"/>
              </w:tabs>
              <w:cnfStyle w:val="000000000000" w:firstRow="0" w:lastRow="0" w:firstColumn="0" w:lastColumn="0" w:oddVBand="0" w:evenVBand="0" w:oddHBand="0" w:evenHBand="0" w:firstRowFirstColumn="0" w:firstRowLastColumn="0" w:lastRowFirstColumn="0" w:lastRowLastColumn="0"/>
              <w:rPr>
                <w:szCs w:val="18"/>
              </w:rPr>
            </w:pPr>
            <w:r w:rsidRPr="00FB0A3A">
              <w:rPr>
                <w:szCs w:val="18"/>
              </w:rPr>
              <w:t>1 526,48</w:t>
            </w:r>
          </w:p>
        </w:tc>
        <w:tc>
          <w:tcPr>
            <w:tcW w:w="0" w:type="auto"/>
            <w:noWrap/>
            <w:hideMark/>
          </w:tcPr>
          <w:p w14:paraId="60419082" w14:textId="77777777" w:rsidR="000449B1" w:rsidRPr="00FB0A3A" w:rsidRDefault="000449B1" w:rsidP="00256761">
            <w:pPr>
              <w:tabs>
                <w:tab w:val="left" w:pos="1134"/>
              </w:tabs>
              <w:cnfStyle w:val="000000000000" w:firstRow="0" w:lastRow="0" w:firstColumn="0" w:lastColumn="0" w:oddVBand="0" w:evenVBand="0" w:oddHBand="0" w:evenHBand="0" w:firstRowFirstColumn="0" w:firstRowLastColumn="0" w:lastRowFirstColumn="0" w:lastRowLastColumn="0"/>
              <w:rPr>
                <w:szCs w:val="18"/>
              </w:rPr>
            </w:pPr>
            <w:r w:rsidRPr="00FB0A3A">
              <w:rPr>
                <w:szCs w:val="18"/>
              </w:rPr>
              <w:t>1 651</w:t>
            </w:r>
          </w:p>
        </w:tc>
        <w:tc>
          <w:tcPr>
            <w:tcW w:w="0" w:type="auto"/>
            <w:noWrap/>
            <w:hideMark/>
          </w:tcPr>
          <w:p w14:paraId="4E51C2BD" w14:textId="77777777" w:rsidR="000449B1" w:rsidRPr="00FB0A3A" w:rsidRDefault="000449B1" w:rsidP="00256761">
            <w:pPr>
              <w:tabs>
                <w:tab w:val="left" w:pos="1134"/>
              </w:tabs>
              <w:cnfStyle w:val="000000000000" w:firstRow="0" w:lastRow="0" w:firstColumn="0" w:lastColumn="0" w:oddVBand="0" w:evenVBand="0" w:oddHBand="0" w:evenHBand="0" w:firstRowFirstColumn="0" w:firstRowLastColumn="0" w:lastRowFirstColumn="0" w:lastRowLastColumn="0"/>
              <w:rPr>
                <w:szCs w:val="18"/>
              </w:rPr>
            </w:pPr>
            <w:r w:rsidRPr="00FB0A3A">
              <w:rPr>
                <w:szCs w:val="18"/>
              </w:rPr>
              <w:t>1 641</w:t>
            </w:r>
          </w:p>
        </w:tc>
      </w:tr>
      <w:tr w:rsidR="00907AB4" w:rsidRPr="00FB0A3A" w14:paraId="56583417" w14:textId="77777777" w:rsidTr="00256761">
        <w:tc>
          <w:tcPr>
            <w:cnfStyle w:val="001000000000" w:firstRow="0" w:lastRow="0" w:firstColumn="1" w:lastColumn="0" w:oddVBand="0" w:evenVBand="0" w:oddHBand="0" w:evenHBand="0" w:firstRowFirstColumn="0" w:firstRowLastColumn="0" w:lastRowFirstColumn="0" w:lastRowLastColumn="0"/>
            <w:tcW w:w="0" w:type="auto"/>
            <w:noWrap/>
            <w:hideMark/>
          </w:tcPr>
          <w:p w14:paraId="2C6780ED" w14:textId="6E4BA7A4" w:rsidR="000449B1" w:rsidRPr="00FB0A3A" w:rsidRDefault="000449B1" w:rsidP="00256761">
            <w:pPr>
              <w:tabs>
                <w:tab w:val="left" w:pos="1134"/>
              </w:tabs>
              <w:jc w:val="center"/>
              <w:rPr>
                <w:szCs w:val="18"/>
              </w:rPr>
            </w:pPr>
            <w:r w:rsidRPr="00FB0A3A">
              <w:rPr>
                <w:szCs w:val="18"/>
              </w:rPr>
              <w:t>1.1.2.</w:t>
            </w:r>
          </w:p>
        </w:tc>
        <w:tc>
          <w:tcPr>
            <w:tcW w:w="0" w:type="auto"/>
            <w:hideMark/>
          </w:tcPr>
          <w:p w14:paraId="19C9CD3B" w14:textId="5ACAF285" w:rsidR="000449B1" w:rsidRPr="00FB0A3A" w:rsidRDefault="000449B1" w:rsidP="00256761">
            <w:pPr>
              <w:tabs>
                <w:tab w:val="left" w:pos="1134"/>
              </w:tabs>
              <w:jc w:val="left"/>
              <w:cnfStyle w:val="000000000000" w:firstRow="0" w:lastRow="0" w:firstColumn="0" w:lastColumn="0" w:oddVBand="0" w:evenVBand="0" w:oddHBand="0" w:evenHBand="0" w:firstRowFirstColumn="0" w:firstRowLastColumn="0" w:lastRowFirstColumn="0" w:lastRowLastColumn="0"/>
              <w:rPr>
                <w:szCs w:val="18"/>
              </w:rPr>
            </w:pPr>
            <w:r w:rsidRPr="00FB0A3A">
              <w:rPr>
                <w:szCs w:val="18"/>
              </w:rPr>
              <w:t>Единовременная мат</w:t>
            </w:r>
            <w:r w:rsidR="00507BAA" w:rsidRPr="00FB0A3A">
              <w:rPr>
                <w:szCs w:val="18"/>
              </w:rPr>
              <w:t xml:space="preserve">ериальная </w:t>
            </w:r>
            <w:r w:rsidRPr="00FB0A3A">
              <w:rPr>
                <w:szCs w:val="18"/>
              </w:rPr>
              <w:t>помощь:</w:t>
            </w:r>
          </w:p>
        </w:tc>
        <w:tc>
          <w:tcPr>
            <w:tcW w:w="0" w:type="auto"/>
            <w:noWrap/>
            <w:hideMark/>
          </w:tcPr>
          <w:p w14:paraId="6DD30EB2" w14:textId="77777777" w:rsidR="000449B1" w:rsidRPr="00FB0A3A" w:rsidRDefault="000449B1" w:rsidP="00256761">
            <w:pPr>
              <w:tabs>
                <w:tab w:val="left" w:pos="1134"/>
              </w:tabs>
              <w:cnfStyle w:val="000000000000" w:firstRow="0" w:lastRow="0" w:firstColumn="0" w:lastColumn="0" w:oddVBand="0" w:evenVBand="0" w:oddHBand="0" w:evenHBand="0" w:firstRowFirstColumn="0" w:firstRowLastColumn="0" w:lastRowFirstColumn="0" w:lastRowLastColumn="0"/>
              <w:rPr>
                <w:szCs w:val="18"/>
              </w:rPr>
            </w:pPr>
            <w:r w:rsidRPr="00FB0A3A">
              <w:rPr>
                <w:szCs w:val="18"/>
              </w:rPr>
              <w:t>770,00</w:t>
            </w:r>
          </w:p>
        </w:tc>
        <w:tc>
          <w:tcPr>
            <w:tcW w:w="0" w:type="auto"/>
            <w:noWrap/>
            <w:hideMark/>
          </w:tcPr>
          <w:p w14:paraId="54E7C0B1" w14:textId="77777777" w:rsidR="000449B1" w:rsidRPr="00FB0A3A" w:rsidRDefault="000449B1" w:rsidP="00256761">
            <w:pPr>
              <w:tabs>
                <w:tab w:val="left" w:pos="1134"/>
              </w:tabs>
              <w:cnfStyle w:val="000000000000" w:firstRow="0" w:lastRow="0" w:firstColumn="0" w:lastColumn="0" w:oddVBand="0" w:evenVBand="0" w:oddHBand="0" w:evenHBand="0" w:firstRowFirstColumn="0" w:firstRowLastColumn="0" w:lastRowFirstColumn="0" w:lastRowLastColumn="0"/>
              <w:rPr>
                <w:szCs w:val="18"/>
              </w:rPr>
            </w:pPr>
            <w:r w:rsidRPr="00FB0A3A">
              <w:rPr>
                <w:szCs w:val="18"/>
              </w:rPr>
              <w:t>891</w:t>
            </w:r>
          </w:p>
        </w:tc>
        <w:tc>
          <w:tcPr>
            <w:tcW w:w="0" w:type="auto"/>
            <w:noWrap/>
            <w:hideMark/>
          </w:tcPr>
          <w:p w14:paraId="59D83438" w14:textId="77777777" w:rsidR="000449B1" w:rsidRPr="00FB0A3A" w:rsidRDefault="000449B1" w:rsidP="00256761">
            <w:pPr>
              <w:tabs>
                <w:tab w:val="left" w:pos="1134"/>
              </w:tabs>
              <w:cnfStyle w:val="000000000000" w:firstRow="0" w:lastRow="0" w:firstColumn="0" w:lastColumn="0" w:oddVBand="0" w:evenVBand="0" w:oddHBand="0" w:evenHBand="0" w:firstRowFirstColumn="0" w:firstRowLastColumn="0" w:lastRowFirstColumn="0" w:lastRowLastColumn="0"/>
              <w:rPr>
                <w:szCs w:val="18"/>
              </w:rPr>
            </w:pPr>
            <w:r w:rsidRPr="00FB0A3A">
              <w:rPr>
                <w:szCs w:val="18"/>
              </w:rPr>
              <w:t>828</w:t>
            </w:r>
          </w:p>
        </w:tc>
      </w:tr>
      <w:tr w:rsidR="00907AB4" w:rsidRPr="00FB0A3A" w14:paraId="54FEF3C0" w14:textId="77777777" w:rsidTr="00256761">
        <w:tc>
          <w:tcPr>
            <w:cnfStyle w:val="001000000000" w:firstRow="0" w:lastRow="0" w:firstColumn="1" w:lastColumn="0" w:oddVBand="0" w:evenVBand="0" w:oddHBand="0" w:evenHBand="0" w:firstRowFirstColumn="0" w:firstRowLastColumn="0" w:lastRowFirstColumn="0" w:lastRowLastColumn="0"/>
            <w:tcW w:w="0" w:type="auto"/>
            <w:noWrap/>
            <w:hideMark/>
          </w:tcPr>
          <w:p w14:paraId="10D337D7" w14:textId="410D36C4" w:rsidR="000449B1" w:rsidRPr="00FB0A3A" w:rsidRDefault="000449B1" w:rsidP="00256761">
            <w:pPr>
              <w:tabs>
                <w:tab w:val="left" w:pos="1134"/>
              </w:tabs>
              <w:jc w:val="center"/>
              <w:rPr>
                <w:szCs w:val="18"/>
              </w:rPr>
            </w:pPr>
            <w:r w:rsidRPr="00FB0A3A">
              <w:rPr>
                <w:szCs w:val="18"/>
              </w:rPr>
              <w:t>1.1.2.1.</w:t>
            </w:r>
          </w:p>
        </w:tc>
        <w:tc>
          <w:tcPr>
            <w:tcW w:w="0" w:type="auto"/>
            <w:hideMark/>
          </w:tcPr>
          <w:p w14:paraId="1211F2A6" w14:textId="77777777" w:rsidR="000449B1" w:rsidRPr="00FB0A3A" w:rsidRDefault="000449B1" w:rsidP="00256761">
            <w:pPr>
              <w:tabs>
                <w:tab w:val="left" w:pos="1134"/>
              </w:tabs>
              <w:ind w:left="280"/>
              <w:jc w:val="left"/>
              <w:cnfStyle w:val="000000000000" w:firstRow="0" w:lastRow="0" w:firstColumn="0" w:lastColumn="0" w:oddVBand="0" w:evenVBand="0" w:oddHBand="0" w:evenHBand="0" w:firstRowFirstColumn="0" w:firstRowLastColumn="0" w:lastRowFirstColumn="0" w:lastRowLastColumn="0"/>
              <w:rPr>
                <w:szCs w:val="18"/>
              </w:rPr>
            </w:pPr>
            <w:r w:rsidRPr="00FB0A3A">
              <w:rPr>
                <w:szCs w:val="18"/>
              </w:rPr>
              <w:t xml:space="preserve">- при рождении ребенка </w:t>
            </w:r>
          </w:p>
        </w:tc>
        <w:tc>
          <w:tcPr>
            <w:tcW w:w="0" w:type="auto"/>
            <w:noWrap/>
            <w:hideMark/>
          </w:tcPr>
          <w:p w14:paraId="55967EFA" w14:textId="77777777" w:rsidR="000449B1" w:rsidRPr="00FB0A3A" w:rsidRDefault="000449B1" w:rsidP="00256761">
            <w:pPr>
              <w:tabs>
                <w:tab w:val="left" w:pos="1134"/>
              </w:tabs>
              <w:cnfStyle w:val="000000000000" w:firstRow="0" w:lastRow="0" w:firstColumn="0" w:lastColumn="0" w:oddVBand="0" w:evenVBand="0" w:oddHBand="0" w:evenHBand="0" w:firstRowFirstColumn="0" w:firstRowLastColumn="0" w:lastRowFirstColumn="0" w:lastRowLastColumn="0"/>
              <w:rPr>
                <w:szCs w:val="18"/>
              </w:rPr>
            </w:pPr>
            <w:r w:rsidRPr="00FB0A3A">
              <w:rPr>
                <w:szCs w:val="18"/>
              </w:rPr>
              <w:t>542,00</w:t>
            </w:r>
          </w:p>
        </w:tc>
        <w:tc>
          <w:tcPr>
            <w:tcW w:w="0" w:type="auto"/>
            <w:noWrap/>
            <w:hideMark/>
          </w:tcPr>
          <w:p w14:paraId="09923143" w14:textId="77777777" w:rsidR="000449B1" w:rsidRPr="00FB0A3A" w:rsidRDefault="000449B1" w:rsidP="00256761">
            <w:pPr>
              <w:tabs>
                <w:tab w:val="left" w:pos="1134"/>
              </w:tabs>
              <w:cnfStyle w:val="000000000000" w:firstRow="0" w:lastRow="0" w:firstColumn="0" w:lastColumn="0" w:oddVBand="0" w:evenVBand="0" w:oddHBand="0" w:evenHBand="0" w:firstRowFirstColumn="0" w:firstRowLastColumn="0" w:lastRowFirstColumn="0" w:lastRowLastColumn="0"/>
              <w:rPr>
                <w:szCs w:val="18"/>
              </w:rPr>
            </w:pPr>
            <w:r w:rsidRPr="00FB0A3A">
              <w:rPr>
                <w:szCs w:val="18"/>
              </w:rPr>
              <w:t>564</w:t>
            </w:r>
          </w:p>
        </w:tc>
        <w:tc>
          <w:tcPr>
            <w:tcW w:w="0" w:type="auto"/>
            <w:noWrap/>
            <w:hideMark/>
          </w:tcPr>
          <w:p w14:paraId="48789528" w14:textId="77777777" w:rsidR="000449B1" w:rsidRPr="00FB0A3A" w:rsidRDefault="000449B1" w:rsidP="00256761">
            <w:pPr>
              <w:tabs>
                <w:tab w:val="left" w:pos="1134"/>
              </w:tabs>
              <w:cnfStyle w:val="000000000000" w:firstRow="0" w:lastRow="0" w:firstColumn="0" w:lastColumn="0" w:oddVBand="0" w:evenVBand="0" w:oddHBand="0" w:evenHBand="0" w:firstRowFirstColumn="0" w:firstRowLastColumn="0" w:lastRowFirstColumn="0" w:lastRowLastColumn="0"/>
              <w:rPr>
                <w:szCs w:val="18"/>
              </w:rPr>
            </w:pPr>
            <w:r w:rsidRPr="00FB0A3A">
              <w:rPr>
                <w:szCs w:val="18"/>
              </w:rPr>
              <w:t>583</w:t>
            </w:r>
          </w:p>
        </w:tc>
      </w:tr>
      <w:tr w:rsidR="00907AB4" w:rsidRPr="00FB0A3A" w14:paraId="569D4703" w14:textId="77777777" w:rsidTr="00256761">
        <w:tc>
          <w:tcPr>
            <w:cnfStyle w:val="001000000000" w:firstRow="0" w:lastRow="0" w:firstColumn="1" w:lastColumn="0" w:oddVBand="0" w:evenVBand="0" w:oddHBand="0" w:evenHBand="0" w:firstRowFirstColumn="0" w:firstRowLastColumn="0" w:lastRowFirstColumn="0" w:lastRowLastColumn="0"/>
            <w:tcW w:w="0" w:type="auto"/>
            <w:noWrap/>
            <w:hideMark/>
          </w:tcPr>
          <w:p w14:paraId="53D9ECE2" w14:textId="3C49936B" w:rsidR="000449B1" w:rsidRPr="00FB0A3A" w:rsidRDefault="000449B1" w:rsidP="00256761">
            <w:pPr>
              <w:tabs>
                <w:tab w:val="left" w:pos="1134"/>
              </w:tabs>
              <w:jc w:val="center"/>
              <w:rPr>
                <w:szCs w:val="18"/>
              </w:rPr>
            </w:pPr>
            <w:r w:rsidRPr="00FB0A3A">
              <w:rPr>
                <w:szCs w:val="18"/>
              </w:rPr>
              <w:t>1.1.2.2.</w:t>
            </w:r>
          </w:p>
        </w:tc>
        <w:tc>
          <w:tcPr>
            <w:tcW w:w="0" w:type="auto"/>
            <w:hideMark/>
          </w:tcPr>
          <w:p w14:paraId="6A6175A9" w14:textId="77777777" w:rsidR="000449B1" w:rsidRPr="00FB0A3A" w:rsidRDefault="000449B1" w:rsidP="00256761">
            <w:pPr>
              <w:tabs>
                <w:tab w:val="left" w:pos="1134"/>
              </w:tabs>
              <w:ind w:left="280"/>
              <w:jc w:val="left"/>
              <w:cnfStyle w:val="000000000000" w:firstRow="0" w:lastRow="0" w:firstColumn="0" w:lastColumn="0" w:oddVBand="0" w:evenVBand="0" w:oddHBand="0" w:evenHBand="0" w:firstRowFirstColumn="0" w:firstRowLastColumn="0" w:lastRowFirstColumn="0" w:lastRowLastColumn="0"/>
              <w:rPr>
                <w:szCs w:val="18"/>
              </w:rPr>
            </w:pPr>
            <w:r w:rsidRPr="00FB0A3A">
              <w:rPr>
                <w:szCs w:val="18"/>
              </w:rPr>
              <w:t>- при регистрации брака</w:t>
            </w:r>
          </w:p>
        </w:tc>
        <w:tc>
          <w:tcPr>
            <w:tcW w:w="0" w:type="auto"/>
            <w:noWrap/>
            <w:hideMark/>
          </w:tcPr>
          <w:p w14:paraId="37EBD340" w14:textId="77777777" w:rsidR="000449B1" w:rsidRPr="00FB0A3A" w:rsidRDefault="000449B1" w:rsidP="00256761">
            <w:pPr>
              <w:tabs>
                <w:tab w:val="left" w:pos="1134"/>
              </w:tabs>
              <w:cnfStyle w:val="000000000000" w:firstRow="0" w:lastRow="0" w:firstColumn="0" w:lastColumn="0" w:oddVBand="0" w:evenVBand="0" w:oddHBand="0" w:evenHBand="0" w:firstRowFirstColumn="0" w:firstRowLastColumn="0" w:lastRowFirstColumn="0" w:lastRowLastColumn="0"/>
              <w:rPr>
                <w:szCs w:val="18"/>
              </w:rPr>
            </w:pPr>
            <w:r w:rsidRPr="00FB0A3A">
              <w:rPr>
                <w:szCs w:val="18"/>
              </w:rPr>
              <w:t>228,00</w:t>
            </w:r>
          </w:p>
        </w:tc>
        <w:tc>
          <w:tcPr>
            <w:tcW w:w="0" w:type="auto"/>
            <w:noWrap/>
            <w:hideMark/>
          </w:tcPr>
          <w:p w14:paraId="6D140594" w14:textId="77777777" w:rsidR="000449B1" w:rsidRPr="00FB0A3A" w:rsidRDefault="000449B1" w:rsidP="00256761">
            <w:pPr>
              <w:tabs>
                <w:tab w:val="left" w:pos="1134"/>
              </w:tabs>
              <w:cnfStyle w:val="000000000000" w:firstRow="0" w:lastRow="0" w:firstColumn="0" w:lastColumn="0" w:oddVBand="0" w:evenVBand="0" w:oddHBand="0" w:evenHBand="0" w:firstRowFirstColumn="0" w:firstRowLastColumn="0" w:lastRowFirstColumn="0" w:lastRowLastColumn="0"/>
              <w:rPr>
                <w:szCs w:val="18"/>
              </w:rPr>
            </w:pPr>
            <w:r w:rsidRPr="00FB0A3A">
              <w:rPr>
                <w:szCs w:val="18"/>
              </w:rPr>
              <w:t>328</w:t>
            </w:r>
          </w:p>
        </w:tc>
        <w:tc>
          <w:tcPr>
            <w:tcW w:w="0" w:type="auto"/>
            <w:noWrap/>
            <w:hideMark/>
          </w:tcPr>
          <w:p w14:paraId="3426FBF9" w14:textId="77777777" w:rsidR="000449B1" w:rsidRPr="00FB0A3A" w:rsidRDefault="000449B1" w:rsidP="00256761">
            <w:pPr>
              <w:tabs>
                <w:tab w:val="left" w:pos="1134"/>
              </w:tabs>
              <w:cnfStyle w:val="000000000000" w:firstRow="0" w:lastRow="0" w:firstColumn="0" w:lastColumn="0" w:oddVBand="0" w:evenVBand="0" w:oddHBand="0" w:evenHBand="0" w:firstRowFirstColumn="0" w:firstRowLastColumn="0" w:lastRowFirstColumn="0" w:lastRowLastColumn="0"/>
              <w:rPr>
                <w:szCs w:val="18"/>
              </w:rPr>
            </w:pPr>
            <w:r w:rsidRPr="00FB0A3A">
              <w:rPr>
                <w:szCs w:val="18"/>
              </w:rPr>
              <w:t>245</w:t>
            </w:r>
          </w:p>
        </w:tc>
      </w:tr>
      <w:tr w:rsidR="00907AB4" w:rsidRPr="00FB0A3A" w14:paraId="21E5D347" w14:textId="77777777" w:rsidTr="00256761">
        <w:tc>
          <w:tcPr>
            <w:cnfStyle w:val="001000000000" w:firstRow="0" w:lastRow="0" w:firstColumn="1" w:lastColumn="0" w:oddVBand="0" w:evenVBand="0" w:oddHBand="0" w:evenHBand="0" w:firstRowFirstColumn="0" w:firstRowLastColumn="0" w:lastRowFirstColumn="0" w:lastRowLastColumn="0"/>
            <w:tcW w:w="0" w:type="auto"/>
            <w:noWrap/>
            <w:hideMark/>
          </w:tcPr>
          <w:p w14:paraId="6ABA29D6" w14:textId="6A994021" w:rsidR="000449B1" w:rsidRPr="00FB0A3A" w:rsidRDefault="000449B1" w:rsidP="00256761">
            <w:pPr>
              <w:tabs>
                <w:tab w:val="left" w:pos="1134"/>
              </w:tabs>
              <w:jc w:val="center"/>
              <w:rPr>
                <w:szCs w:val="18"/>
              </w:rPr>
            </w:pPr>
            <w:r w:rsidRPr="00FB0A3A">
              <w:rPr>
                <w:szCs w:val="18"/>
              </w:rPr>
              <w:t>1.1.3.</w:t>
            </w:r>
          </w:p>
        </w:tc>
        <w:tc>
          <w:tcPr>
            <w:tcW w:w="0" w:type="auto"/>
            <w:hideMark/>
          </w:tcPr>
          <w:p w14:paraId="02E3D83A" w14:textId="77777777" w:rsidR="000449B1" w:rsidRPr="00FB0A3A" w:rsidRDefault="000449B1" w:rsidP="00256761">
            <w:pPr>
              <w:tabs>
                <w:tab w:val="left" w:pos="1134"/>
              </w:tabs>
              <w:jc w:val="left"/>
              <w:cnfStyle w:val="000000000000" w:firstRow="0" w:lastRow="0" w:firstColumn="0" w:lastColumn="0" w:oddVBand="0" w:evenVBand="0" w:oddHBand="0" w:evenHBand="0" w:firstRowFirstColumn="0" w:firstRowLastColumn="0" w:lastRowFirstColumn="0" w:lastRowLastColumn="0"/>
              <w:rPr>
                <w:szCs w:val="18"/>
              </w:rPr>
            </w:pPr>
            <w:r w:rsidRPr="00FB0A3A">
              <w:rPr>
                <w:szCs w:val="18"/>
              </w:rPr>
              <w:t>Подарки для детей работников</w:t>
            </w:r>
          </w:p>
        </w:tc>
        <w:tc>
          <w:tcPr>
            <w:tcW w:w="0" w:type="auto"/>
            <w:noWrap/>
            <w:hideMark/>
          </w:tcPr>
          <w:p w14:paraId="79EAE89B" w14:textId="77777777" w:rsidR="000449B1" w:rsidRPr="00FB0A3A" w:rsidRDefault="000449B1" w:rsidP="00256761">
            <w:pPr>
              <w:tabs>
                <w:tab w:val="left" w:pos="1134"/>
              </w:tabs>
              <w:cnfStyle w:val="000000000000" w:firstRow="0" w:lastRow="0" w:firstColumn="0" w:lastColumn="0" w:oddVBand="0" w:evenVBand="0" w:oddHBand="0" w:evenHBand="0" w:firstRowFirstColumn="0" w:firstRowLastColumn="0" w:lastRowFirstColumn="0" w:lastRowLastColumn="0"/>
              <w:rPr>
                <w:szCs w:val="18"/>
              </w:rPr>
            </w:pPr>
            <w:r w:rsidRPr="00FB0A3A">
              <w:rPr>
                <w:szCs w:val="18"/>
              </w:rPr>
              <w:t>0,00</w:t>
            </w:r>
          </w:p>
        </w:tc>
        <w:tc>
          <w:tcPr>
            <w:tcW w:w="0" w:type="auto"/>
            <w:noWrap/>
            <w:hideMark/>
          </w:tcPr>
          <w:p w14:paraId="43EA83B6" w14:textId="77777777" w:rsidR="000449B1" w:rsidRPr="00FB0A3A" w:rsidRDefault="000449B1" w:rsidP="00256761">
            <w:pPr>
              <w:tabs>
                <w:tab w:val="left" w:pos="1134"/>
              </w:tabs>
              <w:cnfStyle w:val="000000000000" w:firstRow="0" w:lastRow="0" w:firstColumn="0" w:lastColumn="0" w:oddVBand="0" w:evenVBand="0" w:oddHBand="0" w:evenHBand="0" w:firstRowFirstColumn="0" w:firstRowLastColumn="0" w:lastRowFirstColumn="0" w:lastRowLastColumn="0"/>
              <w:rPr>
                <w:szCs w:val="18"/>
              </w:rPr>
            </w:pPr>
            <w:r w:rsidRPr="00FB0A3A">
              <w:rPr>
                <w:szCs w:val="18"/>
              </w:rPr>
              <w:t>478</w:t>
            </w:r>
          </w:p>
        </w:tc>
        <w:tc>
          <w:tcPr>
            <w:tcW w:w="0" w:type="auto"/>
            <w:noWrap/>
            <w:hideMark/>
          </w:tcPr>
          <w:p w14:paraId="16CBC233" w14:textId="77777777" w:rsidR="000449B1" w:rsidRPr="00FB0A3A" w:rsidRDefault="000449B1" w:rsidP="00256761">
            <w:pPr>
              <w:tabs>
                <w:tab w:val="left" w:pos="1134"/>
              </w:tabs>
              <w:cnfStyle w:val="000000000000" w:firstRow="0" w:lastRow="0" w:firstColumn="0" w:lastColumn="0" w:oddVBand="0" w:evenVBand="0" w:oddHBand="0" w:evenHBand="0" w:firstRowFirstColumn="0" w:firstRowLastColumn="0" w:lastRowFirstColumn="0" w:lastRowLastColumn="0"/>
              <w:rPr>
                <w:szCs w:val="18"/>
              </w:rPr>
            </w:pPr>
            <w:r w:rsidRPr="00FB0A3A">
              <w:rPr>
                <w:szCs w:val="18"/>
              </w:rPr>
              <w:t>0</w:t>
            </w:r>
          </w:p>
        </w:tc>
      </w:tr>
      <w:tr w:rsidR="00907AB4" w:rsidRPr="00FB0A3A" w14:paraId="4B90B089" w14:textId="77777777" w:rsidTr="00256761">
        <w:tc>
          <w:tcPr>
            <w:cnfStyle w:val="001000000000" w:firstRow="0" w:lastRow="0" w:firstColumn="1" w:lastColumn="0" w:oddVBand="0" w:evenVBand="0" w:oddHBand="0" w:evenHBand="0" w:firstRowFirstColumn="0" w:firstRowLastColumn="0" w:lastRowFirstColumn="0" w:lastRowLastColumn="0"/>
            <w:tcW w:w="0" w:type="auto"/>
            <w:noWrap/>
            <w:hideMark/>
          </w:tcPr>
          <w:p w14:paraId="3323322F" w14:textId="1A4191EB" w:rsidR="000449B1" w:rsidRPr="00FB0A3A" w:rsidRDefault="000449B1" w:rsidP="00256761">
            <w:pPr>
              <w:tabs>
                <w:tab w:val="left" w:pos="1134"/>
              </w:tabs>
              <w:jc w:val="center"/>
              <w:rPr>
                <w:szCs w:val="18"/>
              </w:rPr>
            </w:pPr>
            <w:r w:rsidRPr="00FB0A3A">
              <w:rPr>
                <w:szCs w:val="18"/>
              </w:rPr>
              <w:t>1.1.4.</w:t>
            </w:r>
          </w:p>
        </w:tc>
        <w:tc>
          <w:tcPr>
            <w:tcW w:w="0" w:type="auto"/>
            <w:hideMark/>
          </w:tcPr>
          <w:p w14:paraId="6848F19D" w14:textId="2C36A5F2" w:rsidR="000449B1" w:rsidRPr="00FB0A3A" w:rsidRDefault="000449B1" w:rsidP="00256761">
            <w:pPr>
              <w:tabs>
                <w:tab w:val="left" w:pos="1134"/>
              </w:tabs>
              <w:jc w:val="left"/>
              <w:cnfStyle w:val="000000000000" w:firstRow="0" w:lastRow="0" w:firstColumn="0" w:lastColumn="0" w:oddVBand="0" w:evenVBand="0" w:oddHBand="0" w:evenHBand="0" w:firstRowFirstColumn="0" w:firstRowLastColumn="0" w:lastRowFirstColumn="0" w:lastRowLastColumn="0"/>
              <w:rPr>
                <w:szCs w:val="18"/>
              </w:rPr>
            </w:pPr>
            <w:r w:rsidRPr="00FB0A3A">
              <w:rPr>
                <w:szCs w:val="18"/>
              </w:rPr>
              <w:t>Компенсация содержания детей в детских дошкольных образовательных учреждениях семьям, имеющим троих и более несовершеннолетних детей</w:t>
            </w:r>
          </w:p>
        </w:tc>
        <w:tc>
          <w:tcPr>
            <w:tcW w:w="0" w:type="auto"/>
            <w:noWrap/>
            <w:hideMark/>
          </w:tcPr>
          <w:p w14:paraId="516A0B3F" w14:textId="77777777" w:rsidR="000449B1" w:rsidRPr="00FB0A3A" w:rsidRDefault="000449B1" w:rsidP="00256761">
            <w:pPr>
              <w:tabs>
                <w:tab w:val="left" w:pos="1134"/>
              </w:tabs>
              <w:cnfStyle w:val="000000000000" w:firstRow="0" w:lastRow="0" w:firstColumn="0" w:lastColumn="0" w:oddVBand="0" w:evenVBand="0" w:oddHBand="0" w:evenHBand="0" w:firstRowFirstColumn="0" w:firstRowLastColumn="0" w:lastRowFirstColumn="0" w:lastRowLastColumn="0"/>
              <w:rPr>
                <w:szCs w:val="18"/>
              </w:rPr>
            </w:pPr>
            <w:r w:rsidRPr="00FB0A3A">
              <w:rPr>
                <w:szCs w:val="18"/>
              </w:rPr>
              <w:t>178,98</w:t>
            </w:r>
          </w:p>
        </w:tc>
        <w:tc>
          <w:tcPr>
            <w:tcW w:w="0" w:type="auto"/>
            <w:noWrap/>
            <w:hideMark/>
          </w:tcPr>
          <w:p w14:paraId="6C3E4959" w14:textId="77777777" w:rsidR="000449B1" w:rsidRPr="00FB0A3A" w:rsidRDefault="000449B1" w:rsidP="00256761">
            <w:pPr>
              <w:tabs>
                <w:tab w:val="left" w:pos="1134"/>
              </w:tabs>
              <w:cnfStyle w:val="000000000000" w:firstRow="0" w:lastRow="0" w:firstColumn="0" w:lastColumn="0" w:oddVBand="0" w:evenVBand="0" w:oddHBand="0" w:evenHBand="0" w:firstRowFirstColumn="0" w:firstRowLastColumn="0" w:lastRowFirstColumn="0" w:lastRowLastColumn="0"/>
              <w:rPr>
                <w:szCs w:val="18"/>
              </w:rPr>
            </w:pPr>
            <w:r w:rsidRPr="00FB0A3A">
              <w:rPr>
                <w:szCs w:val="18"/>
              </w:rPr>
              <w:t>194</w:t>
            </w:r>
          </w:p>
        </w:tc>
        <w:tc>
          <w:tcPr>
            <w:tcW w:w="0" w:type="auto"/>
            <w:noWrap/>
            <w:hideMark/>
          </w:tcPr>
          <w:p w14:paraId="2C90D6E4" w14:textId="77777777" w:rsidR="000449B1" w:rsidRPr="00FB0A3A" w:rsidRDefault="000449B1" w:rsidP="00256761">
            <w:pPr>
              <w:tabs>
                <w:tab w:val="left" w:pos="1134"/>
              </w:tabs>
              <w:cnfStyle w:val="000000000000" w:firstRow="0" w:lastRow="0" w:firstColumn="0" w:lastColumn="0" w:oddVBand="0" w:evenVBand="0" w:oddHBand="0" w:evenHBand="0" w:firstRowFirstColumn="0" w:firstRowLastColumn="0" w:lastRowFirstColumn="0" w:lastRowLastColumn="0"/>
              <w:rPr>
                <w:szCs w:val="18"/>
              </w:rPr>
            </w:pPr>
            <w:r w:rsidRPr="00FB0A3A">
              <w:rPr>
                <w:szCs w:val="18"/>
              </w:rPr>
              <w:t>192</w:t>
            </w:r>
          </w:p>
        </w:tc>
      </w:tr>
      <w:tr w:rsidR="00907AB4" w:rsidRPr="00FB0A3A" w14:paraId="385A5591" w14:textId="77777777" w:rsidTr="00256761">
        <w:tc>
          <w:tcPr>
            <w:cnfStyle w:val="001000000000" w:firstRow="0" w:lastRow="0" w:firstColumn="1" w:lastColumn="0" w:oddVBand="0" w:evenVBand="0" w:oddHBand="0" w:evenHBand="0" w:firstRowFirstColumn="0" w:firstRowLastColumn="0" w:lastRowFirstColumn="0" w:lastRowLastColumn="0"/>
            <w:tcW w:w="0" w:type="auto"/>
            <w:noWrap/>
            <w:hideMark/>
          </w:tcPr>
          <w:p w14:paraId="08D14B18" w14:textId="09B256BA" w:rsidR="000449B1" w:rsidRPr="00FB0A3A" w:rsidRDefault="000449B1" w:rsidP="00256761">
            <w:pPr>
              <w:tabs>
                <w:tab w:val="left" w:pos="1134"/>
              </w:tabs>
              <w:jc w:val="center"/>
              <w:rPr>
                <w:szCs w:val="18"/>
              </w:rPr>
            </w:pPr>
            <w:r w:rsidRPr="00FB0A3A">
              <w:rPr>
                <w:szCs w:val="18"/>
              </w:rPr>
              <w:t>1.1.5.</w:t>
            </w:r>
          </w:p>
        </w:tc>
        <w:tc>
          <w:tcPr>
            <w:tcW w:w="0" w:type="auto"/>
            <w:hideMark/>
          </w:tcPr>
          <w:p w14:paraId="603A8A98" w14:textId="77777777" w:rsidR="000449B1" w:rsidRPr="00FB0A3A" w:rsidRDefault="000449B1" w:rsidP="00256761">
            <w:pPr>
              <w:tabs>
                <w:tab w:val="left" w:pos="1134"/>
              </w:tabs>
              <w:jc w:val="left"/>
              <w:cnfStyle w:val="000000000000" w:firstRow="0" w:lastRow="0" w:firstColumn="0" w:lastColumn="0" w:oddVBand="0" w:evenVBand="0" w:oddHBand="0" w:evenHBand="0" w:firstRowFirstColumn="0" w:firstRowLastColumn="0" w:lastRowFirstColumn="0" w:lastRowLastColumn="0"/>
              <w:rPr>
                <w:szCs w:val="18"/>
              </w:rPr>
            </w:pPr>
            <w:r w:rsidRPr="00FB0A3A">
              <w:rPr>
                <w:szCs w:val="18"/>
              </w:rPr>
              <w:t>Частичная компенсация стоимости путевок в детские оздоровительные лагеря детям работников</w:t>
            </w:r>
          </w:p>
        </w:tc>
        <w:tc>
          <w:tcPr>
            <w:tcW w:w="0" w:type="auto"/>
            <w:noWrap/>
            <w:hideMark/>
          </w:tcPr>
          <w:p w14:paraId="40E3CFDF" w14:textId="77777777" w:rsidR="000449B1" w:rsidRPr="00FB0A3A" w:rsidRDefault="000449B1" w:rsidP="00256761">
            <w:pPr>
              <w:tabs>
                <w:tab w:val="left" w:pos="1134"/>
              </w:tabs>
              <w:cnfStyle w:val="000000000000" w:firstRow="0" w:lastRow="0" w:firstColumn="0" w:lastColumn="0" w:oddVBand="0" w:evenVBand="0" w:oddHBand="0" w:evenHBand="0" w:firstRowFirstColumn="0" w:firstRowLastColumn="0" w:lastRowFirstColumn="0" w:lastRowLastColumn="0"/>
              <w:rPr>
                <w:szCs w:val="18"/>
              </w:rPr>
            </w:pPr>
            <w:r w:rsidRPr="00FB0A3A">
              <w:rPr>
                <w:szCs w:val="18"/>
              </w:rPr>
              <w:t>382,55</w:t>
            </w:r>
          </w:p>
        </w:tc>
        <w:tc>
          <w:tcPr>
            <w:tcW w:w="0" w:type="auto"/>
            <w:noWrap/>
            <w:hideMark/>
          </w:tcPr>
          <w:p w14:paraId="7EAA7201" w14:textId="77777777" w:rsidR="000449B1" w:rsidRPr="00FB0A3A" w:rsidRDefault="000449B1" w:rsidP="00256761">
            <w:pPr>
              <w:tabs>
                <w:tab w:val="left" w:pos="1134"/>
              </w:tabs>
              <w:cnfStyle w:val="000000000000" w:firstRow="0" w:lastRow="0" w:firstColumn="0" w:lastColumn="0" w:oddVBand="0" w:evenVBand="0" w:oddHBand="0" w:evenHBand="0" w:firstRowFirstColumn="0" w:firstRowLastColumn="0" w:lastRowFirstColumn="0" w:lastRowLastColumn="0"/>
              <w:rPr>
                <w:szCs w:val="18"/>
              </w:rPr>
            </w:pPr>
            <w:r w:rsidRPr="00FB0A3A">
              <w:rPr>
                <w:szCs w:val="18"/>
              </w:rPr>
              <w:t>586</w:t>
            </w:r>
          </w:p>
        </w:tc>
        <w:tc>
          <w:tcPr>
            <w:tcW w:w="0" w:type="auto"/>
            <w:noWrap/>
            <w:hideMark/>
          </w:tcPr>
          <w:p w14:paraId="6BE481F4" w14:textId="77777777" w:rsidR="000449B1" w:rsidRPr="00FB0A3A" w:rsidRDefault="000449B1" w:rsidP="00256761">
            <w:pPr>
              <w:tabs>
                <w:tab w:val="left" w:pos="1134"/>
              </w:tabs>
              <w:cnfStyle w:val="000000000000" w:firstRow="0" w:lastRow="0" w:firstColumn="0" w:lastColumn="0" w:oddVBand="0" w:evenVBand="0" w:oddHBand="0" w:evenHBand="0" w:firstRowFirstColumn="0" w:firstRowLastColumn="0" w:lastRowFirstColumn="0" w:lastRowLastColumn="0"/>
              <w:rPr>
                <w:szCs w:val="18"/>
              </w:rPr>
            </w:pPr>
            <w:r w:rsidRPr="00FB0A3A">
              <w:rPr>
                <w:szCs w:val="18"/>
              </w:rPr>
              <w:t>411</w:t>
            </w:r>
          </w:p>
        </w:tc>
      </w:tr>
      <w:tr w:rsidR="00907AB4" w:rsidRPr="00FB0A3A" w14:paraId="4E216900" w14:textId="77777777" w:rsidTr="00256761">
        <w:tc>
          <w:tcPr>
            <w:cnfStyle w:val="001000000000" w:firstRow="0" w:lastRow="0" w:firstColumn="1" w:lastColumn="0" w:oddVBand="0" w:evenVBand="0" w:oddHBand="0" w:evenHBand="0" w:firstRowFirstColumn="0" w:firstRowLastColumn="0" w:lastRowFirstColumn="0" w:lastRowLastColumn="0"/>
            <w:tcW w:w="0" w:type="auto"/>
            <w:noWrap/>
            <w:hideMark/>
          </w:tcPr>
          <w:p w14:paraId="7C91731D" w14:textId="7349312E" w:rsidR="000449B1" w:rsidRPr="00FB0A3A" w:rsidRDefault="000449B1" w:rsidP="00256761">
            <w:pPr>
              <w:tabs>
                <w:tab w:val="left" w:pos="1134"/>
              </w:tabs>
              <w:jc w:val="center"/>
              <w:rPr>
                <w:szCs w:val="18"/>
              </w:rPr>
            </w:pPr>
            <w:r w:rsidRPr="00FB0A3A">
              <w:rPr>
                <w:szCs w:val="18"/>
              </w:rPr>
              <w:t>1.1.6.</w:t>
            </w:r>
          </w:p>
        </w:tc>
        <w:tc>
          <w:tcPr>
            <w:tcW w:w="0" w:type="auto"/>
            <w:hideMark/>
          </w:tcPr>
          <w:p w14:paraId="72FA1EC3" w14:textId="77777777" w:rsidR="000449B1" w:rsidRPr="00FB0A3A" w:rsidRDefault="000449B1" w:rsidP="00256761">
            <w:pPr>
              <w:tabs>
                <w:tab w:val="left" w:pos="1134"/>
              </w:tabs>
              <w:jc w:val="left"/>
              <w:cnfStyle w:val="000000000000" w:firstRow="0" w:lastRow="0" w:firstColumn="0" w:lastColumn="0" w:oddVBand="0" w:evenVBand="0" w:oddHBand="0" w:evenHBand="0" w:firstRowFirstColumn="0" w:firstRowLastColumn="0" w:lastRowFirstColumn="0" w:lastRowLastColumn="0"/>
              <w:rPr>
                <w:szCs w:val="18"/>
              </w:rPr>
            </w:pPr>
            <w:r w:rsidRPr="00FB0A3A">
              <w:rPr>
                <w:szCs w:val="18"/>
              </w:rPr>
              <w:t>Компенсация расходов в связи со смертью близких родственников работника</w:t>
            </w:r>
          </w:p>
        </w:tc>
        <w:tc>
          <w:tcPr>
            <w:tcW w:w="0" w:type="auto"/>
            <w:noWrap/>
            <w:hideMark/>
          </w:tcPr>
          <w:p w14:paraId="007B092B" w14:textId="77777777" w:rsidR="000449B1" w:rsidRPr="00FB0A3A" w:rsidRDefault="000449B1" w:rsidP="00256761">
            <w:pPr>
              <w:tabs>
                <w:tab w:val="left" w:pos="1134"/>
              </w:tabs>
              <w:cnfStyle w:val="000000000000" w:firstRow="0" w:lastRow="0" w:firstColumn="0" w:lastColumn="0" w:oddVBand="0" w:evenVBand="0" w:oddHBand="0" w:evenHBand="0" w:firstRowFirstColumn="0" w:firstRowLastColumn="0" w:lastRowFirstColumn="0" w:lastRowLastColumn="0"/>
              <w:rPr>
                <w:szCs w:val="18"/>
              </w:rPr>
            </w:pPr>
            <w:r w:rsidRPr="00FB0A3A">
              <w:rPr>
                <w:szCs w:val="18"/>
              </w:rPr>
              <w:t>443,50</w:t>
            </w:r>
          </w:p>
        </w:tc>
        <w:tc>
          <w:tcPr>
            <w:tcW w:w="0" w:type="auto"/>
            <w:noWrap/>
            <w:hideMark/>
          </w:tcPr>
          <w:p w14:paraId="0B1B6082" w14:textId="77777777" w:rsidR="000449B1" w:rsidRPr="00FB0A3A" w:rsidRDefault="000449B1" w:rsidP="00256761">
            <w:pPr>
              <w:tabs>
                <w:tab w:val="left" w:pos="1134"/>
              </w:tabs>
              <w:cnfStyle w:val="000000000000" w:firstRow="0" w:lastRow="0" w:firstColumn="0" w:lastColumn="0" w:oddVBand="0" w:evenVBand="0" w:oddHBand="0" w:evenHBand="0" w:firstRowFirstColumn="0" w:firstRowLastColumn="0" w:lastRowFirstColumn="0" w:lastRowLastColumn="0"/>
              <w:rPr>
                <w:szCs w:val="18"/>
              </w:rPr>
            </w:pPr>
            <w:r w:rsidRPr="00FB0A3A">
              <w:rPr>
                <w:szCs w:val="18"/>
              </w:rPr>
              <w:t>504</w:t>
            </w:r>
          </w:p>
        </w:tc>
        <w:tc>
          <w:tcPr>
            <w:tcW w:w="0" w:type="auto"/>
            <w:noWrap/>
            <w:hideMark/>
          </w:tcPr>
          <w:p w14:paraId="3452234F" w14:textId="77777777" w:rsidR="000449B1" w:rsidRPr="00FB0A3A" w:rsidRDefault="000449B1" w:rsidP="00256761">
            <w:pPr>
              <w:tabs>
                <w:tab w:val="left" w:pos="1134"/>
              </w:tabs>
              <w:cnfStyle w:val="000000000000" w:firstRow="0" w:lastRow="0" w:firstColumn="0" w:lastColumn="0" w:oddVBand="0" w:evenVBand="0" w:oddHBand="0" w:evenHBand="0" w:firstRowFirstColumn="0" w:firstRowLastColumn="0" w:lastRowFirstColumn="0" w:lastRowLastColumn="0"/>
              <w:rPr>
                <w:szCs w:val="18"/>
              </w:rPr>
            </w:pPr>
            <w:r w:rsidRPr="00FB0A3A">
              <w:rPr>
                <w:szCs w:val="18"/>
              </w:rPr>
              <w:t>477</w:t>
            </w:r>
          </w:p>
        </w:tc>
      </w:tr>
      <w:tr w:rsidR="00907AB4" w:rsidRPr="00FB0A3A" w14:paraId="10AC7C0E" w14:textId="77777777" w:rsidTr="00256761">
        <w:tc>
          <w:tcPr>
            <w:cnfStyle w:val="001000000000" w:firstRow="0" w:lastRow="0" w:firstColumn="1" w:lastColumn="0" w:oddVBand="0" w:evenVBand="0" w:oddHBand="0" w:evenHBand="0" w:firstRowFirstColumn="0" w:firstRowLastColumn="0" w:lastRowFirstColumn="0" w:lastRowLastColumn="0"/>
            <w:tcW w:w="0" w:type="auto"/>
            <w:noWrap/>
            <w:hideMark/>
          </w:tcPr>
          <w:p w14:paraId="72C5F848" w14:textId="22E3F7CC" w:rsidR="000449B1" w:rsidRPr="00FB0A3A" w:rsidRDefault="000449B1" w:rsidP="00256761">
            <w:pPr>
              <w:tabs>
                <w:tab w:val="left" w:pos="1134"/>
              </w:tabs>
              <w:jc w:val="center"/>
              <w:rPr>
                <w:szCs w:val="18"/>
              </w:rPr>
            </w:pPr>
            <w:r w:rsidRPr="00FB0A3A">
              <w:rPr>
                <w:szCs w:val="18"/>
              </w:rPr>
              <w:t>1.1.7.</w:t>
            </w:r>
          </w:p>
        </w:tc>
        <w:tc>
          <w:tcPr>
            <w:tcW w:w="0" w:type="auto"/>
            <w:hideMark/>
          </w:tcPr>
          <w:p w14:paraId="2FD2CB0F" w14:textId="77777777" w:rsidR="000449B1" w:rsidRPr="00FB0A3A" w:rsidRDefault="000449B1" w:rsidP="00256761">
            <w:pPr>
              <w:tabs>
                <w:tab w:val="left" w:pos="1134"/>
              </w:tabs>
              <w:jc w:val="left"/>
              <w:cnfStyle w:val="000000000000" w:firstRow="0" w:lastRow="0" w:firstColumn="0" w:lastColumn="0" w:oddVBand="0" w:evenVBand="0" w:oddHBand="0" w:evenHBand="0" w:firstRowFirstColumn="0" w:firstRowLastColumn="0" w:lastRowFirstColumn="0" w:lastRowLastColumn="0"/>
              <w:rPr>
                <w:szCs w:val="18"/>
              </w:rPr>
            </w:pPr>
            <w:r w:rsidRPr="00FB0A3A">
              <w:rPr>
                <w:szCs w:val="18"/>
              </w:rPr>
              <w:t xml:space="preserve">Материальная помощь многодетным семьям </w:t>
            </w:r>
          </w:p>
        </w:tc>
        <w:tc>
          <w:tcPr>
            <w:tcW w:w="0" w:type="auto"/>
            <w:noWrap/>
            <w:hideMark/>
          </w:tcPr>
          <w:p w14:paraId="44C4BD50" w14:textId="77777777" w:rsidR="000449B1" w:rsidRPr="00FB0A3A" w:rsidRDefault="000449B1" w:rsidP="00256761">
            <w:pPr>
              <w:tabs>
                <w:tab w:val="left" w:pos="1134"/>
              </w:tabs>
              <w:cnfStyle w:val="000000000000" w:firstRow="0" w:lastRow="0" w:firstColumn="0" w:lastColumn="0" w:oddVBand="0" w:evenVBand="0" w:oddHBand="0" w:evenHBand="0" w:firstRowFirstColumn="0" w:firstRowLastColumn="0" w:lastRowFirstColumn="0" w:lastRowLastColumn="0"/>
              <w:rPr>
                <w:szCs w:val="18"/>
              </w:rPr>
            </w:pPr>
            <w:r w:rsidRPr="00FB0A3A">
              <w:rPr>
                <w:szCs w:val="18"/>
              </w:rPr>
              <w:t>37,91</w:t>
            </w:r>
          </w:p>
        </w:tc>
        <w:tc>
          <w:tcPr>
            <w:tcW w:w="0" w:type="auto"/>
            <w:noWrap/>
            <w:hideMark/>
          </w:tcPr>
          <w:p w14:paraId="4A9F8F1D" w14:textId="77777777" w:rsidR="000449B1" w:rsidRPr="00FB0A3A" w:rsidRDefault="000449B1" w:rsidP="00256761">
            <w:pPr>
              <w:tabs>
                <w:tab w:val="left" w:pos="1134"/>
              </w:tabs>
              <w:cnfStyle w:val="000000000000" w:firstRow="0" w:lastRow="0" w:firstColumn="0" w:lastColumn="0" w:oddVBand="0" w:evenVBand="0" w:oddHBand="0" w:evenHBand="0" w:firstRowFirstColumn="0" w:firstRowLastColumn="0" w:lastRowFirstColumn="0" w:lastRowLastColumn="0"/>
              <w:rPr>
                <w:szCs w:val="18"/>
              </w:rPr>
            </w:pPr>
            <w:r w:rsidRPr="00FB0A3A">
              <w:rPr>
                <w:szCs w:val="18"/>
              </w:rPr>
              <w:t>81</w:t>
            </w:r>
          </w:p>
        </w:tc>
        <w:tc>
          <w:tcPr>
            <w:tcW w:w="0" w:type="auto"/>
            <w:noWrap/>
            <w:hideMark/>
          </w:tcPr>
          <w:p w14:paraId="66421856" w14:textId="77777777" w:rsidR="000449B1" w:rsidRPr="00FB0A3A" w:rsidRDefault="000449B1" w:rsidP="00256761">
            <w:pPr>
              <w:tabs>
                <w:tab w:val="left" w:pos="1134"/>
              </w:tabs>
              <w:cnfStyle w:val="000000000000" w:firstRow="0" w:lastRow="0" w:firstColumn="0" w:lastColumn="0" w:oddVBand="0" w:evenVBand="0" w:oddHBand="0" w:evenHBand="0" w:firstRowFirstColumn="0" w:firstRowLastColumn="0" w:lastRowFirstColumn="0" w:lastRowLastColumn="0"/>
              <w:rPr>
                <w:szCs w:val="18"/>
              </w:rPr>
            </w:pPr>
            <w:r w:rsidRPr="00FB0A3A">
              <w:rPr>
                <w:szCs w:val="18"/>
              </w:rPr>
              <w:t>41</w:t>
            </w:r>
          </w:p>
        </w:tc>
      </w:tr>
      <w:tr w:rsidR="00907AB4" w:rsidRPr="00FB0A3A" w14:paraId="323E55A9" w14:textId="77777777" w:rsidTr="00256761">
        <w:tc>
          <w:tcPr>
            <w:cnfStyle w:val="001000000000" w:firstRow="0" w:lastRow="0" w:firstColumn="1" w:lastColumn="0" w:oddVBand="0" w:evenVBand="0" w:oddHBand="0" w:evenHBand="0" w:firstRowFirstColumn="0" w:firstRowLastColumn="0" w:lastRowFirstColumn="0" w:lastRowLastColumn="0"/>
            <w:tcW w:w="0" w:type="auto"/>
            <w:noWrap/>
            <w:hideMark/>
          </w:tcPr>
          <w:p w14:paraId="441FCC46" w14:textId="1260BAE3" w:rsidR="000449B1" w:rsidRPr="00FB0A3A" w:rsidRDefault="000449B1" w:rsidP="00256761">
            <w:pPr>
              <w:tabs>
                <w:tab w:val="left" w:pos="1134"/>
              </w:tabs>
              <w:jc w:val="center"/>
              <w:rPr>
                <w:szCs w:val="18"/>
              </w:rPr>
            </w:pPr>
            <w:r w:rsidRPr="00FB0A3A">
              <w:rPr>
                <w:szCs w:val="18"/>
              </w:rPr>
              <w:t>1.1.8.</w:t>
            </w:r>
          </w:p>
        </w:tc>
        <w:tc>
          <w:tcPr>
            <w:tcW w:w="0" w:type="auto"/>
            <w:hideMark/>
          </w:tcPr>
          <w:p w14:paraId="12EC7332" w14:textId="77777777" w:rsidR="000449B1" w:rsidRPr="00FB0A3A" w:rsidRDefault="000449B1" w:rsidP="00256761">
            <w:pPr>
              <w:tabs>
                <w:tab w:val="left" w:pos="1134"/>
              </w:tabs>
              <w:jc w:val="left"/>
              <w:cnfStyle w:val="000000000000" w:firstRow="0" w:lastRow="0" w:firstColumn="0" w:lastColumn="0" w:oddVBand="0" w:evenVBand="0" w:oddHBand="0" w:evenHBand="0" w:firstRowFirstColumn="0" w:firstRowLastColumn="0" w:lastRowFirstColumn="0" w:lastRowLastColumn="0"/>
              <w:rPr>
                <w:szCs w:val="18"/>
              </w:rPr>
            </w:pPr>
            <w:r w:rsidRPr="00FB0A3A">
              <w:rPr>
                <w:szCs w:val="18"/>
              </w:rPr>
              <w:t>ДМС членов семьи работников</w:t>
            </w:r>
          </w:p>
        </w:tc>
        <w:tc>
          <w:tcPr>
            <w:tcW w:w="0" w:type="auto"/>
            <w:noWrap/>
            <w:hideMark/>
          </w:tcPr>
          <w:p w14:paraId="140C0FDF" w14:textId="77777777" w:rsidR="000449B1" w:rsidRPr="00FB0A3A" w:rsidRDefault="000449B1" w:rsidP="00256761">
            <w:pPr>
              <w:tabs>
                <w:tab w:val="left" w:pos="1134"/>
              </w:tabs>
              <w:cnfStyle w:val="000000000000" w:firstRow="0" w:lastRow="0" w:firstColumn="0" w:lastColumn="0" w:oddVBand="0" w:evenVBand="0" w:oddHBand="0" w:evenHBand="0" w:firstRowFirstColumn="0" w:firstRowLastColumn="0" w:lastRowFirstColumn="0" w:lastRowLastColumn="0"/>
              <w:rPr>
                <w:szCs w:val="18"/>
              </w:rPr>
            </w:pPr>
            <w:r w:rsidRPr="00FB0A3A">
              <w:rPr>
                <w:szCs w:val="18"/>
              </w:rPr>
              <w:t>86,34</w:t>
            </w:r>
          </w:p>
        </w:tc>
        <w:tc>
          <w:tcPr>
            <w:tcW w:w="0" w:type="auto"/>
            <w:noWrap/>
            <w:hideMark/>
          </w:tcPr>
          <w:p w14:paraId="2DC99529" w14:textId="77777777" w:rsidR="000449B1" w:rsidRPr="00FB0A3A" w:rsidRDefault="000449B1" w:rsidP="00256761">
            <w:pPr>
              <w:tabs>
                <w:tab w:val="left" w:pos="1134"/>
              </w:tabs>
              <w:cnfStyle w:val="000000000000" w:firstRow="0" w:lastRow="0" w:firstColumn="0" w:lastColumn="0" w:oddVBand="0" w:evenVBand="0" w:oddHBand="0" w:evenHBand="0" w:firstRowFirstColumn="0" w:firstRowLastColumn="0" w:lastRowFirstColumn="0" w:lastRowLastColumn="0"/>
              <w:rPr>
                <w:szCs w:val="18"/>
              </w:rPr>
            </w:pPr>
            <w:r w:rsidRPr="00FB0A3A">
              <w:rPr>
                <w:szCs w:val="18"/>
              </w:rPr>
              <w:t>86</w:t>
            </w:r>
          </w:p>
        </w:tc>
        <w:tc>
          <w:tcPr>
            <w:tcW w:w="0" w:type="auto"/>
            <w:noWrap/>
            <w:hideMark/>
          </w:tcPr>
          <w:p w14:paraId="296C13BF" w14:textId="74001929" w:rsidR="000449B1" w:rsidRPr="00FB0A3A" w:rsidRDefault="000449B1" w:rsidP="00256761">
            <w:pPr>
              <w:tabs>
                <w:tab w:val="left" w:pos="1134"/>
              </w:tabs>
              <w:cnfStyle w:val="000000000000" w:firstRow="0" w:lastRow="0" w:firstColumn="0" w:lastColumn="0" w:oddVBand="0" w:evenVBand="0" w:oddHBand="0" w:evenHBand="0" w:firstRowFirstColumn="0" w:firstRowLastColumn="0" w:lastRowFirstColumn="0" w:lastRowLastColumn="0"/>
              <w:rPr>
                <w:szCs w:val="18"/>
              </w:rPr>
            </w:pPr>
            <w:r w:rsidRPr="00FB0A3A">
              <w:rPr>
                <w:szCs w:val="18"/>
              </w:rPr>
              <w:t>0</w:t>
            </w:r>
          </w:p>
        </w:tc>
      </w:tr>
      <w:tr w:rsidR="00907AB4" w:rsidRPr="00FB0A3A" w14:paraId="2DCDB822" w14:textId="77777777" w:rsidTr="00256761">
        <w:tc>
          <w:tcPr>
            <w:cnfStyle w:val="001000000000" w:firstRow="0" w:lastRow="0" w:firstColumn="1" w:lastColumn="0" w:oddVBand="0" w:evenVBand="0" w:oddHBand="0" w:evenHBand="0" w:firstRowFirstColumn="0" w:firstRowLastColumn="0" w:lastRowFirstColumn="0" w:lastRowLastColumn="0"/>
            <w:tcW w:w="0" w:type="auto"/>
            <w:noWrap/>
            <w:hideMark/>
          </w:tcPr>
          <w:p w14:paraId="1C6914FB" w14:textId="2E9240AA" w:rsidR="000449B1" w:rsidRPr="00FB0A3A" w:rsidRDefault="000449B1" w:rsidP="00256761">
            <w:pPr>
              <w:tabs>
                <w:tab w:val="left" w:pos="1134"/>
              </w:tabs>
              <w:jc w:val="center"/>
              <w:rPr>
                <w:szCs w:val="18"/>
              </w:rPr>
            </w:pPr>
            <w:r w:rsidRPr="00FB0A3A">
              <w:rPr>
                <w:szCs w:val="18"/>
              </w:rPr>
              <w:t>1.1.9.</w:t>
            </w:r>
          </w:p>
        </w:tc>
        <w:tc>
          <w:tcPr>
            <w:tcW w:w="0" w:type="auto"/>
            <w:hideMark/>
          </w:tcPr>
          <w:p w14:paraId="065699D5" w14:textId="77777777" w:rsidR="000449B1" w:rsidRPr="00FB0A3A" w:rsidRDefault="000449B1" w:rsidP="00256761">
            <w:pPr>
              <w:tabs>
                <w:tab w:val="left" w:pos="1134"/>
              </w:tabs>
              <w:jc w:val="left"/>
              <w:cnfStyle w:val="000000000000" w:firstRow="0" w:lastRow="0" w:firstColumn="0" w:lastColumn="0" w:oddVBand="0" w:evenVBand="0" w:oddHBand="0" w:evenHBand="0" w:firstRowFirstColumn="0" w:firstRowLastColumn="0" w:lastRowFirstColumn="0" w:lastRowLastColumn="0"/>
              <w:rPr>
                <w:szCs w:val="18"/>
              </w:rPr>
            </w:pPr>
            <w:r w:rsidRPr="00FB0A3A">
              <w:rPr>
                <w:szCs w:val="18"/>
              </w:rPr>
              <w:t>Прочие ВСХ, входящие в П-4*</w:t>
            </w:r>
          </w:p>
        </w:tc>
        <w:tc>
          <w:tcPr>
            <w:tcW w:w="0" w:type="auto"/>
            <w:noWrap/>
            <w:hideMark/>
          </w:tcPr>
          <w:p w14:paraId="43584025" w14:textId="77777777" w:rsidR="000449B1" w:rsidRPr="00FB0A3A" w:rsidRDefault="000449B1" w:rsidP="00256761">
            <w:pPr>
              <w:tabs>
                <w:tab w:val="left" w:pos="1134"/>
              </w:tabs>
              <w:cnfStyle w:val="000000000000" w:firstRow="0" w:lastRow="0" w:firstColumn="0" w:lastColumn="0" w:oddVBand="0" w:evenVBand="0" w:oddHBand="0" w:evenHBand="0" w:firstRowFirstColumn="0" w:firstRowLastColumn="0" w:lastRowFirstColumn="0" w:lastRowLastColumn="0"/>
              <w:rPr>
                <w:szCs w:val="18"/>
              </w:rPr>
            </w:pPr>
            <w:r w:rsidRPr="00FB0A3A">
              <w:rPr>
                <w:szCs w:val="18"/>
              </w:rPr>
              <w:t>1 877,78</w:t>
            </w:r>
          </w:p>
        </w:tc>
        <w:tc>
          <w:tcPr>
            <w:tcW w:w="0" w:type="auto"/>
            <w:noWrap/>
            <w:hideMark/>
          </w:tcPr>
          <w:p w14:paraId="2BA19506" w14:textId="77777777" w:rsidR="000449B1" w:rsidRPr="00FB0A3A" w:rsidRDefault="000449B1" w:rsidP="00256761">
            <w:pPr>
              <w:tabs>
                <w:tab w:val="left" w:pos="1134"/>
              </w:tabs>
              <w:cnfStyle w:val="000000000000" w:firstRow="0" w:lastRow="0" w:firstColumn="0" w:lastColumn="0" w:oddVBand="0" w:evenVBand="0" w:oddHBand="0" w:evenHBand="0" w:firstRowFirstColumn="0" w:firstRowLastColumn="0" w:lastRowFirstColumn="0" w:lastRowLastColumn="0"/>
              <w:rPr>
                <w:szCs w:val="18"/>
              </w:rPr>
            </w:pPr>
            <w:r w:rsidRPr="00FB0A3A">
              <w:rPr>
                <w:szCs w:val="18"/>
              </w:rPr>
              <w:t>2 054</w:t>
            </w:r>
          </w:p>
        </w:tc>
        <w:tc>
          <w:tcPr>
            <w:tcW w:w="0" w:type="auto"/>
            <w:noWrap/>
            <w:hideMark/>
          </w:tcPr>
          <w:p w14:paraId="70DEC8E4" w14:textId="42D228B7" w:rsidR="000449B1" w:rsidRPr="00FB0A3A" w:rsidRDefault="000449B1" w:rsidP="00256761">
            <w:pPr>
              <w:tabs>
                <w:tab w:val="left" w:pos="1134"/>
              </w:tabs>
              <w:cnfStyle w:val="000000000000" w:firstRow="0" w:lastRow="0" w:firstColumn="0" w:lastColumn="0" w:oddVBand="0" w:evenVBand="0" w:oddHBand="0" w:evenHBand="0" w:firstRowFirstColumn="0" w:firstRowLastColumn="0" w:lastRowFirstColumn="0" w:lastRowLastColumn="0"/>
              <w:rPr>
                <w:szCs w:val="18"/>
              </w:rPr>
            </w:pPr>
            <w:r w:rsidRPr="00FB0A3A">
              <w:rPr>
                <w:szCs w:val="18"/>
              </w:rPr>
              <w:t>0</w:t>
            </w:r>
          </w:p>
        </w:tc>
      </w:tr>
      <w:tr w:rsidR="00907AB4" w:rsidRPr="00FB0A3A" w14:paraId="4971AC94" w14:textId="77777777" w:rsidTr="00256761">
        <w:tc>
          <w:tcPr>
            <w:cnfStyle w:val="001000000000" w:firstRow="0" w:lastRow="0" w:firstColumn="1" w:lastColumn="0" w:oddVBand="0" w:evenVBand="0" w:oddHBand="0" w:evenHBand="0" w:firstRowFirstColumn="0" w:firstRowLastColumn="0" w:lastRowFirstColumn="0" w:lastRowLastColumn="0"/>
            <w:tcW w:w="0" w:type="auto"/>
            <w:noWrap/>
            <w:hideMark/>
          </w:tcPr>
          <w:p w14:paraId="481DBA02" w14:textId="55115A80" w:rsidR="000449B1" w:rsidRPr="00FB0A3A" w:rsidRDefault="000449B1" w:rsidP="00256761">
            <w:pPr>
              <w:tabs>
                <w:tab w:val="left" w:pos="1134"/>
              </w:tabs>
              <w:jc w:val="center"/>
              <w:rPr>
                <w:szCs w:val="18"/>
              </w:rPr>
            </w:pPr>
            <w:r w:rsidRPr="00FB0A3A">
              <w:rPr>
                <w:szCs w:val="18"/>
              </w:rPr>
              <w:t>1.1.9.1.</w:t>
            </w:r>
          </w:p>
        </w:tc>
        <w:tc>
          <w:tcPr>
            <w:tcW w:w="0" w:type="auto"/>
            <w:hideMark/>
          </w:tcPr>
          <w:p w14:paraId="3775A768" w14:textId="77777777" w:rsidR="000449B1" w:rsidRPr="00FB0A3A" w:rsidRDefault="000449B1" w:rsidP="00256761">
            <w:pPr>
              <w:tabs>
                <w:tab w:val="left" w:pos="1134"/>
              </w:tabs>
              <w:jc w:val="left"/>
              <w:cnfStyle w:val="000000000000" w:firstRow="0" w:lastRow="0" w:firstColumn="0" w:lastColumn="0" w:oddVBand="0" w:evenVBand="0" w:oddHBand="0" w:evenHBand="0" w:firstRowFirstColumn="0" w:firstRowLastColumn="0" w:lastRowFirstColumn="0" w:lastRowLastColumn="0"/>
              <w:rPr>
                <w:szCs w:val="18"/>
              </w:rPr>
            </w:pPr>
            <w:r w:rsidRPr="00FB0A3A">
              <w:rPr>
                <w:szCs w:val="18"/>
              </w:rPr>
              <w:t>расходы на оплату стоимости проезда в  Крым</w:t>
            </w:r>
          </w:p>
        </w:tc>
        <w:tc>
          <w:tcPr>
            <w:tcW w:w="0" w:type="auto"/>
            <w:noWrap/>
            <w:hideMark/>
          </w:tcPr>
          <w:p w14:paraId="37A421F7" w14:textId="77777777" w:rsidR="000449B1" w:rsidRPr="00FB0A3A" w:rsidRDefault="000449B1" w:rsidP="00256761">
            <w:pPr>
              <w:tabs>
                <w:tab w:val="left" w:pos="1134"/>
              </w:tabs>
              <w:cnfStyle w:val="000000000000" w:firstRow="0" w:lastRow="0" w:firstColumn="0" w:lastColumn="0" w:oddVBand="0" w:evenVBand="0" w:oddHBand="0" w:evenHBand="0" w:firstRowFirstColumn="0" w:firstRowLastColumn="0" w:lastRowFirstColumn="0" w:lastRowLastColumn="0"/>
              <w:rPr>
                <w:szCs w:val="18"/>
              </w:rPr>
            </w:pPr>
            <w:r w:rsidRPr="00FB0A3A">
              <w:rPr>
                <w:szCs w:val="18"/>
              </w:rPr>
              <w:t>175,00</w:t>
            </w:r>
          </w:p>
        </w:tc>
        <w:tc>
          <w:tcPr>
            <w:tcW w:w="0" w:type="auto"/>
            <w:noWrap/>
            <w:hideMark/>
          </w:tcPr>
          <w:p w14:paraId="2EB7CAC3" w14:textId="77777777" w:rsidR="000449B1" w:rsidRPr="00FB0A3A" w:rsidRDefault="000449B1" w:rsidP="00256761">
            <w:pPr>
              <w:tabs>
                <w:tab w:val="left" w:pos="1134"/>
              </w:tabs>
              <w:cnfStyle w:val="000000000000" w:firstRow="0" w:lastRow="0" w:firstColumn="0" w:lastColumn="0" w:oddVBand="0" w:evenVBand="0" w:oddHBand="0" w:evenHBand="0" w:firstRowFirstColumn="0" w:firstRowLastColumn="0" w:lastRowFirstColumn="0" w:lastRowLastColumn="0"/>
              <w:rPr>
                <w:szCs w:val="18"/>
              </w:rPr>
            </w:pPr>
            <w:r w:rsidRPr="00FB0A3A">
              <w:rPr>
                <w:szCs w:val="18"/>
              </w:rPr>
              <w:t>351</w:t>
            </w:r>
          </w:p>
        </w:tc>
        <w:tc>
          <w:tcPr>
            <w:tcW w:w="0" w:type="auto"/>
            <w:noWrap/>
            <w:hideMark/>
          </w:tcPr>
          <w:p w14:paraId="5BEA5FFF" w14:textId="1370C0D6" w:rsidR="000449B1" w:rsidRPr="00FB0A3A" w:rsidRDefault="000449B1" w:rsidP="00256761">
            <w:pPr>
              <w:tabs>
                <w:tab w:val="left" w:pos="1134"/>
              </w:tabs>
              <w:cnfStyle w:val="000000000000" w:firstRow="0" w:lastRow="0" w:firstColumn="0" w:lastColumn="0" w:oddVBand="0" w:evenVBand="0" w:oddHBand="0" w:evenHBand="0" w:firstRowFirstColumn="0" w:firstRowLastColumn="0" w:lastRowFirstColumn="0" w:lastRowLastColumn="0"/>
              <w:rPr>
                <w:szCs w:val="18"/>
              </w:rPr>
            </w:pPr>
            <w:r w:rsidRPr="00FB0A3A">
              <w:rPr>
                <w:szCs w:val="18"/>
              </w:rPr>
              <w:t>0</w:t>
            </w:r>
          </w:p>
        </w:tc>
      </w:tr>
      <w:tr w:rsidR="00907AB4" w:rsidRPr="00FB0A3A" w14:paraId="064702E8" w14:textId="77777777" w:rsidTr="00256761">
        <w:tc>
          <w:tcPr>
            <w:cnfStyle w:val="001000000000" w:firstRow="0" w:lastRow="0" w:firstColumn="1" w:lastColumn="0" w:oddVBand="0" w:evenVBand="0" w:oddHBand="0" w:evenHBand="0" w:firstRowFirstColumn="0" w:firstRowLastColumn="0" w:lastRowFirstColumn="0" w:lastRowLastColumn="0"/>
            <w:tcW w:w="0" w:type="auto"/>
            <w:noWrap/>
            <w:hideMark/>
          </w:tcPr>
          <w:p w14:paraId="28F675AB" w14:textId="328C0C29" w:rsidR="000449B1" w:rsidRPr="00FB0A3A" w:rsidRDefault="000449B1" w:rsidP="00256761">
            <w:pPr>
              <w:tabs>
                <w:tab w:val="left" w:pos="1134"/>
              </w:tabs>
              <w:jc w:val="center"/>
              <w:rPr>
                <w:szCs w:val="18"/>
              </w:rPr>
            </w:pPr>
            <w:r w:rsidRPr="00FB0A3A">
              <w:rPr>
                <w:szCs w:val="18"/>
              </w:rPr>
              <w:t>1.1.9.2.</w:t>
            </w:r>
          </w:p>
        </w:tc>
        <w:tc>
          <w:tcPr>
            <w:tcW w:w="0" w:type="auto"/>
            <w:hideMark/>
          </w:tcPr>
          <w:p w14:paraId="120CFB0A" w14:textId="77777777" w:rsidR="000449B1" w:rsidRPr="00FB0A3A" w:rsidRDefault="000449B1" w:rsidP="00256761">
            <w:pPr>
              <w:tabs>
                <w:tab w:val="left" w:pos="1134"/>
              </w:tabs>
              <w:jc w:val="left"/>
              <w:cnfStyle w:val="000000000000" w:firstRow="0" w:lastRow="0" w:firstColumn="0" w:lastColumn="0" w:oddVBand="0" w:evenVBand="0" w:oddHBand="0" w:evenHBand="0" w:firstRowFirstColumn="0" w:firstRowLastColumn="0" w:lastRowFirstColumn="0" w:lastRowLastColumn="0"/>
              <w:rPr>
                <w:szCs w:val="18"/>
              </w:rPr>
            </w:pPr>
            <w:r w:rsidRPr="00FB0A3A">
              <w:rPr>
                <w:szCs w:val="18"/>
              </w:rPr>
              <w:t>Расходы ИА*)</w:t>
            </w:r>
          </w:p>
        </w:tc>
        <w:tc>
          <w:tcPr>
            <w:tcW w:w="0" w:type="auto"/>
            <w:noWrap/>
            <w:hideMark/>
          </w:tcPr>
          <w:p w14:paraId="170760EA" w14:textId="77777777" w:rsidR="000449B1" w:rsidRPr="00FB0A3A" w:rsidRDefault="000449B1" w:rsidP="00256761">
            <w:pPr>
              <w:tabs>
                <w:tab w:val="left" w:pos="1134"/>
              </w:tabs>
              <w:cnfStyle w:val="000000000000" w:firstRow="0" w:lastRow="0" w:firstColumn="0" w:lastColumn="0" w:oddVBand="0" w:evenVBand="0" w:oddHBand="0" w:evenHBand="0" w:firstRowFirstColumn="0" w:firstRowLastColumn="0" w:lastRowFirstColumn="0" w:lastRowLastColumn="0"/>
              <w:rPr>
                <w:szCs w:val="18"/>
              </w:rPr>
            </w:pPr>
            <w:r w:rsidRPr="00FB0A3A">
              <w:rPr>
                <w:szCs w:val="18"/>
              </w:rPr>
              <w:t>1 702,78</w:t>
            </w:r>
          </w:p>
        </w:tc>
        <w:tc>
          <w:tcPr>
            <w:tcW w:w="0" w:type="auto"/>
            <w:noWrap/>
            <w:hideMark/>
          </w:tcPr>
          <w:p w14:paraId="111D9FEB" w14:textId="77777777" w:rsidR="000449B1" w:rsidRPr="00FB0A3A" w:rsidRDefault="000449B1" w:rsidP="00256761">
            <w:pPr>
              <w:tabs>
                <w:tab w:val="left" w:pos="1134"/>
              </w:tabs>
              <w:cnfStyle w:val="000000000000" w:firstRow="0" w:lastRow="0" w:firstColumn="0" w:lastColumn="0" w:oddVBand="0" w:evenVBand="0" w:oddHBand="0" w:evenHBand="0" w:firstRowFirstColumn="0" w:firstRowLastColumn="0" w:lastRowFirstColumn="0" w:lastRowLastColumn="0"/>
              <w:rPr>
                <w:szCs w:val="18"/>
              </w:rPr>
            </w:pPr>
            <w:r w:rsidRPr="00FB0A3A">
              <w:rPr>
                <w:szCs w:val="18"/>
              </w:rPr>
              <w:t>1 703</w:t>
            </w:r>
          </w:p>
        </w:tc>
        <w:tc>
          <w:tcPr>
            <w:tcW w:w="0" w:type="auto"/>
            <w:noWrap/>
            <w:hideMark/>
          </w:tcPr>
          <w:p w14:paraId="388CA29C" w14:textId="67A288BD" w:rsidR="000449B1" w:rsidRPr="00FB0A3A" w:rsidRDefault="000449B1" w:rsidP="00256761">
            <w:pPr>
              <w:tabs>
                <w:tab w:val="left" w:pos="1134"/>
              </w:tabs>
              <w:cnfStyle w:val="000000000000" w:firstRow="0" w:lastRow="0" w:firstColumn="0" w:lastColumn="0" w:oddVBand="0" w:evenVBand="0" w:oddHBand="0" w:evenHBand="0" w:firstRowFirstColumn="0" w:firstRowLastColumn="0" w:lastRowFirstColumn="0" w:lastRowLastColumn="0"/>
              <w:rPr>
                <w:szCs w:val="18"/>
              </w:rPr>
            </w:pPr>
            <w:r w:rsidRPr="00FB0A3A">
              <w:rPr>
                <w:szCs w:val="18"/>
              </w:rPr>
              <w:t>0</w:t>
            </w:r>
          </w:p>
        </w:tc>
      </w:tr>
      <w:tr w:rsidR="00907AB4" w:rsidRPr="00FB0A3A" w14:paraId="2009CC27" w14:textId="77777777" w:rsidTr="00256761">
        <w:tc>
          <w:tcPr>
            <w:cnfStyle w:val="001000000000" w:firstRow="0" w:lastRow="0" w:firstColumn="1" w:lastColumn="0" w:oddVBand="0" w:evenVBand="0" w:oddHBand="0" w:evenHBand="0" w:firstRowFirstColumn="0" w:firstRowLastColumn="0" w:lastRowFirstColumn="0" w:lastRowLastColumn="0"/>
            <w:tcW w:w="0" w:type="auto"/>
            <w:noWrap/>
            <w:hideMark/>
          </w:tcPr>
          <w:p w14:paraId="6D4735A7" w14:textId="77777777" w:rsidR="000449B1" w:rsidRPr="00FB0A3A" w:rsidRDefault="000449B1" w:rsidP="00256761">
            <w:pPr>
              <w:tabs>
                <w:tab w:val="left" w:pos="1134"/>
              </w:tabs>
              <w:jc w:val="center"/>
              <w:rPr>
                <w:b/>
                <w:szCs w:val="18"/>
              </w:rPr>
            </w:pPr>
            <w:r w:rsidRPr="00FB0A3A">
              <w:rPr>
                <w:b/>
                <w:szCs w:val="18"/>
              </w:rPr>
              <w:lastRenderedPageBreak/>
              <w:t>1.2.</w:t>
            </w:r>
          </w:p>
        </w:tc>
        <w:tc>
          <w:tcPr>
            <w:tcW w:w="0" w:type="auto"/>
            <w:hideMark/>
          </w:tcPr>
          <w:p w14:paraId="5FE22A6C" w14:textId="77777777" w:rsidR="000449B1" w:rsidRPr="00FB0A3A" w:rsidRDefault="000449B1" w:rsidP="00256761">
            <w:pPr>
              <w:tabs>
                <w:tab w:val="left" w:pos="1134"/>
              </w:tabs>
              <w:jc w:val="left"/>
              <w:cnfStyle w:val="000000000000" w:firstRow="0" w:lastRow="0" w:firstColumn="0" w:lastColumn="0" w:oddVBand="0" w:evenVBand="0" w:oddHBand="0" w:evenHBand="0" w:firstRowFirstColumn="0" w:firstRowLastColumn="0" w:lastRowFirstColumn="0" w:lastRowLastColumn="0"/>
              <w:rPr>
                <w:b/>
                <w:szCs w:val="18"/>
              </w:rPr>
            </w:pPr>
            <w:r w:rsidRPr="00FB0A3A">
              <w:rPr>
                <w:b/>
                <w:szCs w:val="18"/>
              </w:rPr>
              <w:t>Прочие расходы социального характера (ВСХ не входящие в П-4)</w:t>
            </w:r>
          </w:p>
        </w:tc>
        <w:tc>
          <w:tcPr>
            <w:tcW w:w="0" w:type="auto"/>
            <w:noWrap/>
            <w:hideMark/>
          </w:tcPr>
          <w:p w14:paraId="02825AAA" w14:textId="77777777" w:rsidR="000449B1" w:rsidRPr="00FB0A3A" w:rsidRDefault="000449B1" w:rsidP="00256761">
            <w:pPr>
              <w:tabs>
                <w:tab w:val="left" w:pos="1134"/>
              </w:tabs>
              <w:cnfStyle w:val="000000000000" w:firstRow="0" w:lastRow="0" w:firstColumn="0" w:lastColumn="0" w:oddVBand="0" w:evenVBand="0" w:oddHBand="0" w:evenHBand="0" w:firstRowFirstColumn="0" w:firstRowLastColumn="0" w:lastRowFirstColumn="0" w:lastRowLastColumn="0"/>
              <w:rPr>
                <w:b/>
                <w:szCs w:val="18"/>
              </w:rPr>
            </w:pPr>
            <w:r w:rsidRPr="00FB0A3A">
              <w:rPr>
                <w:b/>
                <w:szCs w:val="18"/>
              </w:rPr>
              <w:t>2 151,49</w:t>
            </w:r>
          </w:p>
        </w:tc>
        <w:tc>
          <w:tcPr>
            <w:tcW w:w="0" w:type="auto"/>
            <w:noWrap/>
            <w:hideMark/>
          </w:tcPr>
          <w:p w14:paraId="5DDCCEAC" w14:textId="77777777" w:rsidR="000449B1" w:rsidRPr="00FB0A3A" w:rsidRDefault="000449B1" w:rsidP="00256761">
            <w:pPr>
              <w:tabs>
                <w:tab w:val="left" w:pos="1134"/>
              </w:tabs>
              <w:cnfStyle w:val="000000000000" w:firstRow="0" w:lastRow="0" w:firstColumn="0" w:lastColumn="0" w:oddVBand="0" w:evenVBand="0" w:oddHBand="0" w:evenHBand="0" w:firstRowFirstColumn="0" w:firstRowLastColumn="0" w:lastRowFirstColumn="0" w:lastRowLastColumn="0"/>
              <w:rPr>
                <w:b/>
                <w:szCs w:val="18"/>
              </w:rPr>
            </w:pPr>
            <w:r w:rsidRPr="00FB0A3A">
              <w:rPr>
                <w:b/>
                <w:szCs w:val="18"/>
              </w:rPr>
              <w:t>2 379,5</w:t>
            </w:r>
          </w:p>
        </w:tc>
        <w:tc>
          <w:tcPr>
            <w:tcW w:w="0" w:type="auto"/>
            <w:noWrap/>
            <w:hideMark/>
          </w:tcPr>
          <w:p w14:paraId="7AF18F0C" w14:textId="77777777" w:rsidR="000449B1" w:rsidRPr="00FB0A3A" w:rsidRDefault="000449B1" w:rsidP="00256761">
            <w:pPr>
              <w:tabs>
                <w:tab w:val="left" w:pos="1134"/>
              </w:tabs>
              <w:cnfStyle w:val="000000000000" w:firstRow="0" w:lastRow="0" w:firstColumn="0" w:lastColumn="0" w:oddVBand="0" w:evenVBand="0" w:oddHBand="0" w:evenHBand="0" w:firstRowFirstColumn="0" w:firstRowLastColumn="0" w:lastRowFirstColumn="0" w:lastRowLastColumn="0"/>
              <w:rPr>
                <w:b/>
                <w:szCs w:val="18"/>
              </w:rPr>
            </w:pPr>
            <w:r w:rsidRPr="00FB0A3A">
              <w:rPr>
                <w:b/>
                <w:szCs w:val="18"/>
              </w:rPr>
              <w:t>2 061,3</w:t>
            </w:r>
          </w:p>
        </w:tc>
      </w:tr>
      <w:tr w:rsidR="00907AB4" w:rsidRPr="00FB0A3A" w14:paraId="0C401A2B" w14:textId="77777777" w:rsidTr="00256761">
        <w:tc>
          <w:tcPr>
            <w:cnfStyle w:val="001000000000" w:firstRow="0" w:lastRow="0" w:firstColumn="1" w:lastColumn="0" w:oddVBand="0" w:evenVBand="0" w:oddHBand="0" w:evenHBand="0" w:firstRowFirstColumn="0" w:firstRowLastColumn="0" w:lastRowFirstColumn="0" w:lastRowLastColumn="0"/>
            <w:tcW w:w="0" w:type="auto"/>
            <w:noWrap/>
            <w:hideMark/>
          </w:tcPr>
          <w:p w14:paraId="32E9B355" w14:textId="77777777" w:rsidR="000449B1" w:rsidRPr="00FB0A3A" w:rsidRDefault="000449B1" w:rsidP="00256761">
            <w:pPr>
              <w:tabs>
                <w:tab w:val="left" w:pos="1134"/>
              </w:tabs>
              <w:jc w:val="center"/>
              <w:rPr>
                <w:szCs w:val="18"/>
              </w:rPr>
            </w:pPr>
            <w:r w:rsidRPr="00FB0A3A">
              <w:rPr>
                <w:szCs w:val="18"/>
              </w:rPr>
              <w:t>1.2.1.</w:t>
            </w:r>
          </w:p>
        </w:tc>
        <w:tc>
          <w:tcPr>
            <w:tcW w:w="0" w:type="auto"/>
            <w:hideMark/>
          </w:tcPr>
          <w:p w14:paraId="4A91A270" w14:textId="77777777" w:rsidR="000449B1" w:rsidRPr="00FB0A3A" w:rsidRDefault="000449B1" w:rsidP="00256761">
            <w:pPr>
              <w:tabs>
                <w:tab w:val="left" w:pos="1134"/>
              </w:tabs>
              <w:jc w:val="left"/>
              <w:cnfStyle w:val="000000000000" w:firstRow="0" w:lastRow="0" w:firstColumn="0" w:lastColumn="0" w:oddVBand="0" w:evenVBand="0" w:oddHBand="0" w:evenHBand="0" w:firstRowFirstColumn="0" w:firstRowLastColumn="0" w:lastRowFirstColumn="0" w:lastRowLastColumn="0"/>
              <w:rPr>
                <w:szCs w:val="18"/>
              </w:rPr>
            </w:pPr>
            <w:r w:rsidRPr="00FB0A3A">
              <w:rPr>
                <w:szCs w:val="18"/>
              </w:rPr>
              <w:t xml:space="preserve">Ежемесячные компенсационные выплаты работникам, находящимся в оплачиваемом отпуске по уходу за ребенком, сверх законодательства РФ до 1,5 </w:t>
            </w:r>
          </w:p>
        </w:tc>
        <w:tc>
          <w:tcPr>
            <w:tcW w:w="0" w:type="auto"/>
            <w:noWrap/>
            <w:hideMark/>
          </w:tcPr>
          <w:p w14:paraId="5011855E" w14:textId="77777777" w:rsidR="000449B1" w:rsidRPr="00FB0A3A" w:rsidRDefault="000449B1" w:rsidP="00256761">
            <w:pPr>
              <w:tabs>
                <w:tab w:val="left" w:pos="1134"/>
              </w:tabs>
              <w:cnfStyle w:val="000000000000" w:firstRow="0" w:lastRow="0" w:firstColumn="0" w:lastColumn="0" w:oddVBand="0" w:evenVBand="0" w:oddHBand="0" w:evenHBand="0" w:firstRowFirstColumn="0" w:firstRowLastColumn="0" w:lastRowFirstColumn="0" w:lastRowLastColumn="0"/>
              <w:rPr>
                <w:szCs w:val="18"/>
              </w:rPr>
            </w:pPr>
            <w:r w:rsidRPr="00FB0A3A">
              <w:rPr>
                <w:szCs w:val="18"/>
              </w:rPr>
              <w:t>934,48</w:t>
            </w:r>
          </w:p>
        </w:tc>
        <w:tc>
          <w:tcPr>
            <w:tcW w:w="0" w:type="auto"/>
            <w:noWrap/>
            <w:hideMark/>
          </w:tcPr>
          <w:p w14:paraId="4B364974" w14:textId="77777777" w:rsidR="000449B1" w:rsidRPr="00FB0A3A" w:rsidRDefault="000449B1" w:rsidP="00256761">
            <w:pPr>
              <w:tabs>
                <w:tab w:val="left" w:pos="1134"/>
              </w:tabs>
              <w:cnfStyle w:val="000000000000" w:firstRow="0" w:lastRow="0" w:firstColumn="0" w:lastColumn="0" w:oddVBand="0" w:evenVBand="0" w:oddHBand="0" w:evenHBand="0" w:firstRowFirstColumn="0" w:firstRowLastColumn="0" w:lastRowFirstColumn="0" w:lastRowLastColumn="0"/>
              <w:rPr>
                <w:szCs w:val="18"/>
              </w:rPr>
            </w:pPr>
            <w:r w:rsidRPr="00FB0A3A">
              <w:rPr>
                <w:szCs w:val="18"/>
              </w:rPr>
              <w:t>1 011</w:t>
            </w:r>
          </w:p>
        </w:tc>
        <w:tc>
          <w:tcPr>
            <w:tcW w:w="0" w:type="auto"/>
            <w:noWrap/>
            <w:hideMark/>
          </w:tcPr>
          <w:p w14:paraId="7CACCCF7" w14:textId="77777777" w:rsidR="000449B1" w:rsidRPr="00FB0A3A" w:rsidRDefault="000449B1" w:rsidP="00256761">
            <w:pPr>
              <w:tabs>
                <w:tab w:val="left" w:pos="1134"/>
              </w:tabs>
              <w:cnfStyle w:val="000000000000" w:firstRow="0" w:lastRow="0" w:firstColumn="0" w:lastColumn="0" w:oddVBand="0" w:evenVBand="0" w:oddHBand="0" w:evenHBand="0" w:firstRowFirstColumn="0" w:firstRowLastColumn="0" w:lastRowFirstColumn="0" w:lastRowLastColumn="0"/>
              <w:rPr>
                <w:szCs w:val="18"/>
              </w:rPr>
            </w:pPr>
            <w:r w:rsidRPr="00FB0A3A">
              <w:rPr>
                <w:szCs w:val="18"/>
              </w:rPr>
              <w:t>1 005</w:t>
            </w:r>
          </w:p>
        </w:tc>
      </w:tr>
      <w:tr w:rsidR="00907AB4" w:rsidRPr="00FB0A3A" w14:paraId="0EC21082" w14:textId="77777777" w:rsidTr="00256761">
        <w:tc>
          <w:tcPr>
            <w:cnfStyle w:val="001000000000" w:firstRow="0" w:lastRow="0" w:firstColumn="1" w:lastColumn="0" w:oddVBand="0" w:evenVBand="0" w:oddHBand="0" w:evenHBand="0" w:firstRowFirstColumn="0" w:firstRowLastColumn="0" w:lastRowFirstColumn="0" w:lastRowLastColumn="0"/>
            <w:tcW w:w="0" w:type="auto"/>
            <w:noWrap/>
            <w:hideMark/>
          </w:tcPr>
          <w:p w14:paraId="12388F9B" w14:textId="77777777" w:rsidR="000449B1" w:rsidRPr="00FB0A3A" w:rsidRDefault="000449B1" w:rsidP="00256761">
            <w:pPr>
              <w:tabs>
                <w:tab w:val="left" w:pos="1134"/>
              </w:tabs>
              <w:jc w:val="center"/>
              <w:rPr>
                <w:szCs w:val="18"/>
              </w:rPr>
            </w:pPr>
            <w:r w:rsidRPr="00FB0A3A">
              <w:rPr>
                <w:szCs w:val="18"/>
              </w:rPr>
              <w:t>1.2.1.1.</w:t>
            </w:r>
          </w:p>
        </w:tc>
        <w:tc>
          <w:tcPr>
            <w:tcW w:w="0" w:type="auto"/>
            <w:hideMark/>
          </w:tcPr>
          <w:p w14:paraId="1EE9F8B0" w14:textId="77777777" w:rsidR="000449B1" w:rsidRPr="00FB0A3A" w:rsidRDefault="000449B1" w:rsidP="00256761">
            <w:pPr>
              <w:tabs>
                <w:tab w:val="left" w:pos="1134"/>
              </w:tabs>
              <w:ind w:left="280"/>
              <w:jc w:val="left"/>
              <w:cnfStyle w:val="000000000000" w:firstRow="0" w:lastRow="0" w:firstColumn="0" w:lastColumn="0" w:oddVBand="0" w:evenVBand="0" w:oddHBand="0" w:evenHBand="0" w:firstRowFirstColumn="0" w:firstRowLastColumn="0" w:lastRowFirstColumn="0" w:lastRowLastColumn="0"/>
              <w:rPr>
                <w:szCs w:val="18"/>
              </w:rPr>
            </w:pPr>
            <w:r w:rsidRPr="00FB0A3A">
              <w:rPr>
                <w:szCs w:val="18"/>
              </w:rPr>
              <w:t xml:space="preserve">- до 1,5 </w:t>
            </w:r>
          </w:p>
        </w:tc>
        <w:tc>
          <w:tcPr>
            <w:tcW w:w="0" w:type="auto"/>
            <w:noWrap/>
            <w:hideMark/>
          </w:tcPr>
          <w:p w14:paraId="10F64771" w14:textId="77777777" w:rsidR="000449B1" w:rsidRPr="00FB0A3A" w:rsidRDefault="000449B1" w:rsidP="00256761">
            <w:pPr>
              <w:tabs>
                <w:tab w:val="left" w:pos="1134"/>
              </w:tabs>
              <w:cnfStyle w:val="000000000000" w:firstRow="0" w:lastRow="0" w:firstColumn="0" w:lastColumn="0" w:oddVBand="0" w:evenVBand="0" w:oddHBand="0" w:evenHBand="0" w:firstRowFirstColumn="0" w:firstRowLastColumn="0" w:lastRowFirstColumn="0" w:lastRowLastColumn="0"/>
              <w:rPr>
                <w:szCs w:val="18"/>
              </w:rPr>
            </w:pPr>
            <w:r w:rsidRPr="00FB0A3A">
              <w:rPr>
                <w:szCs w:val="18"/>
              </w:rPr>
              <w:t>662,82</w:t>
            </w:r>
          </w:p>
        </w:tc>
        <w:tc>
          <w:tcPr>
            <w:tcW w:w="0" w:type="auto"/>
            <w:noWrap/>
            <w:hideMark/>
          </w:tcPr>
          <w:p w14:paraId="531F62D0" w14:textId="77777777" w:rsidR="000449B1" w:rsidRPr="00FB0A3A" w:rsidRDefault="000449B1" w:rsidP="00256761">
            <w:pPr>
              <w:tabs>
                <w:tab w:val="left" w:pos="1134"/>
              </w:tabs>
              <w:cnfStyle w:val="000000000000" w:firstRow="0" w:lastRow="0" w:firstColumn="0" w:lastColumn="0" w:oddVBand="0" w:evenVBand="0" w:oddHBand="0" w:evenHBand="0" w:firstRowFirstColumn="0" w:firstRowLastColumn="0" w:lastRowFirstColumn="0" w:lastRowLastColumn="0"/>
              <w:rPr>
                <w:szCs w:val="18"/>
              </w:rPr>
            </w:pPr>
            <w:r w:rsidRPr="00FB0A3A">
              <w:rPr>
                <w:szCs w:val="18"/>
              </w:rPr>
              <w:t>717</w:t>
            </w:r>
          </w:p>
        </w:tc>
        <w:tc>
          <w:tcPr>
            <w:tcW w:w="0" w:type="auto"/>
            <w:noWrap/>
            <w:hideMark/>
          </w:tcPr>
          <w:p w14:paraId="761E9835" w14:textId="77777777" w:rsidR="000449B1" w:rsidRPr="00FB0A3A" w:rsidRDefault="000449B1" w:rsidP="00256761">
            <w:pPr>
              <w:tabs>
                <w:tab w:val="left" w:pos="1134"/>
              </w:tabs>
              <w:cnfStyle w:val="000000000000" w:firstRow="0" w:lastRow="0" w:firstColumn="0" w:lastColumn="0" w:oddVBand="0" w:evenVBand="0" w:oddHBand="0" w:evenHBand="0" w:firstRowFirstColumn="0" w:firstRowLastColumn="0" w:lastRowFirstColumn="0" w:lastRowLastColumn="0"/>
              <w:rPr>
                <w:szCs w:val="18"/>
              </w:rPr>
            </w:pPr>
            <w:r w:rsidRPr="00FB0A3A">
              <w:rPr>
                <w:szCs w:val="18"/>
              </w:rPr>
              <w:t>713</w:t>
            </w:r>
          </w:p>
        </w:tc>
      </w:tr>
      <w:tr w:rsidR="00907AB4" w:rsidRPr="00FB0A3A" w14:paraId="1B0FB70D" w14:textId="77777777" w:rsidTr="00256761">
        <w:tc>
          <w:tcPr>
            <w:cnfStyle w:val="001000000000" w:firstRow="0" w:lastRow="0" w:firstColumn="1" w:lastColumn="0" w:oddVBand="0" w:evenVBand="0" w:oddHBand="0" w:evenHBand="0" w:firstRowFirstColumn="0" w:firstRowLastColumn="0" w:lastRowFirstColumn="0" w:lastRowLastColumn="0"/>
            <w:tcW w:w="0" w:type="auto"/>
            <w:noWrap/>
            <w:hideMark/>
          </w:tcPr>
          <w:p w14:paraId="46000A64" w14:textId="77777777" w:rsidR="000449B1" w:rsidRPr="00FB0A3A" w:rsidRDefault="000449B1" w:rsidP="00256761">
            <w:pPr>
              <w:tabs>
                <w:tab w:val="left" w:pos="1134"/>
              </w:tabs>
              <w:jc w:val="center"/>
              <w:rPr>
                <w:szCs w:val="18"/>
              </w:rPr>
            </w:pPr>
            <w:r w:rsidRPr="00FB0A3A">
              <w:rPr>
                <w:szCs w:val="18"/>
              </w:rPr>
              <w:t>1.2.1.2.</w:t>
            </w:r>
          </w:p>
        </w:tc>
        <w:tc>
          <w:tcPr>
            <w:tcW w:w="0" w:type="auto"/>
            <w:hideMark/>
          </w:tcPr>
          <w:p w14:paraId="0A9B7CE4" w14:textId="77777777" w:rsidR="000449B1" w:rsidRPr="00FB0A3A" w:rsidRDefault="000449B1" w:rsidP="00256761">
            <w:pPr>
              <w:tabs>
                <w:tab w:val="left" w:pos="1134"/>
              </w:tabs>
              <w:ind w:left="280"/>
              <w:jc w:val="left"/>
              <w:cnfStyle w:val="000000000000" w:firstRow="0" w:lastRow="0" w:firstColumn="0" w:lastColumn="0" w:oddVBand="0" w:evenVBand="0" w:oddHBand="0" w:evenHBand="0" w:firstRowFirstColumn="0" w:firstRowLastColumn="0" w:lastRowFirstColumn="0" w:lastRowLastColumn="0"/>
              <w:rPr>
                <w:szCs w:val="18"/>
              </w:rPr>
            </w:pPr>
            <w:r w:rsidRPr="00FB0A3A">
              <w:rPr>
                <w:szCs w:val="18"/>
              </w:rPr>
              <w:t>- от  1,5  до 3-х лет</w:t>
            </w:r>
          </w:p>
        </w:tc>
        <w:tc>
          <w:tcPr>
            <w:tcW w:w="0" w:type="auto"/>
            <w:noWrap/>
            <w:hideMark/>
          </w:tcPr>
          <w:p w14:paraId="0A12F326" w14:textId="77777777" w:rsidR="000449B1" w:rsidRPr="00FB0A3A" w:rsidRDefault="000449B1" w:rsidP="00256761">
            <w:pPr>
              <w:tabs>
                <w:tab w:val="left" w:pos="1134"/>
              </w:tabs>
              <w:cnfStyle w:val="000000000000" w:firstRow="0" w:lastRow="0" w:firstColumn="0" w:lastColumn="0" w:oddVBand="0" w:evenVBand="0" w:oddHBand="0" w:evenHBand="0" w:firstRowFirstColumn="0" w:firstRowLastColumn="0" w:lastRowFirstColumn="0" w:lastRowLastColumn="0"/>
              <w:rPr>
                <w:szCs w:val="18"/>
              </w:rPr>
            </w:pPr>
            <w:r w:rsidRPr="00FB0A3A">
              <w:rPr>
                <w:szCs w:val="18"/>
              </w:rPr>
              <w:t>271,65</w:t>
            </w:r>
          </w:p>
        </w:tc>
        <w:tc>
          <w:tcPr>
            <w:tcW w:w="0" w:type="auto"/>
            <w:noWrap/>
            <w:hideMark/>
          </w:tcPr>
          <w:p w14:paraId="1406B4C0" w14:textId="77777777" w:rsidR="000449B1" w:rsidRPr="00FB0A3A" w:rsidRDefault="000449B1" w:rsidP="00256761">
            <w:pPr>
              <w:tabs>
                <w:tab w:val="left" w:pos="1134"/>
              </w:tabs>
              <w:cnfStyle w:val="000000000000" w:firstRow="0" w:lastRow="0" w:firstColumn="0" w:lastColumn="0" w:oddVBand="0" w:evenVBand="0" w:oddHBand="0" w:evenHBand="0" w:firstRowFirstColumn="0" w:firstRowLastColumn="0" w:lastRowFirstColumn="0" w:lastRowLastColumn="0"/>
              <w:rPr>
                <w:szCs w:val="18"/>
              </w:rPr>
            </w:pPr>
            <w:r w:rsidRPr="00FB0A3A">
              <w:rPr>
                <w:szCs w:val="18"/>
              </w:rPr>
              <w:t>294</w:t>
            </w:r>
          </w:p>
        </w:tc>
        <w:tc>
          <w:tcPr>
            <w:tcW w:w="0" w:type="auto"/>
            <w:noWrap/>
            <w:hideMark/>
          </w:tcPr>
          <w:p w14:paraId="6050E936" w14:textId="77777777" w:rsidR="000449B1" w:rsidRPr="00FB0A3A" w:rsidRDefault="000449B1" w:rsidP="00256761">
            <w:pPr>
              <w:tabs>
                <w:tab w:val="left" w:pos="1134"/>
              </w:tabs>
              <w:cnfStyle w:val="000000000000" w:firstRow="0" w:lastRow="0" w:firstColumn="0" w:lastColumn="0" w:oddVBand="0" w:evenVBand="0" w:oddHBand="0" w:evenHBand="0" w:firstRowFirstColumn="0" w:firstRowLastColumn="0" w:lastRowFirstColumn="0" w:lastRowLastColumn="0"/>
              <w:rPr>
                <w:szCs w:val="18"/>
              </w:rPr>
            </w:pPr>
            <w:r w:rsidRPr="00FB0A3A">
              <w:rPr>
                <w:szCs w:val="18"/>
              </w:rPr>
              <w:t>292</w:t>
            </w:r>
          </w:p>
        </w:tc>
      </w:tr>
      <w:tr w:rsidR="00907AB4" w:rsidRPr="00FB0A3A" w14:paraId="0915C529" w14:textId="77777777" w:rsidTr="00256761">
        <w:tc>
          <w:tcPr>
            <w:cnfStyle w:val="001000000000" w:firstRow="0" w:lastRow="0" w:firstColumn="1" w:lastColumn="0" w:oddVBand="0" w:evenVBand="0" w:oddHBand="0" w:evenHBand="0" w:firstRowFirstColumn="0" w:firstRowLastColumn="0" w:lastRowFirstColumn="0" w:lastRowLastColumn="0"/>
            <w:tcW w:w="0" w:type="auto"/>
            <w:noWrap/>
            <w:hideMark/>
          </w:tcPr>
          <w:p w14:paraId="44EE3FEB" w14:textId="77777777" w:rsidR="000449B1" w:rsidRPr="00FB0A3A" w:rsidRDefault="000449B1" w:rsidP="00256761">
            <w:pPr>
              <w:tabs>
                <w:tab w:val="left" w:pos="1134"/>
              </w:tabs>
              <w:jc w:val="center"/>
              <w:rPr>
                <w:szCs w:val="18"/>
              </w:rPr>
            </w:pPr>
            <w:r w:rsidRPr="00FB0A3A">
              <w:rPr>
                <w:szCs w:val="18"/>
              </w:rPr>
              <w:t>1.2.2.</w:t>
            </w:r>
          </w:p>
        </w:tc>
        <w:tc>
          <w:tcPr>
            <w:tcW w:w="0" w:type="auto"/>
            <w:hideMark/>
          </w:tcPr>
          <w:p w14:paraId="0316FE2E" w14:textId="0CE26838" w:rsidR="000449B1" w:rsidRPr="00FB0A3A" w:rsidRDefault="000449B1" w:rsidP="00256761">
            <w:pPr>
              <w:tabs>
                <w:tab w:val="left" w:pos="1134"/>
              </w:tabs>
              <w:jc w:val="left"/>
              <w:cnfStyle w:val="000000000000" w:firstRow="0" w:lastRow="0" w:firstColumn="0" w:lastColumn="0" w:oddVBand="0" w:evenVBand="0" w:oddHBand="0" w:evenHBand="0" w:firstRowFirstColumn="0" w:firstRowLastColumn="0" w:lastRowFirstColumn="0" w:lastRowLastColumn="0"/>
              <w:rPr>
                <w:szCs w:val="18"/>
              </w:rPr>
            </w:pPr>
            <w:r w:rsidRPr="00FB0A3A">
              <w:rPr>
                <w:szCs w:val="18"/>
              </w:rPr>
              <w:t xml:space="preserve">Выплаты единовременной мат. помощи неработающим пенсионерам Общества к юбилейным  датам </w:t>
            </w:r>
          </w:p>
        </w:tc>
        <w:tc>
          <w:tcPr>
            <w:tcW w:w="0" w:type="auto"/>
            <w:noWrap/>
            <w:hideMark/>
          </w:tcPr>
          <w:p w14:paraId="2421DC17" w14:textId="77777777" w:rsidR="000449B1" w:rsidRPr="00FB0A3A" w:rsidRDefault="000449B1" w:rsidP="00256761">
            <w:pPr>
              <w:tabs>
                <w:tab w:val="left" w:pos="1134"/>
              </w:tabs>
              <w:cnfStyle w:val="000000000000" w:firstRow="0" w:lastRow="0" w:firstColumn="0" w:lastColumn="0" w:oddVBand="0" w:evenVBand="0" w:oddHBand="0" w:evenHBand="0" w:firstRowFirstColumn="0" w:firstRowLastColumn="0" w:lastRowFirstColumn="0" w:lastRowLastColumn="0"/>
              <w:rPr>
                <w:szCs w:val="18"/>
              </w:rPr>
            </w:pPr>
            <w:r w:rsidRPr="00FB0A3A">
              <w:rPr>
                <w:szCs w:val="18"/>
              </w:rPr>
              <w:t>211,95</w:t>
            </w:r>
          </w:p>
        </w:tc>
        <w:tc>
          <w:tcPr>
            <w:tcW w:w="0" w:type="auto"/>
            <w:noWrap/>
            <w:hideMark/>
          </w:tcPr>
          <w:p w14:paraId="42052CBC" w14:textId="77777777" w:rsidR="000449B1" w:rsidRPr="00FB0A3A" w:rsidRDefault="000449B1" w:rsidP="00256761">
            <w:pPr>
              <w:tabs>
                <w:tab w:val="left" w:pos="1134"/>
              </w:tabs>
              <w:cnfStyle w:val="000000000000" w:firstRow="0" w:lastRow="0" w:firstColumn="0" w:lastColumn="0" w:oddVBand="0" w:evenVBand="0" w:oddHBand="0" w:evenHBand="0" w:firstRowFirstColumn="0" w:firstRowLastColumn="0" w:lastRowFirstColumn="0" w:lastRowLastColumn="0"/>
              <w:rPr>
                <w:szCs w:val="18"/>
              </w:rPr>
            </w:pPr>
            <w:r w:rsidRPr="00FB0A3A">
              <w:rPr>
                <w:szCs w:val="18"/>
              </w:rPr>
              <w:t>231</w:t>
            </w:r>
          </w:p>
        </w:tc>
        <w:tc>
          <w:tcPr>
            <w:tcW w:w="0" w:type="auto"/>
            <w:noWrap/>
            <w:hideMark/>
          </w:tcPr>
          <w:p w14:paraId="5B91F2A0" w14:textId="77777777" w:rsidR="000449B1" w:rsidRPr="00FB0A3A" w:rsidRDefault="000449B1" w:rsidP="00256761">
            <w:pPr>
              <w:tabs>
                <w:tab w:val="left" w:pos="1134"/>
              </w:tabs>
              <w:cnfStyle w:val="000000000000" w:firstRow="0" w:lastRow="0" w:firstColumn="0" w:lastColumn="0" w:oddVBand="0" w:evenVBand="0" w:oddHBand="0" w:evenHBand="0" w:firstRowFirstColumn="0" w:firstRowLastColumn="0" w:lastRowFirstColumn="0" w:lastRowLastColumn="0"/>
              <w:rPr>
                <w:szCs w:val="18"/>
              </w:rPr>
            </w:pPr>
            <w:r w:rsidRPr="00FB0A3A">
              <w:rPr>
                <w:szCs w:val="18"/>
              </w:rPr>
              <w:t>228</w:t>
            </w:r>
          </w:p>
        </w:tc>
      </w:tr>
      <w:tr w:rsidR="00907AB4" w:rsidRPr="00FB0A3A" w14:paraId="66665431" w14:textId="77777777" w:rsidTr="00256761">
        <w:tc>
          <w:tcPr>
            <w:cnfStyle w:val="001000000000" w:firstRow="0" w:lastRow="0" w:firstColumn="1" w:lastColumn="0" w:oddVBand="0" w:evenVBand="0" w:oddHBand="0" w:evenHBand="0" w:firstRowFirstColumn="0" w:firstRowLastColumn="0" w:lastRowFirstColumn="0" w:lastRowLastColumn="0"/>
            <w:tcW w:w="0" w:type="auto"/>
            <w:noWrap/>
            <w:hideMark/>
          </w:tcPr>
          <w:p w14:paraId="233971FD" w14:textId="77777777" w:rsidR="000449B1" w:rsidRPr="00FB0A3A" w:rsidRDefault="000449B1" w:rsidP="00256761">
            <w:pPr>
              <w:tabs>
                <w:tab w:val="left" w:pos="1134"/>
              </w:tabs>
              <w:jc w:val="center"/>
              <w:rPr>
                <w:szCs w:val="18"/>
              </w:rPr>
            </w:pPr>
            <w:r w:rsidRPr="00FB0A3A">
              <w:rPr>
                <w:szCs w:val="18"/>
              </w:rPr>
              <w:t>1.2.3.</w:t>
            </w:r>
          </w:p>
        </w:tc>
        <w:tc>
          <w:tcPr>
            <w:tcW w:w="0" w:type="auto"/>
            <w:hideMark/>
          </w:tcPr>
          <w:p w14:paraId="6DD6C44F" w14:textId="5F9B2510" w:rsidR="000449B1" w:rsidRPr="00FB0A3A" w:rsidRDefault="000449B1" w:rsidP="00256761">
            <w:pPr>
              <w:tabs>
                <w:tab w:val="left" w:pos="1134"/>
              </w:tabs>
              <w:jc w:val="left"/>
              <w:cnfStyle w:val="000000000000" w:firstRow="0" w:lastRow="0" w:firstColumn="0" w:lastColumn="0" w:oddVBand="0" w:evenVBand="0" w:oddHBand="0" w:evenHBand="0" w:firstRowFirstColumn="0" w:firstRowLastColumn="0" w:lastRowFirstColumn="0" w:lastRowLastColumn="0"/>
              <w:rPr>
                <w:szCs w:val="18"/>
              </w:rPr>
            </w:pPr>
            <w:r w:rsidRPr="00FB0A3A">
              <w:rPr>
                <w:szCs w:val="18"/>
              </w:rPr>
              <w:t xml:space="preserve">Выплаты единовременной мат .помощи неработающим пенсионерам Общества к праздничным  датам </w:t>
            </w:r>
          </w:p>
        </w:tc>
        <w:tc>
          <w:tcPr>
            <w:tcW w:w="0" w:type="auto"/>
            <w:noWrap/>
            <w:hideMark/>
          </w:tcPr>
          <w:p w14:paraId="6335FCE3" w14:textId="77777777" w:rsidR="000449B1" w:rsidRPr="00FB0A3A" w:rsidRDefault="000449B1" w:rsidP="00256761">
            <w:pPr>
              <w:tabs>
                <w:tab w:val="left" w:pos="1134"/>
              </w:tabs>
              <w:cnfStyle w:val="000000000000" w:firstRow="0" w:lastRow="0" w:firstColumn="0" w:lastColumn="0" w:oddVBand="0" w:evenVBand="0" w:oddHBand="0" w:evenHBand="0" w:firstRowFirstColumn="0" w:firstRowLastColumn="0" w:lastRowFirstColumn="0" w:lastRowLastColumn="0"/>
              <w:rPr>
                <w:szCs w:val="18"/>
              </w:rPr>
            </w:pPr>
            <w:r w:rsidRPr="00FB0A3A">
              <w:rPr>
                <w:szCs w:val="18"/>
              </w:rPr>
              <w:t>348,90</w:t>
            </w:r>
          </w:p>
        </w:tc>
        <w:tc>
          <w:tcPr>
            <w:tcW w:w="0" w:type="auto"/>
            <w:noWrap/>
            <w:hideMark/>
          </w:tcPr>
          <w:p w14:paraId="293389C7" w14:textId="77777777" w:rsidR="000449B1" w:rsidRPr="00FB0A3A" w:rsidRDefault="000449B1" w:rsidP="00256761">
            <w:pPr>
              <w:tabs>
                <w:tab w:val="left" w:pos="1134"/>
              </w:tabs>
              <w:cnfStyle w:val="000000000000" w:firstRow="0" w:lastRow="0" w:firstColumn="0" w:lastColumn="0" w:oddVBand="0" w:evenVBand="0" w:oddHBand="0" w:evenHBand="0" w:firstRowFirstColumn="0" w:firstRowLastColumn="0" w:lastRowFirstColumn="0" w:lastRowLastColumn="0"/>
              <w:rPr>
                <w:szCs w:val="18"/>
              </w:rPr>
            </w:pPr>
            <w:r w:rsidRPr="00FB0A3A">
              <w:rPr>
                <w:szCs w:val="18"/>
              </w:rPr>
              <w:t>370</w:t>
            </w:r>
          </w:p>
        </w:tc>
        <w:tc>
          <w:tcPr>
            <w:tcW w:w="0" w:type="auto"/>
            <w:noWrap/>
            <w:hideMark/>
          </w:tcPr>
          <w:p w14:paraId="39394DB1" w14:textId="77777777" w:rsidR="000449B1" w:rsidRPr="00FB0A3A" w:rsidRDefault="000449B1" w:rsidP="00256761">
            <w:pPr>
              <w:tabs>
                <w:tab w:val="left" w:pos="1134"/>
              </w:tabs>
              <w:cnfStyle w:val="000000000000" w:firstRow="0" w:lastRow="0" w:firstColumn="0" w:lastColumn="0" w:oddVBand="0" w:evenVBand="0" w:oddHBand="0" w:evenHBand="0" w:firstRowFirstColumn="0" w:firstRowLastColumn="0" w:lastRowFirstColumn="0" w:lastRowLastColumn="0"/>
              <w:rPr>
                <w:szCs w:val="18"/>
              </w:rPr>
            </w:pPr>
            <w:r w:rsidRPr="00FB0A3A">
              <w:rPr>
                <w:szCs w:val="18"/>
              </w:rPr>
              <w:t>375</w:t>
            </w:r>
          </w:p>
        </w:tc>
      </w:tr>
      <w:tr w:rsidR="00907AB4" w:rsidRPr="00FB0A3A" w14:paraId="1BE5C2C6" w14:textId="77777777" w:rsidTr="00256761">
        <w:tc>
          <w:tcPr>
            <w:cnfStyle w:val="001000000000" w:firstRow="0" w:lastRow="0" w:firstColumn="1" w:lastColumn="0" w:oddVBand="0" w:evenVBand="0" w:oddHBand="0" w:evenHBand="0" w:firstRowFirstColumn="0" w:firstRowLastColumn="0" w:lastRowFirstColumn="0" w:lastRowLastColumn="0"/>
            <w:tcW w:w="0" w:type="auto"/>
            <w:noWrap/>
            <w:hideMark/>
          </w:tcPr>
          <w:p w14:paraId="7EB8D448" w14:textId="1CAEDF11" w:rsidR="000449B1" w:rsidRPr="00FB0A3A" w:rsidRDefault="000449B1" w:rsidP="00256761">
            <w:pPr>
              <w:tabs>
                <w:tab w:val="left" w:pos="1134"/>
              </w:tabs>
              <w:jc w:val="center"/>
              <w:rPr>
                <w:szCs w:val="18"/>
              </w:rPr>
            </w:pPr>
            <w:r w:rsidRPr="00FB0A3A">
              <w:rPr>
                <w:szCs w:val="18"/>
              </w:rPr>
              <w:t>1.2.4.</w:t>
            </w:r>
          </w:p>
        </w:tc>
        <w:tc>
          <w:tcPr>
            <w:tcW w:w="0" w:type="auto"/>
            <w:hideMark/>
          </w:tcPr>
          <w:p w14:paraId="13B4D15C" w14:textId="77777777" w:rsidR="000449B1" w:rsidRPr="00FB0A3A" w:rsidRDefault="000449B1" w:rsidP="00256761">
            <w:pPr>
              <w:tabs>
                <w:tab w:val="left" w:pos="1134"/>
              </w:tabs>
              <w:jc w:val="left"/>
              <w:cnfStyle w:val="000000000000" w:firstRow="0" w:lastRow="0" w:firstColumn="0" w:lastColumn="0" w:oddVBand="0" w:evenVBand="0" w:oddHBand="0" w:evenHBand="0" w:firstRowFirstColumn="0" w:firstRowLastColumn="0" w:lastRowFirstColumn="0" w:lastRowLastColumn="0"/>
              <w:rPr>
                <w:szCs w:val="18"/>
              </w:rPr>
            </w:pPr>
            <w:r w:rsidRPr="00FB0A3A">
              <w:rPr>
                <w:szCs w:val="18"/>
              </w:rPr>
              <w:t>Компенсация расходов, связанных с погребением работников</w:t>
            </w:r>
          </w:p>
        </w:tc>
        <w:tc>
          <w:tcPr>
            <w:tcW w:w="0" w:type="auto"/>
            <w:noWrap/>
            <w:hideMark/>
          </w:tcPr>
          <w:p w14:paraId="1AD06C00" w14:textId="77777777" w:rsidR="000449B1" w:rsidRPr="00FB0A3A" w:rsidRDefault="000449B1" w:rsidP="00256761">
            <w:pPr>
              <w:tabs>
                <w:tab w:val="left" w:pos="1134"/>
              </w:tabs>
              <w:cnfStyle w:val="000000000000" w:firstRow="0" w:lastRow="0" w:firstColumn="0" w:lastColumn="0" w:oddVBand="0" w:evenVBand="0" w:oddHBand="0" w:evenHBand="0" w:firstRowFirstColumn="0" w:firstRowLastColumn="0" w:lastRowFirstColumn="0" w:lastRowLastColumn="0"/>
              <w:rPr>
                <w:szCs w:val="18"/>
              </w:rPr>
            </w:pPr>
            <w:r w:rsidRPr="00FB0A3A">
              <w:rPr>
                <w:szCs w:val="18"/>
              </w:rPr>
              <w:t>77,55</w:t>
            </w:r>
          </w:p>
        </w:tc>
        <w:tc>
          <w:tcPr>
            <w:tcW w:w="0" w:type="auto"/>
            <w:noWrap/>
            <w:hideMark/>
          </w:tcPr>
          <w:p w14:paraId="48CBEA9B" w14:textId="77777777" w:rsidR="000449B1" w:rsidRPr="00FB0A3A" w:rsidRDefault="000449B1" w:rsidP="00256761">
            <w:pPr>
              <w:tabs>
                <w:tab w:val="left" w:pos="1134"/>
              </w:tabs>
              <w:cnfStyle w:val="000000000000" w:firstRow="0" w:lastRow="0" w:firstColumn="0" w:lastColumn="0" w:oddVBand="0" w:evenVBand="0" w:oddHBand="0" w:evenHBand="0" w:firstRowFirstColumn="0" w:firstRowLastColumn="0" w:lastRowFirstColumn="0" w:lastRowLastColumn="0"/>
              <w:rPr>
                <w:szCs w:val="18"/>
              </w:rPr>
            </w:pPr>
            <w:r w:rsidRPr="00FB0A3A">
              <w:rPr>
                <w:szCs w:val="18"/>
              </w:rPr>
              <w:t>90</w:t>
            </w:r>
          </w:p>
        </w:tc>
        <w:tc>
          <w:tcPr>
            <w:tcW w:w="0" w:type="auto"/>
            <w:noWrap/>
            <w:hideMark/>
          </w:tcPr>
          <w:p w14:paraId="51F41566" w14:textId="77777777" w:rsidR="000449B1" w:rsidRPr="00FB0A3A" w:rsidRDefault="000449B1" w:rsidP="00256761">
            <w:pPr>
              <w:tabs>
                <w:tab w:val="left" w:pos="1134"/>
              </w:tabs>
              <w:cnfStyle w:val="000000000000" w:firstRow="0" w:lastRow="0" w:firstColumn="0" w:lastColumn="0" w:oddVBand="0" w:evenVBand="0" w:oddHBand="0" w:evenHBand="0" w:firstRowFirstColumn="0" w:firstRowLastColumn="0" w:lastRowFirstColumn="0" w:lastRowLastColumn="0"/>
              <w:rPr>
                <w:szCs w:val="18"/>
              </w:rPr>
            </w:pPr>
            <w:r w:rsidRPr="00FB0A3A">
              <w:rPr>
                <w:szCs w:val="18"/>
              </w:rPr>
              <w:t>83</w:t>
            </w:r>
          </w:p>
        </w:tc>
      </w:tr>
      <w:tr w:rsidR="00907AB4" w:rsidRPr="00FB0A3A" w14:paraId="202EF74B" w14:textId="77777777" w:rsidTr="00256761">
        <w:tc>
          <w:tcPr>
            <w:cnfStyle w:val="001000000000" w:firstRow="0" w:lastRow="0" w:firstColumn="1" w:lastColumn="0" w:oddVBand="0" w:evenVBand="0" w:oddHBand="0" w:evenHBand="0" w:firstRowFirstColumn="0" w:firstRowLastColumn="0" w:lastRowFirstColumn="0" w:lastRowLastColumn="0"/>
            <w:tcW w:w="0" w:type="auto"/>
            <w:noWrap/>
            <w:hideMark/>
          </w:tcPr>
          <w:p w14:paraId="586DDBCD" w14:textId="476DC6ED" w:rsidR="000449B1" w:rsidRPr="00FB0A3A" w:rsidRDefault="000449B1" w:rsidP="00256761">
            <w:pPr>
              <w:tabs>
                <w:tab w:val="left" w:pos="1134"/>
              </w:tabs>
              <w:jc w:val="center"/>
              <w:rPr>
                <w:szCs w:val="18"/>
              </w:rPr>
            </w:pPr>
            <w:r w:rsidRPr="00FB0A3A">
              <w:rPr>
                <w:szCs w:val="18"/>
              </w:rPr>
              <w:t>1.2.5.</w:t>
            </w:r>
          </w:p>
        </w:tc>
        <w:tc>
          <w:tcPr>
            <w:tcW w:w="0" w:type="auto"/>
            <w:hideMark/>
          </w:tcPr>
          <w:p w14:paraId="09963851" w14:textId="77777777" w:rsidR="000449B1" w:rsidRPr="00FB0A3A" w:rsidRDefault="000449B1" w:rsidP="00256761">
            <w:pPr>
              <w:tabs>
                <w:tab w:val="left" w:pos="1134"/>
              </w:tabs>
              <w:jc w:val="left"/>
              <w:cnfStyle w:val="000000000000" w:firstRow="0" w:lastRow="0" w:firstColumn="0" w:lastColumn="0" w:oddVBand="0" w:evenVBand="0" w:oddHBand="0" w:evenHBand="0" w:firstRowFirstColumn="0" w:firstRowLastColumn="0" w:lastRowFirstColumn="0" w:lastRowLastColumn="0"/>
              <w:rPr>
                <w:szCs w:val="18"/>
              </w:rPr>
            </w:pPr>
            <w:r w:rsidRPr="00FB0A3A">
              <w:rPr>
                <w:szCs w:val="18"/>
              </w:rPr>
              <w:t>Компенсация расходов в связи со смертью неработающих пенсионеров</w:t>
            </w:r>
          </w:p>
        </w:tc>
        <w:tc>
          <w:tcPr>
            <w:tcW w:w="0" w:type="auto"/>
            <w:noWrap/>
            <w:hideMark/>
          </w:tcPr>
          <w:p w14:paraId="62FB4408" w14:textId="77777777" w:rsidR="000449B1" w:rsidRPr="00FB0A3A" w:rsidRDefault="000449B1" w:rsidP="00256761">
            <w:pPr>
              <w:tabs>
                <w:tab w:val="left" w:pos="1134"/>
              </w:tabs>
              <w:cnfStyle w:val="000000000000" w:firstRow="0" w:lastRow="0" w:firstColumn="0" w:lastColumn="0" w:oddVBand="0" w:evenVBand="0" w:oddHBand="0" w:evenHBand="0" w:firstRowFirstColumn="0" w:firstRowLastColumn="0" w:lastRowFirstColumn="0" w:lastRowLastColumn="0"/>
              <w:rPr>
                <w:szCs w:val="18"/>
              </w:rPr>
            </w:pPr>
            <w:r w:rsidRPr="00FB0A3A">
              <w:rPr>
                <w:szCs w:val="18"/>
              </w:rPr>
              <w:t>178,09</w:t>
            </w:r>
          </w:p>
        </w:tc>
        <w:tc>
          <w:tcPr>
            <w:tcW w:w="0" w:type="auto"/>
            <w:noWrap/>
            <w:hideMark/>
          </w:tcPr>
          <w:p w14:paraId="5C6DC11E" w14:textId="77777777" w:rsidR="000449B1" w:rsidRPr="00FB0A3A" w:rsidRDefault="000449B1" w:rsidP="00256761">
            <w:pPr>
              <w:tabs>
                <w:tab w:val="left" w:pos="1134"/>
              </w:tabs>
              <w:cnfStyle w:val="000000000000" w:firstRow="0" w:lastRow="0" w:firstColumn="0" w:lastColumn="0" w:oddVBand="0" w:evenVBand="0" w:oddHBand="0" w:evenHBand="0" w:firstRowFirstColumn="0" w:firstRowLastColumn="0" w:lastRowFirstColumn="0" w:lastRowLastColumn="0"/>
              <w:rPr>
                <w:szCs w:val="18"/>
              </w:rPr>
            </w:pPr>
            <w:r w:rsidRPr="00FB0A3A">
              <w:rPr>
                <w:szCs w:val="18"/>
              </w:rPr>
              <w:t>240</w:t>
            </w:r>
          </w:p>
        </w:tc>
        <w:tc>
          <w:tcPr>
            <w:tcW w:w="0" w:type="auto"/>
            <w:noWrap/>
            <w:hideMark/>
          </w:tcPr>
          <w:p w14:paraId="79969069" w14:textId="77777777" w:rsidR="000449B1" w:rsidRPr="00FB0A3A" w:rsidRDefault="000449B1" w:rsidP="00256761">
            <w:pPr>
              <w:tabs>
                <w:tab w:val="left" w:pos="1134"/>
              </w:tabs>
              <w:cnfStyle w:val="000000000000" w:firstRow="0" w:lastRow="0" w:firstColumn="0" w:lastColumn="0" w:oddVBand="0" w:evenVBand="0" w:oddHBand="0" w:evenHBand="0" w:firstRowFirstColumn="0" w:firstRowLastColumn="0" w:lastRowFirstColumn="0" w:lastRowLastColumn="0"/>
              <w:rPr>
                <w:szCs w:val="18"/>
              </w:rPr>
            </w:pPr>
            <w:r w:rsidRPr="00FB0A3A">
              <w:rPr>
                <w:szCs w:val="18"/>
              </w:rPr>
              <w:t>191</w:t>
            </w:r>
          </w:p>
        </w:tc>
      </w:tr>
      <w:tr w:rsidR="00907AB4" w:rsidRPr="00FB0A3A" w14:paraId="57B62759" w14:textId="77777777" w:rsidTr="00256761">
        <w:tc>
          <w:tcPr>
            <w:cnfStyle w:val="001000000000" w:firstRow="0" w:lastRow="0" w:firstColumn="1" w:lastColumn="0" w:oddVBand="0" w:evenVBand="0" w:oddHBand="0" w:evenHBand="0" w:firstRowFirstColumn="0" w:firstRowLastColumn="0" w:lastRowFirstColumn="0" w:lastRowLastColumn="0"/>
            <w:tcW w:w="0" w:type="auto"/>
            <w:noWrap/>
            <w:hideMark/>
          </w:tcPr>
          <w:p w14:paraId="44D1C87F" w14:textId="2A845837" w:rsidR="000449B1" w:rsidRPr="00FB0A3A" w:rsidRDefault="000449B1" w:rsidP="00256761">
            <w:pPr>
              <w:tabs>
                <w:tab w:val="left" w:pos="1134"/>
              </w:tabs>
              <w:jc w:val="center"/>
              <w:rPr>
                <w:szCs w:val="18"/>
              </w:rPr>
            </w:pPr>
            <w:r w:rsidRPr="00FB0A3A">
              <w:rPr>
                <w:szCs w:val="18"/>
              </w:rPr>
              <w:t>1.2.6.</w:t>
            </w:r>
          </w:p>
        </w:tc>
        <w:tc>
          <w:tcPr>
            <w:tcW w:w="0" w:type="auto"/>
            <w:hideMark/>
          </w:tcPr>
          <w:p w14:paraId="3F057838" w14:textId="77777777" w:rsidR="000449B1" w:rsidRPr="00FB0A3A" w:rsidRDefault="000449B1" w:rsidP="00256761">
            <w:pPr>
              <w:tabs>
                <w:tab w:val="left" w:pos="1134"/>
              </w:tabs>
              <w:jc w:val="left"/>
              <w:cnfStyle w:val="000000000000" w:firstRow="0" w:lastRow="0" w:firstColumn="0" w:lastColumn="0" w:oddVBand="0" w:evenVBand="0" w:oddHBand="0" w:evenHBand="0" w:firstRowFirstColumn="0" w:firstRowLastColumn="0" w:lastRowFirstColumn="0" w:lastRowLastColumn="0"/>
              <w:rPr>
                <w:szCs w:val="18"/>
              </w:rPr>
            </w:pPr>
            <w:r w:rsidRPr="00FB0A3A">
              <w:rPr>
                <w:szCs w:val="18"/>
              </w:rPr>
              <w:t>Ежемесячная доплата к пособиям детям погибшего на производстве работника</w:t>
            </w:r>
          </w:p>
        </w:tc>
        <w:tc>
          <w:tcPr>
            <w:tcW w:w="0" w:type="auto"/>
            <w:noWrap/>
            <w:hideMark/>
          </w:tcPr>
          <w:p w14:paraId="4FE1CC24" w14:textId="77777777" w:rsidR="000449B1" w:rsidRPr="00FB0A3A" w:rsidRDefault="000449B1" w:rsidP="00256761">
            <w:pPr>
              <w:tabs>
                <w:tab w:val="left" w:pos="1134"/>
              </w:tabs>
              <w:cnfStyle w:val="000000000000" w:firstRow="0" w:lastRow="0" w:firstColumn="0" w:lastColumn="0" w:oddVBand="0" w:evenVBand="0" w:oddHBand="0" w:evenHBand="0" w:firstRowFirstColumn="0" w:firstRowLastColumn="0" w:lastRowFirstColumn="0" w:lastRowLastColumn="0"/>
              <w:rPr>
                <w:szCs w:val="18"/>
              </w:rPr>
            </w:pPr>
            <w:r w:rsidRPr="00FB0A3A">
              <w:rPr>
                <w:szCs w:val="18"/>
              </w:rPr>
              <w:t>143,46</w:t>
            </w:r>
          </w:p>
        </w:tc>
        <w:tc>
          <w:tcPr>
            <w:tcW w:w="0" w:type="auto"/>
            <w:noWrap/>
            <w:hideMark/>
          </w:tcPr>
          <w:p w14:paraId="24616C14" w14:textId="77777777" w:rsidR="000449B1" w:rsidRPr="00FB0A3A" w:rsidRDefault="000449B1" w:rsidP="00256761">
            <w:pPr>
              <w:tabs>
                <w:tab w:val="left" w:pos="1134"/>
              </w:tabs>
              <w:cnfStyle w:val="000000000000" w:firstRow="0" w:lastRow="0" w:firstColumn="0" w:lastColumn="0" w:oddVBand="0" w:evenVBand="0" w:oddHBand="0" w:evenHBand="0" w:firstRowFirstColumn="0" w:firstRowLastColumn="0" w:lastRowFirstColumn="0" w:lastRowLastColumn="0"/>
              <w:rPr>
                <w:szCs w:val="18"/>
              </w:rPr>
            </w:pPr>
            <w:r w:rsidRPr="00FB0A3A">
              <w:rPr>
                <w:szCs w:val="18"/>
              </w:rPr>
              <w:t>155</w:t>
            </w:r>
          </w:p>
        </w:tc>
        <w:tc>
          <w:tcPr>
            <w:tcW w:w="0" w:type="auto"/>
            <w:noWrap/>
            <w:hideMark/>
          </w:tcPr>
          <w:p w14:paraId="487BFD6D" w14:textId="77777777" w:rsidR="000449B1" w:rsidRPr="00FB0A3A" w:rsidRDefault="000449B1" w:rsidP="00256761">
            <w:pPr>
              <w:tabs>
                <w:tab w:val="left" w:pos="1134"/>
              </w:tabs>
              <w:cnfStyle w:val="000000000000" w:firstRow="0" w:lastRow="0" w:firstColumn="0" w:lastColumn="0" w:oddVBand="0" w:evenVBand="0" w:oddHBand="0" w:evenHBand="0" w:firstRowFirstColumn="0" w:firstRowLastColumn="0" w:lastRowFirstColumn="0" w:lastRowLastColumn="0"/>
              <w:rPr>
                <w:szCs w:val="18"/>
              </w:rPr>
            </w:pPr>
            <w:r w:rsidRPr="00FB0A3A">
              <w:rPr>
                <w:szCs w:val="18"/>
              </w:rPr>
              <w:t>154</w:t>
            </w:r>
          </w:p>
        </w:tc>
      </w:tr>
      <w:tr w:rsidR="00907AB4" w:rsidRPr="00FB0A3A" w14:paraId="0E38C65B" w14:textId="77777777" w:rsidTr="00256761">
        <w:tc>
          <w:tcPr>
            <w:cnfStyle w:val="001000000000" w:firstRow="0" w:lastRow="0" w:firstColumn="1" w:lastColumn="0" w:oddVBand="0" w:evenVBand="0" w:oddHBand="0" w:evenHBand="0" w:firstRowFirstColumn="0" w:firstRowLastColumn="0" w:lastRowFirstColumn="0" w:lastRowLastColumn="0"/>
            <w:tcW w:w="0" w:type="auto"/>
            <w:noWrap/>
            <w:hideMark/>
          </w:tcPr>
          <w:p w14:paraId="021058A1" w14:textId="031D3D82" w:rsidR="000449B1" w:rsidRPr="00FB0A3A" w:rsidRDefault="000449B1" w:rsidP="00256761">
            <w:pPr>
              <w:tabs>
                <w:tab w:val="left" w:pos="1134"/>
              </w:tabs>
              <w:jc w:val="center"/>
              <w:rPr>
                <w:szCs w:val="18"/>
              </w:rPr>
            </w:pPr>
            <w:r w:rsidRPr="00FB0A3A">
              <w:rPr>
                <w:szCs w:val="18"/>
              </w:rPr>
              <w:t>1.2.7.</w:t>
            </w:r>
          </w:p>
        </w:tc>
        <w:tc>
          <w:tcPr>
            <w:tcW w:w="0" w:type="auto"/>
            <w:hideMark/>
          </w:tcPr>
          <w:p w14:paraId="4824BD0E" w14:textId="35F0FF53" w:rsidR="000449B1" w:rsidRPr="00FB0A3A" w:rsidRDefault="000449B1" w:rsidP="00256761">
            <w:pPr>
              <w:tabs>
                <w:tab w:val="left" w:pos="1134"/>
              </w:tabs>
              <w:jc w:val="left"/>
              <w:cnfStyle w:val="000000000000" w:firstRow="0" w:lastRow="0" w:firstColumn="0" w:lastColumn="0" w:oddVBand="0" w:evenVBand="0" w:oddHBand="0" w:evenHBand="0" w:firstRowFirstColumn="0" w:firstRowLastColumn="0" w:lastRowFirstColumn="0" w:lastRowLastColumn="0"/>
              <w:rPr>
                <w:szCs w:val="18"/>
              </w:rPr>
            </w:pPr>
            <w:r w:rsidRPr="00FB0A3A">
              <w:rPr>
                <w:szCs w:val="18"/>
              </w:rPr>
              <w:t>Единовременная мат.</w:t>
            </w:r>
            <w:r w:rsidR="00AA0AF3" w:rsidRPr="00FB0A3A">
              <w:rPr>
                <w:szCs w:val="18"/>
              </w:rPr>
              <w:t xml:space="preserve"> </w:t>
            </w:r>
            <w:r w:rsidRPr="00FB0A3A">
              <w:rPr>
                <w:szCs w:val="18"/>
              </w:rPr>
              <w:t>помощь сверх норм, установленных законодательством Российской Федерации, в случае смерти работника от общего заболевания или несчастного случая в быту</w:t>
            </w:r>
          </w:p>
        </w:tc>
        <w:tc>
          <w:tcPr>
            <w:tcW w:w="0" w:type="auto"/>
            <w:noWrap/>
            <w:hideMark/>
          </w:tcPr>
          <w:p w14:paraId="44758E24" w14:textId="77777777" w:rsidR="000449B1" w:rsidRPr="00FB0A3A" w:rsidRDefault="000449B1" w:rsidP="00256761">
            <w:pPr>
              <w:tabs>
                <w:tab w:val="left" w:pos="1134"/>
              </w:tabs>
              <w:cnfStyle w:val="000000000000" w:firstRow="0" w:lastRow="0" w:firstColumn="0" w:lastColumn="0" w:oddVBand="0" w:evenVBand="0" w:oddHBand="0" w:evenHBand="0" w:firstRowFirstColumn="0" w:firstRowLastColumn="0" w:lastRowFirstColumn="0" w:lastRowLastColumn="0"/>
              <w:rPr>
                <w:szCs w:val="18"/>
              </w:rPr>
            </w:pPr>
            <w:r w:rsidRPr="00FB0A3A">
              <w:rPr>
                <w:szCs w:val="18"/>
              </w:rPr>
              <w:t>22,98</w:t>
            </w:r>
          </w:p>
        </w:tc>
        <w:tc>
          <w:tcPr>
            <w:tcW w:w="0" w:type="auto"/>
            <w:noWrap/>
            <w:hideMark/>
          </w:tcPr>
          <w:p w14:paraId="6CDAD391" w14:textId="77777777" w:rsidR="000449B1" w:rsidRPr="00FB0A3A" w:rsidRDefault="000449B1" w:rsidP="00256761">
            <w:pPr>
              <w:tabs>
                <w:tab w:val="left" w:pos="1134"/>
              </w:tabs>
              <w:cnfStyle w:val="000000000000" w:firstRow="0" w:lastRow="0" w:firstColumn="0" w:lastColumn="0" w:oddVBand="0" w:evenVBand="0" w:oddHBand="0" w:evenHBand="0" w:firstRowFirstColumn="0" w:firstRowLastColumn="0" w:lastRowFirstColumn="0" w:lastRowLastColumn="0"/>
              <w:rPr>
                <w:szCs w:val="18"/>
              </w:rPr>
            </w:pPr>
            <w:r w:rsidRPr="00FB0A3A">
              <w:rPr>
                <w:szCs w:val="18"/>
              </w:rPr>
              <w:t>24</w:t>
            </w:r>
          </w:p>
        </w:tc>
        <w:tc>
          <w:tcPr>
            <w:tcW w:w="0" w:type="auto"/>
            <w:noWrap/>
            <w:hideMark/>
          </w:tcPr>
          <w:p w14:paraId="21F34F5F" w14:textId="77777777" w:rsidR="000449B1" w:rsidRPr="00FB0A3A" w:rsidRDefault="000449B1" w:rsidP="00256761">
            <w:pPr>
              <w:tabs>
                <w:tab w:val="left" w:pos="1134"/>
              </w:tabs>
              <w:cnfStyle w:val="000000000000" w:firstRow="0" w:lastRow="0" w:firstColumn="0" w:lastColumn="0" w:oddVBand="0" w:evenVBand="0" w:oddHBand="0" w:evenHBand="0" w:firstRowFirstColumn="0" w:firstRowLastColumn="0" w:lastRowFirstColumn="0" w:lastRowLastColumn="0"/>
              <w:rPr>
                <w:szCs w:val="18"/>
              </w:rPr>
            </w:pPr>
            <w:r w:rsidRPr="00FB0A3A">
              <w:rPr>
                <w:szCs w:val="18"/>
              </w:rPr>
              <w:t>25</w:t>
            </w:r>
          </w:p>
        </w:tc>
      </w:tr>
      <w:tr w:rsidR="00907AB4" w:rsidRPr="00FB0A3A" w14:paraId="4B7BCBDB" w14:textId="77777777" w:rsidTr="00256761">
        <w:tc>
          <w:tcPr>
            <w:cnfStyle w:val="001000000000" w:firstRow="0" w:lastRow="0" w:firstColumn="1" w:lastColumn="0" w:oddVBand="0" w:evenVBand="0" w:oddHBand="0" w:evenHBand="0" w:firstRowFirstColumn="0" w:firstRowLastColumn="0" w:lastRowFirstColumn="0" w:lastRowLastColumn="0"/>
            <w:tcW w:w="0" w:type="auto"/>
            <w:noWrap/>
            <w:hideMark/>
          </w:tcPr>
          <w:p w14:paraId="331E588B" w14:textId="74A1333A" w:rsidR="000449B1" w:rsidRPr="00FB0A3A" w:rsidRDefault="000449B1" w:rsidP="00256761">
            <w:pPr>
              <w:tabs>
                <w:tab w:val="left" w:pos="1134"/>
              </w:tabs>
              <w:jc w:val="center"/>
              <w:rPr>
                <w:szCs w:val="18"/>
              </w:rPr>
            </w:pPr>
            <w:r w:rsidRPr="00FB0A3A">
              <w:rPr>
                <w:szCs w:val="18"/>
              </w:rPr>
              <w:t>1.2.8.</w:t>
            </w:r>
          </w:p>
        </w:tc>
        <w:tc>
          <w:tcPr>
            <w:tcW w:w="0" w:type="auto"/>
            <w:hideMark/>
          </w:tcPr>
          <w:p w14:paraId="2E378AEA" w14:textId="77777777" w:rsidR="000449B1" w:rsidRPr="00FB0A3A" w:rsidRDefault="000449B1" w:rsidP="00256761">
            <w:pPr>
              <w:tabs>
                <w:tab w:val="left" w:pos="1134"/>
              </w:tabs>
              <w:jc w:val="left"/>
              <w:cnfStyle w:val="000000000000" w:firstRow="0" w:lastRow="0" w:firstColumn="0" w:lastColumn="0" w:oddVBand="0" w:evenVBand="0" w:oddHBand="0" w:evenHBand="0" w:firstRowFirstColumn="0" w:firstRowLastColumn="0" w:lastRowFirstColumn="0" w:lastRowLastColumn="0"/>
              <w:rPr>
                <w:szCs w:val="18"/>
              </w:rPr>
            </w:pPr>
            <w:r w:rsidRPr="00FB0A3A">
              <w:rPr>
                <w:szCs w:val="18"/>
              </w:rPr>
              <w:t>Прочие ВСХ, не входящие в П-4*</w:t>
            </w:r>
          </w:p>
        </w:tc>
        <w:tc>
          <w:tcPr>
            <w:tcW w:w="0" w:type="auto"/>
            <w:noWrap/>
            <w:hideMark/>
          </w:tcPr>
          <w:p w14:paraId="23D8F240" w14:textId="77777777" w:rsidR="000449B1" w:rsidRPr="00FB0A3A" w:rsidRDefault="000449B1" w:rsidP="00256761">
            <w:pPr>
              <w:tabs>
                <w:tab w:val="left" w:pos="1134"/>
              </w:tabs>
              <w:cnfStyle w:val="000000000000" w:firstRow="0" w:lastRow="0" w:firstColumn="0" w:lastColumn="0" w:oddVBand="0" w:evenVBand="0" w:oddHBand="0" w:evenHBand="0" w:firstRowFirstColumn="0" w:firstRowLastColumn="0" w:lastRowFirstColumn="0" w:lastRowLastColumn="0"/>
              <w:rPr>
                <w:szCs w:val="18"/>
              </w:rPr>
            </w:pPr>
            <w:r w:rsidRPr="00FB0A3A">
              <w:rPr>
                <w:szCs w:val="18"/>
              </w:rPr>
              <w:t>234,08</w:t>
            </w:r>
          </w:p>
        </w:tc>
        <w:tc>
          <w:tcPr>
            <w:tcW w:w="0" w:type="auto"/>
            <w:noWrap/>
            <w:hideMark/>
          </w:tcPr>
          <w:p w14:paraId="54D2406A" w14:textId="77777777" w:rsidR="000449B1" w:rsidRPr="00FB0A3A" w:rsidRDefault="000449B1" w:rsidP="00256761">
            <w:pPr>
              <w:tabs>
                <w:tab w:val="left" w:pos="1134"/>
              </w:tabs>
              <w:cnfStyle w:val="000000000000" w:firstRow="0" w:lastRow="0" w:firstColumn="0" w:lastColumn="0" w:oddVBand="0" w:evenVBand="0" w:oddHBand="0" w:evenHBand="0" w:firstRowFirstColumn="0" w:firstRowLastColumn="0" w:lastRowFirstColumn="0" w:lastRowLastColumn="0"/>
              <w:rPr>
                <w:szCs w:val="18"/>
              </w:rPr>
            </w:pPr>
            <w:r w:rsidRPr="00FB0A3A">
              <w:rPr>
                <w:szCs w:val="18"/>
              </w:rPr>
              <w:t>234</w:t>
            </w:r>
          </w:p>
        </w:tc>
        <w:tc>
          <w:tcPr>
            <w:tcW w:w="0" w:type="auto"/>
            <w:noWrap/>
            <w:hideMark/>
          </w:tcPr>
          <w:p w14:paraId="20FE0112" w14:textId="6164A0F0" w:rsidR="000449B1" w:rsidRPr="00FB0A3A" w:rsidRDefault="000449B1" w:rsidP="00256761">
            <w:pPr>
              <w:tabs>
                <w:tab w:val="left" w:pos="1134"/>
              </w:tabs>
              <w:cnfStyle w:val="000000000000" w:firstRow="0" w:lastRow="0" w:firstColumn="0" w:lastColumn="0" w:oddVBand="0" w:evenVBand="0" w:oddHBand="0" w:evenHBand="0" w:firstRowFirstColumn="0" w:firstRowLastColumn="0" w:lastRowFirstColumn="0" w:lastRowLastColumn="0"/>
              <w:rPr>
                <w:szCs w:val="18"/>
              </w:rPr>
            </w:pPr>
            <w:r w:rsidRPr="00FB0A3A">
              <w:rPr>
                <w:szCs w:val="18"/>
              </w:rPr>
              <w:t>0</w:t>
            </w:r>
          </w:p>
        </w:tc>
      </w:tr>
      <w:tr w:rsidR="00907AB4" w:rsidRPr="00FB0A3A" w14:paraId="5603C5BB" w14:textId="77777777" w:rsidTr="00256761">
        <w:tc>
          <w:tcPr>
            <w:cnfStyle w:val="001000000000" w:firstRow="0" w:lastRow="0" w:firstColumn="1" w:lastColumn="0" w:oddVBand="0" w:evenVBand="0" w:oddHBand="0" w:evenHBand="0" w:firstRowFirstColumn="0" w:firstRowLastColumn="0" w:lastRowFirstColumn="0" w:lastRowLastColumn="0"/>
            <w:tcW w:w="0" w:type="auto"/>
            <w:noWrap/>
            <w:hideMark/>
          </w:tcPr>
          <w:p w14:paraId="674872DD" w14:textId="2B9FA57A" w:rsidR="000449B1" w:rsidRPr="00FB0A3A" w:rsidRDefault="000449B1" w:rsidP="00256761">
            <w:pPr>
              <w:tabs>
                <w:tab w:val="left" w:pos="1134"/>
              </w:tabs>
              <w:jc w:val="center"/>
              <w:rPr>
                <w:szCs w:val="18"/>
              </w:rPr>
            </w:pPr>
            <w:r w:rsidRPr="00FB0A3A">
              <w:rPr>
                <w:szCs w:val="18"/>
              </w:rPr>
              <w:t>1.2.8.1.</w:t>
            </w:r>
          </w:p>
        </w:tc>
        <w:tc>
          <w:tcPr>
            <w:tcW w:w="0" w:type="auto"/>
            <w:hideMark/>
          </w:tcPr>
          <w:p w14:paraId="616B6E1C" w14:textId="77777777" w:rsidR="000449B1" w:rsidRPr="00FB0A3A" w:rsidRDefault="000449B1" w:rsidP="00256761">
            <w:pPr>
              <w:tabs>
                <w:tab w:val="left" w:pos="1134"/>
              </w:tabs>
              <w:jc w:val="left"/>
              <w:cnfStyle w:val="000000000000" w:firstRow="0" w:lastRow="0" w:firstColumn="0" w:lastColumn="0" w:oddVBand="0" w:evenVBand="0" w:oddHBand="0" w:evenHBand="0" w:firstRowFirstColumn="0" w:firstRowLastColumn="0" w:lastRowFirstColumn="0" w:lastRowLastColumn="0"/>
              <w:rPr>
                <w:szCs w:val="18"/>
              </w:rPr>
            </w:pPr>
            <w:r w:rsidRPr="00FB0A3A">
              <w:rPr>
                <w:szCs w:val="18"/>
              </w:rPr>
              <w:t>ДМС освобожденных членов ППО</w:t>
            </w:r>
          </w:p>
        </w:tc>
        <w:tc>
          <w:tcPr>
            <w:tcW w:w="0" w:type="auto"/>
            <w:noWrap/>
            <w:hideMark/>
          </w:tcPr>
          <w:p w14:paraId="716C229A" w14:textId="77777777" w:rsidR="000449B1" w:rsidRPr="00FB0A3A" w:rsidRDefault="000449B1" w:rsidP="00256761">
            <w:pPr>
              <w:tabs>
                <w:tab w:val="left" w:pos="1134"/>
              </w:tabs>
              <w:cnfStyle w:val="000000000000" w:firstRow="0" w:lastRow="0" w:firstColumn="0" w:lastColumn="0" w:oddVBand="0" w:evenVBand="0" w:oddHBand="0" w:evenHBand="0" w:firstRowFirstColumn="0" w:firstRowLastColumn="0" w:lastRowFirstColumn="0" w:lastRowLastColumn="0"/>
              <w:rPr>
                <w:szCs w:val="18"/>
              </w:rPr>
            </w:pPr>
            <w:r w:rsidRPr="00FB0A3A">
              <w:rPr>
                <w:szCs w:val="18"/>
              </w:rPr>
              <w:t>25</w:t>
            </w:r>
          </w:p>
        </w:tc>
        <w:tc>
          <w:tcPr>
            <w:tcW w:w="0" w:type="auto"/>
            <w:noWrap/>
            <w:hideMark/>
          </w:tcPr>
          <w:p w14:paraId="5C786681" w14:textId="77777777" w:rsidR="000449B1" w:rsidRPr="00FB0A3A" w:rsidRDefault="000449B1" w:rsidP="00256761">
            <w:pPr>
              <w:tabs>
                <w:tab w:val="left" w:pos="1134"/>
              </w:tabs>
              <w:cnfStyle w:val="000000000000" w:firstRow="0" w:lastRow="0" w:firstColumn="0" w:lastColumn="0" w:oddVBand="0" w:evenVBand="0" w:oddHBand="0" w:evenHBand="0" w:firstRowFirstColumn="0" w:firstRowLastColumn="0" w:lastRowFirstColumn="0" w:lastRowLastColumn="0"/>
              <w:rPr>
                <w:szCs w:val="18"/>
              </w:rPr>
            </w:pPr>
            <w:r w:rsidRPr="00FB0A3A">
              <w:rPr>
                <w:szCs w:val="18"/>
              </w:rPr>
              <w:t>25</w:t>
            </w:r>
          </w:p>
        </w:tc>
        <w:tc>
          <w:tcPr>
            <w:tcW w:w="0" w:type="auto"/>
            <w:noWrap/>
            <w:hideMark/>
          </w:tcPr>
          <w:p w14:paraId="120146BF" w14:textId="6C7EEEB4" w:rsidR="000449B1" w:rsidRPr="00FB0A3A" w:rsidRDefault="000449B1" w:rsidP="00256761">
            <w:pPr>
              <w:tabs>
                <w:tab w:val="left" w:pos="1134"/>
              </w:tabs>
              <w:cnfStyle w:val="000000000000" w:firstRow="0" w:lastRow="0" w:firstColumn="0" w:lastColumn="0" w:oddVBand="0" w:evenVBand="0" w:oddHBand="0" w:evenHBand="0" w:firstRowFirstColumn="0" w:firstRowLastColumn="0" w:lastRowFirstColumn="0" w:lastRowLastColumn="0"/>
              <w:rPr>
                <w:szCs w:val="18"/>
              </w:rPr>
            </w:pPr>
            <w:r w:rsidRPr="00FB0A3A">
              <w:rPr>
                <w:szCs w:val="18"/>
              </w:rPr>
              <w:t>0</w:t>
            </w:r>
          </w:p>
        </w:tc>
      </w:tr>
      <w:tr w:rsidR="00907AB4" w:rsidRPr="00FB0A3A" w14:paraId="2DFA37DE" w14:textId="77777777" w:rsidTr="00256761">
        <w:tc>
          <w:tcPr>
            <w:cnfStyle w:val="001000000000" w:firstRow="0" w:lastRow="0" w:firstColumn="1" w:lastColumn="0" w:oddVBand="0" w:evenVBand="0" w:oddHBand="0" w:evenHBand="0" w:firstRowFirstColumn="0" w:firstRowLastColumn="0" w:lastRowFirstColumn="0" w:lastRowLastColumn="0"/>
            <w:tcW w:w="0" w:type="auto"/>
            <w:noWrap/>
            <w:hideMark/>
          </w:tcPr>
          <w:p w14:paraId="69C5878C" w14:textId="38DE803A" w:rsidR="000449B1" w:rsidRPr="00FB0A3A" w:rsidRDefault="000449B1" w:rsidP="00256761">
            <w:pPr>
              <w:tabs>
                <w:tab w:val="left" w:pos="1134"/>
              </w:tabs>
              <w:jc w:val="center"/>
              <w:rPr>
                <w:szCs w:val="18"/>
              </w:rPr>
            </w:pPr>
            <w:r w:rsidRPr="00FB0A3A">
              <w:rPr>
                <w:szCs w:val="18"/>
              </w:rPr>
              <w:t>1.2.8.2.</w:t>
            </w:r>
          </w:p>
        </w:tc>
        <w:tc>
          <w:tcPr>
            <w:tcW w:w="0" w:type="auto"/>
            <w:hideMark/>
          </w:tcPr>
          <w:p w14:paraId="59EE0649" w14:textId="77777777" w:rsidR="000449B1" w:rsidRPr="00FB0A3A" w:rsidRDefault="000449B1" w:rsidP="00256761">
            <w:pPr>
              <w:tabs>
                <w:tab w:val="left" w:pos="1134"/>
              </w:tabs>
              <w:jc w:val="left"/>
              <w:cnfStyle w:val="000000000000" w:firstRow="0" w:lastRow="0" w:firstColumn="0" w:lastColumn="0" w:oddVBand="0" w:evenVBand="0" w:oddHBand="0" w:evenHBand="0" w:firstRowFirstColumn="0" w:firstRowLastColumn="0" w:lastRowFirstColumn="0" w:lastRowLastColumn="0"/>
              <w:rPr>
                <w:szCs w:val="18"/>
              </w:rPr>
            </w:pPr>
            <w:r w:rsidRPr="00FB0A3A">
              <w:rPr>
                <w:szCs w:val="18"/>
              </w:rPr>
              <w:t>Расходы ИА</w:t>
            </w:r>
          </w:p>
        </w:tc>
        <w:tc>
          <w:tcPr>
            <w:tcW w:w="0" w:type="auto"/>
            <w:noWrap/>
            <w:hideMark/>
          </w:tcPr>
          <w:p w14:paraId="1B740519" w14:textId="77777777" w:rsidR="000449B1" w:rsidRPr="00FB0A3A" w:rsidRDefault="000449B1" w:rsidP="00256761">
            <w:pPr>
              <w:tabs>
                <w:tab w:val="left" w:pos="1134"/>
              </w:tabs>
              <w:cnfStyle w:val="000000000000" w:firstRow="0" w:lastRow="0" w:firstColumn="0" w:lastColumn="0" w:oddVBand="0" w:evenVBand="0" w:oddHBand="0" w:evenHBand="0" w:firstRowFirstColumn="0" w:firstRowLastColumn="0" w:lastRowFirstColumn="0" w:lastRowLastColumn="0"/>
              <w:rPr>
                <w:szCs w:val="18"/>
              </w:rPr>
            </w:pPr>
            <w:r w:rsidRPr="00FB0A3A">
              <w:rPr>
                <w:szCs w:val="18"/>
              </w:rPr>
              <w:t>209,16</w:t>
            </w:r>
          </w:p>
        </w:tc>
        <w:tc>
          <w:tcPr>
            <w:tcW w:w="0" w:type="auto"/>
            <w:noWrap/>
            <w:hideMark/>
          </w:tcPr>
          <w:p w14:paraId="4CF45D1C" w14:textId="77777777" w:rsidR="000449B1" w:rsidRPr="00FB0A3A" w:rsidRDefault="000449B1" w:rsidP="00256761">
            <w:pPr>
              <w:tabs>
                <w:tab w:val="left" w:pos="1134"/>
              </w:tabs>
              <w:cnfStyle w:val="000000000000" w:firstRow="0" w:lastRow="0" w:firstColumn="0" w:lastColumn="0" w:oddVBand="0" w:evenVBand="0" w:oddHBand="0" w:evenHBand="0" w:firstRowFirstColumn="0" w:firstRowLastColumn="0" w:lastRowFirstColumn="0" w:lastRowLastColumn="0"/>
              <w:rPr>
                <w:szCs w:val="18"/>
              </w:rPr>
            </w:pPr>
            <w:r w:rsidRPr="00FB0A3A">
              <w:rPr>
                <w:szCs w:val="18"/>
              </w:rPr>
              <w:t>209</w:t>
            </w:r>
          </w:p>
        </w:tc>
        <w:tc>
          <w:tcPr>
            <w:tcW w:w="0" w:type="auto"/>
            <w:noWrap/>
            <w:hideMark/>
          </w:tcPr>
          <w:p w14:paraId="55A4CA85" w14:textId="5C984F39" w:rsidR="000449B1" w:rsidRPr="00FB0A3A" w:rsidRDefault="000449B1" w:rsidP="00256761">
            <w:pPr>
              <w:tabs>
                <w:tab w:val="left" w:pos="1134"/>
              </w:tabs>
              <w:cnfStyle w:val="000000000000" w:firstRow="0" w:lastRow="0" w:firstColumn="0" w:lastColumn="0" w:oddVBand="0" w:evenVBand="0" w:oddHBand="0" w:evenHBand="0" w:firstRowFirstColumn="0" w:firstRowLastColumn="0" w:lastRowFirstColumn="0" w:lastRowLastColumn="0"/>
              <w:rPr>
                <w:szCs w:val="18"/>
              </w:rPr>
            </w:pPr>
            <w:r w:rsidRPr="00FB0A3A">
              <w:rPr>
                <w:szCs w:val="18"/>
              </w:rPr>
              <w:t>0</w:t>
            </w:r>
          </w:p>
        </w:tc>
      </w:tr>
      <w:tr w:rsidR="00907AB4" w:rsidRPr="00FB0A3A" w14:paraId="2E1F026B" w14:textId="77777777" w:rsidTr="00256761">
        <w:tc>
          <w:tcPr>
            <w:cnfStyle w:val="001000000000" w:firstRow="0" w:lastRow="0" w:firstColumn="1" w:lastColumn="0" w:oddVBand="0" w:evenVBand="0" w:oddHBand="0" w:evenHBand="0" w:firstRowFirstColumn="0" w:firstRowLastColumn="0" w:lastRowFirstColumn="0" w:lastRowLastColumn="0"/>
            <w:tcW w:w="0" w:type="auto"/>
            <w:noWrap/>
            <w:hideMark/>
          </w:tcPr>
          <w:p w14:paraId="733E1A89" w14:textId="77777777" w:rsidR="000449B1" w:rsidRPr="00FB0A3A" w:rsidRDefault="000449B1" w:rsidP="00256761">
            <w:pPr>
              <w:tabs>
                <w:tab w:val="left" w:pos="1134"/>
              </w:tabs>
              <w:jc w:val="center"/>
              <w:rPr>
                <w:b/>
                <w:szCs w:val="18"/>
              </w:rPr>
            </w:pPr>
            <w:r w:rsidRPr="00FB0A3A">
              <w:rPr>
                <w:b/>
                <w:szCs w:val="18"/>
              </w:rPr>
              <w:t>1.3.</w:t>
            </w:r>
          </w:p>
        </w:tc>
        <w:tc>
          <w:tcPr>
            <w:tcW w:w="0" w:type="auto"/>
            <w:hideMark/>
          </w:tcPr>
          <w:p w14:paraId="308CE046" w14:textId="77777777" w:rsidR="000449B1" w:rsidRPr="00FB0A3A" w:rsidRDefault="000449B1" w:rsidP="00256761">
            <w:pPr>
              <w:tabs>
                <w:tab w:val="left" w:pos="1134"/>
              </w:tabs>
              <w:jc w:val="left"/>
              <w:cnfStyle w:val="000000000000" w:firstRow="0" w:lastRow="0" w:firstColumn="0" w:lastColumn="0" w:oddVBand="0" w:evenVBand="0" w:oddHBand="0" w:evenHBand="0" w:firstRowFirstColumn="0" w:firstRowLastColumn="0" w:lastRowFirstColumn="0" w:lastRowLastColumn="0"/>
              <w:rPr>
                <w:b/>
                <w:szCs w:val="18"/>
              </w:rPr>
            </w:pPr>
            <w:r w:rsidRPr="00FB0A3A">
              <w:rPr>
                <w:b/>
                <w:szCs w:val="18"/>
              </w:rPr>
              <w:t>ФЗП  из прибыли</w:t>
            </w:r>
          </w:p>
        </w:tc>
        <w:tc>
          <w:tcPr>
            <w:tcW w:w="0" w:type="auto"/>
            <w:noWrap/>
            <w:hideMark/>
          </w:tcPr>
          <w:p w14:paraId="2784A37D" w14:textId="77777777" w:rsidR="000449B1" w:rsidRPr="00FB0A3A" w:rsidRDefault="000449B1" w:rsidP="00256761">
            <w:pPr>
              <w:tabs>
                <w:tab w:val="left" w:pos="1134"/>
              </w:tabs>
              <w:cnfStyle w:val="000000000000" w:firstRow="0" w:lastRow="0" w:firstColumn="0" w:lastColumn="0" w:oddVBand="0" w:evenVBand="0" w:oddHBand="0" w:evenHBand="0" w:firstRowFirstColumn="0" w:firstRowLastColumn="0" w:lastRowFirstColumn="0" w:lastRowLastColumn="0"/>
              <w:rPr>
                <w:b/>
                <w:szCs w:val="18"/>
              </w:rPr>
            </w:pPr>
            <w:r w:rsidRPr="00FB0A3A">
              <w:rPr>
                <w:b/>
                <w:szCs w:val="18"/>
              </w:rPr>
              <w:t>25 736,26</w:t>
            </w:r>
          </w:p>
        </w:tc>
        <w:tc>
          <w:tcPr>
            <w:tcW w:w="0" w:type="auto"/>
            <w:noWrap/>
            <w:hideMark/>
          </w:tcPr>
          <w:p w14:paraId="2680C5E2" w14:textId="77777777" w:rsidR="000449B1" w:rsidRPr="00FB0A3A" w:rsidRDefault="000449B1" w:rsidP="00256761">
            <w:pPr>
              <w:tabs>
                <w:tab w:val="left" w:pos="1134"/>
              </w:tabs>
              <w:cnfStyle w:val="000000000000" w:firstRow="0" w:lastRow="0" w:firstColumn="0" w:lastColumn="0" w:oddVBand="0" w:evenVBand="0" w:oddHBand="0" w:evenHBand="0" w:firstRowFirstColumn="0" w:firstRowLastColumn="0" w:lastRowFirstColumn="0" w:lastRowLastColumn="0"/>
              <w:rPr>
                <w:b/>
                <w:szCs w:val="18"/>
              </w:rPr>
            </w:pPr>
            <w:r w:rsidRPr="00FB0A3A">
              <w:rPr>
                <w:b/>
                <w:szCs w:val="18"/>
              </w:rPr>
              <w:t>32 310</w:t>
            </w:r>
          </w:p>
        </w:tc>
        <w:tc>
          <w:tcPr>
            <w:tcW w:w="0" w:type="auto"/>
            <w:noWrap/>
            <w:hideMark/>
          </w:tcPr>
          <w:p w14:paraId="35342FEA" w14:textId="77777777" w:rsidR="000449B1" w:rsidRPr="00FB0A3A" w:rsidRDefault="000449B1" w:rsidP="00256761">
            <w:pPr>
              <w:tabs>
                <w:tab w:val="left" w:pos="1134"/>
              </w:tabs>
              <w:cnfStyle w:val="000000000000" w:firstRow="0" w:lastRow="0" w:firstColumn="0" w:lastColumn="0" w:oddVBand="0" w:evenVBand="0" w:oddHBand="0" w:evenHBand="0" w:firstRowFirstColumn="0" w:firstRowLastColumn="0" w:lastRowFirstColumn="0" w:lastRowLastColumn="0"/>
              <w:rPr>
                <w:b/>
                <w:szCs w:val="18"/>
              </w:rPr>
            </w:pPr>
            <w:r w:rsidRPr="00FB0A3A">
              <w:rPr>
                <w:b/>
                <w:szCs w:val="18"/>
              </w:rPr>
              <w:t>21 211</w:t>
            </w:r>
          </w:p>
        </w:tc>
      </w:tr>
      <w:tr w:rsidR="00907AB4" w:rsidRPr="00FB0A3A" w14:paraId="03618C45" w14:textId="77777777" w:rsidTr="00256761">
        <w:tc>
          <w:tcPr>
            <w:cnfStyle w:val="001000000000" w:firstRow="0" w:lastRow="0" w:firstColumn="1" w:lastColumn="0" w:oddVBand="0" w:evenVBand="0" w:oddHBand="0" w:evenHBand="0" w:firstRowFirstColumn="0" w:firstRowLastColumn="0" w:lastRowFirstColumn="0" w:lastRowLastColumn="0"/>
            <w:tcW w:w="0" w:type="auto"/>
            <w:noWrap/>
            <w:hideMark/>
          </w:tcPr>
          <w:p w14:paraId="76AC979D" w14:textId="77777777" w:rsidR="000449B1" w:rsidRPr="00FB0A3A" w:rsidRDefault="000449B1" w:rsidP="00256761">
            <w:pPr>
              <w:tabs>
                <w:tab w:val="left" w:pos="1134"/>
              </w:tabs>
              <w:jc w:val="center"/>
              <w:rPr>
                <w:szCs w:val="18"/>
              </w:rPr>
            </w:pPr>
            <w:r w:rsidRPr="00FB0A3A">
              <w:rPr>
                <w:szCs w:val="18"/>
              </w:rPr>
              <w:t>1.3.1.</w:t>
            </w:r>
          </w:p>
        </w:tc>
        <w:tc>
          <w:tcPr>
            <w:tcW w:w="0" w:type="auto"/>
            <w:hideMark/>
          </w:tcPr>
          <w:p w14:paraId="56414C95" w14:textId="770350D8" w:rsidR="000449B1" w:rsidRPr="00FB0A3A" w:rsidRDefault="000449B1" w:rsidP="00256761">
            <w:pPr>
              <w:tabs>
                <w:tab w:val="left" w:pos="1134"/>
              </w:tabs>
              <w:jc w:val="left"/>
              <w:cnfStyle w:val="000000000000" w:firstRow="0" w:lastRow="0" w:firstColumn="0" w:lastColumn="0" w:oddVBand="0" w:evenVBand="0" w:oddHBand="0" w:evenHBand="0" w:firstRowFirstColumn="0" w:firstRowLastColumn="0" w:lastRowFirstColumn="0" w:lastRowLastColumn="0"/>
              <w:rPr>
                <w:szCs w:val="18"/>
              </w:rPr>
            </w:pPr>
            <w:r w:rsidRPr="00FB0A3A">
              <w:rPr>
                <w:szCs w:val="18"/>
              </w:rPr>
              <w:t xml:space="preserve">Единовременная мат. помощь при уходе работника в ежегодный основной оплачиваемый отпуск </w:t>
            </w:r>
          </w:p>
        </w:tc>
        <w:tc>
          <w:tcPr>
            <w:tcW w:w="0" w:type="auto"/>
            <w:noWrap/>
            <w:hideMark/>
          </w:tcPr>
          <w:p w14:paraId="2223D55C" w14:textId="77777777" w:rsidR="000449B1" w:rsidRPr="00FB0A3A" w:rsidRDefault="000449B1" w:rsidP="00256761">
            <w:pPr>
              <w:tabs>
                <w:tab w:val="left" w:pos="1134"/>
              </w:tabs>
              <w:cnfStyle w:val="000000000000" w:firstRow="0" w:lastRow="0" w:firstColumn="0" w:lastColumn="0" w:oddVBand="0" w:evenVBand="0" w:oddHBand="0" w:evenHBand="0" w:firstRowFirstColumn="0" w:firstRowLastColumn="0" w:lastRowFirstColumn="0" w:lastRowLastColumn="0"/>
              <w:rPr>
                <w:szCs w:val="18"/>
              </w:rPr>
            </w:pPr>
            <w:r w:rsidRPr="00FB0A3A">
              <w:rPr>
                <w:szCs w:val="18"/>
              </w:rPr>
              <w:t>17 543,15</w:t>
            </w:r>
          </w:p>
        </w:tc>
        <w:tc>
          <w:tcPr>
            <w:tcW w:w="0" w:type="auto"/>
            <w:noWrap/>
            <w:hideMark/>
          </w:tcPr>
          <w:p w14:paraId="53BCED1B" w14:textId="77777777" w:rsidR="000449B1" w:rsidRPr="00FB0A3A" w:rsidRDefault="000449B1" w:rsidP="00256761">
            <w:pPr>
              <w:tabs>
                <w:tab w:val="left" w:pos="1134"/>
              </w:tabs>
              <w:cnfStyle w:val="000000000000" w:firstRow="0" w:lastRow="0" w:firstColumn="0" w:lastColumn="0" w:oddVBand="0" w:evenVBand="0" w:oddHBand="0" w:evenHBand="0" w:firstRowFirstColumn="0" w:firstRowLastColumn="0" w:lastRowFirstColumn="0" w:lastRowLastColumn="0"/>
              <w:rPr>
                <w:szCs w:val="18"/>
              </w:rPr>
            </w:pPr>
            <w:r w:rsidRPr="00FB0A3A">
              <w:rPr>
                <w:szCs w:val="18"/>
              </w:rPr>
              <w:t>19 673</w:t>
            </w:r>
          </w:p>
        </w:tc>
        <w:tc>
          <w:tcPr>
            <w:tcW w:w="0" w:type="auto"/>
            <w:noWrap/>
            <w:hideMark/>
          </w:tcPr>
          <w:p w14:paraId="11E117FA" w14:textId="77777777" w:rsidR="000449B1" w:rsidRPr="00FB0A3A" w:rsidRDefault="000449B1" w:rsidP="00256761">
            <w:pPr>
              <w:tabs>
                <w:tab w:val="left" w:pos="1134"/>
              </w:tabs>
              <w:cnfStyle w:val="000000000000" w:firstRow="0" w:lastRow="0" w:firstColumn="0" w:lastColumn="0" w:oddVBand="0" w:evenVBand="0" w:oddHBand="0" w:evenHBand="0" w:firstRowFirstColumn="0" w:firstRowLastColumn="0" w:lastRowFirstColumn="0" w:lastRowLastColumn="0"/>
              <w:rPr>
                <w:szCs w:val="18"/>
              </w:rPr>
            </w:pPr>
            <w:r w:rsidRPr="00FB0A3A">
              <w:rPr>
                <w:szCs w:val="18"/>
              </w:rPr>
              <w:t>18 860</w:t>
            </w:r>
          </w:p>
        </w:tc>
      </w:tr>
      <w:tr w:rsidR="00907AB4" w:rsidRPr="00FB0A3A" w14:paraId="31F304EC" w14:textId="77777777" w:rsidTr="00256761">
        <w:tc>
          <w:tcPr>
            <w:cnfStyle w:val="001000000000" w:firstRow="0" w:lastRow="0" w:firstColumn="1" w:lastColumn="0" w:oddVBand="0" w:evenVBand="0" w:oddHBand="0" w:evenHBand="0" w:firstRowFirstColumn="0" w:firstRowLastColumn="0" w:lastRowFirstColumn="0" w:lastRowLastColumn="0"/>
            <w:tcW w:w="0" w:type="auto"/>
            <w:noWrap/>
            <w:hideMark/>
          </w:tcPr>
          <w:p w14:paraId="504EDA41" w14:textId="77777777" w:rsidR="000449B1" w:rsidRPr="00FB0A3A" w:rsidRDefault="000449B1" w:rsidP="00256761">
            <w:pPr>
              <w:tabs>
                <w:tab w:val="left" w:pos="1134"/>
              </w:tabs>
              <w:jc w:val="center"/>
              <w:rPr>
                <w:szCs w:val="18"/>
              </w:rPr>
            </w:pPr>
            <w:r w:rsidRPr="00FB0A3A">
              <w:rPr>
                <w:szCs w:val="18"/>
              </w:rPr>
              <w:t>1.3.2.</w:t>
            </w:r>
          </w:p>
        </w:tc>
        <w:tc>
          <w:tcPr>
            <w:tcW w:w="0" w:type="auto"/>
            <w:hideMark/>
          </w:tcPr>
          <w:p w14:paraId="7C17C960" w14:textId="48A8FC54" w:rsidR="000449B1" w:rsidRPr="00FB0A3A" w:rsidRDefault="000449B1" w:rsidP="000C264C">
            <w:pPr>
              <w:tabs>
                <w:tab w:val="left" w:pos="1134"/>
              </w:tabs>
              <w:jc w:val="left"/>
              <w:cnfStyle w:val="000000000000" w:firstRow="0" w:lastRow="0" w:firstColumn="0" w:lastColumn="0" w:oddVBand="0" w:evenVBand="0" w:oddHBand="0" w:evenHBand="0" w:firstRowFirstColumn="0" w:firstRowLastColumn="0" w:lastRowFirstColumn="0" w:lastRowLastColumn="0"/>
              <w:rPr>
                <w:szCs w:val="18"/>
              </w:rPr>
            </w:pPr>
            <w:r w:rsidRPr="00FB0A3A">
              <w:rPr>
                <w:szCs w:val="18"/>
              </w:rPr>
              <w:t>Электроэнергия работникам (50%</w:t>
            </w:r>
            <w:r w:rsidR="000C264C" w:rsidRPr="00FB0A3A">
              <w:rPr>
                <w:szCs w:val="18"/>
              </w:rPr>
              <w:t>-я</w:t>
            </w:r>
            <w:r w:rsidRPr="00FB0A3A">
              <w:rPr>
                <w:szCs w:val="18"/>
              </w:rPr>
              <w:t xml:space="preserve"> скидка)</w:t>
            </w:r>
          </w:p>
        </w:tc>
        <w:tc>
          <w:tcPr>
            <w:tcW w:w="0" w:type="auto"/>
            <w:noWrap/>
            <w:hideMark/>
          </w:tcPr>
          <w:p w14:paraId="379558F1" w14:textId="77777777" w:rsidR="000449B1" w:rsidRPr="00FB0A3A" w:rsidRDefault="000449B1" w:rsidP="00256761">
            <w:pPr>
              <w:tabs>
                <w:tab w:val="left" w:pos="1134"/>
              </w:tabs>
              <w:cnfStyle w:val="000000000000" w:firstRow="0" w:lastRow="0" w:firstColumn="0" w:lastColumn="0" w:oddVBand="0" w:evenVBand="0" w:oddHBand="0" w:evenHBand="0" w:firstRowFirstColumn="0" w:firstRowLastColumn="0" w:lastRowFirstColumn="0" w:lastRowLastColumn="0"/>
              <w:rPr>
                <w:szCs w:val="18"/>
              </w:rPr>
            </w:pPr>
            <w:r w:rsidRPr="00FB0A3A">
              <w:rPr>
                <w:szCs w:val="18"/>
              </w:rPr>
              <w:t>1 338,75</w:t>
            </w:r>
          </w:p>
        </w:tc>
        <w:tc>
          <w:tcPr>
            <w:tcW w:w="0" w:type="auto"/>
            <w:noWrap/>
            <w:hideMark/>
          </w:tcPr>
          <w:p w14:paraId="7781F322" w14:textId="77777777" w:rsidR="000449B1" w:rsidRPr="00FB0A3A" w:rsidRDefault="000449B1" w:rsidP="00256761">
            <w:pPr>
              <w:tabs>
                <w:tab w:val="left" w:pos="1134"/>
              </w:tabs>
              <w:cnfStyle w:val="000000000000" w:firstRow="0" w:lastRow="0" w:firstColumn="0" w:lastColumn="0" w:oddVBand="0" w:evenVBand="0" w:oddHBand="0" w:evenHBand="0" w:firstRowFirstColumn="0" w:firstRowLastColumn="0" w:lastRowFirstColumn="0" w:lastRowLastColumn="0"/>
              <w:rPr>
                <w:szCs w:val="18"/>
              </w:rPr>
            </w:pPr>
            <w:r w:rsidRPr="00FB0A3A">
              <w:rPr>
                <w:szCs w:val="18"/>
              </w:rPr>
              <w:t>5 167</w:t>
            </w:r>
          </w:p>
        </w:tc>
        <w:tc>
          <w:tcPr>
            <w:tcW w:w="0" w:type="auto"/>
            <w:noWrap/>
            <w:hideMark/>
          </w:tcPr>
          <w:p w14:paraId="4F595A88" w14:textId="77777777" w:rsidR="000449B1" w:rsidRPr="00FB0A3A" w:rsidRDefault="000449B1" w:rsidP="00256761">
            <w:pPr>
              <w:tabs>
                <w:tab w:val="left" w:pos="1134"/>
              </w:tabs>
              <w:cnfStyle w:val="000000000000" w:firstRow="0" w:lastRow="0" w:firstColumn="0" w:lastColumn="0" w:oddVBand="0" w:evenVBand="0" w:oddHBand="0" w:evenHBand="0" w:firstRowFirstColumn="0" w:firstRowLastColumn="0" w:lastRowFirstColumn="0" w:lastRowLastColumn="0"/>
              <w:rPr>
                <w:szCs w:val="18"/>
              </w:rPr>
            </w:pPr>
            <w:r w:rsidRPr="00FB0A3A">
              <w:rPr>
                <w:szCs w:val="18"/>
              </w:rPr>
              <w:t>0</w:t>
            </w:r>
          </w:p>
        </w:tc>
      </w:tr>
      <w:tr w:rsidR="00907AB4" w:rsidRPr="00FB0A3A" w14:paraId="50A79435" w14:textId="77777777" w:rsidTr="00256761">
        <w:tc>
          <w:tcPr>
            <w:cnfStyle w:val="001000000000" w:firstRow="0" w:lastRow="0" w:firstColumn="1" w:lastColumn="0" w:oddVBand="0" w:evenVBand="0" w:oddHBand="0" w:evenHBand="0" w:firstRowFirstColumn="0" w:firstRowLastColumn="0" w:lastRowFirstColumn="0" w:lastRowLastColumn="0"/>
            <w:tcW w:w="0" w:type="auto"/>
            <w:noWrap/>
            <w:hideMark/>
          </w:tcPr>
          <w:p w14:paraId="5310B2B1" w14:textId="77777777" w:rsidR="000449B1" w:rsidRPr="00FB0A3A" w:rsidRDefault="000449B1" w:rsidP="00256761">
            <w:pPr>
              <w:tabs>
                <w:tab w:val="left" w:pos="1134"/>
              </w:tabs>
              <w:jc w:val="center"/>
              <w:rPr>
                <w:szCs w:val="18"/>
              </w:rPr>
            </w:pPr>
            <w:r w:rsidRPr="00FB0A3A">
              <w:rPr>
                <w:szCs w:val="18"/>
              </w:rPr>
              <w:t>1.3.3.</w:t>
            </w:r>
          </w:p>
        </w:tc>
        <w:tc>
          <w:tcPr>
            <w:tcW w:w="0" w:type="auto"/>
            <w:hideMark/>
          </w:tcPr>
          <w:p w14:paraId="42A40BCA" w14:textId="77777777" w:rsidR="000449B1" w:rsidRPr="00FB0A3A" w:rsidRDefault="000449B1" w:rsidP="00256761">
            <w:pPr>
              <w:tabs>
                <w:tab w:val="left" w:pos="1134"/>
              </w:tabs>
              <w:jc w:val="left"/>
              <w:cnfStyle w:val="000000000000" w:firstRow="0" w:lastRow="0" w:firstColumn="0" w:lastColumn="0" w:oddVBand="0" w:evenVBand="0" w:oddHBand="0" w:evenHBand="0" w:firstRowFirstColumn="0" w:firstRowLastColumn="0" w:lastRowFirstColumn="0" w:lastRowLastColumn="0"/>
              <w:rPr>
                <w:szCs w:val="18"/>
              </w:rPr>
            </w:pPr>
            <w:r w:rsidRPr="00FB0A3A">
              <w:rPr>
                <w:szCs w:val="18"/>
              </w:rPr>
              <w:t>Оплата дополнительных отпусков:</w:t>
            </w:r>
          </w:p>
        </w:tc>
        <w:tc>
          <w:tcPr>
            <w:tcW w:w="0" w:type="auto"/>
            <w:noWrap/>
            <w:hideMark/>
          </w:tcPr>
          <w:p w14:paraId="2A6515E8" w14:textId="77777777" w:rsidR="000449B1" w:rsidRPr="00FB0A3A" w:rsidRDefault="000449B1" w:rsidP="00256761">
            <w:pPr>
              <w:tabs>
                <w:tab w:val="left" w:pos="1134"/>
              </w:tabs>
              <w:cnfStyle w:val="000000000000" w:firstRow="0" w:lastRow="0" w:firstColumn="0" w:lastColumn="0" w:oddVBand="0" w:evenVBand="0" w:oddHBand="0" w:evenHBand="0" w:firstRowFirstColumn="0" w:firstRowLastColumn="0" w:lastRowFirstColumn="0" w:lastRowLastColumn="0"/>
              <w:rPr>
                <w:szCs w:val="18"/>
              </w:rPr>
            </w:pPr>
            <w:r w:rsidRPr="00FB0A3A">
              <w:rPr>
                <w:szCs w:val="18"/>
              </w:rPr>
              <w:t>331,09</w:t>
            </w:r>
          </w:p>
        </w:tc>
        <w:tc>
          <w:tcPr>
            <w:tcW w:w="0" w:type="auto"/>
            <w:noWrap/>
            <w:hideMark/>
          </w:tcPr>
          <w:p w14:paraId="030630BD" w14:textId="77777777" w:rsidR="000449B1" w:rsidRPr="00FB0A3A" w:rsidRDefault="000449B1" w:rsidP="00256761">
            <w:pPr>
              <w:tabs>
                <w:tab w:val="left" w:pos="1134"/>
              </w:tabs>
              <w:cnfStyle w:val="000000000000" w:firstRow="0" w:lastRow="0" w:firstColumn="0" w:lastColumn="0" w:oddVBand="0" w:evenVBand="0" w:oddHBand="0" w:evenHBand="0" w:firstRowFirstColumn="0" w:firstRowLastColumn="0" w:lastRowFirstColumn="0" w:lastRowLastColumn="0"/>
              <w:rPr>
                <w:szCs w:val="18"/>
              </w:rPr>
            </w:pPr>
            <w:r w:rsidRPr="00FB0A3A">
              <w:rPr>
                <w:szCs w:val="18"/>
              </w:rPr>
              <w:t>356</w:t>
            </w:r>
          </w:p>
        </w:tc>
        <w:tc>
          <w:tcPr>
            <w:tcW w:w="0" w:type="auto"/>
            <w:noWrap/>
            <w:hideMark/>
          </w:tcPr>
          <w:p w14:paraId="1F8872C4" w14:textId="77777777" w:rsidR="000449B1" w:rsidRPr="00FB0A3A" w:rsidRDefault="000449B1" w:rsidP="00256761">
            <w:pPr>
              <w:tabs>
                <w:tab w:val="left" w:pos="1134"/>
              </w:tabs>
              <w:cnfStyle w:val="000000000000" w:firstRow="0" w:lastRow="0" w:firstColumn="0" w:lastColumn="0" w:oddVBand="0" w:evenVBand="0" w:oddHBand="0" w:evenHBand="0" w:firstRowFirstColumn="0" w:firstRowLastColumn="0" w:lastRowFirstColumn="0" w:lastRowLastColumn="0"/>
              <w:rPr>
                <w:szCs w:val="18"/>
              </w:rPr>
            </w:pPr>
            <w:r w:rsidRPr="00FB0A3A">
              <w:rPr>
                <w:szCs w:val="18"/>
              </w:rPr>
              <w:t>356</w:t>
            </w:r>
          </w:p>
        </w:tc>
      </w:tr>
      <w:tr w:rsidR="00907AB4" w:rsidRPr="00FB0A3A" w14:paraId="5D6CDA2E" w14:textId="77777777" w:rsidTr="00256761">
        <w:tc>
          <w:tcPr>
            <w:cnfStyle w:val="001000000000" w:firstRow="0" w:lastRow="0" w:firstColumn="1" w:lastColumn="0" w:oddVBand="0" w:evenVBand="0" w:oddHBand="0" w:evenHBand="0" w:firstRowFirstColumn="0" w:firstRowLastColumn="0" w:lastRowFirstColumn="0" w:lastRowLastColumn="0"/>
            <w:tcW w:w="0" w:type="auto"/>
            <w:noWrap/>
            <w:hideMark/>
          </w:tcPr>
          <w:p w14:paraId="47ED9F47" w14:textId="77777777" w:rsidR="000449B1" w:rsidRPr="00FB0A3A" w:rsidRDefault="000449B1" w:rsidP="00256761">
            <w:pPr>
              <w:tabs>
                <w:tab w:val="left" w:pos="1134"/>
              </w:tabs>
              <w:jc w:val="center"/>
              <w:rPr>
                <w:szCs w:val="18"/>
              </w:rPr>
            </w:pPr>
            <w:r w:rsidRPr="00FB0A3A">
              <w:rPr>
                <w:szCs w:val="18"/>
              </w:rPr>
              <w:t>1.3.3.1.</w:t>
            </w:r>
          </w:p>
        </w:tc>
        <w:tc>
          <w:tcPr>
            <w:tcW w:w="0" w:type="auto"/>
            <w:hideMark/>
          </w:tcPr>
          <w:p w14:paraId="02044176" w14:textId="77777777" w:rsidR="000449B1" w:rsidRPr="00FB0A3A" w:rsidRDefault="000449B1" w:rsidP="00256761">
            <w:pPr>
              <w:tabs>
                <w:tab w:val="left" w:pos="1134"/>
              </w:tabs>
              <w:ind w:left="280"/>
              <w:jc w:val="left"/>
              <w:cnfStyle w:val="000000000000" w:firstRow="0" w:lastRow="0" w:firstColumn="0" w:lastColumn="0" w:oddVBand="0" w:evenVBand="0" w:oddHBand="0" w:evenHBand="0" w:firstRowFirstColumn="0" w:firstRowLastColumn="0" w:lastRowFirstColumn="0" w:lastRowLastColumn="0"/>
              <w:rPr>
                <w:szCs w:val="18"/>
              </w:rPr>
            </w:pPr>
            <w:r w:rsidRPr="00FB0A3A">
              <w:rPr>
                <w:szCs w:val="18"/>
              </w:rPr>
              <w:t>- ко Дню знаний</w:t>
            </w:r>
          </w:p>
        </w:tc>
        <w:tc>
          <w:tcPr>
            <w:tcW w:w="0" w:type="auto"/>
            <w:noWrap/>
            <w:hideMark/>
          </w:tcPr>
          <w:p w14:paraId="784FF719" w14:textId="77777777" w:rsidR="000449B1" w:rsidRPr="00FB0A3A" w:rsidRDefault="000449B1" w:rsidP="00256761">
            <w:pPr>
              <w:tabs>
                <w:tab w:val="left" w:pos="1134"/>
              </w:tabs>
              <w:cnfStyle w:val="000000000000" w:firstRow="0" w:lastRow="0" w:firstColumn="0" w:lastColumn="0" w:oddVBand="0" w:evenVBand="0" w:oddHBand="0" w:evenHBand="0" w:firstRowFirstColumn="0" w:firstRowLastColumn="0" w:lastRowFirstColumn="0" w:lastRowLastColumn="0"/>
              <w:rPr>
                <w:szCs w:val="18"/>
              </w:rPr>
            </w:pPr>
            <w:r w:rsidRPr="00FB0A3A">
              <w:rPr>
                <w:szCs w:val="18"/>
              </w:rPr>
              <w:t>80,85</w:t>
            </w:r>
          </w:p>
        </w:tc>
        <w:tc>
          <w:tcPr>
            <w:tcW w:w="0" w:type="auto"/>
            <w:noWrap/>
            <w:hideMark/>
          </w:tcPr>
          <w:p w14:paraId="2EC772DF" w14:textId="77777777" w:rsidR="000449B1" w:rsidRPr="00FB0A3A" w:rsidRDefault="000449B1" w:rsidP="00256761">
            <w:pPr>
              <w:tabs>
                <w:tab w:val="left" w:pos="1134"/>
              </w:tabs>
              <w:cnfStyle w:val="000000000000" w:firstRow="0" w:lastRow="0" w:firstColumn="0" w:lastColumn="0" w:oddVBand="0" w:evenVBand="0" w:oddHBand="0" w:evenHBand="0" w:firstRowFirstColumn="0" w:firstRowLastColumn="0" w:lastRowFirstColumn="0" w:lastRowLastColumn="0"/>
              <w:rPr>
                <w:szCs w:val="18"/>
              </w:rPr>
            </w:pPr>
            <w:r w:rsidRPr="00FB0A3A">
              <w:rPr>
                <w:szCs w:val="18"/>
              </w:rPr>
              <w:t>84</w:t>
            </w:r>
          </w:p>
        </w:tc>
        <w:tc>
          <w:tcPr>
            <w:tcW w:w="0" w:type="auto"/>
            <w:noWrap/>
            <w:hideMark/>
          </w:tcPr>
          <w:p w14:paraId="348E9813" w14:textId="77777777" w:rsidR="000449B1" w:rsidRPr="00FB0A3A" w:rsidRDefault="000449B1" w:rsidP="00256761">
            <w:pPr>
              <w:tabs>
                <w:tab w:val="left" w:pos="1134"/>
              </w:tabs>
              <w:cnfStyle w:val="000000000000" w:firstRow="0" w:lastRow="0" w:firstColumn="0" w:lastColumn="0" w:oddVBand="0" w:evenVBand="0" w:oddHBand="0" w:evenHBand="0" w:firstRowFirstColumn="0" w:firstRowLastColumn="0" w:lastRowFirstColumn="0" w:lastRowLastColumn="0"/>
              <w:rPr>
                <w:szCs w:val="18"/>
              </w:rPr>
            </w:pPr>
            <w:r w:rsidRPr="00FB0A3A">
              <w:rPr>
                <w:szCs w:val="18"/>
              </w:rPr>
              <w:t>87</w:t>
            </w:r>
          </w:p>
        </w:tc>
      </w:tr>
      <w:tr w:rsidR="00907AB4" w:rsidRPr="00FB0A3A" w14:paraId="65FC72AA" w14:textId="77777777" w:rsidTr="00256761">
        <w:tc>
          <w:tcPr>
            <w:cnfStyle w:val="001000000000" w:firstRow="0" w:lastRow="0" w:firstColumn="1" w:lastColumn="0" w:oddVBand="0" w:evenVBand="0" w:oddHBand="0" w:evenHBand="0" w:firstRowFirstColumn="0" w:firstRowLastColumn="0" w:lastRowFirstColumn="0" w:lastRowLastColumn="0"/>
            <w:tcW w:w="0" w:type="auto"/>
            <w:noWrap/>
            <w:hideMark/>
          </w:tcPr>
          <w:p w14:paraId="33FB0947" w14:textId="77777777" w:rsidR="000449B1" w:rsidRPr="00FB0A3A" w:rsidRDefault="000449B1" w:rsidP="00256761">
            <w:pPr>
              <w:tabs>
                <w:tab w:val="left" w:pos="1134"/>
              </w:tabs>
              <w:jc w:val="center"/>
              <w:rPr>
                <w:szCs w:val="18"/>
              </w:rPr>
            </w:pPr>
            <w:r w:rsidRPr="00FB0A3A">
              <w:rPr>
                <w:szCs w:val="18"/>
              </w:rPr>
              <w:t>1.3.3.2.</w:t>
            </w:r>
          </w:p>
        </w:tc>
        <w:tc>
          <w:tcPr>
            <w:tcW w:w="0" w:type="auto"/>
            <w:hideMark/>
          </w:tcPr>
          <w:p w14:paraId="409FB838" w14:textId="77777777" w:rsidR="000449B1" w:rsidRPr="00FB0A3A" w:rsidRDefault="000449B1" w:rsidP="00256761">
            <w:pPr>
              <w:tabs>
                <w:tab w:val="left" w:pos="1134"/>
              </w:tabs>
              <w:ind w:left="280"/>
              <w:jc w:val="left"/>
              <w:cnfStyle w:val="000000000000" w:firstRow="0" w:lastRow="0" w:firstColumn="0" w:lastColumn="0" w:oddVBand="0" w:evenVBand="0" w:oddHBand="0" w:evenHBand="0" w:firstRowFirstColumn="0" w:firstRowLastColumn="0" w:lastRowFirstColumn="0" w:lastRowLastColumn="0"/>
              <w:rPr>
                <w:szCs w:val="18"/>
              </w:rPr>
            </w:pPr>
            <w:r w:rsidRPr="00FB0A3A">
              <w:rPr>
                <w:szCs w:val="18"/>
              </w:rPr>
              <w:t>- при рождении ребенка</w:t>
            </w:r>
          </w:p>
        </w:tc>
        <w:tc>
          <w:tcPr>
            <w:tcW w:w="0" w:type="auto"/>
            <w:noWrap/>
            <w:hideMark/>
          </w:tcPr>
          <w:p w14:paraId="4A6B0480" w14:textId="77777777" w:rsidR="000449B1" w:rsidRPr="00FB0A3A" w:rsidRDefault="000449B1" w:rsidP="00256761">
            <w:pPr>
              <w:tabs>
                <w:tab w:val="left" w:pos="1134"/>
              </w:tabs>
              <w:cnfStyle w:val="000000000000" w:firstRow="0" w:lastRow="0" w:firstColumn="0" w:lastColumn="0" w:oddVBand="0" w:evenVBand="0" w:oddHBand="0" w:evenHBand="0" w:firstRowFirstColumn="0" w:firstRowLastColumn="0" w:lastRowFirstColumn="0" w:lastRowLastColumn="0"/>
              <w:rPr>
                <w:szCs w:val="18"/>
              </w:rPr>
            </w:pPr>
            <w:r w:rsidRPr="00FB0A3A">
              <w:rPr>
                <w:szCs w:val="18"/>
              </w:rPr>
              <w:t>15,32</w:t>
            </w:r>
          </w:p>
        </w:tc>
        <w:tc>
          <w:tcPr>
            <w:tcW w:w="0" w:type="auto"/>
            <w:noWrap/>
            <w:hideMark/>
          </w:tcPr>
          <w:p w14:paraId="06987945" w14:textId="77777777" w:rsidR="000449B1" w:rsidRPr="00FB0A3A" w:rsidRDefault="000449B1" w:rsidP="00256761">
            <w:pPr>
              <w:tabs>
                <w:tab w:val="left" w:pos="1134"/>
              </w:tabs>
              <w:cnfStyle w:val="000000000000" w:firstRow="0" w:lastRow="0" w:firstColumn="0" w:lastColumn="0" w:oddVBand="0" w:evenVBand="0" w:oddHBand="0" w:evenHBand="0" w:firstRowFirstColumn="0" w:firstRowLastColumn="0" w:lastRowFirstColumn="0" w:lastRowLastColumn="0"/>
              <w:rPr>
                <w:szCs w:val="18"/>
              </w:rPr>
            </w:pPr>
            <w:r w:rsidRPr="00FB0A3A">
              <w:rPr>
                <w:szCs w:val="18"/>
              </w:rPr>
              <w:t>17</w:t>
            </w:r>
          </w:p>
        </w:tc>
        <w:tc>
          <w:tcPr>
            <w:tcW w:w="0" w:type="auto"/>
            <w:noWrap/>
            <w:hideMark/>
          </w:tcPr>
          <w:p w14:paraId="22710C95" w14:textId="77777777" w:rsidR="000449B1" w:rsidRPr="00FB0A3A" w:rsidRDefault="000449B1" w:rsidP="00256761">
            <w:pPr>
              <w:tabs>
                <w:tab w:val="left" w:pos="1134"/>
              </w:tabs>
              <w:cnfStyle w:val="000000000000" w:firstRow="0" w:lastRow="0" w:firstColumn="0" w:lastColumn="0" w:oddVBand="0" w:evenVBand="0" w:oddHBand="0" w:evenHBand="0" w:firstRowFirstColumn="0" w:firstRowLastColumn="0" w:lastRowFirstColumn="0" w:lastRowLastColumn="0"/>
              <w:rPr>
                <w:szCs w:val="18"/>
              </w:rPr>
            </w:pPr>
            <w:r w:rsidRPr="00FB0A3A">
              <w:rPr>
                <w:szCs w:val="18"/>
              </w:rPr>
              <w:t>16</w:t>
            </w:r>
          </w:p>
        </w:tc>
      </w:tr>
      <w:tr w:rsidR="00907AB4" w:rsidRPr="00FB0A3A" w14:paraId="19389181" w14:textId="77777777" w:rsidTr="00256761">
        <w:tc>
          <w:tcPr>
            <w:cnfStyle w:val="001000000000" w:firstRow="0" w:lastRow="0" w:firstColumn="1" w:lastColumn="0" w:oddVBand="0" w:evenVBand="0" w:oddHBand="0" w:evenHBand="0" w:firstRowFirstColumn="0" w:firstRowLastColumn="0" w:lastRowFirstColumn="0" w:lastRowLastColumn="0"/>
            <w:tcW w:w="0" w:type="auto"/>
            <w:noWrap/>
            <w:hideMark/>
          </w:tcPr>
          <w:p w14:paraId="20C7C8FD" w14:textId="77777777" w:rsidR="000449B1" w:rsidRPr="00FB0A3A" w:rsidRDefault="000449B1" w:rsidP="00256761">
            <w:pPr>
              <w:tabs>
                <w:tab w:val="left" w:pos="1134"/>
              </w:tabs>
              <w:jc w:val="center"/>
              <w:rPr>
                <w:szCs w:val="18"/>
              </w:rPr>
            </w:pPr>
            <w:r w:rsidRPr="00FB0A3A">
              <w:rPr>
                <w:szCs w:val="18"/>
              </w:rPr>
              <w:t>1.3.3.3.</w:t>
            </w:r>
          </w:p>
        </w:tc>
        <w:tc>
          <w:tcPr>
            <w:tcW w:w="0" w:type="auto"/>
            <w:hideMark/>
          </w:tcPr>
          <w:p w14:paraId="2B765499" w14:textId="77777777" w:rsidR="000449B1" w:rsidRPr="00FB0A3A" w:rsidRDefault="000449B1" w:rsidP="00256761">
            <w:pPr>
              <w:tabs>
                <w:tab w:val="left" w:pos="1134"/>
              </w:tabs>
              <w:ind w:left="280"/>
              <w:jc w:val="left"/>
              <w:cnfStyle w:val="000000000000" w:firstRow="0" w:lastRow="0" w:firstColumn="0" w:lastColumn="0" w:oddVBand="0" w:evenVBand="0" w:oddHBand="0" w:evenHBand="0" w:firstRowFirstColumn="0" w:firstRowLastColumn="0" w:lastRowFirstColumn="0" w:lastRowLastColumn="0"/>
              <w:rPr>
                <w:szCs w:val="18"/>
              </w:rPr>
            </w:pPr>
            <w:r w:rsidRPr="00FB0A3A">
              <w:rPr>
                <w:szCs w:val="18"/>
              </w:rPr>
              <w:t>- при вступлении в брак работника</w:t>
            </w:r>
          </w:p>
        </w:tc>
        <w:tc>
          <w:tcPr>
            <w:tcW w:w="0" w:type="auto"/>
            <w:noWrap/>
            <w:hideMark/>
          </w:tcPr>
          <w:p w14:paraId="75983E61" w14:textId="77777777" w:rsidR="000449B1" w:rsidRPr="00FB0A3A" w:rsidRDefault="000449B1" w:rsidP="00256761">
            <w:pPr>
              <w:tabs>
                <w:tab w:val="left" w:pos="1134"/>
              </w:tabs>
              <w:cnfStyle w:val="000000000000" w:firstRow="0" w:lastRow="0" w:firstColumn="0" w:lastColumn="0" w:oddVBand="0" w:evenVBand="0" w:oddHBand="0" w:evenHBand="0" w:firstRowFirstColumn="0" w:firstRowLastColumn="0" w:lastRowFirstColumn="0" w:lastRowLastColumn="0"/>
              <w:rPr>
                <w:szCs w:val="18"/>
              </w:rPr>
            </w:pPr>
            <w:r w:rsidRPr="00FB0A3A">
              <w:rPr>
                <w:szCs w:val="18"/>
              </w:rPr>
              <w:t>45,71</w:t>
            </w:r>
          </w:p>
        </w:tc>
        <w:tc>
          <w:tcPr>
            <w:tcW w:w="0" w:type="auto"/>
            <w:noWrap/>
            <w:hideMark/>
          </w:tcPr>
          <w:p w14:paraId="6C9E1668" w14:textId="77777777" w:rsidR="000449B1" w:rsidRPr="00FB0A3A" w:rsidRDefault="000449B1" w:rsidP="00256761">
            <w:pPr>
              <w:tabs>
                <w:tab w:val="left" w:pos="1134"/>
              </w:tabs>
              <w:cnfStyle w:val="000000000000" w:firstRow="0" w:lastRow="0" w:firstColumn="0" w:lastColumn="0" w:oddVBand="0" w:evenVBand="0" w:oddHBand="0" w:evenHBand="0" w:firstRowFirstColumn="0" w:firstRowLastColumn="0" w:lastRowFirstColumn="0" w:lastRowLastColumn="0"/>
              <w:rPr>
                <w:szCs w:val="18"/>
              </w:rPr>
            </w:pPr>
            <w:r w:rsidRPr="00FB0A3A">
              <w:rPr>
                <w:szCs w:val="18"/>
              </w:rPr>
              <w:t>49</w:t>
            </w:r>
          </w:p>
        </w:tc>
        <w:tc>
          <w:tcPr>
            <w:tcW w:w="0" w:type="auto"/>
            <w:noWrap/>
            <w:hideMark/>
          </w:tcPr>
          <w:p w14:paraId="07CE87B3" w14:textId="77777777" w:rsidR="000449B1" w:rsidRPr="00FB0A3A" w:rsidRDefault="000449B1" w:rsidP="00256761">
            <w:pPr>
              <w:tabs>
                <w:tab w:val="left" w:pos="1134"/>
              </w:tabs>
              <w:cnfStyle w:val="000000000000" w:firstRow="0" w:lastRow="0" w:firstColumn="0" w:lastColumn="0" w:oddVBand="0" w:evenVBand="0" w:oddHBand="0" w:evenHBand="0" w:firstRowFirstColumn="0" w:firstRowLastColumn="0" w:lastRowFirstColumn="0" w:lastRowLastColumn="0"/>
              <w:rPr>
                <w:szCs w:val="18"/>
              </w:rPr>
            </w:pPr>
            <w:r w:rsidRPr="00FB0A3A">
              <w:rPr>
                <w:szCs w:val="18"/>
              </w:rPr>
              <w:t>49</w:t>
            </w:r>
          </w:p>
        </w:tc>
      </w:tr>
      <w:tr w:rsidR="00907AB4" w:rsidRPr="00FB0A3A" w14:paraId="7C99EDB6" w14:textId="77777777" w:rsidTr="00256761">
        <w:tc>
          <w:tcPr>
            <w:cnfStyle w:val="001000000000" w:firstRow="0" w:lastRow="0" w:firstColumn="1" w:lastColumn="0" w:oddVBand="0" w:evenVBand="0" w:oddHBand="0" w:evenHBand="0" w:firstRowFirstColumn="0" w:firstRowLastColumn="0" w:lastRowFirstColumn="0" w:lastRowLastColumn="0"/>
            <w:tcW w:w="0" w:type="auto"/>
            <w:noWrap/>
            <w:hideMark/>
          </w:tcPr>
          <w:p w14:paraId="2A32D389" w14:textId="77777777" w:rsidR="000449B1" w:rsidRPr="00FB0A3A" w:rsidRDefault="000449B1" w:rsidP="00256761">
            <w:pPr>
              <w:tabs>
                <w:tab w:val="left" w:pos="1134"/>
              </w:tabs>
              <w:jc w:val="center"/>
              <w:rPr>
                <w:szCs w:val="18"/>
              </w:rPr>
            </w:pPr>
            <w:r w:rsidRPr="00FB0A3A">
              <w:rPr>
                <w:szCs w:val="18"/>
              </w:rPr>
              <w:t>1.3.3.4.</w:t>
            </w:r>
          </w:p>
        </w:tc>
        <w:tc>
          <w:tcPr>
            <w:tcW w:w="0" w:type="auto"/>
            <w:hideMark/>
          </w:tcPr>
          <w:p w14:paraId="7AEA0828" w14:textId="77777777" w:rsidR="000449B1" w:rsidRPr="00FB0A3A" w:rsidRDefault="000449B1" w:rsidP="00256761">
            <w:pPr>
              <w:tabs>
                <w:tab w:val="left" w:pos="1134"/>
              </w:tabs>
              <w:ind w:left="280"/>
              <w:jc w:val="left"/>
              <w:cnfStyle w:val="000000000000" w:firstRow="0" w:lastRow="0" w:firstColumn="0" w:lastColumn="0" w:oddVBand="0" w:evenVBand="0" w:oddHBand="0" w:evenHBand="0" w:firstRowFirstColumn="0" w:firstRowLastColumn="0" w:lastRowFirstColumn="0" w:lastRowLastColumn="0"/>
              <w:rPr>
                <w:szCs w:val="18"/>
              </w:rPr>
            </w:pPr>
            <w:r w:rsidRPr="00FB0A3A">
              <w:rPr>
                <w:szCs w:val="18"/>
              </w:rPr>
              <w:t>- при вступлении в брак детей работника</w:t>
            </w:r>
          </w:p>
        </w:tc>
        <w:tc>
          <w:tcPr>
            <w:tcW w:w="0" w:type="auto"/>
            <w:noWrap/>
            <w:hideMark/>
          </w:tcPr>
          <w:p w14:paraId="7F47DB1E" w14:textId="77777777" w:rsidR="000449B1" w:rsidRPr="00FB0A3A" w:rsidRDefault="000449B1" w:rsidP="00256761">
            <w:pPr>
              <w:tabs>
                <w:tab w:val="left" w:pos="1134"/>
              </w:tabs>
              <w:cnfStyle w:val="000000000000" w:firstRow="0" w:lastRow="0" w:firstColumn="0" w:lastColumn="0" w:oddVBand="0" w:evenVBand="0" w:oddHBand="0" w:evenHBand="0" w:firstRowFirstColumn="0" w:firstRowLastColumn="0" w:lastRowFirstColumn="0" w:lastRowLastColumn="0"/>
              <w:rPr>
                <w:szCs w:val="18"/>
              </w:rPr>
            </w:pPr>
            <w:r w:rsidRPr="00FB0A3A">
              <w:rPr>
                <w:szCs w:val="18"/>
              </w:rPr>
              <w:t>12,27</w:t>
            </w:r>
          </w:p>
        </w:tc>
        <w:tc>
          <w:tcPr>
            <w:tcW w:w="0" w:type="auto"/>
            <w:noWrap/>
            <w:hideMark/>
          </w:tcPr>
          <w:p w14:paraId="02AE0005" w14:textId="77777777" w:rsidR="000449B1" w:rsidRPr="00FB0A3A" w:rsidRDefault="000449B1" w:rsidP="00256761">
            <w:pPr>
              <w:tabs>
                <w:tab w:val="left" w:pos="1134"/>
              </w:tabs>
              <w:cnfStyle w:val="000000000000" w:firstRow="0" w:lastRow="0" w:firstColumn="0" w:lastColumn="0" w:oddVBand="0" w:evenVBand="0" w:oddHBand="0" w:evenHBand="0" w:firstRowFirstColumn="0" w:firstRowLastColumn="0" w:lastRowFirstColumn="0" w:lastRowLastColumn="0"/>
              <w:rPr>
                <w:szCs w:val="18"/>
              </w:rPr>
            </w:pPr>
            <w:r w:rsidRPr="00FB0A3A">
              <w:rPr>
                <w:szCs w:val="18"/>
              </w:rPr>
              <w:t>14</w:t>
            </w:r>
          </w:p>
        </w:tc>
        <w:tc>
          <w:tcPr>
            <w:tcW w:w="0" w:type="auto"/>
            <w:noWrap/>
            <w:hideMark/>
          </w:tcPr>
          <w:p w14:paraId="68436581" w14:textId="77777777" w:rsidR="000449B1" w:rsidRPr="00FB0A3A" w:rsidRDefault="000449B1" w:rsidP="00256761">
            <w:pPr>
              <w:tabs>
                <w:tab w:val="left" w:pos="1134"/>
              </w:tabs>
              <w:cnfStyle w:val="000000000000" w:firstRow="0" w:lastRow="0" w:firstColumn="0" w:lastColumn="0" w:oddVBand="0" w:evenVBand="0" w:oddHBand="0" w:evenHBand="0" w:firstRowFirstColumn="0" w:firstRowLastColumn="0" w:lastRowFirstColumn="0" w:lastRowLastColumn="0"/>
              <w:rPr>
                <w:szCs w:val="18"/>
              </w:rPr>
            </w:pPr>
            <w:r w:rsidRPr="00FB0A3A">
              <w:rPr>
                <w:szCs w:val="18"/>
              </w:rPr>
              <w:t>13</w:t>
            </w:r>
          </w:p>
        </w:tc>
      </w:tr>
      <w:tr w:rsidR="00907AB4" w:rsidRPr="00FB0A3A" w14:paraId="3FED99DB" w14:textId="77777777" w:rsidTr="00256761">
        <w:tc>
          <w:tcPr>
            <w:cnfStyle w:val="001000000000" w:firstRow="0" w:lastRow="0" w:firstColumn="1" w:lastColumn="0" w:oddVBand="0" w:evenVBand="0" w:oddHBand="0" w:evenHBand="0" w:firstRowFirstColumn="0" w:firstRowLastColumn="0" w:lastRowFirstColumn="0" w:lastRowLastColumn="0"/>
            <w:tcW w:w="0" w:type="auto"/>
            <w:noWrap/>
            <w:hideMark/>
          </w:tcPr>
          <w:p w14:paraId="38416CE2" w14:textId="77777777" w:rsidR="000449B1" w:rsidRPr="00FB0A3A" w:rsidRDefault="000449B1" w:rsidP="00256761">
            <w:pPr>
              <w:tabs>
                <w:tab w:val="left" w:pos="1134"/>
              </w:tabs>
              <w:jc w:val="center"/>
              <w:rPr>
                <w:szCs w:val="18"/>
              </w:rPr>
            </w:pPr>
            <w:r w:rsidRPr="00FB0A3A">
              <w:rPr>
                <w:szCs w:val="18"/>
              </w:rPr>
              <w:t>1.3.3.5.</w:t>
            </w:r>
          </w:p>
        </w:tc>
        <w:tc>
          <w:tcPr>
            <w:tcW w:w="0" w:type="auto"/>
            <w:hideMark/>
          </w:tcPr>
          <w:p w14:paraId="40FAE70E" w14:textId="77777777" w:rsidR="000449B1" w:rsidRPr="00FB0A3A" w:rsidRDefault="000449B1" w:rsidP="00256761">
            <w:pPr>
              <w:tabs>
                <w:tab w:val="left" w:pos="1134"/>
              </w:tabs>
              <w:ind w:left="280"/>
              <w:jc w:val="left"/>
              <w:cnfStyle w:val="000000000000" w:firstRow="0" w:lastRow="0" w:firstColumn="0" w:lastColumn="0" w:oddVBand="0" w:evenVBand="0" w:oddHBand="0" w:evenHBand="0" w:firstRowFirstColumn="0" w:firstRowLastColumn="0" w:lastRowFirstColumn="0" w:lastRowLastColumn="0"/>
              <w:rPr>
                <w:szCs w:val="18"/>
              </w:rPr>
            </w:pPr>
            <w:r w:rsidRPr="00FB0A3A">
              <w:rPr>
                <w:szCs w:val="18"/>
              </w:rPr>
              <w:t>- в случае призыва сына в ряды ВС</w:t>
            </w:r>
          </w:p>
        </w:tc>
        <w:tc>
          <w:tcPr>
            <w:tcW w:w="0" w:type="auto"/>
            <w:noWrap/>
            <w:hideMark/>
          </w:tcPr>
          <w:p w14:paraId="747ECC77" w14:textId="77777777" w:rsidR="000449B1" w:rsidRPr="00FB0A3A" w:rsidRDefault="000449B1" w:rsidP="00256761">
            <w:pPr>
              <w:tabs>
                <w:tab w:val="left" w:pos="1134"/>
              </w:tabs>
              <w:cnfStyle w:val="000000000000" w:firstRow="0" w:lastRow="0" w:firstColumn="0" w:lastColumn="0" w:oddVBand="0" w:evenVBand="0" w:oddHBand="0" w:evenHBand="0" w:firstRowFirstColumn="0" w:firstRowLastColumn="0" w:lastRowFirstColumn="0" w:lastRowLastColumn="0"/>
              <w:rPr>
                <w:szCs w:val="18"/>
              </w:rPr>
            </w:pPr>
            <w:r w:rsidRPr="00FB0A3A">
              <w:rPr>
                <w:szCs w:val="18"/>
              </w:rPr>
              <w:t>0,00</w:t>
            </w:r>
          </w:p>
        </w:tc>
        <w:tc>
          <w:tcPr>
            <w:tcW w:w="0" w:type="auto"/>
            <w:noWrap/>
            <w:hideMark/>
          </w:tcPr>
          <w:p w14:paraId="3F76DCE7" w14:textId="77777777" w:rsidR="000449B1" w:rsidRPr="00FB0A3A" w:rsidRDefault="000449B1" w:rsidP="00256761">
            <w:pPr>
              <w:tabs>
                <w:tab w:val="left" w:pos="1134"/>
              </w:tabs>
              <w:cnfStyle w:val="000000000000" w:firstRow="0" w:lastRow="0" w:firstColumn="0" w:lastColumn="0" w:oddVBand="0" w:evenVBand="0" w:oddHBand="0" w:evenHBand="0" w:firstRowFirstColumn="0" w:firstRowLastColumn="0" w:lastRowFirstColumn="0" w:lastRowLastColumn="0"/>
              <w:rPr>
                <w:szCs w:val="18"/>
              </w:rPr>
            </w:pPr>
            <w:r w:rsidRPr="00FB0A3A">
              <w:rPr>
                <w:szCs w:val="18"/>
              </w:rPr>
              <w:t>0</w:t>
            </w:r>
          </w:p>
        </w:tc>
        <w:tc>
          <w:tcPr>
            <w:tcW w:w="0" w:type="auto"/>
            <w:noWrap/>
            <w:hideMark/>
          </w:tcPr>
          <w:p w14:paraId="4E056481" w14:textId="77777777" w:rsidR="000449B1" w:rsidRPr="00FB0A3A" w:rsidRDefault="000449B1" w:rsidP="00256761">
            <w:pPr>
              <w:tabs>
                <w:tab w:val="left" w:pos="1134"/>
              </w:tabs>
              <w:cnfStyle w:val="000000000000" w:firstRow="0" w:lastRow="0" w:firstColumn="0" w:lastColumn="0" w:oddVBand="0" w:evenVBand="0" w:oddHBand="0" w:evenHBand="0" w:firstRowFirstColumn="0" w:firstRowLastColumn="0" w:lastRowFirstColumn="0" w:lastRowLastColumn="0"/>
              <w:rPr>
                <w:szCs w:val="18"/>
              </w:rPr>
            </w:pPr>
            <w:r w:rsidRPr="00FB0A3A">
              <w:rPr>
                <w:szCs w:val="18"/>
              </w:rPr>
              <w:t>0</w:t>
            </w:r>
          </w:p>
        </w:tc>
      </w:tr>
      <w:tr w:rsidR="00907AB4" w:rsidRPr="00FB0A3A" w14:paraId="4BC6FBA0" w14:textId="77777777" w:rsidTr="00256761">
        <w:tc>
          <w:tcPr>
            <w:cnfStyle w:val="001000000000" w:firstRow="0" w:lastRow="0" w:firstColumn="1" w:lastColumn="0" w:oddVBand="0" w:evenVBand="0" w:oddHBand="0" w:evenHBand="0" w:firstRowFirstColumn="0" w:firstRowLastColumn="0" w:lastRowFirstColumn="0" w:lastRowLastColumn="0"/>
            <w:tcW w:w="0" w:type="auto"/>
            <w:noWrap/>
            <w:hideMark/>
          </w:tcPr>
          <w:p w14:paraId="19343D1A" w14:textId="77777777" w:rsidR="000449B1" w:rsidRPr="00FB0A3A" w:rsidRDefault="000449B1" w:rsidP="00256761">
            <w:pPr>
              <w:tabs>
                <w:tab w:val="left" w:pos="1134"/>
              </w:tabs>
              <w:jc w:val="center"/>
              <w:rPr>
                <w:szCs w:val="18"/>
              </w:rPr>
            </w:pPr>
            <w:r w:rsidRPr="00FB0A3A">
              <w:rPr>
                <w:szCs w:val="18"/>
              </w:rPr>
              <w:t>1.3.3.6.</w:t>
            </w:r>
          </w:p>
        </w:tc>
        <w:tc>
          <w:tcPr>
            <w:tcW w:w="0" w:type="auto"/>
            <w:hideMark/>
          </w:tcPr>
          <w:p w14:paraId="0418E06C" w14:textId="77777777" w:rsidR="000449B1" w:rsidRPr="00FB0A3A" w:rsidRDefault="000449B1" w:rsidP="00256761">
            <w:pPr>
              <w:tabs>
                <w:tab w:val="left" w:pos="1134"/>
              </w:tabs>
              <w:ind w:left="280"/>
              <w:jc w:val="left"/>
              <w:cnfStyle w:val="000000000000" w:firstRow="0" w:lastRow="0" w:firstColumn="0" w:lastColumn="0" w:oddVBand="0" w:evenVBand="0" w:oddHBand="0" w:evenHBand="0" w:firstRowFirstColumn="0" w:firstRowLastColumn="0" w:lastRowFirstColumn="0" w:lastRowLastColumn="0"/>
              <w:rPr>
                <w:szCs w:val="18"/>
              </w:rPr>
            </w:pPr>
            <w:r w:rsidRPr="00FB0A3A">
              <w:rPr>
                <w:szCs w:val="18"/>
              </w:rPr>
              <w:t>- в случае смерти членов семьи</w:t>
            </w:r>
          </w:p>
        </w:tc>
        <w:tc>
          <w:tcPr>
            <w:tcW w:w="0" w:type="auto"/>
            <w:noWrap/>
            <w:hideMark/>
          </w:tcPr>
          <w:p w14:paraId="496637C5" w14:textId="77777777" w:rsidR="000449B1" w:rsidRPr="00FB0A3A" w:rsidRDefault="000449B1" w:rsidP="00256761">
            <w:pPr>
              <w:tabs>
                <w:tab w:val="left" w:pos="1134"/>
              </w:tabs>
              <w:cnfStyle w:val="000000000000" w:firstRow="0" w:lastRow="0" w:firstColumn="0" w:lastColumn="0" w:oddVBand="0" w:evenVBand="0" w:oddHBand="0" w:evenHBand="0" w:firstRowFirstColumn="0" w:firstRowLastColumn="0" w:lastRowFirstColumn="0" w:lastRowLastColumn="0"/>
              <w:rPr>
                <w:szCs w:val="18"/>
              </w:rPr>
            </w:pPr>
            <w:r w:rsidRPr="00FB0A3A">
              <w:rPr>
                <w:szCs w:val="18"/>
              </w:rPr>
              <w:t>176,94</w:t>
            </w:r>
          </w:p>
        </w:tc>
        <w:tc>
          <w:tcPr>
            <w:tcW w:w="0" w:type="auto"/>
            <w:noWrap/>
            <w:hideMark/>
          </w:tcPr>
          <w:p w14:paraId="717664AB" w14:textId="77777777" w:rsidR="000449B1" w:rsidRPr="00FB0A3A" w:rsidRDefault="000449B1" w:rsidP="00256761">
            <w:pPr>
              <w:tabs>
                <w:tab w:val="left" w:pos="1134"/>
              </w:tabs>
              <w:cnfStyle w:val="000000000000" w:firstRow="0" w:lastRow="0" w:firstColumn="0" w:lastColumn="0" w:oddVBand="0" w:evenVBand="0" w:oddHBand="0" w:evenHBand="0" w:firstRowFirstColumn="0" w:firstRowLastColumn="0" w:lastRowFirstColumn="0" w:lastRowLastColumn="0"/>
              <w:rPr>
                <w:szCs w:val="18"/>
              </w:rPr>
            </w:pPr>
            <w:r w:rsidRPr="00FB0A3A">
              <w:rPr>
                <w:szCs w:val="18"/>
              </w:rPr>
              <w:t>191</w:t>
            </w:r>
          </w:p>
        </w:tc>
        <w:tc>
          <w:tcPr>
            <w:tcW w:w="0" w:type="auto"/>
            <w:noWrap/>
            <w:hideMark/>
          </w:tcPr>
          <w:p w14:paraId="6600E7BC" w14:textId="77777777" w:rsidR="000449B1" w:rsidRPr="00FB0A3A" w:rsidRDefault="000449B1" w:rsidP="00256761">
            <w:pPr>
              <w:tabs>
                <w:tab w:val="left" w:pos="1134"/>
              </w:tabs>
              <w:cnfStyle w:val="000000000000" w:firstRow="0" w:lastRow="0" w:firstColumn="0" w:lastColumn="0" w:oddVBand="0" w:evenVBand="0" w:oddHBand="0" w:evenHBand="0" w:firstRowFirstColumn="0" w:firstRowLastColumn="0" w:lastRowFirstColumn="0" w:lastRowLastColumn="0"/>
              <w:rPr>
                <w:szCs w:val="18"/>
              </w:rPr>
            </w:pPr>
            <w:r w:rsidRPr="00FB0A3A">
              <w:rPr>
                <w:szCs w:val="18"/>
              </w:rPr>
              <w:t>190</w:t>
            </w:r>
          </w:p>
        </w:tc>
      </w:tr>
      <w:tr w:rsidR="00907AB4" w:rsidRPr="00FB0A3A" w14:paraId="30B7FA29" w14:textId="77777777" w:rsidTr="00256761">
        <w:tc>
          <w:tcPr>
            <w:cnfStyle w:val="001000000000" w:firstRow="0" w:lastRow="0" w:firstColumn="1" w:lastColumn="0" w:oddVBand="0" w:evenVBand="0" w:oddHBand="0" w:evenHBand="0" w:firstRowFirstColumn="0" w:firstRowLastColumn="0" w:lastRowFirstColumn="0" w:lastRowLastColumn="0"/>
            <w:tcW w:w="0" w:type="auto"/>
            <w:noWrap/>
            <w:hideMark/>
          </w:tcPr>
          <w:p w14:paraId="2BB00B48" w14:textId="77777777" w:rsidR="000449B1" w:rsidRPr="00FB0A3A" w:rsidRDefault="000449B1" w:rsidP="00256761">
            <w:pPr>
              <w:tabs>
                <w:tab w:val="left" w:pos="1134"/>
              </w:tabs>
              <w:jc w:val="center"/>
              <w:rPr>
                <w:szCs w:val="18"/>
              </w:rPr>
            </w:pPr>
            <w:r w:rsidRPr="00FB0A3A">
              <w:rPr>
                <w:szCs w:val="18"/>
              </w:rPr>
              <w:t>1.3.4.</w:t>
            </w:r>
          </w:p>
        </w:tc>
        <w:tc>
          <w:tcPr>
            <w:tcW w:w="0" w:type="auto"/>
            <w:hideMark/>
          </w:tcPr>
          <w:p w14:paraId="1BADA10D" w14:textId="77777777" w:rsidR="000449B1" w:rsidRPr="00FB0A3A" w:rsidRDefault="000449B1" w:rsidP="00256761">
            <w:pPr>
              <w:tabs>
                <w:tab w:val="left" w:pos="1134"/>
              </w:tabs>
              <w:jc w:val="left"/>
              <w:cnfStyle w:val="000000000000" w:firstRow="0" w:lastRow="0" w:firstColumn="0" w:lastColumn="0" w:oddVBand="0" w:evenVBand="0" w:oddHBand="0" w:evenHBand="0" w:firstRowFirstColumn="0" w:firstRowLastColumn="0" w:lastRowFirstColumn="0" w:lastRowLastColumn="0"/>
              <w:rPr>
                <w:szCs w:val="18"/>
              </w:rPr>
            </w:pPr>
            <w:r w:rsidRPr="00FB0A3A">
              <w:rPr>
                <w:szCs w:val="18"/>
              </w:rPr>
              <w:t xml:space="preserve">Единовременное вознаграждение ко Дню юбилейной даты (Дню рождения)  работников </w:t>
            </w:r>
          </w:p>
        </w:tc>
        <w:tc>
          <w:tcPr>
            <w:tcW w:w="0" w:type="auto"/>
            <w:noWrap/>
            <w:hideMark/>
          </w:tcPr>
          <w:p w14:paraId="6F0825AB" w14:textId="77777777" w:rsidR="000449B1" w:rsidRPr="00FB0A3A" w:rsidRDefault="000449B1" w:rsidP="00256761">
            <w:pPr>
              <w:tabs>
                <w:tab w:val="left" w:pos="1134"/>
              </w:tabs>
              <w:cnfStyle w:val="000000000000" w:firstRow="0" w:lastRow="0" w:firstColumn="0" w:lastColumn="0" w:oddVBand="0" w:evenVBand="0" w:oddHBand="0" w:evenHBand="0" w:firstRowFirstColumn="0" w:firstRowLastColumn="0" w:lastRowFirstColumn="0" w:lastRowLastColumn="0"/>
              <w:rPr>
                <w:szCs w:val="18"/>
              </w:rPr>
            </w:pPr>
            <w:r w:rsidRPr="00FB0A3A">
              <w:rPr>
                <w:szCs w:val="18"/>
              </w:rPr>
              <w:t>904,52</w:t>
            </w:r>
          </w:p>
        </w:tc>
        <w:tc>
          <w:tcPr>
            <w:tcW w:w="0" w:type="auto"/>
            <w:noWrap/>
            <w:hideMark/>
          </w:tcPr>
          <w:p w14:paraId="269A08EF" w14:textId="77777777" w:rsidR="000449B1" w:rsidRPr="00FB0A3A" w:rsidRDefault="000449B1" w:rsidP="00256761">
            <w:pPr>
              <w:tabs>
                <w:tab w:val="left" w:pos="1134"/>
              </w:tabs>
              <w:cnfStyle w:val="000000000000" w:firstRow="0" w:lastRow="0" w:firstColumn="0" w:lastColumn="0" w:oddVBand="0" w:evenVBand="0" w:oddHBand="0" w:evenHBand="0" w:firstRowFirstColumn="0" w:firstRowLastColumn="0" w:lastRowFirstColumn="0" w:lastRowLastColumn="0"/>
              <w:rPr>
                <w:szCs w:val="18"/>
              </w:rPr>
            </w:pPr>
            <w:r w:rsidRPr="00FB0A3A">
              <w:rPr>
                <w:szCs w:val="18"/>
              </w:rPr>
              <w:t>1 214</w:t>
            </w:r>
          </w:p>
        </w:tc>
        <w:tc>
          <w:tcPr>
            <w:tcW w:w="0" w:type="auto"/>
            <w:noWrap/>
            <w:hideMark/>
          </w:tcPr>
          <w:p w14:paraId="7E557D61" w14:textId="77777777" w:rsidR="000449B1" w:rsidRPr="00FB0A3A" w:rsidRDefault="000449B1" w:rsidP="00256761">
            <w:pPr>
              <w:tabs>
                <w:tab w:val="left" w:pos="1134"/>
              </w:tabs>
              <w:cnfStyle w:val="000000000000" w:firstRow="0" w:lastRow="0" w:firstColumn="0" w:lastColumn="0" w:oddVBand="0" w:evenVBand="0" w:oddHBand="0" w:evenHBand="0" w:firstRowFirstColumn="0" w:firstRowLastColumn="0" w:lastRowFirstColumn="0" w:lastRowLastColumn="0"/>
              <w:rPr>
                <w:szCs w:val="18"/>
              </w:rPr>
            </w:pPr>
            <w:r w:rsidRPr="00FB0A3A">
              <w:rPr>
                <w:szCs w:val="18"/>
              </w:rPr>
              <w:t>972</w:t>
            </w:r>
          </w:p>
        </w:tc>
      </w:tr>
      <w:tr w:rsidR="00907AB4" w:rsidRPr="00FB0A3A" w14:paraId="79A05B00" w14:textId="77777777" w:rsidTr="00256761">
        <w:tc>
          <w:tcPr>
            <w:cnfStyle w:val="001000000000" w:firstRow="0" w:lastRow="0" w:firstColumn="1" w:lastColumn="0" w:oddVBand="0" w:evenVBand="0" w:oddHBand="0" w:evenHBand="0" w:firstRowFirstColumn="0" w:firstRowLastColumn="0" w:lastRowFirstColumn="0" w:lastRowLastColumn="0"/>
            <w:tcW w:w="0" w:type="auto"/>
            <w:noWrap/>
            <w:hideMark/>
          </w:tcPr>
          <w:p w14:paraId="1D04BD8E" w14:textId="77777777" w:rsidR="000449B1" w:rsidRPr="00FB0A3A" w:rsidRDefault="000449B1" w:rsidP="00256761">
            <w:pPr>
              <w:tabs>
                <w:tab w:val="left" w:pos="1134"/>
              </w:tabs>
              <w:jc w:val="center"/>
              <w:rPr>
                <w:szCs w:val="18"/>
              </w:rPr>
            </w:pPr>
            <w:r w:rsidRPr="00FB0A3A">
              <w:rPr>
                <w:szCs w:val="18"/>
              </w:rPr>
              <w:t>1.3.5.</w:t>
            </w:r>
          </w:p>
        </w:tc>
        <w:tc>
          <w:tcPr>
            <w:tcW w:w="0" w:type="auto"/>
            <w:hideMark/>
          </w:tcPr>
          <w:p w14:paraId="59E8AF13" w14:textId="2F6636BB" w:rsidR="000449B1" w:rsidRPr="00FB0A3A" w:rsidRDefault="000449B1" w:rsidP="00256761">
            <w:pPr>
              <w:tabs>
                <w:tab w:val="left" w:pos="1134"/>
              </w:tabs>
              <w:jc w:val="left"/>
              <w:cnfStyle w:val="000000000000" w:firstRow="0" w:lastRow="0" w:firstColumn="0" w:lastColumn="0" w:oddVBand="0" w:evenVBand="0" w:oddHBand="0" w:evenHBand="0" w:firstRowFirstColumn="0" w:firstRowLastColumn="0" w:lastRowFirstColumn="0" w:lastRowLastColumn="0"/>
              <w:rPr>
                <w:szCs w:val="18"/>
              </w:rPr>
            </w:pPr>
            <w:r w:rsidRPr="00FB0A3A">
              <w:rPr>
                <w:szCs w:val="18"/>
              </w:rPr>
              <w:t xml:space="preserve">Единовременные выплаты по Положению о наградах </w:t>
            </w:r>
            <w:r w:rsidR="0025782C" w:rsidRPr="00FB0A3A">
              <w:rPr>
                <w:szCs w:val="18"/>
              </w:rPr>
              <w:t>ПАО «МРСК</w:t>
            </w:r>
            <w:r w:rsidRPr="00FB0A3A">
              <w:rPr>
                <w:szCs w:val="18"/>
              </w:rPr>
              <w:t xml:space="preserve"> Северо-Запада</w:t>
            </w:r>
            <w:r w:rsidR="00655FFA" w:rsidRPr="00FB0A3A">
              <w:rPr>
                <w:szCs w:val="18"/>
              </w:rPr>
              <w:t>»</w:t>
            </w:r>
          </w:p>
        </w:tc>
        <w:tc>
          <w:tcPr>
            <w:tcW w:w="0" w:type="auto"/>
            <w:noWrap/>
            <w:hideMark/>
          </w:tcPr>
          <w:p w14:paraId="4E915879" w14:textId="77777777" w:rsidR="000449B1" w:rsidRPr="00FB0A3A" w:rsidRDefault="000449B1" w:rsidP="00256761">
            <w:pPr>
              <w:tabs>
                <w:tab w:val="left" w:pos="1134"/>
              </w:tabs>
              <w:cnfStyle w:val="000000000000" w:firstRow="0" w:lastRow="0" w:firstColumn="0" w:lastColumn="0" w:oddVBand="0" w:evenVBand="0" w:oddHBand="0" w:evenHBand="0" w:firstRowFirstColumn="0" w:firstRowLastColumn="0" w:lastRowFirstColumn="0" w:lastRowLastColumn="0"/>
              <w:rPr>
                <w:szCs w:val="18"/>
              </w:rPr>
            </w:pPr>
            <w:r w:rsidRPr="00FB0A3A">
              <w:rPr>
                <w:szCs w:val="18"/>
              </w:rPr>
              <w:t>950,71</w:t>
            </w:r>
          </w:p>
        </w:tc>
        <w:tc>
          <w:tcPr>
            <w:tcW w:w="0" w:type="auto"/>
            <w:noWrap/>
            <w:hideMark/>
          </w:tcPr>
          <w:p w14:paraId="38FBFB5D" w14:textId="77777777" w:rsidR="000449B1" w:rsidRPr="00FB0A3A" w:rsidRDefault="000449B1" w:rsidP="00256761">
            <w:pPr>
              <w:tabs>
                <w:tab w:val="left" w:pos="1134"/>
              </w:tabs>
              <w:cnfStyle w:val="000000000000" w:firstRow="0" w:lastRow="0" w:firstColumn="0" w:lastColumn="0" w:oddVBand="0" w:evenVBand="0" w:oddHBand="0" w:evenHBand="0" w:firstRowFirstColumn="0" w:firstRowLastColumn="0" w:lastRowFirstColumn="0" w:lastRowLastColumn="0"/>
              <w:rPr>
                <w:szCs w:val="18"/>
              </w:rPr>
            </w:pPr>
            <w:r w:rsidRPr="00FB0A3A">
              <w:rPr>
                <w:szCs w:val="18"/>
              </w:rPr>
              <w:t>1 028</w:t>
            </w:r>
          </w:p>
        </w:tc>
        <w:tc>
          <w:tcPr>
            <w:tcW w:w="0" w:type="auto"/>
            <w:noWrap/>
            <w:hideMark/>
          </w:tcPr>
          <w:p w14:paraId="35E6FDB8" w14:textId="77777777" w:rsidR="000449B1" w:rsidRPr="00FB0A3A" w:rsidRDefault="000449B1" w:rsidP="00256761">
            <w:pPr>
              <w:tabs>
                <w:tab w:val="left" w:pos="1134"/>
              </w:tabs>
              <w:cnfStyle w:val="000000000000" w:firstRow="0" w:lastRow="0" w:firstColumn="0" w:lastColumn="0" w:oddVBand="0" w:evenVBand="0" w:oddHBand="0" w:evenHBand="0" w:firstRowFirstColumn="0" w:firstRowLastColumn="0" w:lastRowFirstColumn="0" w:lastRowLastColumn="0"/>
              <w:rPr>
                <w:szCs w:val="18"/>
              </w:rPr>
            </w:pPr>
            <w:r w:rsidRPr="00FB0A3A">
              <w:rPr>
                <w:szCs w:val="18"/>
              </w:rPr>
              <w:t>1 022</w:t>
            </w:r>
          </w:p>
        </w:tc>
      </w:tr>
      <w:tr w:rsidR="00907AB4" w:rsidRPr="00FB0A3A" w14:paraId="7366B8AB" w14:textId="77777777" w:rsidTr="00256761">
        <w:tc>
          <w:tcPr>
            <w:cnfStyle w:val="001000000000" w:firstRow="0" w:lastRow="0" w:firstColumn="1" w:lastColumn="0" w:oddVBand="0" w:evenVBand="0" w:oddHBand="0" w:evenHBand="0" w:firstRowFirstColumn="0" w:firstRowLastColumn="0" w:lastRowFirstColumn="0" w:lastRowLastColumn="0"/>
            <w:tcW w:w="0" w:type="auto"/>
            <w:noWrap/>
            <w:hideMark/>
          </w:tcPr>
          <w:p w14:paraId="17D00311" w14:textId="766636CE" w:rsidR="000449B1" w:rsidRPr="00FB0A3A" w:rsidRDefault="000449B1" w:rsidP="00256761">
            <w:pPr>
              <w:tabs>
                <w:tab w:val="left" w:pos="1134"/>
              </w:tabs>
              <w:jc w:val="center"/>
              <w:rPr>
                <w:szCs w:val="18"/>
              </w:rPr>
            </w:pPr>
            <w:r w:rsidRPr="00FB0A3A">
              <w:rPr>
                <w:szCs w:val="18"/>
              </w:rPr>
              <w:t>1.3.6.</w:t>
            </w:r>
          </w:p>
        </w:tc>
        <w:tc>
          <w:tcPr>
            <w:tcW w:w="0" w:type="auto"/>
            <w:hideMark/>
          </w:tcPr>
          <w:p w14:paraId="22126497" w14:textId="77777777" w:rsidR="000449B1" w:rsidRPr="00FB0A3A" w:rsidRDefault="000449B1" w:rsidP="00256761">
            <w:pPr>
              <w:tabs>
                <w:tab w:val="left" w:pos="1134"/>
              </w:tabs>
              <w:jc w:val="left"/>
              <w:cnfStyle w:val="000000000000" w:firstRow="0" w:lastRow="0" w:firstColumn="0" w:lastColumn="0" w:oddVBand="0" w:evenVBand="0" w:oddHBand="0" w:evenHBand="0" w:firstRowFirstColumn="0" w:firstRowLastColumn="0" w:lastRowFirstColumn="0" w:lastRowLastColumn="0"/>
              <w:rPr>
                <w:szCs w:val="18"/>
              </w:rPr>
            </w:pPr>
            <w:r w:rsidRPr="00FB0A3A">
              <w:rPr>
                <w:szCs w:val="18"/>
              </w:rPr>
              <w:t>Компенсация/возмещение расходов работников по оплате жилого помещения и коммунальных услуг</w:t>
            </w:r>
          </w:p>
        </w:tc>
        <w:tc>
          <w:tcPr>
            <w:tcW w:w="0" w:type="auto"/>
            <w:noWrap/>
            <w:hideMark/>
          </w:tcPr>
          <w:p w14:paraId="36A9BE49" w14:textId="77777777" w:rsidR="000449B1" w:rsidRPr="00FB0A3A" w:rsidRDefault="000449B1" w:rsidP="00256761">
            <w:pPr>
              <w:tabs>
                <w:tab w:val="left" w:pos="1134"/>
              </w:tabs>
              <w:cnfStyle w:val="000000000000" w:firstRow="0" w:lastRow="0" w:firstColumn="0" w:lastColumn="0" w:oddVBand="0" w:evenVBand="0" w:oddHBand="0" w:evenHBand="0" w:firstRowFirstColumn="0" w:firstRowLastColumn="0" w:lastRowFirstColumn="0" w:lastRowLastColumn="0"/>
              <w:rPr>
                <w:szCs w:val="18"/>
              </w:rPr>
            </w:pPr>
            <w:r w:rsidRPr="00FB0A3A">
              <w:rPr>
                <w:szCs w:val="18"/>
              </w:rPr>
              <w:t>1 683,15</w:t>
            </w:r>
          </w:p>
        </w:tc>
        <w:tc>
          <w:tcPr>
            <w:tcW w:w="0" w:type="auto"/>
            <w:noWrap/>
            <w:hideMark/>
          </w:tcPr>
          <w:p w14:paraId="28F5D0A9" w14:textId="77777777" w:rsidR="000449B1" w:rsidRPr="00FB0A3A" w:rsidRDefault="000449B1" w:rsidP="00256761">
            <w:pPr>
              <w:tabs>
                <w:tab w:val="left" w:pos="1134"/>
              </w:tabs>
              <w:cnfStyle w:val="000000000000" w:firstRow="0" w:lastRow="0" w:firstColumn="0" w:lastColumn="0" w:oddVBand="0" w:evenVBand="0" w:oddHBand="0" w:evenHBand="0" w:firstRowFirstColumn="0" w:firstRowLastColumn="0" w:lastRowFirstColumn="0" w:lastRowLastColumn="0"/>
              <w:rPr>
                <w:szCs w:val="18"/>
              </w:rPr>
            </w:pPr>
            <w:r w:rsidRPr="00FB0A3A">
              <w:rPr>
                <w:szCs w:val="18"/>
              </w:rPr>
              <w:t>1 820</w:t>
            </w:r>
          </w:p>
        </w:tc>
        <w:tc>
          <w:tcPr>
            <w:tcW w:w="0" w:type="auto"/>
            <w:noWrap/>
            <w:hideMark/>
          </w:tcPr>
          <w:p w14:paraId="7952AA93" w14:textId="5A2423D5" w:rsidR="000449B1" w:rsidRPr="00FB0A3A" w:rsidRDefault="000449B1" w:rsidP="00256761">
            <w:pPr>
              <w:tabs>
                <w:tab w:val="left" w:pos="1134"/>
              </w:tabs>
              <w:cnfStyle w:val="000000000000" w:firstRow="0" w:lastRow="0" w:firstColumn="0" w:lastColumn="0" w:oddVBand="0" w:evenVBand="0" w:oddHBand="0" w:evenHBand="0" w:firstRowFirstColumn="0" w:firstRowLastColumn="0" w:lastRowFirstColumn="0" w:lastRowLastColumn="0"/>
              <w:rPr>
                <w:szCs w:val="18"/>
              </w:rPr>
            </w:pPr>
            <w:r w:rsidRPr="00FB0A3A">
              <w:rPr>
                <w:szCs w:val="18"/>
              </w:rPr>
              <w:t>0</w:t>
            </w:r>
          </w:p>
        </w:tc>
      </w:tr>
      <w:tr w:rsidR="00907AB4" w:rsidRPr="00FB0A3A" w14:paraId="5CE71FC0" w14:textId="77777777" w:rsidTr="00256761">
        <w:tc>
          <w:tcPr>
            <w:cnfStyle w:val="001000000000" w:firstRow="0" w:lastRow="0" w:firstColumn="1" w:lastColumn="0" w:oddVBand="0" w:evenVBand="0" w:oddHBand="0" w:evenHBand="0" w:firstRowFirstColumn="0" w:firstRowLastColumn="0" w:lastRowFirstColumn="0" w:lastRowLastColumn="0"/>
            <w:tcW w:w="0" w:type="auto"/>
            <w:noWrap/>
            <w:hideMark/>
          </w:tcPr>
          <w:p w14:paraId="46C76E48" w14:textId="45B761E6" w:rsidR="000449B1" w:rsidRPr="00FB0A3A" w:rsidRDefault="000449B1" w:rsidP="00256761">
            <w:pPr>
              <w:tabs>
                <w:tab w:val="left" w:pos="1134"/>
              </w:tabs>
              <w:jc w:val="center"/>
              <w:rPr>
                <w:szCs w:val="18"/>
              </w:rPr>
            </w:pPr>
            <w:r w:rsidRPr="00FB0A3A">
              <w:rPr>
                <w:szCs w:val="18"/>
              </w:rPr>
              <w:t>1.3.7.</w:t>
            </w:r>
          </w:p>
        </w:tc>
        <w:tc>
          <w:tcPr>
            <w:tcW w:w="0" w:type="auto"/>
            <w:hideMark/>
          </w:tcPr>
          <w:p w14:paraId="6BDEAB3A" w14:textId="77777777" w:rsidR="000449B1" w:rsidRPr="00FB0A3A" w:rsidRDefault="000449B1" w:rsidP="00256761">
            <w:pPr>
              <w:tabs>
                <w:tab w:val="left" w:pos="1134"/>
              </w:tabs>
              <w:jc w:val="left"/>
              <w:cnfStyle w:val="000000000000" w:firstRow="0" w:lastRow="0" w:firstColumn="0" w:lastColumn="0" w:oddVBand="0" w:evenVBand="0" w:oddHBand="0" w:evenHBand="0" w:firstRowFirstColumn="0" w:firstRowLastColumn="0" w:lastRowFirstColumn="0" w:lastRowLastColumn="0"/>
              <w:rPr>
                <w:szCs w:val="18"/>
              </w:rPr>
            </w:pPr>
            <w:r w:rsidRPr="00FB0A3A">
              <w:rPr>
                <w:szCs w:val="18"/>
              </w:rPr>
              <w:t>Подарки работникам (неденежная форма заработной платы из прибыли)</w:t>
            </w:r>
          </w:p>
        </w:tc>
        <w:tc>
          <w:tcPr>
            <w:tcW w:w="0" w:type="auto"/>
            <w:noWrap/>
            <w:hideMark/>
          </w:tcPr>
          <w:p w14:paraId="585BBF90" w14:textId="77777777" w:rsidR="000449B1" w:rsidRPr="00FB0A3A" w:rsidRDefault="000449B1" w:rsidP="00256761">
            <w:pPr>
              <w:tabs>
                <w:tab w:val="left" w:pos="1134"/>
              </w:tabs>
              <w:cnfStyle w:val="000000000000" w:firstRow="0" w:lastRow="0" w:firstColumn="0" w:lastColumn="0" w:oddVBand="0" w:evenVBand="0" w:oddHBand="0" w:evenHBand="0" w:firstRowFirstColumn="0" w:firstRowLastColumn="0" w:lastRowFirstColumn="0" w:lastRowLastColumn="0"/>
              <w:rPr>
                <w:szCs w:val="18"/>
              </w:rPr>
            </w:pPr>
            <w:r w:rsidRPr="00FB0A3A">
              <w:rPr>
                <w:szCs w:val="18"/>
              </w:rPr>
              <w:t>12,68</w:t>
            </w:r>
          </w:p>
        </w:tc>
        <w:tc>
          <w:tcPr>
            <w:tcW w:w="0" w:type="auto"/>
            <w:noWrap/>
            <w:hideMark/>
          </w:tcPr>
          <w:p w14:paraId="52D0DBF1" w14:textId="77777777" w:rsidR="000449B1" w:rsidRPr="00FB0A3A" w:rsidRDefault="000449B1" w:rsidP="00256761">
            <w:pPr>
              <w:tabs>
                <w:tab w:val="left" w:pos="1134"/>
              </w:tabs>
              <w:cnfStyle w:val="000000000000" w:firstRow="0" w:lastRow="0" w:firstColumn="0" w:lastColumn="0" w:oddVBand="0" w:evenVBand="0" w:oddHBand="0" w:evenHBand="0" w:firstRowFirstColumn="0" w:firstRowLastColumn="0" w:lastRowFirstColumn="0" w:lastRowLastColumn="0"/>
              <w:rPr>
                <w:szCs w:val="18"/>
              </w:rPr>
            </w:pPr>
            <w:r w:rsidRPr="00FB0A3A">
              <w:rPr>
                <w:szCs w:val="18"/>
              </w:rPr>
              <w:t>79</w:t>
            </w:r>
          </w:p>
        </w:tc>
        <w:tc>
          <w:tcPr>
            <w:tcW w:w="0" w:type="auto"/>
            <w:noWrap/>
            <w:hideMark/>
          </w:tcPr>
          <w:p w14:paraId="31928438" w14:textId="377F9253" w:rsidR="000449B1" w:rsidRPr="00FB0A3A" w:rsidRDefault="000449B1" w:rsidP="00256761">
            <w:pPr>
              <w:tabs>
                <w:tab w:val="left" w:pos="1134"/>
              </w:tabs>
              <w:cnfStyle w:val="000000000000" w:firstRow="0" w:lastRow="0" w:firstColumn="0" w:lastColumn="0" w:oddVBand="0" w:evenVBand="0" w:oddHBand="0" w:evenHBand="0" w:firstRowFirstColumn="0" w:firstRowLastColumn="0" w:lastRowFirstColumn="0" w:lastRowLastColumn="0"/>
              <w:rPr>
                <w:szCs w:val="18"/>
              </w:rPr>
            </w:pPr>
            <w:r w:rsidRPr="00FB0A3A">
              <w:rPr>
                <w:szCs w:val="18"/>
              </w:rPr>
              <w:t>0</w:t>
            </w:r>
          </w:p>
        </w:tc>
      </w:tr>
      <w:tr w:rsidR="00907AB4" w:rsidRPr="00FB0A3A" w14:paraId="57A778D6" w14:textId="77777777" w:rsidTr="00256761">
        <w:tc>
          <w:tcPr>
            <w:cnfStyle w:val="001000000000" w:firstRow="0" w:lastRow="0" w:firstColumn="1" w:lastColumn="0" w:oddVBand="0" w:evenVBand="0" w:oddHBand="0" w:evenHBand="0" w:firstRowFirstColumn="0" w:firstRowLastColumn="0" w:lastRowFirstColumn="0" w:lastRowLastColumn="0"/>
            <w:tcW w:w="0" w:type="auto"/>
            <w:noWrap/>
            <w:hideMark/>
          </w:tcPr>
          <w:p w14:paraId="29B9E690" w14:textId="2D9B4EDD" w:rsidR="000449B1" w:rsidRPr="00FB0A3A" w:rsidRDefault="000449B1" w:rsidP="00256761">
            <w:pPr>
              <w:tabs>
                <w:tab w:val="left" w:pos="1134"/>
              </w:tabs>
              <w:jc w:val="center"/>
              <w:rPr>
                <w:szCs w:val="18"/>
              </w:rPr>
            </w:pPr>
            <w:r w:rsidRPr="00FB0A3A">
              <w:rPr>
                <w:szCs w:val="18"/>
              </w:rPr>
              <w:t>1.3.8.</w:t>
            </w:r>
          </w:p>
        </w:tc>
        <w:tc>
          <w:tcPr>
            <w:tcW w:w="0" w:type="auto"/>
            <w:hideMark/>
          </w:tcPr>
          <w:p w14:paraId="5BCEE5AC" w14:textId="36C6B59B" w:rsidR="000449B1" w:rsidRPr="00FB0A3A" w:rsidRDefault="000449B1" w:rsidP="00256761">
            <w:pPr>
              <w:tabs>
                <w:tab w:val="left" w:pos="1134"/>
              </w:tabs>
              <w:jc w:val="left"/>
              <w:cnfStyle w:val="000000000000" w:firstRow="0" w:lastRow="0" w:firstColumn="0" w:lastColumn="0" w:oddVBand="0" w:evenVBand="0" w:oddHBand="0" w:evenHBand="0" w:firstRowFirstColumn="0" w:firstRowLastColumn="0" w:lastRowFirstColumn="0" w:lastRowLastColumn="0"/>
              <w:rPr>
                <w:szCs w:val="18"/>
              </w:rPr>
            </w:pPr>
            <w:r w:rsidRPr="00FB0A3A">
              <w:rPr>
                <w:szCs w:val="18"/>
              </w:rPr>
              <w:t>Прочие</w:t>
            </w:r>
            <w:r w:rsidR="006817B9" w:rsidRPr="00FB0A3A">
              <w:rPr>
                <w:szCs w:val="18"/>
              </w:rPr>
              <w:t xml:space="preserve"> ИА</w:t>
            </w:r>
          </w:p>
        </w:tc>
        <w:tc>
          <w:tcPr>
            <w:tcW w:w="0" w:type="auto"/>
            <w:noWrap/>
            <w:hideMark/>
          </w:tcPr>
          <w:p w14:paraId="2B4DDCA4" w14:textId="77777777" w:rsidR="000449B1" w:rsidRPr="00FB0A3A" w:rsidRDefault="000449B1" w:rsidP="00256761">
            <w:pPr>
              <w:tabs>
                <w:tab w:val="left" w:pos="1134"/>
              </w:tabs>
              <w:cnfStyle w:val="000000000000" w:firstRow="0" w:lastRow="0" w:firstColumn="0" w:lastColumn="0" w:oddVBand="0" w:evenVBand="0" w:oddHBand="0" w:evenHBand="0" w:firstRowFirstColumn="0" w:firstRowLastColumn="0" w:lastRowFirstColumn="0" w:lastRowLastColumn="0"/>
              <w:rPr>
                <w:szCs w:val="18"/>
              </w:rPr>
            </w:pPr>
            <w:r w:rsidRPr="00FB0A3A">
              <w:rPr>
                <w:szCs w:val="18"/>
              </w:rPr>
              <w:t>2 972,21</w:t>
            </w:r>
          </w:p>
        </w:tc>
        <w:tc>
          <w:tcPr>
            <w:tcW w:w="0" w:type="auto"/>
            <w:noWrap/>
            <w:hideMark/>
          </w:tcPr>
          <w:p w14:paraId="65163B4B" w14:textId="77777777" w:rsidR="000449B1" w:rsidRPr="00FB0A3A" w:rsidRDefault="000449B1" w:rsidP="00256761">
            <w:pPr>
              <w:tabs>
                <w:tab w:val="left" w:pos="1134"/>
              </w:tabs>
              <w:cnfStyle w:val="000000000000" w:firstRow="0" w:lastRow="0" w:firstColumn="0" w:lastColumn="0" w:oddVBand="0" w:evenVBand="0" w:oddHBand="0" w:evenHBand="0" w:firstRowFirstColumn="0" w:firstRowLastColumn="0" w:lastRowFirstColumn="0" w:lastRowLastColumn="0"/>
              <w:rPr>
                <w:szCs w:val="18"/>
              </w:rPr>
            </w:pPr>
            <w:r w:rsidRPr="00FB0A3A">
              <w:rPr>
                <w:szCs w:val="18"/>
              </w:rPr>
              <w:t>2 973</w:t>
            </w:r>
          </w:p>
        </w:tc>
        <w:tc>
          <w:tcPr>
            <w:tcW w:w="0" w:type="auto"/>
            <w:noWrap/>
            <w:hideMark/>
          </w:tcPr>
          <w:p w14:paraId="20EDA389" w14:textId="341D3BDE" w:rsidR="000449B1" w:rsidRPr="00FB0A3A" w:rsidRDefault="000449B1" w:rsidP="00256761">
            <w:pPr>
              <w:tabs>
                <w:tab w:val="left" w:pos="1134"/>
              </w:tabs>
              <w:cnfStyle w:val="000000000000" w:firstRow="0" w:lastRow="0" w:firstColumn="0" w:lastColumn="0" w:oddVBand="0" w:evenVBand="0" w:oddHBand="0" w:evenHBand="0" w:firstRowFirstColumn="0" w:firstRowLastColumn="0" w:lastRowFirstColumn="0" w:lastRowLastColumn="0"/>
              <w:rPr>
                <w:szCs w:val="18"/>
              </w:rPr>
            </w:pPr>
            <w:r w:rsidRPr="00FB0A3A">
              <w:rPr>
                <w:szCs w:val="18"/>
              </w:rPr>
              <w:t>0</w:t>
            </w:r>
          </w:p>
        </w:tc>
      </w:tr>
    </w:tbl>
    <w:p w14:paraId="0956E86B" w14:textId="6B70FD63" w:rsidR="000449B1" w:rsidRPr="00FB0A3A" w:rsidRDefault="000449B1" w:rsidP="00A31747">
      <w:pPr>
        <w:tabs>
          <w:tab w:val="left" w:pos="1134"/>
        </w:tabs>
        <w:autoSpaceDE w:val="0"/>
        <w:autoSpaceDN w:val="0"/>
        <w:adjustRightInd w:val="0"/>
        <w:spacing w:after="0" w:line="360" w:lineRule="auto"/>
        <w:ind w:firstLine="567"/>
        <w:jc w:val="both"/>
        <w:rPr>
          <w:rFonts w:ascii="Myriad Pro" w:hAnsi="Myriad Pro"/>
          <w:sz w:val="20"/>
          <w:szCs w:val="20"/>
        </w:rPr>
      </w:pPr>
    </w:p>
    <w:p w14:paraId="105A2CF1" w14:textId="0F94C978" w:rsidR="004A6C88" w:rsidRPr="00FB0A3A" w:rsidRDefault="006817B9" w:rsidP="00A31747">
      <w:pPr>
        <w:tabs>
          <w:tab w:val="left" w:pos="1134"/>
        </w:tabs>
        <w:autoSpaceDE w:val="0"/>
        <w:autoSpaceDN w:val="0"/>
        <w:adjustRightInd w:val="0"/>
        <w:spacing w:after="0" w:line="360" w:lineRule="auto"/>
        <w:ind w:firstLine="567"/>
        <w:jc w:val="both"/>
        <w:rPr>
          <w:rFonts w:ascii="Myriad Pro" w:hAnsi="Myriad Pro"/>
          <w:sz w:val="26"/>
          <w:szCs w:val="26"/>
        </w:rPr>
      </w:pPr>
      <w:r w:rsidRPr="00FB0A3A">
        <w:rPr>
          <w:rFonts w:ascii="Myriad Pro" w:hAnsi="Myriad Pro"/>
          <w:sz w:val="26"/>
          <w:szCs w:val="26"/>
        </w:rPr>
        <w:lastRenderedPageBreak/>
        <w:t xml:space="preserve">Исполнителем </w:t>
      </w:r>
      <w:r w:rsidR="00FB7BE9" w:rsidRPr="00FB0A3A">
        <w:rPr>
          <w:rFonts w:ascii="Myriad Pro" w:hAnsi="Myriad Pro"/>
          <w:sz w:val="26"/>
          <w:szCs w:val="26"/>
        </w:rPr>
        <w:t>плановые расходы на 2019 год учтены с учетом экономически обоснованных расходов за 2017 год</w:t>
      </w:r>
      <w:r w:rsidR="0014022B" w:rsidRPr="00FB0A3A">
        <w:rPr>
          <w:rFonts w:ascii="Myriad Pro" w:hAnsi="Myriad Pro"/>
          <w:sz w:val="26"/>
          <w:szCs w:val="26"/>
        </w:rPr>
        <w:t xml:space="preserve"> в размере 26 862,0 тыс. руб.</w:t>
      </w:r>
      <w:r w:rsidR="00FB7BE9" w:rsidRPr="00FB0A3A">
        <w:rPr>
          <w:rFonts w:ascii="Myriad Pro" w:hAnsi="Myriad Pro"/>
          <w:sz w:val="26"/>
          <w:szCs w:val="26"/>
        </w:rPr>
        <w:t xml:space="preserve"> </w:t>
      </w:r>
      <w:r w:rsidR="00046479" w:rsidRPr="00FB0A3A">
        <w:rPr>
          <w:rFonts w:ascii="Myriad Pro" w:hAnsi="Myriad Pro"/>
          <w:sz w:val="26"/>
          <w:szCs w:val="26"/>
        </w:rPr>
        <w:t>и индексов потребительских цен.</w:t>
      </w:r>
    </w:p>
    <w:p w14:paraId="5C1AE9E7" w14:textId="3B77FF74" w:rsidR="00642125" w:rsidRPr="00FB0A3A" w:rsidRDefault="004A6C88" w:rsidP="00A31747">
      <w:pPr>
        <w:tabs>
          <w:tab w:val="left" w:pos="1134"/>
        </w:tabs>
        <w:autoSpaceDE w:val="0"/>
        <w:autoSpaceDN w:val="0"/>
        <w:adjustRightInd w:val="0"/>
        <w:spacing w:after="0" w:line="360" w:lineRule="auto"/>
        <w:ind w:firstLine="567"/>
        <w:jc w:val="both"/>
        <w:rPr>
          <w:rFonts w:ascii="Myriad Pro" w:hAnsi="Myriad Pro"/>
          <w:sz w:val="26"/>
          <w:szCs w:val="26"/>
        </w:rPr>
      </w:pPr>
      <w:r w:rsidRPr="00FB0A3A">
        <w:rPr>
          <w:rFonts w:ascii="Myriad Pro" w:hAnsi="Myriad Pro"/>
          <w:sz w:val="26"/>
          <w:szCs w:val="26"/>
        </w:rPr>
        <w:t xml:space="preserve">Исполнителем не учтены расходы на ДМС членам семьи работников, подарки для детей работников, расходы на оплату стоимости проезда в Крым, компенсация расходов работников по оплате жилого помещения и коммунальных услуг, </w:t>
      </w:r>
      <w:r w:rsidR="009666C8" w:rsidRPr="00FB0A3A">
        <w:rPr>
          <w:rFonts w:ascii="Myriad Pro" w:hAnsi="Myriad Pro"/>
          <w:sz w:val="26"/>
          <w:szCs w:val="26"/>
        </w:rPr>
        <w:t>электроэнергия работникам (50%-</w:t>
      </w:r>
      <w:r w:rsidRPr="00FB0A3A">
        <w:rPr>
          <w:rFonts w:ascii="Myriad Pro" w:hAnsi="Myriad Pro"/>
          <w:sz w:val="26"/>
          <w:szCs w:val="26"/>
        </w:rPr>
        <w:t xml:space="preserve">я скидка), прочие расходы из прибыли. </w:t>
      </w:r>
      <w:r w:rsidRPr="001835E4">
        <w:rPr>
          <w:rFonts w:ascii="Myriad Pro" w:hAnsi="Myriad Pro"/>
          <w:sz w:val="26"/>
          <w:szCs w:val="26"/>
        </w:rPr>
        <w:t>Указанные выплаты Филиалу необходимо предусмотреть исходя из финансовых возможностей.</w:t>
      </w:r>
    </w:p>
    <w:p w14:paraId="4166DA27" w14:textId="77777777" w:rsidR="00497D82" w:rsidRPr="00FB0A3A" w:rsidRDefault="00497D82"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Филиалом были заявлены расходы из прибыли на прочие цели в размере 106 941,40 тыс. руб., в том числе:</w:t>
      </w:r>
    </w:p>
    <w:p w14:paraId="21CBEAE7" w14:textId="463D42BC" w:rsidR="00497D82" w:rsidRPr="00FB0A3A" w:rsidRDefault="00497D82" w:rsidP="009B0BC1">
      <w:pPr>
        <w:pStyle w:val="a4"/>
        <w:numPr>
          <w:ilvl w:val="2"/>
          <w:numId w:val="56"/>
        </w:numPr>
        <w:tabs>
          <w:tab w:val="clear" w:pos="720"/>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убытки прошлых лет, выявленные в отчетном году в размере 41 295 тыс. руб.;</w:t>
      </w:r>
    </w:p>
    <w:p w14:paraId="26FF6681" w14:textId="046E4E5B" w:rsidR="00497D82" w:rsidRPr="00FB0A3A" w:rsidRDefault="00497D82" w:rsidP="009B0BC1">
      <w:pPr>
        <w:pStyle w:val="a4"/>
        <w:numPr>
          <w:ilvl w:val="2"/>
          <w:numId w:val="56"/>
        </w:numPr>
        <w:tabs>
          <w:tab w:val="clear" w:pos="720"/>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пени, штрафы, неустойки в размере 15 989 тыс. руб.;</w:t>
      </w:r>
    </w:p>
    <w:p w14:paraId="2F0C1A63" w14:textId="559DBF56" w:rsidR="00497D82" w:rsidRPr="00FB0A3A" w:rsidRDefault="00497D82" w:rsidP="009B0BC1">
      <w:pPr>
        <w:pStyle w:val="a4"/>
        <w:numPr>
          <w:ilvl w:val="2"/>
          <w:numId w:val="56"/>
        </w:numPr>
        <w:tabs>
          <w:tab w:val="clear" w:pos="720"/>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судебные расходы в размере 3007 тыс. руб.;</w:t>
      </w:r>
    </w:p>
    <w:p w14:paraId="7E5D124A" w14:textId="5AA7369F" w:rsidR="00497D82" w:rsidRPr="00FB0A3A" w:rsidRDefault="00497D82" w:rsidP="009B0BC1">
      <w:pPr>
        <w:pStyle w:val="a4"/>
        <w:numPr>
          <w:ilvl w:val="2"/>
          <w:numId w:val="56"/>
        </w:numPr>
        <w:tabs>
          <w:tab w:val="clear" w:pos="720"/>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прочие расходы из прибыли в размере 46 650,4 тыс. руб.</w:t>
      </w:r>
    </w:p>
    <w:p w14:paraId="54C7AE8E" w14:textId="77777777" w:rsidR="00497D82" w:rsidRPr="00FB0A3A" w:rsidRDefault="00497D82" w:rsidP="00A31747">
      <w:pPr>
        <w:tabs>
          <w:tab w:val="left" w:pos="1134"/>
        </w:tabs>
        <w:spacing w:after="0" w:line="360" w:lineRule="auto"/>
        <w:ind w:firstLine="567"/>
        <w:contextualSpacing/>
        <w:jc w:val="both"/>
        <w:rPr>
          <w:rFonts w:ascii="Myriad Pro" w:hAnsi="Myriad Pro"/>
          <w:sz w:val="26"/>
          <w:szCs w:val="26"/>
        </w:rPr>
      </w:pPr>
      <w:r w:rsidRPr="00FB0A3A">
        <w:rPr>
          <w:rFonts w:ascii="Myriad Pro" w:eastAsia="Calibri" w:hAnsi="Myriad Pro" w:cs="Times New Roman"/>
          <w:sz w:val="26"/>
          <w:szCs w:val="26"/>
        </w:rPr>
        <w:t xml:space="preserve">Комитетом расходы из прибыли на прочие цели учтены в размере </w:t>
      </w:r>
      <w:r w:rsidRPr="00FB0A3A">
        <w:rPr>
          <w:rFonts w:ascii="Myriad Pro" w:hAnsi="Myriad Pro"/>
          <w:sz w:val="26"/>
          <w:szCs w:val="26"/>
        </w:rPr>
        <w:t>38 957,45 тыс. руб. (ЭОУ), без расшифровки расходов.</w:t>
      </w:r>
    </w:p>
    <w:p w14:paraId="25938276" w14:textId="508A4521" w:rsidR="007A4C55" w:rsidRPr="00FB0A3A" w:rsidRDefault="007A4C55" w:rsidP="00A31747">
      <w:pPr>
        <w:tabs>
          <w:tab w:val="left" w:pos="1134"/>
        </w:tabs>
        <w:autoSpaceDE w:val="0"/>
        <w:autoSpaceDN w:val="0"/>
        <w:adjustRightInd w:val="0"/>
        <w:spacing w:after="0" w:line="360" w:lineRule="auto"/>
        <w:ind w:firstLine="567"/>
        <w:jc w:val="both"/>
        <w:rPr>
          <w:rFonts w:ascii="Myriad Pro" w:hAnsi="Myriad Pro"/>
          <w:sz w:val="26"/>
          <w:szCs w:val="26"/>
        </w:rPr>
      </w:pPr>
      <w:r w:rsidRPr="00FB0A3A">
        <w:rPr>
          <w:rFonts w:ascii="Myriad Pro" w:hAnsi="Myriad Pro"/>
          <w:sz w:val="26"/>
          <w:szCs w:val="26"/>
        </w:rPr>
        <w:t>В соответствии</w:t>
      </w:r>
      <w:r w:rsidR="00A540C2" w:rsidRPr="00FB0A3A">
        <w:rPr>
          <w:rFonts w:ascii="Myriad Pro" w:hAnsi="Myriad Pro"/>
          <w:sz w:val="26"/>
          <w:szCs w:val="26"/>
        </w:rPr>
        <w:t xml:space="preserve"> со статьей 28 Федеральный закон от 12 января 1996 г. </w:t>
      </w:r>
      <w:r w:rsidR="00813339" w:rsidRPr="00FB0A3A">
        <w:rPr>
          <w:rFonts w:ascii="Myriad Pro" w:hAnsi="Myriad Pro"/>
          <w:sz w:val="26"/>
          <w:szCs w:val="26"/>
        </w:rPr>
        <w:t>№</w:t>
      </w:r>
      <w:r w:rsidR="00A540C2" w:rsidRPr="00FB0A3A">
        <w:rPr>
          <w:rFonts w:ascii="Myriad Pro" w:hAnsi="Myriad Pro"/>
          <w:sz w:val="26"/>
          <w:szCs w:val="26"/>
        </w:rPr>
        <w:t xml:space="preserve"> 10-ФЗ </w:t>
      </w:r>
      <w:r w:rsidR="00655FFA" w:rsidRPr="00FB0A3A">
        <w:rPr>
          <w:rFonts w:ascii="Myriad Pro" w:hAnsi="Myriad Pro"/>
          <w:sz w:val="26"/>
          <w:szCs w:val="26"/>
        </w:rPr>
        <w:t>«</w:t>
      </w:r>
      <w:r w:rsidR="00A540C2" w:rsidRPr="00FB0A3A">
        <w:rPr>
          <w:rFonts w:ascii="Myriad Pro" w:hAnsi="Myriad Pro"/>
          <w:sz w:val="26"/>
          <w:szCs w:val="26"/>
        </w:rPr>
        <w:t>О профессиональных союзах, их правах и гарантиях деятельности</w:t>
      </w:r>
      <w:r w:rsidR="00655FFA" w:rsidRPr="00FB0A3A">
        <w:rPr>
          <w:rFonts w:ascii="Myriad Pro" w:hAnsi="Myriad Pro"/>
          <w:sz w:val="26"/>
          <w:szCs w:val="26"/>
        </w:rPr>
        <w:t>»</w:t>
      </w:r>
      <w:r w:rsidR="00A540C2" w:rsidRPr="00FB0A3A">
        <w:rPr>
          <w:rFonts w:ascii="Myriad Pro" w:hAnsi="Myriad Pro"/>
          <w:sz w:val="26"/>
          <w:szCs w:val="26"/>
        </w:rPr>
        <w:t xml:space="preserve"> </w:t>
      </w:r>
      <w:r w:rsidRPr="00FB0A3A">
        <w:rPr>
          <w:rFonts w:ascii="Myriad Pro" w:hAnsi="Myriad Pro"/>
          <w:sz w:val="26"/>
          <w:szCs w:val="26"/>
        </w:rPr>
        <w:t>работодатель ежемесячно и бесплатно перечисляет на счет профсоюза членские профсоюзные взносы из заработной платы работников в соответствии с коллективным договором, соглашением. Работодатель не вправе задерживать перечисление указанных средств.</w:t>
      </w:r>
    </w:p>
    <w:p w14:paraId="76972AD7" w14:textId="1006688E" w:rsidR="00A66081" w:rsidRPr="00FB0A3A" w:rsidRDefault="00A540C2"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hAnsi="Myriad Pro"/>
          <w:sz w:val="26"/>
          <w:szCs w:val="26"/>
        </w:rPr>
        <w:t>Согласно п.</w:t>
      </w:r>
      <w:r w:rsidR="00A66081" w:rsidRPr="00FB0A3A">
        <w:rPr>
          <w:rFonts w:ascii="Myriad Pro" w:hAnsi="Myriad Pro"/>
          <w:sz w:val="26"/>
          <w:szCs w:val="26"/>
        </w:rPr>
        <w:t xml:space="preserve">7.2.5. </w:t>
      </w:r>
      <w:r w:rsidRPr="00FB0A3A">
        <w:rPr>
          <w:rFonts w:ascii="Myriad Pro" w:hAnsi="Myriad Pro"/>
          <w:sz w:val="26"/>
          <w:szCs w:val="26"/>
        </w:rPr>
        <w:t xml:space="preserve">Коллективного договора ПАО </w:t>
      </w:r>
      <w:r w:rsidR="00655FFA" w:rsidRPr="00FB0A3A">
        <w:rPr>
          <w:rFonts w:ascii="Myriad Pro" w:hAnsi="Myriad Pro"/>
          <w:sz w:val="26"/>
          <w:szCs w:val="26"/>
        </w:rPr>
        <w:t>«</w:t>
      </w:r>
      <w:r w:rsidRPr="00FB0A3A">
        <w:rPr>
          <w:rFonts w:ascii="Myriad Pro" w:hAnsi="Myriad Pro"/>
          <w:sz w:val="26"/>
          <w:szCs w:val="26"/>
        </w:rPr>
        <w:t>МРСК Северо-Запада</w:t>
      </w:r>
      <w:r w:rsidR="00655FFA" w:rsidRPr="00FB0A3A">
        <w:rPr>
          <w:rFonts w:ascii="Myriad Pro" w:hAnsi="Myriad Pro"/>
          <w:sz w:val="26"/>
          <w:szCs w:val="26"/>
        </w:rPr>
        <w:t>»</w:t>
      </w:r>
      <w:r w:rsidRPr="00FB0A3A">
        <w:rPr>
          <w:rFonts w:ascii="Myriad Pro" w:hAnsi="Myriad Pro"/>
          <w:sz w:val="26"/>
          <w:szCs w:val="26"/>
        </w:rPr>
        <w:t xml:space="preserve"> работодатель обязуется е</w:t>
      </w:r>
      <w:r w:rsidR="00A66081" w:rsidRPr="00FB0A3A">
        <w:rPr>
          <w:rFonts w:ascii="Myriad Pro" w:eastAsia="Calibri" w:hAnsi="Myriad Pro" w:cs="Times New Roman"/>
          <w:sz w:val="26"/>
          <w:szCs w:val="26"/>
        </w:rPr>
        <w:t xml:space="preserve">жемесячно перечислять на счета первичных профсоюзных организаций денежные средства в размере не менее чем 0,3 процента от фактического фонда оплаты труда по основной деятельности списочного состава Работников соответствующих филиалов и исполнительного аппарата Общества на культурно – массовую и физкультурно-оздоровительную работу всех Работников Общества и уставную деятельность первичной </w:t>
      </w:r>
      <w:r w:rsidR="00A66081" w:rsidRPr="00FB0A3A">
        <w:rPr>
          <w:rFonts w:ascii="Myriad Pro" w:eastAsia="Calibri" w:hAnsi="Myriad Pro" w:cs="Times New Roman"/>
          <w:sz w:val="26"/>
          <w:szCs w:val="26"/>
        </w:rPr>
        <w:lastRenderedPageBreak/>
        <w:t>профсоюзной организации, обеспечивать проведение данных мероприятий совместно с первичной профсоюзной организацией.</w:t>
      </w:r>
    </w:p>
    <w:p w14:paraId="05A53475" w14:textId="02133EA9" w:rsidR="00A540C2" w:rsidRPr="00FB0A3A" w:rsidRDefault="00A540C2"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 xml:space="preserve">Прочие расходы из прибыли (отчисления с ФОТ в размере 0,3%) Исполнителем рассчитаны с использованием расходов на ФОТ, учтенных </w:t>
      </w:r>
      <w:r w:rsidR="00002273" w:rsidRPr="00FB0A3A">
        <w:rPr>
          <w:rFonts w:ascii="Myriad Pro" w:eastAsia="Calibri" w:hAnsi="Myriad Pro" w:cs="Times New Roman"/>
          <w:sz w:val="26"/>
          <w:szCs w:val="26"/>
        </w:rPr>
        <w:t xml:space="preserve">Исполнителем </w:t>
      </w:r>
      <w:r w:rsidRPr="00FB0A3A">
        <w:rPr>
          <w:rFonts w:ascii="Myriad Pro" w:eastAsia="Calibri" w:hAnsi="Myriad Pro" w:cs="Times New Roman"/>
          <w:sz w:val="26"/>
          <w:szCs w:val="26"/>
        </w:rPr>
        <w:t>в составе необходимой валовой выручки</w:t>
      </w:r>
      <w:r w:rsidR="00002273" w:rsidRPr="00FB0A3A">
        <w:rPr>
          <w:rFonts w:ascii="Myriad Pro" w:eastAsia="Calibri" w:hAnsi="Myriad Pro" w:cs="Times New Roman"/>
          <w:sz w:val="26"/>
          <w:szCs w:val="26"/>
        </w:rPr>
        <w:t>:</w:t>
      </w:r>
    </w:p>
    <w:p w14:paraId="375798EF" w14:textId="3BA4D28D" w:rsidR="00002273" w:rsidRPr="00FB0A3A" w:rsidRDefault="00B765A5" w:rsidP="009666C8">
      <w:pPr>
        <w:tabs>
          <w:tab w:val="left" w:pos="1134"/>
        </w:tabs>
        <w:spacing w:after="0" w:line="360" w:lineRule="auto"/>
        <w:contextualSpacing/>
        <w:jc w:val="center"/>
        <w:rPr>
          <w:rFonts w:ascii="Myriad Pro" w:eastAsia="Calibri" w:hAnsi="Myriad Pro" w:cs="Times New Roman"/>
          <w:sz w:val="26"/>
          <w:szCs w:val="26"/>
        </w:rPr>
      </w:pPr>
      <w:r w:rsidRPr="00FB0A3A">
        <w:rPr>
          <w:rFonts w:ascii="Myriad Pro" w:eastAsia="Calibri" w:hAnsi="Myriad Pro" w:cs="Times New Roman"/>
          <w:sz w:val="26"/>
          <w:szCs w:val="26"/>
        </w:rPr>
        <w:t>0,3% * 1</w:t>
      </w:r>
      <w:r w:rsidR="001A2D69" w:rsidRPr="00FB0A3A">
        <w:rPr>
          <w:rFonts w:ascii="Myriad Pro" w:eastAsia="Calibri" w:hAnsi="Myriad Pro" w:cs="Times New Roman"/>
          <w:sz w:val="26"/>
          <w:szCs w:val="26"/>
        </w:rPr>
        <w:t> </w:t>
      </w:r>
      <w:r w:rsidRPr="00FB0A3A">
        <w:rPr>
          <w:rFonts w:ascii="Myriad Pro" w:eastAsia="Calibri" w:hAnsi="Myriad Pro" w:cs="Times New Roman"/>
          <w:sz w:val="26"/>
          <w:szCs w:val="26"/>
        </w:rPr>
        <w:t>0</w:t>
      </w:r>
      <w:r w:rsidR="001A2D69" w:rsidRPr="00FB0A3A">
        <w:rPr>
          <w:rFonts w:ascii="Myriad Pro" w:eastAsia="Calibri" w:hAnsi="Myriad Pro" w:cs="Times New Roman"/>
          <w:sz w:val="26"/>
          <w:szCs w:val="26"/>
        </w:rPr>
        <w:t>54 083,93</w:t>
      </w:r>
      <w:r w:rsidRPr="00FB0A3A">
        <w:rPr>
          <w:rFonts w:ascii="Myriad Pro" w:eastAsia="Calibri" w:hAnsi="Myriad Pro" w:cs="Times New Roman"/>
          <w:sz w:val="26"/>
          <w:szCs w:val="26"/>
        </w:rPr>
        <w:t xml:space="preserve"> тыс. руб. = 3</w:t>
      </w:r>
      <w:r w:rsidR="001A2D69" w:rsidRPr="00FB0A3A">
        <w:rPr>
          <w:rFonts w:ascii="Myriad Pro" w:eastAsia="Calibri" w:hAnsi="Myriad Pro" w:cs="Times New Roman"/>
          <w:sz w:val="26"/>
          <w:szCs w:val="26"/>
        </w:rPr>
        <w:t> 162,25</w:t>
      </w:r>
      <w:r w:rsidR="00002273" w:rsidRPr="00FB0A3A">
        <w:rPr>
          <w:rFonts w:ascii="Myriad Pro" w:eastAsia="Calibri" w:hAnsi="Myriad Pro" w:cs="Times New Roman"/>
          <w:sz w:val="26"/>
          <w:szCs w:val="26"/>
        </w:rPr>
        <w:t xml:space="preserve"> тыс. руб.</w:t>
      </w:r>
    </w:p>
    <w:p w14:paraId="5B3E3B8D" w14:textId="608A53F5" w:rsidR="00FB7BE9" w:rsidRPr="00FB0A3A" w:rsidRDefault="00FB7BE9"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По мнению Исполнителя</w:t>
      </w:r>
      <w:r w:rsidR="00235E11" w:rsidRPr="00FB0A3A">
        <w:rPr>
          <w:rFonts w:ascii="Myriad Pro" w:eastAsia="Calibri" w:hAnsi="Myriad Pro" w:cs="Times New Roman"/>
          <w:sz w:val="26"/>
          <w:szCs w:val="26"/>
        </w:rPr>
        <w:t>,</w:t>
      </w:r>
      <w:r w:rsidRPr="00FB0A3A">
        <w:rPr>
          <w:rFonts w:ascii="Myriad Pro" w:eastAsia="Calibri" w:hAnsi="Myriad Pro" w:cs="Times New Roman"/>
          <w:sz w:val="26"/>
          <w:szCs w:val="26"/>
        </w:rPr>
        <w:t xml:space="preserve"> учет плановых расходов из прибыли в части убытков прошлых лет без экономического обоснования причин убытков на плановый период </w:t>
      </w:r>
      <w:r w:rsidR="00235E11" w:rsidRPr="00FB0A3A">
        <w:rPr>
          <w:rFonts w:ascii="Myriad Pro" w:eastAsia="Calibri" w:hAnsi="Myriad Pro" w:cs="Times New Roman"/>
          <w:sz w:val="26"/>
          <w:szCs w:val="26"/>
        </w:rPr>
        <w:t>не обоснован.</w:t>
      </w:r>
    </w:p>
    <w:p w14:paraId="548D61A1" w14:textId="3F135BD9" w:rsidR="00444BA0" w:rsidRPr="00FB0A3A" w:rsidRDefault="00235E11" w:rsidP="00A31747">
      <w:pPr>
        <w:tabs>
          <w:tab w:val="left" w:pos="1134"/>
        </w:tabs>
        <w:spacing w:after="0" w:line="360" w:lineRule="auto"/>
        <w:ind w:firstLine="567"/>
        <w:contextualSpacing/>
        <w:jc w:val="both"/>
        <w:rPr>
          <w:rFonts w:ascii="Myriad Pro" w:eastAsia="Calibri" w:hAnsi="Myriad Pro" w:cs="Times New Roman"/>
          <w:sz w:val="26"/>
          <w:szCs w:val="26"/>
        </w:rPr>
      </w:pPr>
      <w:r w:rsidRPr="00C7788D">
        <w:rPr>
          <w:rFonts w:ascii="Myriad Pro" w:eastAsia="Calibri" w:hAnsi="Myriad Pro" w:cs="Times New Roman"/>
          <w:sz w:val="26"/>
          <w:szCs w:val="26"/>
        </w:rPr>
        <w:t xml:space="preserve">Расходы по пеням, штрафам, неустойкам, судебным расходам должны учитываться с учетом доходов по аналогичной статье. </w:t>
      </w:r>
      <w:r w:rsidR="00444BA0" w:rsidRPr="00C7788D">
        <w:rPr>
          <w:rFonts w:ascii="Myriad Pro" w:eastAsia="Calibri" w:hAnsi="Myriad Pro" w:cs="Times New Roman"/>
          <w:sz w:val="26"/>
          <w:szCs w:val="26"/>
        </w:rPr>
        <w:t xml:space="preserve"> Штрафы, пени, неустойки филиала ПАО </w:t>
      </w:r>
      <w:r w:rsidR="00655FFA" w:rsidRPr="00C7788D">
        <w:rPr>
          <w:rFonts w:ascii="Myriad Pro" w:eastAsia="Calibri" w:hAnsi="Myriad Pro" w:cs="Times New Roman"/>
          <w:sz w:val="26"/>
          <w:szCs w:val="26"/>
        </w:rPr>
        <w:t>«</w:t>
      </w:r>
      <w:r w:rsidR="00444BA0" w:rsidRPr="00C7788D">
        <w:rPr>
          <w:rFonts w:ascii="Myriad Pro" w:eastAsia="Calibri" w:hAnsi="Myriad Pro" w:cs="Times New Roman"/>
          <w:sz w:val="26"/>
          <w:szCs w:val="26"/>
        </w:rPr>
        <w:t>МРСК Северо-Запада</w:t>
      </w:r>
      <w:r w:rsidR="00655FFA" w:rsidRPr="00C7788D">
        <w:rPr>
          <w:rFonts w:ascii="Myriad Pro" w:eastAsia="Calibri" w:hAnsi="Myriad Pro" w:cs="Times New Roman"/>
          <w:sz w:val="26"/>
          <w:szCs w:val="26"/>
        </w:rPr>
        <w:t>»</w:t>
      </w:r>
      <w:r w:rsidR="00444BA0" w:rsidRPr="00C7788D">
        <w:rPr>
          <w:rFonts w:ascii="Myriad Pro" w:eastAsia="Calibri" w:hAnsi="Myriad Pro" w:cs="Times New Roman"/>
          <w:sz w:val="26"/>
          <w:szCs w:val="26"/>
        </w:rPr>
        <w:t xml:space="preserve"> </w:t>
      </w:r>
      <w:r w:rsidR="00655FFA" w:rsidRPr="00C7788D">
        <w:rPr>
          <w:rFonts w:ascii="Myriad Pro" w:eastAsia="Calibri" w:hAnsi="Myriad Pro" w:cs="Times New Roman"/>
          <w:sz w:val="26"/>
          <w:szCs w:val="26"/>
        </w:rPr>
        <w:t>«</w:t>
      </w:r>
      <w:r w:rsidR="00444BA0" w:rsidRPr="00C7788D">
        <w:rPr>
          <w:rFonts w:ascii="Myriad Pro" w:eastAsia="Calibri" w:hAnsi="Myriad Pro" w:cs="Times New Roman"/>
          <w:sz w:val="26"/>
          <w:szCs w:val="26"/>
        </w:rPr>
        <w:t>Колэнерго</w:t>
      </w:r>
      <w:r w:rsidR="00655FFA" w:rsidRPr="00C7788D">
        <w:rPr>
          <w:rFonts w:ascii="Myriad Pro" w:eastAsia="Calibri" w:hAnsi="Myriad Pro" w:cs="Times New Roman"/>
          <w:sz w:val="26"/>
          <w:szCs w:val="26"/>
        </w:rPr>
        <w:t>»</w:t>
      </w:r>
      <w:r w:rsidR="00444BA0" w:rsidRPr="00C7788D">
        <w:rPr>
          <w:rFonts w:ascii="Myriad Pro" w:eastAsia="Calibri" w:hAnsi="Myriad Pro" w:cs="Times New Roman"/>
          <w:sz w:val="26"/>
          <w:szCs w:val="26"/>
        </w:rPr>
        <w:t xml:space="preserve"> не могут учитываться в необходимой валовой выручке, так как не подлежат учету при установлении тарифов на услуги по передаче электрической энергии. Указанные расходы не относятся к регулируемому виду деятельности, следовательно, не могут быть учтены в составе расходов за услуги по передаче электрической энергии.</w:t>
      </w:r>
    </w:p>
    <w:p w14:paraId="1BE64472" w14:textId="1904796B" w:rsidR="00235E11" w:rsidRPr="00FB0A3A" w:rsidRDefault="00235E11"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Расходы по созданию резерва по сомнительным долгам по регулируемому виду деятельности предусмотрены пунктом 30 Основ ценообразования, в связи с чем включение расходов по рассматриваемой статье не обоснованно.</w:t>
      </w:r>
      <w:r w:rsidR="00444BA0" w:rsidRPr="00FB0A3A">
        <w:rPr>
          <w:rFonts w:ascii="Myriad Pro" w:eastAsia="Calibri" w:hAnsi="Myriad Pro" w:cs="Times New Roman"/>
          <w:sz w:val="26"/>
          <w:szCs w:val="26"/>
        </w:rPr>
        <w:t xml:space="preserve"> Указанные расходы учитываются в статье </w:t>
      </w:r>
      <w:r w:rsidR="00655FFA" w:rsidRPr="00FB0A3A">
        <w:rPr>
          <w:rFonts w:ascii="Myriad Pro" w:eastAsia="Calibri" w:hAnsi="Myriad Pro" w:cs="Times New Roman"/>
          <w:sz w:val="26"/>
          <w:szCs w:val="26"/>
        </w:rPr>
        <w:t>«</w:t>
      </w:r>
      <w:r w:rsidR="00444BA0" w:rsidRPr="00FB0A3A">
        <w:rPr>
          <w:rFonts w:ascii="Myriad Pro" w:eastAsia="Calibri" w:hAnsi="Myriad Pro" w:cs="Times New Roman"/>
          <w:sz w:val="26"/>
          <w:szCs w:val="26"/>
        </w:rPr>
        <w:t>Резервы по сомнительным долгам</w:t>
      </w:r>
      <w:r w:rsidR="00655FFA" w:rsidRPr="00FB0A3A">
        <w:rPr>
          <w:rFonts w:ascii="Myriad Pro" w:eastAsia="Calibri" w:hAnsi="Myriad Pro" w:cs="Times New Roman"/>
          <w:sz w:val="26"/>
          <w:szCs w:val="26"/>
        </w:rPr>
        <w:t>»</w:t>
      </w:r>
      <w:r w:rsidR="00444BA0" w:rsidRPr="00FB0A3A">
        <w:rPr>
          <w:rFonts w:ascii="Myriad Pro" w:eastAsia="Calibri" w:hAnsi="Myriad Pro" w:cs="Times New Roman"/>
          <w:sz w:val="26"/>
          <w:szCs w:val="26"/>
        </w:rPr>
        <w:t>.</w:t>
      </w:r>
    </w:p>
    <w:p w14:paraId="36838CD6" w14:textId="3A5B8C33" w:rsidR="00235E11" w:rsidRPr="00FB0A3A" w:rsidRDefault="00235E11"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 xml:space="preserve">Расходы исполнительного аппарата рассмотрены Исполнителем отдельно в статье </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Расходы на содержание управляющей компании</w:t>
      </w:r>
      <w:r w:rsidR="00655FFA" w:rsidRPr="00FB0A3A">
        <w:rPr>
          <w:rFonts w:ascii="Myriad Pro" w:eastAsia="Calibri" w:hAnsi="Myriad Pro" w:cs="Times New Roman"/>
          <w:sz w:val="26"/>
          <w:szCs w:val="26"/>
        </w:rPr>
        <w:t>»</w:t>
      </w:r>
      <w:r w:rsidR="003B6758" w:rsidRPr="00FB0A3A">
        <w:rPr>
          <w:rFonts w:ascii="Myriad Pro" w:eastAsia="Calibri" w:hAnsi="Myriad Pro" w:cs="Times New Roman"/>
          <w:sz w:val="26"/>
          <w:szCs w:val="26"/>
        </w:rPr>
        <w:t>.</w:t>
      </w:r>
    </w:p>
    <w:tbl>
      <w:tblPr>
        <w:tblStyle w:val="afff6"/>
        <w:tblW w:w="5000" w:type="pct"/>
        <w:tblLook w:val="04A0" w:firstRow="1" w:lastRow="0" w:firstColumn="1" w:lastColumn="0" w:noHBand="0" w:noVBand="1"/>
      </w:tblPr>
      <w:tblGrid>
        <w:gridCol w:w="2643"/>
        <w:gridCol w:w="1252"/>
        <w:gridCol w:w="1254"/>
        <w:gridCol w:w="1392"/>
        <w:gridCol w:w="1441"/>
        <w:gridCol w:w="1362"/>
      </w:tblGrid>
      <w:tr w:rsidR="00907AB4" w:rsidRPr="00297DA6" w14:paraId="69062D9F" w14:textId="77777777" w:rsidTr="00297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A4699DA" w14:textId="77777777" w:rsidR="0014022B" w:rsidRPr="00297DA6" w:rsidRDefault="0014022B" w:rsidP="009666C8">
            <w:pPr>
              <w:tabs>
                <w:tab w:val="left" w:pos="1134"/>
              </w:tabs>
              <w:jc w:val="center"/>
              <w:rPr>
                <w:rFonts w:eastAsia="Calibri" w:cs="Times New Roman"/>
                <w:szCs w:val="18"/>
              </w:rPr>
            </w:pPr>
            <w:r w:rsidRPr="00FB0A3A">
              <w:rPr>
                <w:rFonts w:eastAsia="Calibri" w:cs="Times New Roman"/>
                <w:szCs w:val="18"/>
              </w:rPr>
              <w:t> </w:t>
            </w:r>
            <w:r w:rsidRPr="00297DA6">
              <w:rPr>
                <w:rFonts w:eastAsia="Calibri" w:cs="Times New Roman"/>
                <w:szCs w:val="18"/>
              </w:rPr>
              <w:t>Наименование статьи</w:t>
            </w:r>
          </w:p>
        </w:tc>
        <w:tc>
          <w:tcPr>
            <w:tcW w:w="6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18900EE" w14:textId="77777777" w:rsidR="0014022B" w:rsidRPr="00297DA6" w:rsidRDefault="0014022B" w:rsidP="009666C8">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Cs w:val="18"/>
              </w:rPr>
            </w:pPr>
            <w:r w:rsidRPr="00297DA6">
              <w:rPr>
                <w:rFonts w:eastAsia="Calibri" w:cs="Times New Roman"/>
                <w:szCs w:val="18"/>
              </w:rPr>
              <w:t>Заявлено Филиалом</w:t>
            </w:r>
          </w:p>
        </w:tc>
        <w:tc>
          <w:tcPr>
            <w:tcW w:w="6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FF5A844" w14:textId="77777777" w:rsidR="0014022B" w:rsidRPr="00297DA6" w:rsidRDefault="0014022B" w:rsidP="009666C8">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Cs w:val="18"/>
              </w:rPr>
            </w:pPr>
            <w:r w:rsidRPr="00297DA6">
              <w:rPr>
                <w:rFonts w:eastAsia="Calibri" w:cs="Times New Roman"/>
                <w:szCs w:val="18"/>
              </w:rPr>
              <w:t>Рассчитано Комитетом (ЭОУ)</w:t>
            </w:r>
          </w:p>
        </w:tc>
        <w:tc>
          <w:tcPr>
            <w:tcW w:w="7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E4511A4" w14:textId="77777777" w:rsidR="0014022B" w:rsidRPr="00297DA6" w:rsidRDefault="0014022B" w:rsidP="009666C8">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Cs w:val="18"/>
              </w:rPr>
            </w:pPr>
            <w:r w:rsidRPr="00297DA6">
              <w:rPr>
                <w:rFonts w:eastAsia="Calibri" w:cs="Times New Roman"/>
                <w:szCs w:val="18"/>
              </w:rPr>
              <w:t>Рассчитано Исполнителем (ЭОУ)</w:t>
            </w:r>
          </w:p>
        </w:tc>
        <w:tc>
          <w:tcPr>
            <w:tcW w:w="7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AC2B1B8" w14:textId="77777777" w:rsidR="0014022B" w:rsidRPr="00297DA6" w:rsidRDefault="0014022B" w:rsidP="009666C8">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Cs w:val="18"/>
              </w:rPr>
            </w:pPr>
            <w:r w:rsidRPr="00297DA6">
              <w:rPr>
                <w:rFonts w:eastAsia="Calibri" w:cs="Times New Roman"/>
                <w:szCs w:val="18"/>
              </w:rPr>
              <w:t>Отклонение  между Исполнителем и Комитетом</w:t>
            </w:r>
          </w:p>
        </w:tc>
        <w:tc>
          <w:tcPr>
            <w:tcW w:w="7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A28C479" w14:textId="77777777" w:rsidR="0014022B" w:rsidRPr="00297DA6" w:rsidRDefault="0014022B" w:rsidP="009666C8">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Cs w:val="18"/>
              </w:rPr>
            </w:pPr>
            <w:r w:rsidRPr="00297DA6">
              <w:rPr>
                <w:rFonts w:eastAsia="Calibri" w:cs="Times New Roman"/>
                <w:szCs w:val="18"/>
              </w:rPr>
              <w:t>Отклонение  между Исполнителем и Филиалом</w:t>
            </w:r>
          </w:p>
        </w:tc>
      </w:tr>
      <w:tr w:rsidR="0014022B" w:rsidRPr="00297DA6" w14:paraId="716B765E" w14:textId="77777777" w:rsidTr="00297DA6">
        <w:tc>
          <w:tcPr>
            <w:cnfStyle w:val="001000000000" w:firstRow="0" w:lastRow="0" w:firstColumn="1" w:lastColumn="0" w:oddVBand="0" w:evenVBand="0" w:oddHBand="0" w:evenHBand="0" w:firstRowFirstColumn="0" w:firstRowLastColumn="0" w:lastRowFirstColumn="0" w:lastRowLastColumn="0"/>
            <w:tcW w:w="1414" w:type="pct"/>
            <w:tcBorders>
              <w:top w:val="single" w:sz="4" w:space="0" w:color="FFFFFF" w:themeColor="background1"/>
            </w:tcBorders>
            <w:hideMark/>
          </w:tcPr>
          <w:p w14:paraId="2D111A88" w14:textId="77777777" w:rsidR="0014022B" w:rsidRPr="00297DA6" w:rsidRDefault="0014022B" w:rsidP="009666C8">
            <w:pPr>
              <w:tabs>
                <w:tab w:val="left" w:pos="1134"/>
              </w:tabs>
              <w:rPr>
                <w:rFonts w:eastAsia="Calibri" w:cs="Times New Roman"/>
                <w:szCs w:val="18"/>
              </w:rPr>
            </w:pPr>
            <w:r w:rsidRPr="00297DA6">
              <w:rPr>
                <w:rFonts w:eastAsia="Calibri" w:cs="Times New Roman"/>
                <w:szCs w:val="18"/>
              </w:rPr>
              <w:t>Подконтрольные расходы из прибыли, из них:</w:t>
            </w:r>
          </w:p>
        </w:tc>
        <w:tc>
          <w:tcPr>
            <w:tcW w:w="670" w:type="pct"/>
            <w:tcBorders>
              <w:top w:val="single" w:sz="4" w:space="0" w:color="FFFFFF" w:themeColor="background1"/>
            </w:tcBorders>
            <w:hideMark/>
          </w:tcPr>
          <w:p w14:paraId="0433B138" w14:textId="77777777" w:rsidR="0014022B" w:rsidRPr="00297DA6" w:rsidRDefault="0014022B" w:rsidP="009666C8">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297DA6">
              <w:rPr>
                <w:rFonts w:eastAsia="Calibri" w:cs="Times New Roman"/>
                <w:szCs w:val="18"/>
              </w:rPr>
              <w:t>148 154,90</w:t>
            </w:r>
          </w:p>
        </w:tc>
        <w:tc>
          <w:tcPr>
            <w:tcW w:w="671" w:type="pct"/>
            <w:tcBorders>
              <w:top w:val="single" w:sz="4" w:space="0" w:color="FFFFFF" w:themeColor="background1"/>
            </w:tcBorders>
            <w:hideMark/>
          </w:tcPr>
          <w:p w14:paraId="4E2274B4" w14:textId="77777777" w:rsidR="0014022B" w:rsidRPr="00297DA6" w:rsidRDefault="0014022B" w:rsidP="009666C8">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297DA6">
              <w:rPr>
                <w:rFonts w:eastAsia="Calibri" w:cs="Times New Roman"/>
                <w:szCs w:val="18"/>
              </w:rPr>
              <w:t>63 648,60</w:t>
            </w:r>
          </w:p>
        </w:tc>
        <w:tc>
          <w:tcPr>
            <w:tcW w:w="745" w:type="pct"/>
            <w:tcBorders>
              <w:top w:val="single" w:sz="4" w:space="0" w:color="FFFFFF" w:themeColor="background1"/>
            </w:tcBorders>
            <w:hideMark/>
          </w:tcPr>
          <w:p w14:paraId="1AE4028C" w14:textId="77777777" w:rsidR="0014022B" w:rsidRPr="00297DA6" w:rsidRDefault="0014022B" w:rsidP="009666C8">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297DA6">
              <w:rPr>
                <w:rFonts w:eastAsia="Calibri" w:cs="Times New Roman"/>
                <w:szCs w:val="18"/>
              </w:rPr>
              <w:t>30 024,25</w:t>
            </w:r>
          </w:p>
        </w:tc>
        <w:tc>
          <w:tcPr>
            <w:tcW w:w="771" w:type="pct"/>
            <w:tcBorders>
              <w:top w:val="single" w:sz="4" w:space="0" w:color="FFFFFF" w:themeColor="background1"/>
            </w:tcBorders>
            <w:hideMark/>
          </w:tcPr>
          <w:p w14:paraId="38427094" w14:textId="77777777" w:rsidR="0014022B" w:rsidRPr="00297DA6" w:rsidRDefault="0014022B" w:rsidP="009666C8">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297DA6">
              <w:rPr>
                <w:rFonts w:eastAsia="Calibri" w:cs="Times New Roman"/>
                <w:szCs w:val="18"/>
              </w:rPr>
              <w:t>-33 624,35</w:t>
            </w:r>
          </w:p>
        </w:tc>
        <w:tc>
          <w:tcPr>
            <w:tcW w:w="729" w:type="pct"/>
            <w:tcBorders>
              <w:top w:val="single" w:sz="4" w:space="0" w:color="FFFFFF" w:themeColor="background1"/>
            </w:tcBorders>
            <w:hideMark/>
          </w:tcPr>
          <w:p w14:paraId="67E5AEB0" w14:textId="77777777" w:rsidR="0014022B" w:rsidRPr="00297DA6" w:rsidRDefault="0014022B" w:rsidP="009666C8">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297DA6">
              <w:rPr>
                <w:rFonts w:eastAsia="Calibri" w:cs="Times New Roman"/>
                <w:szCs w:val="18"/>
              </w:rPr>
              <w:t>-118 130,65</w:t>
            </w:r>
          </w:p>
        </w:tc>
      </w:tr>
      <w:tr w:rsidR="0014022B" w:rsidRPr="00297DA6" w14:paraId="6FEEB8C6" w14:textId="77777777" w:rsidTr="00297DA6">
        <w:tc>
          <w:tcPr>
            <w:cnfStyle w:val="001000000000" w:firstRow="0" w:lastRow="0" w:firstColumn="1" w:lastColumn="0" w:oddVBand="0" w:evenVBand="0" w:oddHBand="0" w:evenHBand="0" w:firstRowFirstColumn="0" w:firstRowLastColumn="0" w:lastRowFirstColumn="0" w:lastRowLastColumn="0"/>
            <w:tcW w:w="1414" w:type="pct"/>
            <w:hideMark/>
          </w:tcPr>
          <w:p w14:paraId="42A8EB96" w14:textId="26670744" w:rsidR="0014022B" w:rsidRPr="00297DA6" w:rsidRDefault="0014022B" w:rsidP="009666C8">
            <w:pPr>
              <w:tabs>
                <w:tab w:val="left" w:pos="1134"/>
              </w:tabs>
              <w:ind w:left="164"/>
              <w:rPr>
                <w:rFonts w:eastAsia="Calibri" w:cs="Times New Roman"/>
                <w:szCs w:val="18"/>
              </w:rPr>
            </w:pPr>
            <w:r w:rsidRPr="00297DA6">
              <w:rPr>
                <w:rFonts w:eastAsia="Calibri" w:cs="Times New Roman"/>
                <w:szCs w:val="18"/>
              </w:rPr>
              <w:t>затраты из прибыли на соц</w:t>
            </w:r>
            <w:r w:rsidR="000C264C" w:rsidRPr="00297DA6">
              <w:rPr>
                <w:rFonts w:eastAsia="Calibri" w:cs="Times New Roman"/>
                <w:szCs w:val="18"/>
              </w:rPr>
              <w:t xml:space="preserve">иальное </w:t>
            </w:r>
            <w:r w:rsidRPr="00297DA6">
              <w:rPr>
                <w:rFonts w:eastAsia="Calibri" w:cs="Times New Roman"/>
                <w:szCs w:val="18"/>
              </w:rPr>
              <w:t>развитие</w:t>
            </w:r>
          </w:p>
        </w:tc>
        <w:tc>
          <w:tcPr>
            <w:tcW w:w="670" w:type="pct"/>
            <w:hideMark/>
          </w:tcPr>
          <w:p w14:paraId="6562A1A5" w14:textId="77777777" w:rsidR="0014022B" w:rsidRPr="00297DA6" w:rsidRDefault="0014022B" w:rsidP="009666C8">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297DA6">
              <w:rPr>
                <w:rFonts w:eastAsia="Calibri" w:cs="Times New Roman"/>
                <w:szCs w:val="18"/>
              </w:rPr>
              <w:t>41 213,50</w:t>
            </w:r>
          </w:p>
        </w:tc>
        <w:tc>
          <w:tcPr>
            <w:tcW w:w="671" w:type="pct"/>
            <w:hideMark/>
          </w:tcPr>
          <w:p w14:paraId="13E03413" w14:textId="77777777" w:rsidR="0014022B" w:rsidRPr="00297DA6" w:rsidRDefault="0014022B" w:rsidP="009666C8">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297DA6">
              <w:rPr>
                <w:rFonts w:eastAsia="Calibri" w:cs="Times New Roman"/>
                <w:szCs w:val="18"/>
              </w:rPr>
              <w:t>24 691,15</w:t>
            </w:r>
          </w:p>
        </w:tc>
        <w:tc>
          <w:tcPr>
            <w:tcW w:w="745" w:type="pct"/>
            <w:hideMark/>
          </w:tcPr>
          <w:p w14:paraId="1B3A7D6B" w14:textId="77777777" w:rsidR="0014022B" w:rsidRPr="00297DA6" w:rsidRDefault="0014022B" w:rsidP="009666C8">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297DA6">
              <w:rPr>
                <w:rFonts w:eastAsia="Calibri" w:cs="Times New Roman"/>
                <w:szCs w:val="18"/>
              </w:rPr>
              <w:t>26 862,00</w:t>
            </w:r>
          </w:p>
        </w:tc>
        <w:tc>
          <w:tcPr>
            <w:tcW w:w="771" w:type="pct"/>
            <w:hideMark/>
          </w:tcPr>
          <w:p w14:paraId="2DEA3469" w14:textId="77777777" w:rsidR="0014022B" w:rsidRPr="00297DA6" w:rsidRDefault="0014022B" w:rsidP="009666C8">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297DA6">
              <w:rPr>
                <w:rFonts w:eastAsia="Calibri" w:cs="Times New Roman"/>
                <w:szCs w:val="18"/>
              </w:rPr>
              <w:t>2 170,85</w:t>
            </w:r>
          </w:p>
        </w:tc>
        <w:tc>
          <w:tcPr>
            <w:tcW w:w="729" w:type="pct"/>
            <w:hideMark/>
          </w:tcPr>
          <w:p w14:paraId="0CE95F03" w14:textId="77777777" w:rsidR="0014022B" w:rsidRPr="00297DA6" w:rsidRDefault="0014022B" w:rsidP="009666C8">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297DA6">
              <w:rPr>
                <w:rFonts w:eastAsia="Calibri" w:cs="Times New Roman"/>
                <w:szCs w:val="18"/>
              </w:rPr>
              <w:t>-14 351,50</w:t>
            </w:r>
          </w:p>
        </w:tc>
      </w:tr>
      <w:tr w:rsidR="0014022B" w:rsidRPr="00FB0A3A" w14:paraId="7E2C3798" w14:textId="77777777" w:rsidTr="00297DA6">
        <w:tc>
          <w:tcPr>
            <w:cnfStyle w:val="001000000000" w:firstRow="0" w:lastRow="0" w:firstColumn="1" w:lastColumn="0" w:oddVBand="0" w:evenVBand="0" w:oddHBand="0" w:evenHBand="0" w:firstRowFirstColumn="0" w:firstRowLastColumn="0" w:lastRowFirstColumn="0" w:lastRowLastColumn="0"/>
            <w:tcW w:w="1414" w:type="pct"/>
            <w:hideMark/>
          </w:tcPr>
          <w:p w14:paraId="34337718" w14:textId="77777777" w:rsidR="0014022B" w:rsidRPr="00297DA6" w:rsidRDefault="0014022B" w:rsidP="009666C8">
            <w:pPr>
              <w:tabs>
                <w:tab w:val="left" w:pos="1134"/>
              </w:tabs>
              <w:ind w:left="164"/>
              <w:rPr>
                <w:rFonts w:eastAsia="Calibri" w:cs="Times New Roman"/>
                <w:szCs w:val="18"/>
              </w:rPr>
            </w:pPr>
            <w:r w:rsidRPr="00297DA6">
              <w:rPr>
                <w:rFonts w:eastAsia="Calibri" w:cs="Times New Roman"/>
                <w:szCs w:val="18"/>
              </w:rPr>
              <w:t>прибыль на прочие цели</w:t>
            </w:r>
          </w:p>
        </w:tc>
        <w:tc>
          <w:tcPr>
            <w:tcW w:w="670" w:type="pct"/>
            <w:hideMark/>
          </w:tcPr>
          <w:p w14:paraId="356CB49A" w14:textId="77777777" w:rsidR="0014022B" w:rsidRPr="00297DA6" w:rsidRDefault="0014022B" w:rsidP="009666C8">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297DA6">
              <w:rPr>
                <w:rFonts w:eastAsia="Calibri" w:cs="Times New Roman"/>
                <w:szCs w:val="18"/>
              </w:rPr>
              <w:t>106 941,40</w:t>
            </w:r>
          </w:p>
        </w:tc>
        <w:tc>
          <w:tcPr>
            <w:tcW w:w="671" w:type="pct"/>
            <w:hideMark/>
          </w:tcPr>
          <w:p w14:paraId="26594C77" w14:textId="77777777" w:rsidR="0014022B" w:rsidRPr="00297DA6" w:rsidRDefault="0014022B" w:rsidP="009666C8">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297DA6">
              <w:rPr>
                <w:rFonts w:eastAsia="Calibri" w:cs="Times New Roman"/>
                <w:szCs w:val="18"/>
              </w:rPr>
              <w:t>38 957,45</w:t>
            </w:r>
          </w:p>
        </w:tc>
        <w:tc>
          <w:tcPr>
            <w:tcW w:w="745" w:type="pct"/>
            <w:hideMark/>
          </w:tcPr>
          <w:p w14:paraId="4AD746E0" w14:textId="77777777" w:rsidR="0014022B" w:rsidRPr="00297DA6" w:rsidRDefault="0014022B" w:rsidP="009666C8">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297DA6">
              <w:rPr>
                <w:rFonts w:eastAsia="Calibri" w:cs="Times New Roman"/>
                <w:szCs w:val="18"/>
              </w:rPr>
              <w:t>3 162,25</w:t>
            </w:r>
          </w:p>
        </w:tc>
        <w:tc>
          <w:tcPr>
            <w:tcW w:w="771" w:type="pct"/>
            <w:hideMark/>
          </w:tcPr>
          <w:p w14:paraId="3FC6CA74" w14:textId="77777777" w:rsidR="0014022B" w:rsidRPr="00297DA6" w:rsidRDefault="0014022B" w:rsidP="009666C8">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297DA6">
              <w:rPr>
                <w:rFonts w:eastAsia="Calibri" w:cs="Times New Roman"/>
                <w:szCs w:val="18"/>
              </w:rPr>
              <w:t>-35 795,20</w:t>
            </w:r>
          </w:p>
        </w:tc>
        <w:tc>
          <w:tcPr>
            <w:tcW w:w="729" w:type="pct"/>
            <w:hideMark/>
          </w:tcPr>
          <w:p w14:paraId="48519E21" w14:textId="77777777" w:rsidR="0014022B" w:rsidRPr="00FB0A3A" w:rsidRDefault="0014022B" w:rsidP="009666C8">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297DA6">
              <w:rPr>
                <w:rFonts w:eastAsia="Calibri" w:cs="Times New Roman"/>
                <w:szCs w:val="18"/>
              </w:rPr>
              <w:t>-103 779,15</w:t>
            </w:r>
          </w:p>
        </w:tc>
      </w:tr>
    </w:tbl>
    <w:p w14:paraId="7750FA21" w14:textId="77777777" w:rsidR="00CD32CD" w:rsidRPr="00FB0A3A" w:rsidRDefault="00CD32CD" w:rsidP="009666C8">
      <w:pPr>
        <w:pStyle w:val="afff7"/>
      </w:pPr>
      <w:r w:rsidRPr="00FB0A3A">
        <w:t>На основании постатейного анализа подконтрольных расходов Исполнитель делает следующий вывод:</w:t>
      </w:r>
    </w:p>
    <w:p w14:paraId="7898B2A7" w14:textId="7351447B" w:rsidR="00CD32CD" w:rsidRPr="00FB0A3A" w:rsidRDefault="00CD32CD" w:rsidP="009B0BC1">
      <w:pPr>
        <w:pStyle w:val="a4"/>
        <w:numPr>
          <w:ilvl w:val="0"/>
          <w:numId w:val="25"/>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lastRenderedPageBreak/>
        <w:t xml:space="preserve">Представленные со стороны филиала ПАО </w:t>
      </w:r>
      <w:r w:rsidR="00655FFA" w:rsidRPr="00FB0A3A">
        <w:rPr>
          <w:rFonts w:ascii="Myriad Pro" w:hAnsi="Myriad Pro"/>
          <w:sz w:val="26"/>
          <w:szCs w:val="26"/>
        </w:rPr>
        <w:t>«</w:t>
      </w:r>
      <w:r w:rsidRPr="00FB0A3A">
        <w:rPr>
          <w:rFonts w:ascii="Myriad Pro" w:hAnsi="Myriad Pro"/>
          <w:sz w:val="26"/>
          <w:szCs w:val="26"/>
        </w:rPr>
        <w:t>МРСК Северо-Запада</w:t>
      </w:r>
      <w:r w:rsidR="00655FFA" w:rsidRPr="00FB0A3A">
        <w:rPr>
          <w:rFonts w:ascii="Myriad Pro" w:hAnsi="Myriad Pro"/>
          <w:sz w:val="26"/>
          <w:szCs w:val="26"/>
        </w:rPr>
        <w:t>»</w:t>
      </w:r>
      <w:r w:rsidRPr="00FB0A3A">
        <w:rPr>
          <w:rFonts w:ascii="Myriad Pro" w:hAnsi="Myriad Pro"/>
          <w:sz w:val="26"/>
          <w:szCs w:val="26"/>
        </w:rPr>
        <w:t xml:space="preserve"> </w:t>
      </w:r>
      <w:r w:rsidR="00655FFA" w:rsidRPr="00FB0A3A">
        <w:rPr>
          <w:rFonts w:ascii="Myriad Pro" w:hAnsi="Myriad Pro"/>
          <w:sz w:val="26"/>
          <w:szCs w:val="26"/>
        </w:rPr>
        <w:t>«</w:t>
      </w:r>
      <w:r w:rsidRPr="00FB0A3A">
        <w:rPr>
          <w:rFonts w:ascii="Myriad Pro" w:hAnsi="Myriad Pro"/>
          <w:sz w:val="26"/>
          <w:szCs w:val="26"/>
        </w:rPr>
        <w:t>Колэнерго</w:t>
      </w:r>
      <w:r w:rsidR="00655FFA" w:rsidRPr="00FB0A3A">
        <w:rPr>
          <w:rFonts w:ascii="Myriad Pro" w:hAnsi="Myriad Pro"/>
          <w:sz w:val="26"/>
          <w:szCs w:val="26"/>
        </w:rPr>
        <w:t>»</w:t>
      </w:r>
      <w:r w:rsidRPr="00FB0A3A">
        <w:rPr>
          <w:rFonts w:ascii="Myriad Pro" w:hAnsi="Myriad Pro"/>
          <w:sz w:val="26"/>
          <w:szCs w:val="26"/>
        </w:rPr>
        <w:t xml:space="preserve"> расчетные документы, реестры договоров, справки, расчеты, таблицы подписаны руководителями соответствующих структурных подразделений и/или заместителем генерального директора по экономике и финансам Филиала; </w:t>
      </w:r>
    </w:p>
    <w:p w14:paraId="150ABBD0" w14:textId="3ABEE8AB" w:rsidR="00CD32CD" w:rsidRPr="00FB0A3A" w:rsidRDefault="00CD32CD" w:rsidP="009B0BC1">
      <w:pPr>
        <w:pStyle w:val="a4"/>
        <w:numPr>
          <w:ilvl w:val="0"/>
          <w:numId w:val="25"/>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 xml:space="preserve">Исполнителем выявлены факты недостаточного документального подтверждения заявленных на 2019 год расходов со стороны филиала </w:t>
      </w:r>
      <w:r w:rsidR="00655FFA" w:rsidRPr="00FB0A3A">
        <w:rPr>
          <w:rFonts w:ascii="Myriad Pro" w:hAnsi="Myriad Pro"/>
          <w:sz w:val="26"/>
          <w:szCs w:val="26"/>
        </w:rPr>
        <w:t xml:space="preserve">ПАО «МРСК </w:t>
      </w:r>
      <w:r w:rsidRPr="00FB0A3A">
        <w:rPr>
          <w:rFonts w:ascii="Myriad Pro" w:hAnsi="Myriad Pro"/>
          <w:sz w:val="26"/>
          <w:szCs w:val="26"/>
        </w:rPr>
        <w:t>Северо-Запада</w:t>
      </w:r>
      <w:r w:rsidR="00655FFA" w:rsidRPr="00FB0A3A">
        <w:rPr>
          <w:rFonts w:ascii="Myriad Pro" w:hAnsi="Myriad Pro"/>
          <w:sz w:val="26"/>
          <w:szCs w:val="26"/>
        </w:rPr>
        <w:t>»</w:t>
      </w:r>
      <w:r w:rsidRPr="00FB0A3A">
        <w:rPr>
          <w:rFonts w:ascii="Myriad Pro" w:hAnsi="Myriad Pro"/>
          <w:sz w:val="26"/>
          <w:szCs w:val="26"/>
        </w:rPr>
        <w:t xml:space="preserve"> </w:t>
      </w:r>
      <w:r w:rsidR="00655FFA" w:rsidRPr="00FB0A3A">
        <w:rPr>
          <w:rFonts w:ascii="Myriad Pro" w:hAnsi="Myriad Pro"/>
          <w:sz w:val="26"/>
          <w:szCs w:val="26"/>
        </w:rPr>
        <w:t>«</w:t>
      </w:r>
      <w:r w:rsidRPr="00FB0A3A">
        <w:rPr>
          <w:rFonts w:ascii="Myriad Pro" w:hAnsi="Myriad Pro"/>
          <w:sz w:val="26"/>
          <w:szCs w:val="26"/>
        </w:rPr>
        <w:t>Колэнерго</w:t>
      </w:r>
      <w:r w:rsidR="00655FFA" w:rsidRPr="00FB0A3A">
        <w:rPr>
          <w:rFonts w:ascii="Myriad Pro" w:hAnsi="Myriad Pro"/>
          <w:sz w:val="26"/>
          <w:szCs w:val="26"/>
        </w:rPr>
        <w:t>»</w:t>
      </w:r>
      <w:r w:rsidRPr="00FB0A3A">
        <w:rPr>
          <w:rFonts w:ascii="Myriad Pro" w:hAnsi="Myriad Pro"/>
          <w:sz w:val="26"/>
          <w:szCs w:val="26"/>
        </w:rPr>
        <w:t>;</w:t>
      </w:r>
    </w:p>
    <w:p w14:paraId="57D3D9E0" w14:textId="5847E0C9" w:rsidR="00CD32CD" w:rsidRPr="00FB0A3A" w:rsidRDefault="00CD32CD" w:rsidP="009B0BC1">
      <w:pPr>
        <w:pStyle w:val="a4"/>
        <w:numPr>
          <w:ilvl w:val="0"/>
          <w:numId w:val="25"/>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 xml:space="preserve">Отсутствует экспертное заключение Комитета по тарифному регулированию Мурманской области. Исполнитель руководствовался мнением Комитета, отраженным в Протоколе Коллегии от 28-29.12.2018 г. Протокол не содержит перечень документов, представленных филиалом </w:t>
      </w:r>
      <w:r w:rsidR="00655FFA" w:rsidRPr="00FB0A3A">
        <w:rPr>
          <w:rFonts w:ascii="Myriad Pro" w:hAnsi="Myriad Pro"/>
          <w:sz w:val="26"/>
          <w:szCs w:val="26"/>
        </w:rPr>
        <w:t xml:space="preserve">ПАО «МРСК </w:t>
      </w:r>
      <w:r w:rsidRPr="00FB0A3A">
        <w:rPr>
          <w:rFonts w:ascii="Myriad Pro" w:hAnsi="Myriad Pro"/>
          <w:sz w:val="26"/>
          <w:szCs w:val="26"/>
        </w:rPr>
        <w:t>Северо-Запада</w:t>
      </w:r>
      <w:r w:rsidR="00655FFA" w:rsidRPr="00FB0A3A">
        <w:rPr>
          <w:rFonts w:ascii="Myriad Pro" w:hAnsi="Myriad Pro"/>
          <w:sz w:val="26"/>
          <w:szCs w:val="26"/>
        </w:rPr>
        <w:t>»</w:t>
      </w:r>
      <w:r w:rsidRPr="00FB0A3A">
        <w:rPr>
          <w:rFonts w:ascii="Myriad Pro" w:hAnsi="Myriad Pro"/>
          <w:sz w:val="26"/>
          <w:szCs w:val="26"/>
        </w:rPr>
        <w:t xml:space="preserve"> </w:t>
      </w:r>
      <w:r w:rsidR="00655FFA" w:rsidRPr="00FB0A3A">
        <w:rPr>
          <w:rFonts w:ascii="Myriad Pro" w:hAnsi="Myriad Pro"/>
          <w:sz w:val="26"/>
          <w:szCs w:val="26"/>
        </w:rPr>
        <w:t>«</w:t>
      </w:r>
      <w:r w:rsidRPr="00FB0A3A">
        <w:rPr>
          <w:rFonts w:ascii="Myriad Pro" w:hAnsi="Myriad Pro"/>
          <w:sz w:val="26"/>
          <w:szCs w:val="26"/>
        </w:rPr>
        <w:t>Колэнерго</w:t>
      </w:r>
      <w:r w:rsidR="00655FFA" w:rsidRPr="00FB0A3A">
        <w:rPr>
          <w:rFonts w:ascii="Myriad Pro" w:hAnsi="Myriad Pro"/>
          <w:sz w:val="26"/>
          <w:szCs w:val="26"/>
        </w:rPr>
        <w:t>»</w:t>
      </w:r>
      <w:r w:rsidRPr="00FB0A3A">
        <w:rPr>
          <w:rFonts w:ascii="Myriad Pro" w:hAnsi="Myriad Pro"/>
          <w:sz w:val="26"/>
          <w:szCs w:val="26"/>
        </w:rPr>
        <w:t xml:space="preserve"> для обоснования заявленных расходов; </w:t>
      </w:r>
    </w:p>
    <w:p w14:paraId="755A52DE" w14:textId="2C12FA05" w:rsidR="00CD32CD" w:rsidRPr="00FB0A3A" w:rsidRDefault="00CD32CD" w:rsidP="009B0BC1">
      <w:pPr>
        <w:pStyle w:val="a4"/>
        <w:numPr>
          <w:ilvl w:val="0"/>
          <w:numId w:val="25"/>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 xml:space="preserve"> В Протоколе от 28-29.12.2018 г. по ряду статей расходов отсутствует обоснование позиции определения экономически обоснованного уровня как фактических расходов за 2016 – 2017 гг., так и плановых расходов на 2019 год;</w:t>
      </w:r>
    </w:p>
    <w:p w14:paraId="6F0E6EF3" w14:textId="3ED1A1E2" w:rsidR="008B028A" w:rsidRPr="00FB0A3A" w:rsidRDefault="008B028A" w:rsidP="009B0BC1">
      <w:pPr>
        <w:pStyle w:val="a4"/>
        <w:numPr>
          <w:ilvl w:val="0"/>
          <w:numId w:val="25"/>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 xml:space="preserve">В материалах дела отсутствуют обоснования по необходимости заключения планируемых договоров, отсутствуют </w:t>
      </w:r>
      <w:r w:rsidR="005170EA" w:rsidRPr="00FB0A3A">
        <w:rPr>
          <w:rFonts w:ascii="Myriad Pro" w:hAnsi="Myriad Pro"/>
          <w:sz w:val="26"/>
          <w:szCs w:val="26"/>
        </w:rPr>
        <w:t>подтверждения стоимостных показателей по новым договорам.</w:t>
      </w:r>
      <w:r w:rsidRPr="00FB0A3A">
        <w:rPr>
          <w:rFonts w:ascii="Myriad Pro" w:hAnsi="Myriad Pro"/>
          <w:sz w:val="26"/>
          <w:szCs w:val="26"/>
        </w:rPr>
        <w:t xml:space="preserve"> </w:t>
      </w:r>
    </w:p>
    <w:p w14:paraId="69F0C15E" w14:textId="66E7AAA8" w:rsidR="00CD32CD" w:rsidRPr="00C95201" w:rsidRDefault="00CD32CD" w:rsidP="009B0BC1">
      <w:pPr>
        <w:pStyle w:val="a4"/>
        <w:numPr>
          <w:ilvl w:val="0"/>
          <w:numId w:val="25"/>
        </w:numPr>
        <w:tabs>
          <w:tab w:val="left" w:pos="1134"/>
        </w:tabs>
        <w:spacing w:after="200" w:line="360" w:lineRule="auto"/>
        <w:ind w:left="0" w:firstLine="567"/>
        <w:jc w:val="both"/>
        <w:rPr>
          <w:rFonts w:ascii="Myriad Pro" w:hAnsi="Myriad Pro"/>
          <w:sz w:val="26"/>
          <w:szCs w:val="26"/>
        </w:rPr>
      </w:pPr>
      <w:r w:rsidRPr="00297DA6">
        <w:rPr>
          <w:rFonts w:ascii="Myriad Pro" w:hAnsi="Myriad Pro"/>
          <w:sz w:val="26"/>
          <w:szCs w:val="26"/>
        </w:rPr>
        <w:t>П</w:t>
      </w:r>
      <w:r w:rsidR="00297DA6" w:rsidRPr="00297DA6">
        <w:rPr>
          <w:rFonts w:ascii="Myriad Pro" w:hAnsi="Myriad Pro"/>
          <w:sz w:val="26"/>
          <w:szCs w:val="26"/>
        </w:rPr>
        <w:t>о</w:t>
      </w:r>
      <w:r w:rsidRPr="00297DA6">
        <w:rPr>
          <w:rFonts w:ascii="Myriad Pro" w:hAnsi="Myriad Pro"/>
          <w:sz w:val="26"/>
          <w:szCs w:val="26"/>
        </w:rPr>
        <w:t xml:space="preserve"> статье </w:t>
      </w:r>
      <w:r w:rsidR="00655FFA" w:rsidRPr="00297DA6">
        <w:rPr>
          <w:rFonts w:ascii="Myriad Pro" w:hAnsi="Myriad Pro"/>
          <w:sz w:val="26"/>
          <w:szCs w:val="26"/>
        </w:rPr>
        <w:t>«</w:t>
      </w:r>
      <w:r w:rsidRPr="00297DA6">
        <w:rPr>
          <w:rFonts w:ascii="Myriad Pro" w:hAnsi="Myriad Pro"/>
          <w:sz w:val="26"/>
          <w:szCs w:val="26"/>
        </w:rPr>
        <w:t>Управленческие расходы</w:t>
      </w:r>
      <w:r w:rsidR="00655FFA" w:rsidRPr="00297DA6">
        <w:rPr>
          <w:rFonts w:ascii="Myriad Pro" w:hAnsi="Myriad Pro"/>
          <w:sz w:val="26"/>
          <w:szCs w:val="26"/>
        </w:rPr>
        <w:t>»</w:t>
      </w:r>
      <w:r w:rsidRPr="00297DA6">
        <w:rPr>
          <w:rFonts w:ascii="Myriad Pro" w:hAnsi="Myriad Pro"/>
          <w:sz w:val="26"/>
          <w:szCs w:val="26"/>
        </w:rPr>
        <w:t xml:space="preserve">, </w:t>
      </w:r>
      <w:r w:rsidR="008B028A" w:rsidRPr="00297DA6">
        <w:rPr>
          <w:rFonts w:ascii="Myriad Pro" w:hAnsi="Myriad Pro"/>
          <w:sz w:val="26"/>
          <w:szCs w:val="26"/>
        </w:rPr>
        <w:t>Комитетом по тарифному</w:t>
      </w:r>
      <w:r w:rsidR="008B028A" w:rsidRPr="00FB0A3A">
        <w:rPr>
          <w:rFonts w:ascii="Myriad Pro" w:hAnsi="Myriad Pro"/>
          <w:sz w:val="26"/>
          <w:szCs w:val="26"/>
        </w:rPr>
        <w:t xml:space="preserve"> регулированию Мурманской области не</w:t>
      </w:r>
      <w:r w:rsidRPr="00FB0A3A">
        <w:rPr>
          <w:rFonts w:ascii="Myriad Pro" w:hAnsi="Myriad Pro"/>
          <w:sz w:val="26"/>
          <w:szCs w:val="26"/>
        </w:rPr>
        <w:t xml:space="preserve"> обоснована позиция </w:t>
      </w:r>
      <w:r w:rsidR="008B028A" w:rsidRPr="00FB0A3A">
        <w:rPr>
          <w:rFonts w:ascii="Myriad Pro" w:hAnsi="Myriad Pro"/>
          <w:sz w:val="26"/>
          <w:szCs w:val="26"/>
        </w:rPr>
        <w:t>по не включению</w:t>
      </w:r>
      <w:r w:rsidRPr="00FB0A3A">
        <w:rPr>
          <w:rFonts w:ascii="Myriad Pro" w:hAnsi="Myriad Pro"/>
          <w:sz w:val="26"/>
          <w:szCs w:val="26"/>
        </w:rPr>
        <w:t xml:space="preserve"> </w:t>
      </w:r>
      <w:r w:rsidRPr="00C95201">
        <w:rPr>
          <w:rFonts w:ascii="Myriad Pro" w:hAnsi="Myriad Pro"/>
          <w:sz w:val="26"/>
          <w:szCs w:val="26"/>
        </w:rPr>
        <w:t>расходов</w:t>
      </w:r>
      <w:r w:rsidR="008B028A" w:rsidRPr="00C95201">
        <w:rPr>
          <w:rFonts w:ascii="Myriad Pro" w:hAnsi="Myriad Pro"/>
          <w:sz w:val="26"/>
          <w:szCs w:val="26"/>
        </w:rPr>
        <w:t>, нет расшифровки по плановым расходам, учтенным в НВВ 2019 года</w:t>
      </w:r>
      <w:r w:rsidRPr="00C95201">
        <w:rPr>
          <w:rFonts w:ascii="Myriad Pro" w:hAnsi="Myriad Pro"/>
          <w:sz w:val="26"/>
          <w:szCs w:val="26"/>
        </w:rPr>
        <w:t>;</w:t>
      </w:r>
    </w:p>
    <w:p w14:paraId="54372FD4" w14:textId="13F85223" w:rsidR="00CD32CD" w:rsidRPr="00C95201" w:rsidRDefault="00CD32CD" w:rsidP="009B0BC1">
      <w:pPr>
        <w:pStyle w:val="a4"/>
        <w:numPr>
          <w:ilvl w:val="0"/>
          <w:numId w:val="25"/>
        </w:numPr>
        <w:tabs>
          <w:tab w:val="left" w:pos="1134"/>
        </w:tabs>
        <w:spacing w:after="0" w:line="360" w:lineRule="auto"/>
        <w:ind w:left="0" w:firstLine="567"/>
        <w:jc w:val="both"/>
        <w:rPr>
          <w:rFonts w:ascii="Myriad Pro" w:hAnsi="Myriad Pro"/>
          <w:sz w:val="26"/>
          <w:szCs w:val="26"/>
        </w:rPr>
      </w:pPr>
      <w:r w:rsidRPr="00C95201">
        <w:rPr>
          <w:rFonts w:ascii="Myriad Pro" w:hAnsi="Myriad Pro"/>
          <w:sz w:val="26"/>
          <w:szCs w:val="26"/>
        </w:rPr>
        <w:t>По ряду статей подконтрольных расходов затрат в материалах тарифной заявки отсутствуют копии договоров, реестры актов и копии актов выполненных работ (услуг), подтверждение фактических расходов за 2017 год.</w:t>
      </w:r>
    </w:p>
    <w:p w14:paraId="3873C82E" w14:textId="68508554" w:rsidR="000B1985" w:rsidRPr="00506EE1" w:rsidRDefault="000B1985" w:rsidP="00A31747">
      <w:pPr>
        <w:pStyle w:val="a4"/>
        <w:tabs>
          <w:tab w:val="left" w:pos="1134"/>
        </w:tabs>
        <w:spacing w:after="0" w:line="360" w:lineRule="auto"/>
        <w:ind w:left="0" w:firstLine="567"/>
        <w:jc w:val="both"/>
        <w:rPr>
          <w:rFonts w:ascii="Myriad Pro" w:hAnsi="Myriad Pro" w:cs="Myriad Pro"/>
          <w:b/>
          <w:sz w:val="26"/>
          <w:szCs w:val="26"/>
        </w:rPr>
      </w:pPr>
      <w:r w:rsidRPr="00FB0A3A">
        <w:rPr>
          <w:rFonts w:ascii="Myriad Pro" w:hAnsi="Myriad Pro"/>
          <w:sz w:val="26"/>
          <w:szCs w:val="26"/>
        </w:rPr>
        <w:t xml:space="preserve">В соответствии с мнением </w:t>
      </w:r>
      <w:r w:rsidRPr="00FB0A3A">
        <w:rPr>
          <w:rFonts w:ascii="Myriad Pro" w:hAnsi="Myriad Pro" w:cs="Myriad Pro"/>
          <w:sz w:val="26"/>
          <w:szCs w:val="26"/>
        </w:rPr>
        <w:t xml:space="preserve">ФАС России, изложенным в письме от 19.06.2017 №ИА/41019/17 органам регулирования рекомендовано считать максимально возможной экономически обоснованной величину операционных расходов на первый год нового долгосрочного периода, определенную исходя из величины операционных расходов, </w:t>
      </w:r>
      <w:r w:rsidRPr="00506EE1">
        <w:rPr>
          <w:rFonts w:ascii="Myriad Pro" w:hAnsi="Myriad Pro" w:cs="Myriad Pro"/>
          <w:b/>
          <w:sz w:val="26"/>
          <w:szCs w:val="26"/>
        </w:rPr>
        <w:t xml:space="preserve">установленной на последний год текущего долгосрочного периода, с учетом прогноза социально-экономического </w:t>
      </w:r>
      <w:r w:rsidRPr="00506EE1">
        <w:rPr>
          <w:rFonts w:ascii="Myriad Pro" w:hAnsi="Myriad Pro" w:cs="Myriad Pro"/>
          <w:b/>
          <w:sz w:val="26"/>
          <w:szCs w:val="26"/>
        </w:rPr>
        <w:lastRenderedPageBreak/>
        <w:t>развития Российской Федерации (индекс потребительских цен) на соответствующий год.</w:t>
      </w:r>
    </w:p>
    <w:p w14:paraId="7417C3D3" w14:textId="67FDC6AF" w:rsidR="000B1985" w:rsidRPr="00FB0A3A" w:rsidRDefault="005F3A3F" w:rsidP="00A31747">
      <w:pPr>
        <w:pStyle w:val="a4"/>
        <w:tabs>
          <w:tab w:val="left" w:pos="1134"/>
        </w:tabs>
        <w:spacing w:after="0" w:line="360" w:lineRule="auto"/>
        <w:ind w:left="0" w:firstLine="567"/>
        <w:jc w:val="both"/>
        <w:rPr>
          <w:rFonts w:ascii="Myriad Pro" w:hAnsi="Myriad Pro" w:cs="Myriad Pro"/>
          <w:sz w:val="26"/>
          <w:szCs w:val="26"/>
        </w:rPr>
      </w:pPr>
      <w:r w:rsidRPr="00FB0A3A">
        <w:rPr>
          <w:rFonts w:ascii="Myriad Pro" w:hAnsi="Myriad Pro" w:cs="Myriad Pro"/>
          <w:sz w:val="26"/>
          <w:szCs w:val="26"/>
        </w:rPr>
        <w:t>В соответствии с протоколом Комитета по тарифному регулированию Мурманской области от 25-29.12.2017 в</w:t>
      </w:r>
      <w:r w:rsidR="000B1985" w:rsidRPr="00FB0A3A">
        <w:rPr>
          <w:rFonts w:ascii="Myriad Pro" w:hAnsi="Myriad Pro" w:cs="Myriad Pro"/>
          <w:sz w:val="26"/>
          <w:szCs w:val="26"/>
        </w:rPr>
        <w:t>еличина операционных расходов, утвержденных на 2018 г.</w:t>
      </w:r>
      <w:r w:rsidRPr="00FB0A3A">
        <w:rPr>
          <w:rFonts w:ascii="Myriad Pro" w:hAnsi="Myriad Pro" w:cs="Myriad Pro"/>
          <w:sz w:val="26"/>
          <w:szCs w:val="26"/>
        </w:rPr>
        <w:t xml:space="preserve"> оставила 1 649 946,3 тыс. руб.</w:t>
      </w:r>
    </w:p>
    <w:p w14:paraId="0DBC0F94" w14:textId="50D84F28" w:rsidR="005F3A3F" w:rsidRPr="00FB0A3A" w:rsidRDefault="005F3A3F" w:rsidP="00A31747">
      <w:pPr>
        <w:tabs>
          <w:tab w:val="left" w:pos="1134"/>
        </w:tabs>
        <w:spacing w:after="0" w:line="360" w:lineRule="auto"/>
        <w:ind w:firstLine="567"/>
        <w:contextualSpacing/>
        <w:jc w:val="both"/>
        <w:rPr>
          <w:rFonts w:ascii="Myriad Pro" w:eastAsia="Calibri" w:hAnsi="Myriad Pro" w:cs="Times New Roman"/>
          <w:iCs/>
          <w:sz w:val="26"/>
          <w:szCs w:val="26"/>
        </w:rPr>
      </w:pPr>
      <w:r w:rsidRPr="00FB0A3A">
        <w:rPr>
          <w:rFonts w:ascii="Myriad Pro" w:hAnsi="Myriad Pro" w:cs="Myriad Pro"/>
          <w:sz w:val="26"/>
          <w:szCs w:val="26"/>
        </w:rPr>
        <w:t xml:space="preserve">В соответствии с </w:t>
      </w:r>
      <w:r w:rsidRPr="00FB0A3A">
        <w:rPr>
          <w:rFonts w:ascii="Myriad Pro" w:eastAsia="Calibri" w:hAnsi="Myriad Pro" w:cs="Times New Roman"/>
          <w:iCs/>
          <w:sz w:val="26"/>
          <w:szCs w:val="26"/>
        </w:rPr>
        <w:t xml:space="preserve">постановлением Комитета по тарифному регулированию Мурманской области от 29.12.2018 № 56/2 </w:t>
      </w:r>
      <w:r w:rsidR="00655FFA" w:rsidRPr="00FB0A3A">
        <w:rPr>
          <w:rFonts w:ascii="Myriad Pro" w:eastAsia="Calibri" w:hAnsi="Myriad Pro" w:cs="Times New Roman"/>
          <w:iCs/>
          <w:sz w:val="26"/>
          <w:szCs w:val="26"/>
        </w:rPr>
        <w:t>«</w:t>
      </w:r>
      <w:r w:rsidRPr="00FB0A3A">
        <w:rPr>
          <w:rFonts w:ascii="Myriad Pro" w:eastAsia="Calibri" w:hAnsi="Myriad Pro" w:cs="Times New Roman"/>
          <w:iCs/>
          <w:sz w:val="26"/>
          <w:szCs w:val="26"/>
        </w:rPr>
        <w:t xml:space="preserve">Об установлении необходимой валовой выручки от оказания услуг по передаче электрической энергии (без учета расходов на покупку потерь) и долгосрочных параметров регулирования филиала ПАО </w:t>
      </w:r>
      <w:r w:rsidR="00655FFA" w:rsidRPr="00FB0A3A">
        <w:rPr>
          <w:rFonts w:ascii="Myriad Pro" w:eastAsia="Calibri" w:hAnsi="Myriad Pro" w:cs="Times New Roman"/>
          <w:iCs/>
          <w:sz w:val="26"/>
          <w:szCs w:val="26"/>
        </w:rPr>
        <w:t>«</w:t>
      </w:r>
      <w:r w:rsidRPr="00FB0A3A">
        <w:rPr>
          <w:rFonts w:ascii="Myriad Pro" w:eastAsia="Calibri" w:hAnsi="Myriad Pro" w:cs="Times New Roman"/>
          <w:iCs/>
          <w:sz w:val="26"/>
          <w:szCs w:val="26"/>
        </w:rPr>
        <w:t>МРСК Северо-Запада</w:t>
      </w:r>
      <w:r w:rsidR="00655FFA" w:rsidRPr="00FB0A3A">
        <w:rPr>
          <w:rFonts w:ascii="Myriad Pro" w:eastAsia="Calibri" w:hAnsi="Myriad Pro" w:cs="Times New Roman"/>
          <w:iCs/>
          <w:sz w:val="26"/>
          <w:szCs w:val="26"/>
        </w:rPr>
        <w:t>»</w:t>
      </w:r>
      <w:r w:rsidRPr="00FB0A3A">
        <w:rPr>
          <w:rFonts w:ascii="Myriad Pro" w:eastAsia="Calibri" w:hAnsi="Myriad Pro" w:cs="Times New Roman"/>
          <w:iCs/>
          <w:sz w:val="26"/>
          <w:szCs w:val="26"/>
        </w:rPr>
        <w:t xml:space="preserve"> </w:t>
      </w:r>
      <w:r w:rsidR="00655FFA" w:rsidRPr="00FB0A3A">
        <w:rPr>
          <w:rFonts w:ascii="Myriad Pro" w:eastAsia="Calibri" w:hAnsi="Myriad Pro" w:cs="Times New Roman"/>
          <w:iCs/>
          <w:sz w:val="26"/>
          <w:szCs w:val="26"/>
        </w:rPr>
        <w:t>«</w:t>
      </w:r>
      <w:r w:rsidRPr="00FB0A3A">
        <w:rPr>
          <w:rFonts w:ascii="Myriad Pro" w:eastAsia="Calibri" w:hAnsi="Myriad Pro" w:cs="Times New Roman"/>
          <w:iCs/>
          <w:sz w:val="26"/>
          <w:szCs w:val="26"/>
        </w:rPr>
        <w:t>Колэнерго</w:t>
      </w:r>
      <w:r w:rsidR="00655FFA" w:rsidRPr="00FB0A3A">
        <w:rPr>
          <w:rFonts w:ascii="Myriad Pro" w:eastAsia="Calibri" w:hAnsi="Myriad Pro" w:cs="Times New Roman"/>
          <w:iCs/>
          <w:sz w:val="26"/>
          <w:szCs w:val="26"/>
        </w:rPr>
        <w:t>»</w:t>
      </w:r>
      <w:r w:rsidRPr="00FB0A3A">
        <w:rPr>
          <w:rFonts w:ascii="Myriad Pro" w:eastAsia="Calibri" w:hAnsi="Myriad Pro" w:cs="Times New Roman"/>
          <w:iCs/>
          <w:sz w:val="26"/>
          <w:szCs w:val="26"/>
        </w:rPr>
        <w:t xml:space="preserve"> на долгосрочный период регулирования 2019-2023 год</w:t>
      </w:r>
      <w:r w:rsidR="00655FFA" w:rsidRPr="00FB0A3A">
        <w:rPr>
          <w:rFonts w:ascii="Myriad Pro" w:eastAsia="Calibri" w:hAnsi="Myriad Pro" w:cs="Times New Roman"/>
          <w:iCs/>
          <w:sz w:val="26"/>
          <w:szCs w:val="26"/>
        </w:rPr>
        <w:t>»</w:t>
      </w:r>
      <w:r w:rsidR="001F7773" w:rsidRPr="00FB0A3A">
        <w:rPr>
          <w:rFonts w:ascii="Myriad Pro" w:eastAsia="Calibri" w:hAnsi="Myriad Pro" w:cs="Times New Roman"/>
          <w:iCs/>
          <w:sz w:val="26"/>
          <w:szCs w:val="26"/>
        </w:rPr>
        <w:t xml:space="preserve"> базовый уровень операционных расходов для </w:t>
      </w:r>
      <w:r w:rsidRPr="00FB0A3A">
        <w:rPr>
          <w:rFonts w:ascii="Myriad Pro" w:eastAsia="Calibri" w:hAnsi="Myriad Pro" w:cs="Times New Roman"/>
          <w:iCs/>
          <w:sz w:val="26"/>
          <w:szCs w:val="26"/>
        </w:rPr>
        <w:t xml:space="preserve">филиала ПАО </w:t>
      </w:r>
      <w:r w:rsidR="00655FFA" w:rsidRPr="00FB0A3A">
        <w:rPr>
          <w:rFonts w:ascii="Myriad Pro" w:eastAsia="Calibri" w:hAnsi="Myriad Pro" w:cs="Times New Roman"/>
          <w:iCs/>
          <w:sz w:val="26"/>
          <w:szCs w:val="26"/>
        </w:rPr>
        <w:t>«</w:t>
      </w:r>
      <w:r w:rsidRPr="00FB0A3A">
        <w:rPr>
          <w:rFonts w:ascii="Myriad Pro" w:eastAsia="Calibri" w:hAnsi="Myriad Pro" w:cs="Times New Roman"/>
          <w:iCs/>
          <w:sz w:val="26"/>
          <w:szCs w:val="26"/>
        </w:rPr>
        <w:t>МРСК Северо-Запада</w:t>
      </w:r>
      <w:r w:rsidR="00655FFA" w:rsidRPr="00FB0A3A">
        <w:rPr>
          <w:rFonts w:ascii="Myriad Pro" w:eastAsia="Calibri" w:hAnsi="Myriad Pro" w:cs="Times New Roman"/>
          <w:iCs/>
          <w:sz w:val="26"/>
          <w:szCs w:val="26"/>
        </w:rPr>
        <w:t>»</w:t>
      </w:r>
      <w:r w:rsidRPr="00FB0A3A">
        <w:rPr>
          <w:rFonts w:ascii="Myriad Pro" w:eastAsia="Calibri" w:hAnsi="Myriad Pro" w:cs="Times New Roman"/>
          <w:iCs/>
          <w:sz w:val="26"/>
          <w:szCs w:val="26"/>
        </w:rPr>
        <w:t xml:space="preserve"> </w:t>
      </w:r>
      <w:r w:rsidR="00655FFA" w:rsidRPr="00FB0A3A">
        <w:rPr>
          <w:rFonts w:ascii="Myriad Pro" w:eastAsia="Calibri" w:hAnsi="Myriad Pro" w:cs="Times New Roman"/>
          <w:iCs/>
          <w:sz w:val="26"/>
          <w:szCs w:val="26"/>
        </w:rPr>
        <w:t>«</w:t>
      </w:r>
      <w:r w:rsidRPr="00FB0A3A">
        <w:rPr>
          <w:rFonts w:ascii="Myriad Pro" w:eastAsia="Calibri" w:hAnsi="Myriad Pro" w:cs="Times New Roman"/>
          <w:iCs/>
          <w:sz w:val="26"/>
          <w:szCs w:val="26"/>
        </w:rPr>
        <w:t>Колэнерго</w:t>
      </w:r>
      <w:r w:rsidR="00655FFA" w:rsidRPr="00FB0A3A">
        <w:rPr>
          <w:rFonts w:ascii="Myriad Pro" w:eastAsia="Calibri" w:hAnsi="Myriad Pro" w:cs="Times New Roman"/>
          <w:iCs/>
          <w:sz w:val="26"/>
          <w:szCs w:val="26"/>
        </w:rPr>
        <w:t>»</w:t>
      </w:r>
      <w:r w:rsidR="001F7773" w:rsidRPr="00FB0A3A">
        <w:rPr>
          <w:rFonts w:ascii="Myriad Pro" w:eastAsia="Calibri" w:hAnsi="Myriad Pro" w:cs="Times New Roman"/>
          <w:iCs/>
          <w:sz w:val="26"/>
          <w:szCs w:val="26"/>
        </w:rPr>
        <w:t xml:space="preserve"> утвержден в размере 1 698 503,91 тыс. руб.</w:t>
      </w:r>
    </w:p>
    <w:p w14:paraId="4AE66AC9" w14:textId="7BAA936A" w:rsidR="001F7773" w:rsidRPr="00FB0A3A" w:rsidRDefault="001F7773" w:rsidP="00A31747">
      <w:pPr>
        <w:tabs>
          <w:tab w:val="left" w:pos="1134"/>
        </w:tabs>
        <w:spacing w:after="0" w:line="360" w:lineRule="auto"/>
        <w:ind w:firstLine="567"/>
        <w:contextualSpacing/>
        <w:jc w:val="both"/>
        <w:rPr>
          <w:rFonts w:ascii="Myriad Pro" w:hAnsi="Myriad Pro" w:cs="Myriad Pro"/>
          <w:sz w:val="26"/>
          <w:szCs w:val="26"/>
        </w:rPr>
      </w:pPr>
      <w:r w:rsidRPr="00FB0A3A">
        <w:rPr>
          <w:rFonts w:ascii="Myriad Pro" w:eastAsia="Calibri" w:hAnsi="Myriad Pro" w:cs="Times New Roman"/>
          <w:iCs/>
          <w:sz w:val="26"/>
          <w:szCs w:val="26"/>
        </w:rPr>
        <w:t xml:space="preserve">Индекс роста </w:t>
      </w:r>
      <w:r w:rsidR="00047EE0" w:rsidRPr="00FB0A3A">
        <w:rPr>
          <w:rFonts w:ascii="Myriad Pro" w:eastAsia="Calibri" w:hAnsi="Myriad Pro" w:cs="Times New Roman"/>
          <w:iCs/>
          <w:sz w:val="26"/>
          <w:szCs w:val="26"/>
        </w:rPr>
        <w:t xml:space="preserve">операционных расходов 2019 к 2018 г. </w:t>
      </w:r>
      <w:r w:rsidRPr="00FB0A3A">
        <w:rPr>
          <w:rFonts w:ascii="Myriad Pro" w:eastAsia="Calibri" w:hAnsi="Myriad Pro" w:cs="Times New Roman"/>
          <w:iCs/>
          <w:sz w:val="26"/>
          <w:szCs w:val="26"/>
        </w:rPr>
        <w:t>составил 10</w:t>
      </w:r>
      <w:r w:rsidR="00F11238" w:rsidRPr="00FB0A3A">
        <w:rPr>
          <w:rFonts w:ascii="Myriad Pro" w:eastAsia="Calibri" w:hAnsi="Myriad Pro" w:cs="Times New Roman"/>
          <w:iCs/>
          <w:sz w:val="26"/>
          <w:szCs w:val="26"/>
        </w:rPr>
        <w:t>3</w:t>
      </w:r>
      <w:r w:rsidRPr="00FB0A3A">
        <w:rPr>
          <w:rFonts w:ascii="Myriad Pro" w:eastAsia="Calibri" w:hAnsi="Myriad Pro" w:cs="Times New Roman"/>
          <w:iCs/>
          <w:sz w:val="26"/>
          <w:szCs w:val="26"/>
        </w:rPr>
        <w:t xml:space="preserve">%. Принимая во внимание, что по </w:t>
      </w:r>
      <w:r w:rsidRPr="00FB0A3A">
        <w:rPr>
          <w:rFonts w:ascii="Myriad Pro" w:eastAsia="Calibri" w:hAnsi="Myriad Pro" w:cs="Times New Roman"/>
          <w:sz w:val="26"/>
          <w:szCs w:val="26"/>
        </w:rPr>
        <w:t xml:space="preserve">Прогнозу социально-экономического развития Российской Федерации на период 2024 года </w:t>
      </w:r>
      <w:r w:rsidR="006460BB" w:rsidRPr="00FB0A3A">
        <w:rPr>
          <w:rFonts w:ascii="Myriad Pro" w:eastAsia="Calibri" w:hAnsi="Myriad Pro" w:cs="Times New Roman"/>
          <w:sz w:val="26"/>
          <w:szCs w:val="26"/>
        </w:rPr>
        <w:t xml:space="preserve">ИПЦ </w:t>
      </w:r>
      <w:r w:rsidR="00047EE0" w:rsidRPr="00FB0A3A">
        <w:rPr>
          <w:rFonts w:ascii="Myriad Pro" w:eastAsia="Calibri" w:hAnsi="Myriad Pro" w:cs="Times New Roman"/>
          <w:sz w:val="26"/>
          <w:szCs w:val="26"/>
        </w:rPr>
        <w:t xml:space="preserve">на 2019 год </w:t>
      </w:r>
      <w:r w:rsidR="006460BB" w:rsidRPr="00FB0A3A">
        <w:rPr>
          <w:rFonts w:ascii="Myriad Pro" w:eastAsia="Calibri" w:hAnsi="Myriad Pro" w:cs="Times New Roman"/>
          <w:sz w:val="26"/>
          <w:szCs w:val="26"/>
        </w:rPr>
        <w:t>установлен в размере</w:t>
      </w:r>
      <w:r w:rsidRPr="00FB0A3A">
        <w:rPr>
          <w:rFonts w:ascii="Myriad Pro" w:eastAsia="Calibri" w:hAnsi="Myriad Pro" w:cs="Times New Roman"/>
          <w:sz w:val="26"/>
          <w:szCs w:val="26"/>
        </w:rPr>
        <w:t xml:space="preserve"> 104,65</w:t>
      </w:r>
      <w:r w:rsidR="006460BB" w:rsidRPr="00FB0A3A">
        <w:rPr>
          <w:rFonts w:ascii="Myriad Pro" w:eastAsia="Calibri" w:hAnsi="Myriad Pro" w:cs="Times New Roman"/>
          <w:sz w:val="26"/>
          <w:szCs w:val="26"/>
        </w:rPr>
        <w:t xml:space="preserve">%, </w:t>
      </w:r>
      <w:r w:rsidR="006460BB" w:rsidRPr="00506EE1">
        <w:rPr>
          <w:rFonts w:ascii="Myriad Pro" w:hAnsi="Myriad Pro" w:cs="Myriad Pro"/>
          <w:b/>
          <w:sz w:val="26"/>
          <w:szCs w:val="26"/>
        </w:rPr>
        <w:t>максимально возможная величина операционных расходов на 2019 год – 1 726 668,8</w:t>
      </w:r>
      <w:r w:rsidR="006460BB" w:rsidRPr="00FB0A3A">
        <w:rPr>
          <w:rFonts w:ascii="Myriad Pro" w:hAnsi="Myriad Pro" w:cs="Myriad Pro"/>
          <w:sz w:val="26"/>
          <w:szCs w:val="26"/>
        </w:rPr>
        <w:t xml:space="preserve"> тыс. руб., что выше на 28 164,9 тыс. руб. установленных Комитетом.</w:t>
      </w:r>
    </w:p>
    <w:p w14:paraId="6DF7E5D5" w14:textId="09183D2D" w:rsidR="00FC047F" w:rsidRPr="00FB0A3A" w:rsidRDefault="00FC047F" w:rsidP="00A31747">
      <w:pPr>
        <w:tabs>
          <w:tab w:val="left" w:pos="1134"/>
        </w:tabs>
        <w:spacing w:after="0" w:line="360" w:lineRule="auto"/>
        <w:ind w:firstLine="567"/>
        <w:contextualSpacing/>
        <w:jc w:val="both"/>
        <w:rPr>
          <w:rFonts w:ascii="Myriad Pro" w:eastAsia="Calibri" w:hAnsi="Myriad Pro" w:cs="Times New Roman"/>
          <w:iCs/>
          <w:sz w:val="26"/>
          <w:szCs w:val="26"/>
        </w:rPr>
        <w:sectPr w:rsidR="00FC047F" w:rsidRPr="00FB0A3A" w:rsidSect="00FB0A3A">
          <w:pgSz w:w="11906" w:h="16838"/>
          <w:pgMar w:top="1134" w:right="851" w:bottom="1134" w:left="1701" w:header="709" w:footer="709" w:gutter="0"/>
          <w:cols w:space="708"/>
          <w:docGrid w:linePitch="360"/>
        </w:sectPr>
      </w:pPr>
    </w:p>
    <w:p w14:paraId="6432BB72" w14:textId="02692ADE" w:rsidR="00CD32CD" w:rsidRPr="00FB0A3A" w:rsidRDefault="00CD32CD" w:rsidP="00FC047F">
      <w:pPr>
        <w:pStyle w:val="afff4"/>
        <w:rPr>
          <w:lang w:val="ru-RU"/>
        </w:rPr>
      </w:pPr>
      <w:r w:rsidRPr="00FB0A3A">
        <w:rPr>
          <w:lang w:val="ru-RU"/>
        </w:rPr>
        <w:lastRenderedPageBreak/>
        <w:t xml:space="preserve">Сводные результаты анализа по статьям подконтрольных </w:t>
      </w:r>
      <w:r w:rsidR="005E7952" w:rsidRPr="00FB0A3A">
        <w:rPr>
          <w:lang w:val="ru-RU"/>
        </w:rPr>
        <w:t>расходов представлены в таблице</w:t>
      </w:r>
    </w:p>
    <w:tbl>
      <w:tblPr>
        <w:tblStyle w:val="afff6"/>
        <w:tblW w:w="5000" w:type="pct"/>
        <w:tblLook w:val="04A0" w:firstRow="1" w:lastRow="0" w:firstColumn="1" w:lastColumn="0" w:noHBand="0" w:noVBand="1"/>
      </w:tblPr>
      <w:tblGrid>
        <w:gridCol w:w="676"/>
        <w:gridCol w:w="2559"/>
        <w:gridCol w:w="1433"/>
        <w:gridCol w:w="1462"/>
        <w:gridCol w:w="1191"/>
        <w:gridCol w:w="1208"/>
        <w:gridCol w:w="1334"/>
        <w:gridCol w:w="1246"/>
        <w:gridCol w:w="1602"/>
        <w:gridCol w:w="1565"/>
      </w:tblGrid>
      <w:tr w:rsidR="00FC047F" w:rsidRPr="00297DA6" w14:paraId="70701CC9" w14:textId="77777777" w:rsidTr="009F474A">
        <w:trPr>
          <w:cnfStyle w:val="100000000000" w:firstRow="1" w:lastRow="0" w:firstColumn="0" w:lastColumn="0" w:oddVBand="0" w:evenVBand="0" w:oddHBand="0"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4955F269" w14:textId="77777777" w:rsidR="00F36550" w:rsidRPr="00297DA6" w:rsidRDefault="00F36550" w:rsidP="00FC047F">
            <w:pPr>
              <w:tabs>
                <w:tab w:val="left" w:pos="1134"/>
              </w:tabs>
              <w:jc w:val="center"/>
              <w:rPr>
                <w:rFonts w:eastAsia="Calibri" w:cs="Times New Roman"/>
                <w:iCs/>
                <w:szCs w:val="18"/>
              </w:rPr>
            </w:pPr>
            <w:r w:rsidRPr="00297DA6">
              <w:rPr>
                <w:rFonts w:eastAsia="Calibri" w:cs="Times New Roman"/>
                <w:iCs/>
                <w:szCs w:val="18"/>
              </w:rPr>
              <w:t>№ п/п</w:t>
            </w: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1418562" w14:textId="77777777" w:rsidR="00F36550" w:rsidRPr="00297DA6" w:rsidRDefault="00F36550" w:rsidP="00FC047F">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Наименование статьи расходов</w:t>
            </w:r>
          </w:p>
        </w:tc>
        <w:tc>
          <w:tcPr>
            <w:tcW w:w="50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9A6AEE8" w14:textId="4D97A6EC" w:rsidR="00F36550" w:rsidRPr="00297DA6" w:rsidRDefault="00F36550" w:rsidP="00FC047F">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 xml:space="preserve">Факт за 2017, </w:t>
            </w:r>
            <w:r w:rsidR="005E7952" w:rsidRPr="00297DA6">
              <w:rPr>
                <w:rFonts w:eastAsia="Calibri" w:cs="Times New Roman"/>
                <w:iCs/>
                <w:szCs w:val="18"/>
              </w:rPr>
              <w:br/>
            </w:r>
            <w:r w:rsidRPr="00297DA6">
              <w:rPr>
                <w:rFonts w:eastAsia="Calibri" w:cs="Times New Roman"/>
                <w:iCs/>
                <w:szCs w:val="18"/>
              </w:rPr>
              <w:t>тыс. руб.</w:t>
            </w:r>
          </w:p>
        </w:tc>
        <w:tc>
          <w:tcPr>
            <w:tcW w:w="51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A90DDDD" w14:textId="79EB5C96" w:rsidR="00F36550" w:rsidRPr="00297DA6" w:rsidRDefault="00F36550" w:rsidP="00FC047F">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Приведенный факт 2017, с уч. ИЦП и ИКА 2018/2017 и 2019/2018</w:t>
            </w:r>
          </w:p>
        </w:tc>
        <w:tc>
          <w:tcPr>
            <w:tcW w:w="41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29C3596" w14:textId="5CEF2033" w:rsidR="00F36550" w:rsidRPr="00297DA6" w:rsidRDefault="00F36550" w:rsidP="00FC047F">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 xml:space="preserve">Тарифная заявка на 2019 </w:t>
            </w:r>
            <w:r w:rsidRPr="00297DA6">
              <w:rPr>
                <w:rFonts w:eastAsia="Calibri" w:cs="Times New Roman"/>
                <w:iCs/>
                <w:szCs w:val="18"/>
              </w:rPr>
              <w:br/>
              <w:t>(от 28.05.2018), тыс. руб.</w:t>
            </w:r>
          </w:p>
        </w:tc>
        <w:tc>
          <w:tcPr>
            <w:tcW w:w="42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DC08E36" w14:textId="5F78641F" w:rsidR="00F36550" w:rsidRPr="00297DA6" w:rsidRDefault="00F36550" w:rsidP="00FC047F">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ТБР 2019, тыс. руб.</w:t>
            </w:r>
          </w:p>
        </w:tc>
        <w:tc>
          <w:tcPr>
            <w:tcW w:w="46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F1C9BD6" w14:textId="7C3BC2A4" w:rsidR="00F36550" w:rsidRPr="00297DA6" w:rsidRDefault="00F36550" w:rsidP="00FC047F">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ТБР 2019 (ЭОУ), тыс. руб.</w:t>
            </w:r>
          </w:p>
        </w:tc>
        <w:tc>
          <w:tcPr>
            <w:tcW w:w="42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7934212" w14:textId="77777777" w:rsidR="00F36550" w:rsidRPr="00297DA6" w:rsidRDefault="00F36550" w:rsidP="00FC047F">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Расчет Исполнителя (ЭОУ), тыс. руб.</w:t>
            </w:r>
          </w:p>
        </w:tc>
        <w:tc>
          <w:tcPr>
            <w:tcW w:w="56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75AAADF" w14:textId="77777777" w:rsidR="00F36550" w:rsidRPr="00297DA6" w:rsidRDefault="00F36550" w:rsidP="00FC047F">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Отклонение  между Исполнителем и Комитетом (ЭОУ)</w:t>
            </w:r>
          </w:p>
        </w:tc>
        <w:tc>
          <w:tcPr>
            <w:tcW w:w="55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C59E9EF" w14:textId="77777777" w:rsidR="00F36550" w:rsidRPr="00297DA6" w:rsidRDefault="00F36550" w:rsidP="00FC047F">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Отклонение  между Исполнителем и Филиалом (ЭОУ)</w:t>
            </w:r>
          </w:p>
        </w:tc>
      </w:tr>
      <w:tr w:rsidR="00FC047F" w:rsidRPr="00297DA6" w14:paraId="734F1CDC" w14:textId="77777777" w:rsidTr="009F474A">
        <w:trPr>
          <w:trHeight w:val="45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80D363F" w14:textId="77777777" w:rsidR="00F36550" w:rsidRPr="00297DA6" w:rsidRDefault="00F36550" w:rsidP="00FC047F">
            <w:pPr>
              <w:tabs>
                <w:tab w:val="left" w:pos="1134"/>
              </w:tabs>
              <w:jc w:val="center"/>
              <w:rPr>
                <w:rFonts w:eastAsia="Calibri" w:cs="Times New Roman"/>
                <w:iCs/>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4DE6BFAA"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p>
        </w:tc>
        <w:tc>
          <w:tcPr>
            <w:tcW w:w="50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2853C01D"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p>
        </w:tc>
        <w:tc>
          <w:tcPr>
            <w:tcW w:w="51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2FFDECD5"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p>
        </w:tc>
        <w:tc>
          <w:tcPr>
            <w:tcW w:w="41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3B73681E"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p>
        </w:tc>
        <w:tc>
          <w:tcPr>
            <w:tcW w:w="42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556E1E57"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p>
        </w:tc>
        <w:tc>
          <w:tcPr>
            <w:tcW w:w="46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7C8EC878"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p>
        </w:tc>
        <w:tc>
          <w:tcPr>
            <w:tcW w:w="42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0CAD8DC5"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p>
        </w:tc>
        <w:tc>
          <w:tcPr>
            <w:tcW w:w="56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792480E0"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p>
        </w:tc>
        <w:tc>
          <w:tcPr>
            <w:tcW w:w="55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08710811"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p>
        </w:tc>
      </w:tr>
      <w:tr w:rsidR="00FC047F" w:rsidRPr="00297DA6" w14:paraId="3083D30D" w14:textId="77777777" w:rsidTr="009F474A">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tcBorders>
            <w:hideMark/>
          </w:tcPr>
          <w:p w14:paraId="2BE53241" w14:textId="77777777" w:rsidR="00F36550" w:rsidRPr="00297DA6" w:rsidRDefault="00F36550" w:rsidP="00FC047F">
            <w:pPr>
              <w:tabs>
                <w:tab w:val="left" w:pos="1134"/>
              </w:tabs>
              <w:jc w:val="center"/>
              <w:rPr>
                <w:rFonts w:eastAsia="Calibri" w:cs="Times New Roman"/>
                <w:iCs/>
                <w:szCs w:val="18"/>
              </w:rPr>
            </w:pPr>
            <w:r w:rsidRPr="00297DA6">
              <w:rPr>
                <w:rFonts w:eastAsia="Calibri" w:cs="Times New Roman"/>
                <w:iCs/>
                <w:szCs w:val="18"/>
              </w:rPr>
              <w:t>1</w:t>
            </w:r>
          </w:p>
        </w:tc>
        <w:tc>
          <w:tcPr>
            <w:tcW w:w="0" w:type="auto"/>
            <w:tcBorders>
              <w:top w:val="single" w:sz="4" w:space="0" w:color="FFFFFF" w:themeColor="background1"/>
            </w:tcBorders>
            <w:hideMark/>
          </w:tcPr>
          <w:p w14:paraId="12C5A1FC" w14:textId="77777777" w:rsidR="00F36550" w:rsidRPr="00297DA6" w:rsidRDefault="00F36550" w:rsidP="00FC047F">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Материальные затраты</w:t>
            </w:r>
          </w:p>
        </w:tc>
        <w:tc>
          <w:tcPr>
            <w:tcW w:w="504" w:type="pct"/>
            <w:tcBorders>
              <w:top w:val="single" w:sz="4" w:space="0" w:color="FFFFFF" w:themeColor="background1"/>
            </w:tcBorders>
            <w:hideMark/>
          </w:tcPr>
          <w:p w14:paraId="42E40721"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255 622,6</w:t>
            </w:r>
          </w:p>
        </w:tc>
        <w:tc>
          <w:tcPr>
            <w:tcW w:w="514" w:type="pct"/>
            <w:tcBorders>
              <w:top w:val="single" w:sz="4" w:space="0" w:color="FFFFFF" w:themeColor="background1"/>
            </w:tcBorders>
            <w:hideMark/>
          </w:tcPr>
          <w:p w14:paraId="40F25AE0"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276 840,0</w:t>
            </w:r>
          </w:p>
        </w:tc>
        <w:tc>
          <w:tcPr>
            <w:tcW w:w="419" w:type="pct"/>
            <w:tcBorders>
              <w:top w:val="single" w:sz="4" w:space="0" w:color="FFFFFF" w:themeColor="background1"/>
            </w:tcBorders>
            <w:hideMark/>
          </w:tcPr>
          <w:p w14:paraId="2C950DB5"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350 811,48</w:t>
            </w:r>
          </w:p>
        </w:tc>
        <w:tc>
          <w:tcPr>
            <w:tcW w:w="425" w:type="pct"/>
            <w:tcBorders>
              <w:top w:val="single" w:sz="4" w:space="0" w:color="FFFFFF" w:themeColor="background1"/>
            </w:tcBorders>
            <w:hideMark/>
          </w:tcPr>
          <w:p w14:paraId="6D3B936C"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290 891,5</w:t>
            </w:r>
          </w:p>
        </w:tc>
        <w:tc>
          <w:tcPr>
            <w:tcW w:w="469" w:type="pct"/>
            <w:tcBorders>
              <w:top w:val="single" w:sz="4" w:space="0" w:color="FFFFFF" w:themeColor="background1"/>
            </w:tcBorders>
            <w:hideMark/>
          </w:tcPr>
          <w:p w14:paraId="219378B1"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302 145,5</w:t>
            </w:r>
          </w:p>
        </w:tc>
        <w:tc>
          <w:tcPr>
            <w:tcW w:w="421" w:type="pct"/>
            <w:tcBorders>
              <w:top w:val="single" w:sz="4" w:space="0" w:color="FFFFFF" w:themeColor="background1"/>
            </w:tcBorders>
            <w:hideMark/>
          </w:tcPr>
          <w:p w14:paraId="3189EBDA"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283 838,1</w:t>
            </w:r>
          </w:p>
        </w:tc>
        <w:tc>
          <w:tcPr>
            <w:tcW w:w="563" w:type="pct"/>
            <w:tcBorders>
              <w:top w:val="single" w:sz="4" w:space="0" w:color="FFFFFF" w:themeColor="background1"/>
            </w:tcBorders>
            <w:hideMark/>
          </w:tcPr>
          <w:p w14:paraId="1329E3F6"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-18 307,5</w:t>
            </w:r>
          </w:p>
        </w:tc>
        <w:tc>
          <w:tcPr>
            <w:tcW w:w="550" w:type="pct"/>
            <w:tcBorders>
              <w:top w:val="single" w:sz="4" w:space="0" w:color="FFFFFF" w:themeColor="background1"/>
            </w:tcBorders>
            <w:hideMark/>
          </w:tcPr>
          <w:p w14:paraId="491B1F12"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-66 973,4</w:t>
            </w:r>
          </w:p>
        </w:tc>
      </w:tr>
      <w:tr w:rsidR="00FC047F" w:rsidRPr="00297DA6" w14:paraId="76E06CD6" w14:textId="77777777" w:rsidTr="00FC047F">
        <w:tc>
          <w:tcPr>
            <w:cnfStyle w:val="001000000000" w:firstRow="0" w:lastRow="0" w:firstColumn="1" w:lastColumn="0" w:oddVBand="0" w:evenVBand="0" w:oddHBand="0" w:evenHBand="0" w:firstRowFirstColumn="0" w:firstRowLastColumn="0" w:lastRowFirstColumn="0" w:lastRowLastColumn="0"/>
            <w:tcW w:w="0" w:type="auto"/>
            <w:hideMark/>
          </w:tcPr>
          <w:p w14:paraId="4C446793" w14:textId="1BA7041E" w:rsidR="00F36550" w:rsidRPr="00297DA6" w:rsidRDefault="00F36550" w:rsidP="00FC047F">
            <w:pPr>
              <w:tabs>
                <w:tab w:val="left" w:pos="1134"/>
              </w:tabs>
              <w:jc w:val="center"/>
              <w:rPr>
                <w:rFonts w:eastAsia="Calibri" w:cs="Times New Roman"/>
                <w:iCs/>
                <w:szCs w:val="18"/>
              </w:rPr>
            </w:pPr>
            <w:r w:rsidRPr="00297DA6">
              <w:rPr>
                <w:rFonts w:eastAsia="Calibri" w:cs="Times New Roman"/>
                <w:iCs/>
                <w:szCs w:val="18"/>
              </w:rPr>
              <w:t>1.1</w:t>
            </w:r>
          </w:p>
        </w:tc>
        <w:tc>
          <w:tcPr>
            <w:tcW w:w="0" w:type="auto"/>
            <w:hideMark/>
          </w:tcPr>
          <w:p w14:paraId="774641AC" w14:textId="77777777" w:rsidR="00F36550" w:rsidRPr="00297DA6" w:rsidRDefault="00F36550" w:rsidP="00FC047F">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Сырье, материалы, запасные части, инструмент, топливо</w:t>
            </w:r>
          </w:p>
        </w:tc>
        <w:tc>
          <w:tcPr>
            <w:tcW w:w="504" w:type="pct"/>
            <w:hideMark/>
          </w:tcPr>
          <w:p w14:paraId="5D526A6E"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174 034,8</w:t>
            </w:r>
          </w:p>
        </w:tc>
        <w:tc>
          <w:tcPr>
            <w:tcW w:w="514" w:type="pct"/>
            <w:hideMark/>
          </w:tcPr>
          <w:p w14:paraId="3DC9DD0C"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188 480,2</w:t>
            </w:r>
          </w:p>
        </w:tc>
        <w:tc>
          <w:tcPr>
            <w:tcW w:w="419" w:type="pct"/>
            <w:hideMark/>
          </w:tcPr>
          <w:p w14:paraId="0431DC18"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195 105,03</w:t>
            </w:r>
          </w:p>
        </w:tc>
        <w:tc>
          <w:tcPr>
            <w:tcW w:w="425" w:type="pct"/>
            <w:hideMark/>
          </w:tcPr>
          <w:p w14:paraId="07D54A2E"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209 513,2</w:t>
            </w:r>
          </w:p>
        </w:tc>
        <w:tc>
          <w:tcPr>
            <w:tcW w:w="469" w:type="pct"/>
            <w:hideMark/>
          </w:tcPr>
          <w:p w14:paraId="1C8B88CD"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217 618,9</w:t>
            </w:r>
          </w:p>
        </w:tc>
        <w:tc>
          <w:tcPr>
            <w:tcW w:w="421" w:type="pct"/>
            <w:hideMark/>
          </w:tcPr>
          <w:p w14:paraId="300BDBE4"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194 416,0</w:t>
            </w:r>
          </w:p>
        </w:tc>
        <w:tc>
          <w:tcPr>
            <w:tcW w:w="563" w:type="pct"/>
            <w:hideMark/>
          </w:tcPr>
          <w:p w14:paraId="51FF953D"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-23 202,9</w:t>
            </w:r>
          </w:p>
        </w:tc>
        <w:tc>
          <w:tcPr>
            <w:tcW w:w="550" w:type="pct"/>
            <w:hideMark/>
          </w:tcPr>
          <w:p w14:paraId="550D3613"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-689,0</w:t>
            </w:r>
          </w:p>
        </w:tc>
      </w:tr>
      <w:tr w:rsidR="00FC047F" w:rsidRPr="00297DA6" w14:paraId="53606343" w14:textId="77777777" w:rsidTr="00FC047F">
        <w:tc>
          <w:tcPr>
            <w:cnfStyle w:val="001000000000" w:firstRow="0" w:lastRow="0" w:firstColumn="1" w:lastColumn="0" w:oddVBand="0" w:evenVBand="0" w:oddHBand="0" w:evenHBand="0" w:firstRowFirstColumn="0" w:firstRowLastColumn="0" w:lastRowFirstColumn="0" w:lastRowLastColumn="0"/>
            <w:tcW w:w="0" w:type="auto"/>
            <w:hideMark/>
          </w:tcPr>
          <w:p w14:paraId="1ABC4A33" w14:textId="7155B429" w:rsidR="00F36550" w:rsidRPr="00297DA6" w:rsidRDefault="00F36550" w:rsidP="00FC047F">
            <w:pPr>
              <w:tabs>
                <w:tab w:val="left" w:pos="1134"/>
              </w:tabs>
              <w:jc w:val="center"/>
              <w:rPr>
                <w:rFonts w:eastAsia="Calibri" w:cs="Times New Roman"/>
                <w:iCs/>
                <w:szCs w:val="18"/>
              </w:rPr>
            </w:pPr>
            <w:r w:rsidRPr="00297DA6">
              <w:rPr>
                <w:rFonts w:eastAsia="Calibri" w:cs="Times New Roman"/>
                <w:iCs/>
                <w:szCs w:val="18"/>
              </w:rPr>
              <w:t>1.2</w:t>
            </w:r>
          </w:p>
        </w:tc>
        <w:tc>
          <w:tcPr>
            <w:tcW w:w="0" w:type="auto"/>
            <w:hideMark/>
          </w:tcPr>
          <w:p w14:paraId="44775521" w14:textId="7FED6ABF" w:rsidR="00F36550" w:rsidRPr="00297DA6" w:rsidRDefault="00F36550" w:rsidP="00FC047F">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Работы и услуги производственного характера</w:t>
            </w:r>
          </w:p>
        </w:tc>
        <w:tc>
          <w:tcPr>
            <w:tcW w:w="504" w:type="pct"/>
            <w:hideMark/>
          </w:tcPr>
          <w:p w14:paraId="31099B38"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81 587,8</w:t>
            </w:r>
          </w:p>
        </w:tc>
        <w:tc>
          <w:tcPr>
            <w:tcW w:w="514" w:type="pct"/>
            <w:hideMark/>
          </w:tcPr>
          <w:p w14:paraId="58949114"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88 359,8</w:t>
            </w:r>
          </w:p>
        </w:tc>
        <w:tc>
          <w:tcPr>
            <w:tcW w:w="419" w:type="pct"/>
            <w:hideMark/>
          </w:tcPr>
          <w:p w14:paraId="568E8F05"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155 706,45</w:t>
            </w:r>
          </w:p>
        </w:tc>
        <w:tc>
          <w:tcPr>
            <w:tcW w:w="425" w:type="pct"/>
            <w:hideMark/>
          </w:tcPr>
          <w:p w14:paraId="36119C17"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81 378,3</w:t>
            </w:r>
          </w:p>
        </w:tc>
        <w:tc>
          <w:tcPr>
            <w:tcW w:w="469" w:type="pct"/>
            <w:hideMark/>
          </w:tcPr>
          <w:p w14:paraId="5C9E000F"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84 526,6</w:t>
            </w:r>
          </w:p>
        </w:tc>
        <w:tc>
          <w:tcPr>
            <w:tcW w:w="421" w:type="pct"/>
            <w:hideMark/>
          </w:tcPr>
          <w:p w14:paraId="34753A42"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89 422,1</w:t>
            </w:r>
          </w:p>
        </w:tc>
        <w:tc>
          <w:tcPr>
            <w:tcW w:w="563" w:type="pct"/>
            <w:hideMark/>
          </w:tcPr>
          <w:p w14:paraId="1048C4A8"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4 895,4</w:t>
            </w:r>
          </w:p>
        </w:tc>
        <w:tc>
          <w:tcPr>
            <w:tcW w:w="550" w:type="pct"/>
            <w:hideMark/>
          </w:tcPr>
          <w:p w14:paraId="52AD09DE"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-66 284,4</w:t>
            </w:r>
          </w:p>
        </w:tc>
      </w:tr>
      <w:tr w:rsidR="00FC047F" w:rsidRPr="00297DA6" w14:paraId="153147BF" w14:textId="77777777" w:rsidTr="00FC047F">
        <w:tc>
          <w:tcPr>
            <w:cnfStyle w:val="001000000000" w:firstRow="0" w:lastRow="0" w:firstColumn="1" w:lastColumn="0" w:oddVBand="0" w:evenVBand="0" w:oddHBand="0" w:evenHBand="0" w:firstRowFirstColumn="0" w:firstRowLastColumn="0" w:lastRowFirstColumn="0" w:lastRowLastColumn="0"/>
            <w:tcW w:w="0" w:type="auto"/>
            <w:hideMark/>
          </w:tcPr>
          <w:p w14:paraId="33CCE479" w14:textId="52252A48" w:rsidR="00F36550" w:rsidRPr="00297DA6" w:rsidRDefault="00F36550" w:rsidP="00FC047F">
            <w:pPr>
              <w:tabs>
                <w:tab w:val="left" w:pos="1134"/>
              </w:tabs>
              <w:jc w:val="center"/>
              <w:rPr>
                <w:rFonts w:eastAsia="Calibri" w:cs="Times New Roman"/>
                <w:iCs/>
                <w:szCs w:val="18"/>
              </w:rPr>
            </w:pPr>
            <w:r w:rsidRPr="00297DA6">
              <w:rPr>
                <w:rFonts w:eastAsia="Calibri" w:cs="Times New Roman"/>
                <w:iCs/>
                <w:szCs w:val="18"/>
              </w:rPr>
              <w:t>1.3</w:t>
            </w:r>
          </w:p>
        </w:tc>
        <w:tc>
          <w:tcPr>
            <w:tcW w:w="0" w:type="auto"/>
            <w:hideMark/>
          </w:tcPr>
          <w:p w14:paraId="5665B558" w14:textId="77777777" w:rsidR="00F36550" w:rsidRPr="00297DA6" w:rsidRDefault="00F36550" w:rsidP="00FC047F">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Ремонт основных фондов</w:t>
            </w:r>
          </w:p>
        </w:tc>
        <w:tc>
          <w:tcPr>
            <w:tcW w:w="504" w:type="pct"/>
            <w:hideMark/>
          </w:tcPr>
          <w:p w14:paraId="16EAE470"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90 199,8</w:t>
            </w:r>
          </w:p>
        </w:tc>
        <w:tc>
          <w:tcPr>
            <w:tcW w:w="514" w:type="pct"/>
            <w:hideMark/>
          </w:tcPr>
          <w:p w14:paraId="4C4A4CA4"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97 686,6</w:t>
            </w:r>
          </w:p>
        </w:tc>
        <w:tc>
          <w:tcPr>
            <w:tcW w:w="419" w:type="pct"/>
            <w:hideMark/>
          </w:tcPr>
          <w:p w14:paraId="596B1302"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155 000,00</w:t>
            </w:r>
          </w:p>
        </w:tc>
        <w:tc>
          <w:tcPr>
            <w:tcW w:w="425" w:type="pct"/>
            <w:hideMark/>
          </w:tcPr>
          <w:p w14:paraId="7BC50EFC"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112 171,3</w:t>
            </w:r>
          </w:p>
        </w:tc>
        <w:tc>
          <w:tcPr>
            <w:tcW w:w="469" w:type="pct"/>
            <w:hideMark/>
          </w:tcPr>
          <w:p w14:paraId="51DCE2E4"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116 511,0</w:t>
            </w:r>
          </w:p>
        </w:tc>
        <w:tc>
          <w:tcPr>
            <w:tcW w:w="421" w:type="pct"/>
            <w:hideMark/>
          </w:tcPr>
          <w:p w14:paraId="21F91CB9"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116 511,0</w:t>
            </w:r>
          </w:p>
        </w:tc>
        <w:tc>
          <w:tcPr>
            <w:tcW w:w="563" w:type="pct"/>
            <w:hideMark/>
          </w:tcPr>
          <w:p w14:paraId="6CCF9B27"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0,0</w:t>
            </w:r>
          </w:p>
        </w:tc>
        <w:tc>
          <w:tcPr>
            <w:tcW w:w="550" w:type="pct"/>
            <w:hideMark/>
          </w:tcPr>
          <w:p w14:paraId="73801EFA"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-38 489,0</w:t>
            </w:r>
          </w:p>
        </w:tc>
      </w:tr>
      <w:tr w:rsidR="00FC047F" w:rsidRPr="00297DA6" w14:paraId="58FE4655" w14:textId="77777777" w:rsidTr="00FC047F">
        <w:tc>
          <w:tcPr>
            <w:cnfStyle w:val="001000000000" w:firstRow="0" w:lastRow="0" w:firstColumn="1" w:lastColumn="0" w:oddVBand="0" w:evenVBand="0" w:oddHBand="0" w:evenHBand="0" w:firstRowFirstColumn="0" w:firstRowLastColumn="0" w:lastRowFirstColumn="0" w:lastRowLastColumn="0"/>
            <w:tcW w:w="0" w:type="auto"/>
            <w:hideMark/>
          </w:tcPr>
          <w:p w14:paraId="1E9A25A8" w14:textId="77777777" w:rsidR="00F36550" w:rsidRPr="00297DA6" w:rsidRDefault="00F36550" w:rsidP="00FC047F">
            <w:pPr>
              <w:tabs>
                <w:tab w:val="left" w:pos="1134"/>
              </w:tabs>
              <w:jc w:val="center"/>
              <w:rPr>
                <w:rFonts w:eastAsia="Calibri" w:cs="Times New Roman"/>
                <w:iCs/>
                <w:szCs w:val="18"/>
              </w:rPr>
            </w:pPr>
            <w:r w:rsidRPr="00297DA6">
              <w:rPr>
                <w:rFonts w:eastAsia="Calibri" w:cs="Times New Roman"/>
                <w:iCs/>
                <w:szCs w:val="18"/>
              </w:rPr>
              <w:t>2</w:t>
            </w:r>
          </w:p>
        </w:tc>
        <w:tc>
          <w:tcPr>
            <w:tcW w:w="0" w:type="auto"/>
            <w:hideMark/>
          </w:tcPr>
          <w:p w14:paraId="1AA36B82" w14:textId="77777777" w:rsidR="00F36550" w:rsidRPr="00297DA6" w:rsidRDefault="00F36550" w:rsidP="00FC047F">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Расходы на оплату труда</w:t>
            </w:r>
          </w:p>
        </w:tc>
        <w:tc>
          <w:tcPr>
            <w:tcW w:w="504" w:type="pct"/>
            <w:hideMark/>
          </w:tcPr>
          <w:p w14:paraId="0A602D07"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886 240,3</w:t>
            </w:r>
          </w:p>
        </w:tc>
        <w:tc>
          <w:tcPr>
            <w:tcW w:w="514" w:type="pct"/>
            <w:hideMark/>
          </w:tcPr>
          <w:p w14:paraId="26AC0E02"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959 800,8</w:t>
            </w:r>
          </w:p>
        </w:tc>
        <w:tc>
          <w:tcPr>
            <w:tcW w:w="419" w:type="pct"/>
            <w:hideMark/>
          </w:tcPr>
          <w:p w14:paraId="31A21980"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1 265 486,04</w:t>
            </w:r>
          </w:p>
        </w:tc>
        <w:tc>
          <w:tcPr>
            <w:tcW w:w="425" w:type="pct"/>
            <w:hideMark/>
          </w:tcPr>
          <w:p w14:paraId="32B914E0"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992 705,2</w:t>
            </w:r>
          </w:p>
        </w:tc>
        <w:tc>
          <w:tcPr>
            <w:tcW w:w="469" w:type="pct"/>
            <w:hideMark/>
          </w:tcPr>
          <w:p w14:paraId="016292E5"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1 031 111,2</w:t>
            </w:r>
          </w:p>
        </w:tc>
        <w:tc>
          <w:tcPr>
            <w:tcW w:w="421" w:type="pct"/>
            <w:hideMark/>
          </w:tcPr>
          <w:p w14:paraId="3DAA138A"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1 054 083,9</w:t>
            </w:r>
          </w:p>
        </w:tc>
        <w:tc>
          <w:tcPr>
            <w:tcW w:w="563" w:type="pct"/>
            <w:hideMark/>
          </w:tcPr>
          <w:p w14:paraId="40BC5F63"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22 972,7</w:t>
            </w:r>
          </w:p>
        </w:tc>
        <w:tc>
          <w:tcPr>
            <w:tcW w:w="550" w:type="pct"/>
            <w:hideMark/>
          </w:tcPr>
          <w:p w14:paraId="15A43E7F"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-211 402,1</w:t>
            </w:r>
          </w:p>
        </w:tc>
      </w:tr>
      <w:tr w:rsidR="00FC047F" w:rsidRPr="00297DA6" w14:paraId="23D84CBA" w14:textId="77777777" w:rsidTr="00FC047F">
        <w:tc>
          <w:tcPr>
            <w:cnfStyle w:val="001000000000" w:firstRow="0" w:lastRow="0" w:firstColumn="1" w:lastColumn="0" w:oddVBand="0" w:evenVBand="0" w:oddHBand="0" w:evenHBand="0" w:firstRowFirstColumn="0" w:firstRowLastColumn="0" w:lastRowFirstColumn="0" w:lastRowLastColumn="0"/>
            <w:tcW w:w="0" w:type="auto"/>
            <w:hideMark/>
          </w:tcPr>
          <w:p w14:paraId="2DDD0D90" w14:textId="77777777" w:rsidR="00F36550" w:rsidRPr="00297DA6" w:rsidRDefault="00F36550" w:rsidP="00FC047F">
            <w:pPr>
              <w:tabs>
                <w:tab w:val="left" w:pos="1134"/>
              </w:tabs>
              <w:jc w:val="center"/>
              <w:rPr>
                <w:rFonts w:eastAsia="Calibri" w:cs="Times New Roman"/>
                <w:iCs/>
                <w:szCs w:val="18"/>
              </w:rPr>
            </w:pPr>
            <w:r w:rsidRPr="00297DA6">
              <w:rPr>
                <w:rFonts w:eastAsia="Calibri" w:cs="Times New Roman"/>
                <w:iCs/>
                <w:szCs w:val="18"/>
              </w:rPr>
              <w:t>3</w:t>
            </w:r>
          </w:p>
        </w:tc>
        <w:tc>
          <w:tcPr>
            <w:tcW w:w="0" w:type="auto"/>
            <w:hideMark/>
          </w:tcPr>
          <w:p w14:paraId="145E0942" w14:textId="77777777" w:rsidR="00F36550" w:rsidRPr="00297DA6" w:rsidRDefault="00F36550" w:rsidP="00FC047F">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Прочие расходы, всего, в том числе:</w:t>
            </w:r>
          </w:p>
        </w:tc>
        <w:tc>
          <w:tcPr>
            <w:tcW w:w="504" w:type="pct"/>
            <w:hideMark/>
          </w:tcPr>
          <w:p w14:paraId="7695E870"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576 774,4</w:t>
            </w:r>
          </w:p>
        </w:tc>
        <w:tc>
          <w:tcPr>
            <w:tcW w:w="514" w:type="pct"/>
            <w:hideMark/>
          </w:tcPr>
          <w:p w14:paraId="70030B1E"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624 648,3</w:t>
            </w:r>
          </w:p>
        </w:tc>
        <w:tc>
          <w:tcPr>
            <w:tcW w:w="419" w:type="pct"/>
            <w:hideMark/>
          </w:tcPr>
          <w:p w14:paraId="3FCE769C"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686 646,16</w:t>
            </w:r>
          </w:p>
        </w:tc>
        <w:tc>
          <w:tcPr>
            <w:tcW w:w="425" w:type="pct"/>
            <w:hideMark/>
          </w:tcPr>
          <w:p w14:paraId="6EA90A1F"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302 736,0</w:t>
            </w:r>
          </w:p>
        </w:tc>
        <w:tc>
          <w:tcPr>
            <w:tcW w:w="469" w:type="pct"/>
            <w:hideMark/>
          </w:tcPr>
          <w:p w14:paraId="65F64417"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314 448,3</w:t>
            </w:r>
          </w:p>
        </w:tc>
        <w:tc>
          <w:tcPr>
            <w:tcW w:w="421" w:type="pct"/>
            <w:hideMark/>
          </w:tcPr>
          <w:p w14:paraId="339F17DF"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326 298,8</w:t>
            </w:r>
          </w:p>
        </w:tc>
        <w:tc>
          <w:tcPr>
            <w:tcW w:w="563" w:type="pct"/>
            <w:hideMark/>
          </w:tcPr>
          <w:p w14:paraId="7963A6F7"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11 850,4</w:t>
            </w:r>
          </w:p>
        </w:tc>
        <w:tc>
          <w:tcPr>
            <w:tcW w:w="550" w:type="pct"/>
            <w:hideMark/>
          </w:tcPr>
          <w:p w14:paraId="7F095394"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-360 347,4</w:t>
            </w:r>
          </w:p>
        </w:tc>
      </w:tr>
      <w:tr w:rsidR="00FC047F" w:rsidRPr="00297DA6" w14:paraId="11D99840" w14:textId="77777777" w:rsidTr="00FC047F">
        <w:tc>
          <w:tcPr>
            <w:cnfStyle w:val="001000000000" w:firstRow="0" w:lastRow="0" w:firstColumn="1" w:lastColumn="0" w:oddVBand="0" w:evenVBand="0" w:oddHBand="0" w:evenHBand="0" w:firstRowFirstColumn="0" w:firstRowLastColumn="0" w:lastRowFirstColumn="0" w:lastRowLastColumn="0"/>
            <w:tcW w:w="0" w:type="auto"/>
            <w:hideMark/>
          </w:tcPr>
          <w:p w14:paraId="3C044E11" w14:textId="76D3E099" w:rsidR="00F36550" w:rsidRPr="00297DA6" w:rsidRDefault="00F36550" w:rsidP="00FC047F">
            <w:pPr>
              <w:tabs>
                <w:tab w:val="left" w:pos="1134"/>
              </w:tabs>
              <w:jc w:val="center"/>
              <w:rPr>
                <w:rFonts w:eastAsia="Calibri" w:cs="Times New Roman"/>
                <w:iCs/>
                <w:szCs w:val="18"/>
              </w:rPr>
            </w:pPr>
            <w:r w:rsidRPr="00297DA6">
              <w:rPr>
                <w:rFonts w:eastAsia="Calibri" w:cs="Times New Roman"/>
                <w:iCs/>
                <w:szCs w:val="18"/>
              </w:rPr>
              <w:t>3.1</w:t>
            </w:r>
          </w:p>
        </w:tc>
        <w:tc>
          <w:tcPr>
            <w:tcW w:w="0" w:type="auto"/>
            <w:hideMark/>
          </w:tcPr>
          <w:p w14:paraId="0C33BB7E" w14:textId="77777777" w:rsidR="00F36550" w:rsidRPr="00297DA6" w:rsidRDefault="00F36550" w:rsidP="00FC047F">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Оплата работ и услуг сторонних организаций</w:t>
            </w:r>
          </w:p>
        </w:tc>
        <w:tc>
          <w:tcPr>
            <w:tcW w:w="504" w:type="pct"/>
            <w:hideMark/>
          </w:tcPr>
          <w:p w14:paraId="37AC9808"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134 027,5</w:t>
            </w:r>
          </w:p>
        </w:tc>
        <w:tc>
          <w:tcPr>
            <w:tcW w:w="514" w:type="pct"/>
            <w:hideMark/>
          </w:tcPr>
          <w:p w14:paraId="73513AC7"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145 152,2</w:t>
            </w:r>
          </w:p>
        </w:tc>
        <w:tc>
          <w:tcPr>
            <w:tcW w:w="419" w:type="pct"/>
            <w:hideMark/>
          </w:tcPr>
          <w:p w14:paraId="0E48D643"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178 111,53</w:t>
            </w:r>
          </w:p>
        </w:tc>
        <w:tc>
          <w:tcPr>
            <w:tcW w:w="425" w:type="pct"/>
            <w:hideMark/>
          </w:tcPr>
          <w:p w14:paraId="1B508675"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133 625,3</w:t>
            </w:r>
          </w:p>
        </w:tc>
        <w:tc>
          <w:tcPr>
            <w:tcW w:w="469" w:type="pct"/>
            <w:hideMark/>
          </w:tcPr>
          <w:p w14:paraId="7B43003B"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138 795,0</w:t>
            </w:r>
          </w:p>
        </w:tc>
        <w:tc>
          <w:tcPr>
            <w:tcW w:w="421" w:type="pct"/>
            <w:hideMark/>
          </w:tcPr>
          <w:p w14:paraId="546CCD72"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149 173,8</w:t>
            </w:r>
          </w:p>
        </w:tc>
        <w:tc>
          <w:tcPr>
            <w:tcW w:w="563" w:type="pct"/>
            <w:hideMark/>
          </w:tcPr>
          <w:p w14:paraId="6D126B8C"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10 378,8</w:t>
            </w:r>
          </w:p>
        </w:tc>
        <w:tc>
          <w:tcPr>
            <w:tcW w:w="550" w:type="pct"/>
            <w:hideMark/>
          </w:tcPr>
          <w:p w14:paraId="76B4D197"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-28 937,7</w:t>
            </w:r>
          </w:p>
        </w:tc>
      </w:tr>
      <w:tr w:rsidR="00FC047F" w:rsidRPr="00297DA6" w14:paraId="1AD785D5" w14:textId="77777777" w:rsidTr="00FC047F">
        <w:tc>
          <w:tcPr>
            <w:cnfStyle w:val="001000000000" w:firstRow="0" w:lastRow="0" w:firstColumn="1" w:lastColumn="0" w:oddVBand="0" w:evenVBand="0" w:oddHBand="0" w:evenHBand="0" w:firstRowFirstColumn="0" w:firstRowLastColumn="0" w:lastRowFirstColumn="0" w:lastRowLastColumn="0"/>
            <w:tcW w:w="0" w:type="auto"/>
            <w:hideMark/>
          </w:tcPr>
          <w:p w14:paraId="63B2959B" w14:textId="395C429F" w:rsidR="00F36550" w:rsidRPr="00297DA6" w:rsidRDefault="00F36550" w:rsidP="00FC047F">
            <w:pPr>
              <w:tabs>
                <w:tab w:val="left" w:pos="1134"/>
              </w:tabs>
              <w:jc w:val="center"/>
              <w:rPr>
                <w:rFonts w:eastAsia="Calibri" w:cs="Times New Roman"/>
                <w:iCs/>
                <w:szCs w:val="18"/>
              </w:rPr>
            </w:pPr>
            <w:r w:rsidRPr="00297DA6">
              <w:rPr>
                <w:rFonts w:eastAsia="Calibri" w:cs="Times New Roman"/>
                <w:iCs/>
                <w:szCs w:val="18"/>
              </w:rPr>
              <w:t>3.1.1</w:t>
            </w:r>
          </w:p>
        </w:tc>
        <w:tc>
          <w:tcPr>
            <w:tcW w:w="0" w:type="auto"/>
            <w:hideMark/>
          </w:tcPr>
          <w:p w14:paraId="55224AA7" w14:textId="77777777" w:rsidR="00F36550" w:rsidRPr="00297DA6" w:rsidRDefault="00F36550" w:rsidP="00FC047F">
            <w:pPr>
              <w:tabs>
                <w:tab w:val="left" w:pos="1134"/>
              </w:tabs>
              <w:ind w:left="283"/>
              <w:jc w:val="left"/>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услуги связи</w:t>
            </w:r>
          </w:p>
        </w:tc>
        <w:tc>
          <w:tcPr>
            <w:tcW w:w="504" w:type="pct"/>
            <w:hideMark/>
          </w:tcPr>
          <w:p w14:paraId="1F96BF5D"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13 465,0</w:t>
            </w:r>
          </w:p>
        </w:tc>
        <w:tc>
          <w:tcPr>
            <w:tcW w:w="514" w:type="pct"/>
            <w:hideMark/>
          </w:tcPr>
          <w:p w14:paraId="75380C54"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14 582,6</w:t>
            </w:r>
          </w:p>
        </w:tc>
        <w:tc>
          <w:tcPr>
            <w:tcW w:w="419" w:type="pct"/>
            <w:hideMark/>
          </w:tcPr>
          <w:p w14:paraId="023DDF8A"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20 480,54</w:t>
            </w:r>
          </w:p>
        </w:tc>
        <w:tc>
          <w:tcPr>
            <w:tcW w:w="425" w:type="pct"/>
            <w:hideMark/>
          </w:tcPr>
          <w:p w14:paraId="1AB56FB3"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17 136,8</w:t>
            </w:r>
          </w:p>
        </w:tc>
        <w:tc>
          <w:tcPr>
            <w:tcW w:w="469" w:type="pct"/>
            <w:hideMark/>
          </w:tcPr>
          <w:p w14:paraId="3D8AF335"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17 799,8</w:t>
            </w:r>
          </w:p>
        </w:tc>
        <w:tc>
          <w:tcPr>
            <w:tcW w:w="421" w:type="pct"/>
            <w:hideMark/>
          </w:tcPr>
          <w:p w14:paraId="16A1062F"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17 997,9</w:t>
            </w:r>
          </w:p>
        </w:tc>
        <w:tc>
          <w:tcPr>
            <w:tcW w:w="563" w:type="pct"/>
            <w:hideMark/>
          </w:tcPr>
          <w:p w14:paraId="3A76E8F4"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198,1</w:t>
            </w:r>
          </w:p>
        </w:tc>
        <w:tc>
          <w:tcPr>
            <w:tcW w:w="550" w:type="pct"/>
            <w:hideMark/>
          </w:tcPr>
          <w:p w14:paraId="7ED3B519"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-2 482,6</w:t>
            </w:r>
          </w:p>
        </w:tc>
      </w:tr>
      <w:tr w:rsidR="00FC047F" w:rsidRPr="00297DA6" w14:paraId="2F229363" w14:textId="77777777" w:rsidTr="00FC047F">
        <w:tc>
          <w:tcPr>
            <w:cnfStyle w:val="001000000000" w:firstRow="0" w:lastRow="0" w:firstColumn="1" w:lastColumn="0" w:oddVBand="0" w:evenVBand="0" w:oddHBand="0" w:evenHBand="0" w:firstRowFirstColumn="0" w:firstRowLastColumn="0" w:lastRowFirstColumn="0" w:lastRowLastColumn="0"/>
            <w:tcW w:w="0" w:type="auto"/>
            <w:hideMark/>
          </w:tcPr>
          <w:p w14:paraId="5935F8B2" w14:textId="23749D1D" w:rsidR="00F36550" w:rsidRPr="00297DA6" w:rsidRDefault="00F36550" w:rsidP="00FC047F">
            <w:pPr>
              <w:tabs>
                <w:tab w:val="left" w:pos="1134"/>
              </w:tabs>
              <w:jc w:val="center"/>
              <w:rPr>
                <w:rFonts w:eastAsia="Calibri" w:cs="Times New Roman"/>
                <w:iCs/>
                <w:szCs w:val="18"/>
              </w:rPr>
            </w:pPr>
            <w:r w:rsidRPr="00297DA6">
              <w:rPr>
                <w:rFonts w:eastAsia="Calibri" w:cs="Times New Roman"/>
                <w:iCs/>
                <w:szCs w:val="18"/>
              </w:rPr>
              <w:t>3.1.2</w:t>
            </w:r>
          </w:p>
        </w:tc>
        <w:tc>
          <w:tcPr>
            <w:tcW w:w="0" w:type="auto"/>
            <w:hideMark/>
          </w:tcPr>
          <w:p w14:paraId="0692A6F9" w14:textId="77777777" w:rsidR="00F36550" w:rsidRPr="00297DA6" w:rsidRDefault="00F36550" w:rsidP="00FC047F">
            <w:pPr>
              <w:tabs>
                <w:tab w:val="left" w:pos="1134"/>
              </w:tabs>
              <w:ind w:left="283"/>
              <w:jc w:val="left"/>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расходы на услуги вневедомственной охраны и коммунального хозяйства</w:t>
            </w:r>
          </w:p>
        </w:tc>
        <w:tc>
          <w:tcPr>
            <w:tcW w:w="504" w:type="pct"/>
            <w:hideMark/>
          </w:tcPr>
          <w:p w14:paraId="431C5DEC"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37 980,0</w:t>
            </w:r>
          </w:p>
        </w:tc>
        <w:tc>
          <w:tcPr>
            <w:tcW w:w="514" w:type="pct"/>
            <w:hideMark/>
          </w:tcPr>
          <w:p w14:paraId="324BFACE"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41 132,5</w:t>
            </w:r>
          </w:p>
        </w:tc>
        <w:tc>
          <w:tcPr>
            <w:tcW w:w="419" w:type="pct"/>
            <w:hideMark/>
          </w:tcPr>
          <w:p w14:paraId="27E18309"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48 492,64</w:t>
            </w:r>
          </w:p>
        </w:tc>
        <w:tc>
          <w:tcPr>
            <w:tcW w:w="425" w:type="pct"/>
            <w:hideMark/>
          </w:tcPr>
          <w:p w14:paraId="116CADB7"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38 418,1</w:t>
            </w:r>
          </w:p>
        </w:tc>
        <w:tc>
          <w:tcPr>
            <w:tcW w:w="469" w:type="pct"/>
            <w:hideMark/>
          </w:tcPr>
          <w:p w14:paraId="1150F6DD"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39 904,4</w:t>
            </w:r>
          </w:p>
        </w:tc>
        <w:tc>
          <w:tcPr>
            <w:tcW w:w="421" w:type="pct"/>
            <w:hideMark/>
          </w:tcPr>
          <w:p w14:paraId="6A1B244B"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48 492,6</w:t>
            </w:r>
          </w:p>
        </w:tc>
        <w:tc>
          <w:tcPr>
            <w:tcW w:w="563" w:type="pct"/>
            <w:hideMark/>
          </w:tcPr>
          <w:p w14:paraId="2E4C514D"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8 588,2</w:t>
            </w:r>
          </w:p>
        </w:tc>
        <w:tc>
          <w:tcPr>
            <w:tcW w:w="550" w:type="pct"/>
            <w:hideMark/>
          </w:tcPr>
          <w:p w14:paraId="40D7BAB5"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0,0</w:t>
            </w:r>
          </w:p>
        </w:tc>
      </w:tr>
      <w:tr w:rsidR="00FC047F" w:rsidRPr="00297DA6" w14:paraId="1441499E" w14:textId="77777777" w:rsidTr="00FC047F">
        <w:tc>
          <w:tcPr>
            <w:cnfStyle w:val="001000000000" w:firstRow="0" w:lastRow="0" w:firstColumn="1" w:lastColumn="0" w:oddVBand="0" w:evenVBand="0" w:oddHBand="0" w:evenHBand="0" w:firstRowFirstColumn="0" w:firstRowLastColumn="0" w:lastRowFirstColumn="0" w:lastRowLastColumn="0"/>
            <w:tcW w:w="0" w:type="auto"/>
            <w:hideMark/>
          </w:tcPr>
          <w:p w14:paraId="5C7D0A70" w14:textId="4BBC22B9" w:rsidR="00F36550" w:rsidRPr="00297DA6" w:rsidRDefault="00F36550" w:rsidP="00FC047F">
            <w:pPr>
              <w:tabs>
                <w:tab w:val="left" w:pos="1134"/>
              </w:tabs>
              <w:jc w:val="center"/>
              <w:rPr>
                <w:rFonts w:eastAsia="Calibri" w:cs="Times New Roman"/>
                <w:iCs/>
                <w:szCs w:val="18"/>
              </w:rPr>
            </w:pPr>
            <w:r w:rsidRPr="00297DA6">
              <w:rPr>
                <w:rFonts w:eastAsia="Calibri" w:cs="Times New Roman"/>
                <w:iCs/>
                <w:szCs w:val="18"/>
              </w:rPr>
              <w:t>3.1.3</w:t>
            </w:r>
          </w:p>
        </w:tc>
        <w:tc>
          <w:tcPr>
            <w:tcW w:w="0" w:type="auto"/>
            <w:hideMark/>
          </w:tcPr>
          <w:p w14:paraId="440663D9" w14:textId="77777777" w:rsidR="00F36550" w:rsidRPr="00297DA6" w:rsidRDefault="00F36550" w:rsidP="00FC047F">
            <w:pPr>
              <w:tabs>
                <w:tab w:val="left" w:pos="1134"/>
              </w:tabs>
              <w:ind w:left="283"/>
              <w:jc w:val="left"/>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расходы на юридические и информационные услуги</w:t>
            </w:r>
          </w:p>
        </w:tc>
        <w:tc>
          <w:tcPr>
            <w:tcW w:w="504" w:type="pct"/>
            <w:hideMark/>
          </w:tcPr>
          <w:p w14:paraId="44314AA8"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24 261,8</w:t>
            </w:r>
          </w:p>
        </w:tc>
        <w:tc>
          <w:tcPr>
            <w:tcW w:w="514" w:type="pct"/>
            <w:hideMark/>
          </w:tcPr>
          <w:p w14:paraId="3209EC2B"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26 275,5</w:t>
            </w:r>
          </w:p>
        </w:tc>
        <w:tc>
          <w:tcPr>
            <w:tcW w:w="419" w:type="pct"/>
            <w:hideMark/>
          </w:tcPr>
          <w:p w14:paraId="41B5FEFE"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37 670,85</w:t>
            </w:r>
          </w:p>
        </w:tc>
        <w:tc>
          <w:tcPr>
            <w:tcW w:w="425" w:type="pct"/>
            <w:hideMark/>
          </w:tcPr>
          <w:p w14:paraId="7E043A26"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22 971,7</w:t>
            </w:r>
          </w:p>
        </w:tc>
        <w:tc>
          <w:tcPr>
            <w:tcW w:w="469" w:type="pct"/>
            <w:hideMark/>
          </w:tcPr>
          <w:p w14:paraId="0337C8E2"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23 860,4</w:t>
            </w:r>
          </w:p>
        </w:tc>
        <w:tc>
          <w:tcPr>
            <w:tcW w:w="421" w:type="pct"/>
            <w:hideMark/>
          </w:tcPr>
          <w:p w14:paraId="0E2229FF"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23 860,5</w:t>
            </w:r>
          </w:p>
        </w:tc>
        <w:tc>
          <w:tcPr>
            <w:tcW w:w="563" w:type="pct"/>
            <w:hideMark/>
          </w:tcPr>
          <w:p w14:paraId="4FB1CF57"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0,0</w:t>
            </w:r>
          </w:p>
        </w:tc>
        <w:tc>
          <w:tcPr>
            <w:tcW w:w="550" w:type="pct"/>
            <w:hideMark/>
          </w:tcPr>
          <w:p w14:paraId="736C13D2"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-13 810,4</w:t>
            </w:r>
          </w:p>
        </w:tc>
      </w:tr>
      <w:tr w:rsidR="00FC047F" w:rsidRPr="00297DA6" w14:paraId="335F0B00" w14:textId="77777777" w:rsidTr="00FC047F">
        <w:tc>
          <w:tcPr>
            <w:cnfStyle w:val="001000000000" w:firstRow="0" w:lastRow="0" w:firstColumn="1" w:lastColumn="0" w:oddVBand="0" w:evenVBand="0" w:oddHBand="0" w:evenHBand="0" w:firstRowFirstColumn="0" w:firstRowLastColumn="0" w:lastRowFirstColumn="0" w:lastRowLastColumn="0"/>
            <w:tcW w:w="0" w:type="auto"/>
            <w:hideMark/>
          </w:tcPr>
          <w:p w14:paraId="27B1DC49" w14:textId="0B8CEE19" w:rsidR="00F36550" w:rsidRPr="00297DA6" w:rsidRDefault="00F36550" w:rsidP="00FC047F">
            <w:pPr>
              <w:tabs>
                <w:tab w:val="left" w:pos="1134"/>
              </w:tabs>
              <w:jc w:val="center"/>
              <w:rPr>
                <w:rFonts w:eastAsia="Calibri" w:cs="Times New Roman"/>
                <w:iCs/>
                <w:szCs w:val="18"/>
              </w:rPr>
            </w:pPr>
            <w:r w:rsidRPr="00297DA6">
              <w:rPr>
                <w:rFonts w:eastAsia="Calibri" w:cs="Times New Roman"/>
                <w:iCs/>
                <w:szCs w:val="18"/>
              </w:rPr>
              <w:t>3.1.5</w:t>
            </w:r>
          </w:p>
        </w:tc>
        <w:tc>
          <w:tcPr>
            <w:tcW w:w="0" w:type="auto"/>
            <w:hideMark/>
          </w:tcPr>
          <w:p w14:paraId="6D5CA499" w14:textId="77777777" w:rsidR="00F36550" w:rsidRPr="00297DA6" w:rsidRDefault="00F36550" w:rsidP="00FC047F">
            <w:pPr>
              <w:tabs>
                <w:tab w:val="left" w:pos="1134"/>
              </w:tabs>
              <w:ind w:left="283"/>
              <w:jc w:val="left"/>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расходы на аудиторские и консультационные услуги</w:t>
            </w:r>
          </w:p>
        </w:tc>
        <w:tc>
          <w:tcPr>
            <w:tcW w:w="504" w:type="pct"/>
            <w:hideMark/>
          </w:tcPr>
          <w:p w14:paraId="162377BF"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248,0</w:t>
            </w:r>
          </w:p>
        </w:tc>
        <w:tc>
          <w:tcPr>
            <w:tcW w:w="514" w:type="pct"/>
            <w:hideMark/>
          </w:tcPr>
          <w:p w14:paraId="69B59F18"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268,6</w:t>
            </w:r>
          </w:p>
        </w:tc>
        <w:tc>
          <w:tcPr>
            <w:tcW w:w="419" w:type="pct"/>
            <w:hideMark/>
          </w:tcPr>
          <w:p w14:paraId="77A54B35"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475,49</w:t>
            </w:r>
          </w:p>
        </w:tc>
        <w:tc>
          <w:tcPr>
            <w:tcW w:w="425" w:type="pct"/>
            <w:hideMark/>
          </w:tcPr>
          <w:p w14:paraId="1B433B40"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419,0</w:t>
            </w:r>
          </w:p>
        </w:tc>
        <w:tc>
          <w:tcPr>
            <w:tcW w:w="469" w:type="pct"/>
            <w:hideMark/>
          </w:tcPr>
          <w:p w14:paraId="7D44B7A0"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435,2</w:t>
            </w:r>
          </w:p>
        </w:tc>
        <w:tc>
          <w:tcPr>
            <w:tcW w:w="421" w:type="pct"/>
            <w:hideMark/>
          </w:tcPr>
          <w:p w14:paraId="504569DD"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435,2</w:t>
            </w:r>
          </w:p>
        </w:tc>
        <w:tc>
          <w:tcPr>
            <w:tcW w:w="563" w:type="pct"/>
            <w:hideMark/>
          </w:tcPr>
          <w:p w14:paraId="11FB1D21"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0,0</w:t>
            </w:r>
          </w:p>
        </w:tc>
        <w:tc>
          <w:tcPr>
            <w:tcW w:w="550" w:type="pct"/>
            <w:hideMark/>
          </w:tcPr>
          <w:p w14:paraId="6999264B"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-40,3</w:t>
            </w:r>
          </w:p>
        </w:tc>
      </w:tr>
      <w:tr w:rsidR="00FC047F" w:rsidRPr="00297DA6" w14:paraId="1583B824" w14:textId="77777777" w:rsidTr="00FC047F">
        <w:tc>
          <w:tcPr>
            <w:cnfStyle w:val="001000000000" w:firstRow="0" w:lastRow="0" w:firstColumn="1" w:lastColumn="0" w:oddVBand="0" w:evenVBand="0" w:oddHBand="0" w:evenHBand="0" w:firstRowFirstColumn="0" w:firstRowLastColumn="0" w:lastRowFirstColumn="0" w:lastRowLastColumn="0"/>
            <w:tcW w:w="0" w:type="auto"/>
            <w:hideMark/>
          </w:tcPr>
          <w:p w14:paraId="6035CD39" w14:textId="3896F539" w:rsidR="00F36550" w:rsidRPr="00297DA6" w:rsidRDefault="00F36550" w:rsidP="00FC047F">
            <w:pPr>
              <w:tabs>
                <w:tab w:val="left" w:pos="1134"/>
              </w:tabs>
              <w:jc w:val="center"/>
              <w:rPr>
                <w:rFonts w:eastAsia="Calibri" w:cs="Times New Roman"/>
                <w:iCs/>
                <w:szCs w:val="18"/>
              </w:rPr>
            </w:pPr>
            <w:r w:rsidRPr="00297DA6">
              <w:rPr>
                <w:rFonts w:eastAsia="Calibri" w:cs="Times New Roman"/>
                <w:iCs/>
                <w:szCs w:val="18"/>
              </w:rPr>
              <w:t>3.1.3</w:t>
            </w:r>
          </w:p>
        </w:tc>
        <w:tc>
          <w:tcPr>
            <w:tcW w:w="0" w:type="auto"/>
            <w:hideMark/>
          </w:tcPr>
          <w:p w14:paraId="0B0EF5D4" w14:textId="77777777" w:rsidR="00F36550" w:rsidRPr="00297DA6" w:rsidRDefault="00F36550" w:rsidP="00FC047F">
            <w:pPr>
              <w:tabs>
                <w:tab w:val="left" w:pos="1134"/>
              </w:tabs>
              <w:ind w:left="283"/>
              <w:jc w:val="left"/>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транспортные услуги</w:t>
            </w:r>
          </w:p>
        </w:tc>
        <w:tc>
          <w:tcPr>
            <w:tcW w:w="504" w:type="pct"/>
            <w:hideMark/>
          </w:tcPr>
          <w:p w14:paraId="57F96BA1"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2 493,9</w:t>
            </w:r>
          </w:p>
        </w:tc>
        <w:tc>
          <w:tcPr>
            <w:tcW w:w="514" w:type="pct"/>
            <w:hideMark/>
          </w:tcPr>
          <w:p w14:paraId="16A2E060"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2 700,9</w:t>
            </w:r>
          </w:p>
        </w:tc>
        <w:tc>
          <w:tcPr>
            <w:tcW w:w="419" w:type="pct"/>
            <w:hideMark/>
          </w:tcPr>
          <w:p w14:paraId="01867109"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3 856,28</w:t>
            </w:r>
          </w:p>
        </w:tc>
        <w:tc>
          <w:tcPr>
            <w:tcW w:w="425" w:type="pct"/>
            <w:hideMark/>
          </w:tcPr>
          <w:p w14:paraId="1DAB158D"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3 178,1</w:t>
            </w:r>
          </w:p>
        </w:tc>
        <w:tc>
          <w:tcPr>
            <w:tcW w:w="469" w:type="pct"/>
            <w:hideMark/>
          </w:tcPr>
          <w:p w14:paraId="47668D4D"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3 301,1</w:t>
            </w:r>
          </w:p>
        </w:tc>
        <w:tc>
          <w:tcPr>
            <w:tcW w:w="421" w:type="pct"/>
            <w:hideMark/>
          </w:tcPr>
          <w:p w14:paraId="4447A877"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3 767,4</w:t>
            </w:r>
          </w:p>
        </w:tc>
        <w:tc>
          <w:tcPr>
            <w:tcW w:w="563" w:type="pct"/>
            <w:hideMark/>
          </w:tcPr>
          <w:p w14:paraId="0C16A52A"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466,4</w:t>
            </w:r>
          </w:p>
        </w:tc>
        <w:tc>
          <w:tcPr>
            <w:tcW w:w="550" w:type="pct"/>
            <w:hideMark/>
          </w:tcPr>
          <w:p w14:paraId="5BCAFE1E"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-88,9</w:t>
            </w:r>
          </w:p>
        </w:tc>
      </w:tr>
      <w:tr w:rsidR="00FC047F" w:rsidRPr="00297DA6" w14:paraId="4D2E6A38" w14:textId="77777777" w:rsidTr="00FC047F">
        <w:tc>
          <w:tcPr>
            <w:cnfStyle w:val="001000000000" w:firstRow="0" w:lastRow="0" w:firstColumn="1" w:lastColumn="0" w:oddVBand="0" w:evenVBand="0" w:oddHBand="0" w:evenHBand="0" w:firstRowFirstColumn="0" w:firstRowLastColumn="0" w:lastRowFirstColumn="0" w:lastRowLastColumn="0"/>
            <w:tcW w:w="0" w:type="auto"/>
            <w:hideMark/>
          </w:tcPr>
          <w:p w14:paraId="793BFE7D" w14:textId="124A51C5" w:rsidR="00F36550" w:rsidRPr="00297DA6" w:rsidRDefault="00F36550" w:rsidP="00FC047F">
            <w:pPr>
              <w:tabs>
                <w:tab w:val="left" w:pos="1134"/>
              </w:tabs>
              <w:jc w:val="center"/>
              <w:rPr>
                <w:rFonts w:eastAsia="Calibri" w:cs="Times New Roman"/>
                <w:iCs/>
                <w:szCs w:val="18"/>
              </w:rPr>
            </w:pPr>
            <w:r w:rsidRPr="00297DA6">
              <w:rPr>
                <w:rFonts w:eastAsia="Calibri" w:cs="Times New Roman"/>
                <w:iCs/>
                <w:szCs w:val="18"/>
              </w:rPr>
              <w:lastRenderedPageBreak/>
              <w:t>3.1.6</w:t>
            </w:r>
          </w:p>
        </w:tc>
        <w:tc>
          <w:tcPr>
            <w:tcW w:w="0" w:type="auto"/>
            <w:hideMark/>
          </w:tcPr>
          <w:p w14:paraId="0D9EF135" w14:textId="77777777" w:rsidR="00F36550" w:rsidRPr="00297DA6" w:rsidRDefault="00F36550" w:rsidP="00FC047F">
            <w:pPr>
              <w:tabs>
                <w:tab w:val="left" w:pos="1134"/>
              </w:tabs>
              <w:ind w:left="283"/>
              <w:jc w:val="left"/>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прочие услуги сторонних организаций</w:t>
            </w:r>
          </w:p>
        </w:tc>
        <w:tc>
          <w:tcPr>
            <w:tcW w:w="504" w:type="pct"/>
            <w:hideMark/>
          </w:tcPr>
          <w:p w14:paraId="25983208"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55 578,9</w:t>
            </w:r>
          </w:p>
        </w:tc>
        <w:tc>
          <w:tcPr>
            <w:tcW w:w="514" w:type="pct"/>
            <w:hideMark/>
          </w:tcPr>
          <w:p w14:paraId="5AC42416"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60 192,1</w:t>
            </w:r>
          </w:p>
        </w:tc>
        <w:tc>
          <w:tcPr>
            <w:tcW w:w="419" w:type="pct"/>
            <w:hideMark/>
          </w:tcPr>
          <w:p w14:paraId="31A94F43"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67 135,73</w:t>
            </w:r>
          </w:p>
        </w:tc>
        <w:tc>
          <w:tcPr>
            <w:tcW w:w="425" w:type="pct"/>
            <w:hideMark/>
          </w:tcPr>
          <w:p w14:paraId="47528D10"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51 501,5</w:t>
            </w:r>
          </w:p>
        </w:tc>
        <w:tc>
          <w:tcPr>
            <w:tcW w:w="469" w:type="pct"/>
            <w:hideMark/>
          </w:tcPr>
          <w:p w14:paraId="44FA82D7"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53 494,0</w:t>
            </w:r>
          </w:p>
        </w:tc>
        <w:tc>
          <w:tcPr>
            <w:tcW w:w="421" w:type="pct"/>
            <w:hideMark/>
          </w:tcPr>
          <w:p w14:paraId="597A5EC0"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54 620,2</w:t>
            </w:r>
          </w:p>
        </w:tc>
        <w:tc>
          <w:tcPr>
            <w:tcW w:w="563" w:type="pct"/>
            <w:hideMark/>
          </w:tcPr>
          <w:p w14:paraId="4691D420"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1 126,2</w:t>
            </w:r>
          </w:p>
        </w:tc>
        <w:tc>
          <w:tcPr>
            <w:tcW w:w="550" w:type="pct"/>
            <w:hideMark/>
          </w:tcPr>
          <w:p w14:paraId="6383AA70"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-12 515,6</w:t>
            </w:r>
          </w:p>
        </w:tc>
      </w:tr>
      <w:tr w:rsidR="00FC047F" w:rsidRPr="00297DA6" w14:paraId="7AA2EB57" w14:textId="77777777" w:rsidTr="00FC047F">
        <w:tc>
          <w:tcPr>
            <w:cnfStyle w:val="001000000000" w:firstRow="0" w:lastRow="0" w:firstColumn="1" w:lastColumn="0" w:oddVBand="0" w:evenVBand="0" w:oddHBand="0" w:evenHBand="0" w:firstRowFirstColumn="0" w:firstRowLastColumn="0" w:lastRowFirstColumn="0" w:lastRowLastColumn="0"/>
            <w:tcW w:w="0" w:type="auto"/>
            <w:hideMark/>
          </w:tcPr>
          <w:p w14:paraId="08ADD6E4" w14:textId="482F9FAC" w:rsidR="00F36550" w:rsidRPr="00297DA6" w:rsidRDefault="00F36550" w:rsidP="00FC047F">
            <w:pPr>
              <w:tabs>
                <w:tab w:val="left" w:pos="1134"/>
              </w:tabs>
              <w:jc w:val="center"/>
              <w:rPr>
                <w:rFonts w:eastAsia="Calibri" w:cs="Times New Roman"/>
                <w:iCs/>
                <w:szCs w:val="18"/>
              </w:rPr>
            </w:pPr>
            <w:r w:rsidRPr="00297DA6">
              <w:rPr>
                <w:rFonts w:eastAsia="Calibri" w:cs="Times New Roman"/>
                <w:iCs/>
                <w:szCs w:val="18"/>
              </w:rPr>
              <w:t>3.2</w:t>
            </w:r>
          </w:p>
        </w:tc>
        <w:tc>
          <w:tcPr>
            <w:tcW w:w="0" w:type="auto"/>
            <w:hideMark/>
          </w:tcPr>
          <w:p w14:paraId="10199590" w14:textId="77777777" w:rsidR="00F36550" w:rsidRPr="00297DA6" w:rsidRDefault="00F36550" w:rsidP="00FC047F">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Расходы на командировки и представительские</w:t>
            </w:r>
          </w:p>
        </w:tc>
        <w:tc>
          <w:tcPr>
            <w:tcW w:w="504" w:type="pct"/>
            <w:hideMark/>
          </w:tcPr>
          <w:p w14:paraId="408B79A6"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34 135,1</w:t>
            </w:r>
          </w:p>
        </w:tc>
        <w:tc>
          <w:tcPr>
            <w:tcW w:w="514" w:type="pct"/>
            <w:hideMark/>
          </w:tcPr>
          <w:p w14:paraId="41C6A1F5"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36 968,4</w:t>
            </w:r>
          </w:p>
        </w:tc>
        <w:tc>
          <w:tcPr>
            <w:tcW w:w="419" w:type="pct"/>
            <w:hideMark/>
          </w:tcPr>
          <w:p w14:paraId="7C4006DF"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47 157,28</w:t>
            </w:r>
          </w:p>
        </w:tc>
        <w:tc>
          <w:tcPr>
            <w:tcW w:w="425" w:type="pct"/>
            <w:hideMark/>
          </w:tcPr>
          <w:p w14:paraId="3F54952B"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30 523,6</w:t>
            </w:r>
          </w:p>
        </w:tc>
        <w:tc>
          <w:tcPr>
            <w:tcW w:w="469" w:type="pct"/>
            <w:hideMark/>
          </w:tcPr>
          <w:p w14:paraId="2AEB6BB6"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31 704,5</w:t>
            </w:r>
          </w:p>
        </w:tc>
        <w:tc>
          <w:tcPr>
            <w:tcW w:w="421" w:type="pct"/>
            <w:hideMark/>
          </w:tcPr>
          <w:p w14:paraId="248FFDD6"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31 704,5</w:t>
            </w:r>
          </w:p>
        </w:tc>
        <w:tc>
          <w:tcPr>
            <w:tcW w:w="563" w:type="pct"/>
            <w:hideMark/>
          </w:tcPr>
          <w:p w14:paraId="4309B09E"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0,0</w:t>
            </w:r>
          </w:p>
        </w:tc>
        <w:tc>
          <w:tcPr>
            <w:tcW w:w="550" w:type="pct"/>
            <w:hideMark/>
          </w:tcPr>
          <w:p w14:paraId="65C967E0"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-15 452,8</w:t>
            </w:r>
          </w:p>
        </w:tc>
      </w:tr>
      <w:tr w:rsidR="00FC047F" w:rsidRPr="00297DA6" w14:paraId="49D681C5" w14:textId="77777777" w:rsidTr="00FC047F">
        <w:tc>
          <w:tcPr>
            <w:cnfStyle w:val="001000000000" w:firstRow="0" w:lastRow="0" w:firstColumn="1" w:lastColumn="0" w:oddVBand="0" w:evenVBand="0" w:oddHBand="0" w:evenHBand="0" w:firstRowFirstColumn="0" w:firstRowLastColumn="0" w:lastRowFirstColumn="0" w:lastRowLastColumn="0"/>
            <w:tcW w:w="0" w:type="auto"/>
            <w:hideMark/>
          </w:tcPr>
          <w:p w14:paraId="572B692E" w14:textId="660D70A9" w:rsidR="00F36550" w:rsidRPr="00297DA6" w:rsidRDefault="00F36550" w:rsidP="00FC047F">
            <w:pPr>
              <w:tabs>
                <w:tab w:val="left" w:pos="1134"/>
              </w:tabs>
              <w:jc w:val="center"/>
              <w:rPr>
                <w:rFonts w:eastAsia="Calibri" w:cs="Times New Roman"/>
                <w:iCs/>
                <w:szCs w:val="18"/>
              </w:rPr>
            </w:pPr>
            <w:r w:rsidRPr="00297DA6">
              <w:rPr>
                <w:rFonts w:eastAsia="Calibri" w:cs="Times New Roman"/>
                <w:iCs/>
                <w:szCs w:val="18"/>
              </w:rPr>
              <w:t>3.3</w:t>
            </w:r>
          </w:p>
        </w:tc>
        <w:tc>
          <w:tcPr>
            <w:tcW w:w="0" w:type="auto"/>
            <w:hideMark/>
          </w:tcPr>
          <w:p w14:paraId="376EFE3A" w14:textId="77777777" w:rsidR="00F36550" w:rsidRPr="00297DA6" w:rsidRDefault="00F36550" w:rsidP="00FC047F">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Расходы на подготовку кадров</w:t>
            </w:r>
          </w:p>
        </w:tc>
        <w:tc>
          <w:tcPr>
            <w:tcW w:w="504" w:type="pct"/>
            <w:hideMark/>
          </w:tcPr>
          <w:p w14:paraId="381BBBDB"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5 953,7</w:t>
            </w:r>
          </w:p>
        </w:tc>
        <w:tc>
          <w:tcPr>
            <w:tcW w:w="514" w:type="pct"/>
            <w:hideMark/>
          </w:tcPr>
          <w:p w14:paraId="1B0290A9"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6 447,9</w:t>
            </w:r>
          </w:p>
        </w:tc>
        <w:tc>
          <w:tcPr>
            <w:tcW w:w="419" w:type="pct"/>
            <w:hideMark/>
          </w:tcPr>
          <w:p w14:paraId="4C745D8A"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6 430,00</w:t>
            </w:r>
          </w:p>
        </w:tc>
        <w:tc>
          <w:tcPr>
            <w:tcW w:w="425" w:type="pct"/>
            <w:hideMark/>
          </w:tcPr>
          <w:p w14:paraId="27354F2D"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5 167,0</w:t>
            </w:r>
          </w:p>
        </w:tc>
        <w:tc>
          <w:tcPr>
            <w:tcW w:w="469" w:type="pct"/>
            <w:hideMark/>
          </w:tcPr>
          <w:p w14:paraId="432B353C"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5 366,9</w:t>
            </w:r>
          </w:p>
        </w:tc>
        <w:tc>
          <w:tcPr>
            <w:tcW w:w="421" w:type="pct"/>
            <w:hideMark/>
          </w:tcPr>
          <w:p w14:paraId="6BA60800"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5 366,9</w:t>
            </w:r>
          </w:p>
        </w:tc>
        <w:tc>
          <w:tcPr>
            <w:tcW w:w="563" w:type="pct"/>
            <w:hideMark/>
          </w:tcPr>
          <w:p w14:paraId="5B8DD398"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0,0</w:t>
            </w:r>
          </w:p>
        </w:tc>
        <w:tc>
          <w:tcPr>
            <w:tcW w:w="550" w:type="pct"/>
            <w:hideMark/>
          </w:tcPr>
          <w:p w14:paraId="6AFB6820"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-1 063,1</w:t>
            </w:r>
          </w:p>
        </w:tc>
      </w:tr>
      <w:tr w:rsidR="00FC047F" w:rsidRPr="00297DA6" w14:paraId="559173B9" w14:textId="77777777" w:rsidTr="00FC047F">
        <w:tc>
          <w:tcPr>
            <w:cnfStyle w:val="001000000000" w:firstRow="0" w:lastRow="0" w:firstColumn="1" w:lastColumn="0" w:oddVBand="0" w:evenVBand="0" w:oddHBand="0" w:evenHBand="0" w:firstRowFirstColumn="0" w:firstRowLastColumn="0" w:lastRowFirstColumn="0" w:lastRowLastColumn="0"/>
            <w:tcW w:w="0" w:type="auto"/>
            <w:hideMark/>
          </w:tcPr>
          <w:p w14:paraId="453D3D01" w14:textId="2CA7E1CE" w:rsidR="00F36550" w:rsidRPr="00297DA6" w:rsidRDefault="00F36550" w:rsidP="00FC047F">
            <w:pPr>
              <w:tabs>
                <w:tab w:val="left" w:pos="1134"/>
              </w:tabs>
              <w:jc w:val="center"/>
              <w:rPr>
                <w:rFonts w:eastAsia="Calibri" w:cs="Times New Roman"/>
                <w:iCs/>
                <w:szCs w:val="18"/>
              </w:rPr>
            </w:pPr>
            <w:r w:rsidRPr="00297DA6">
              <w:rPr>
                <w:rFonts w:eastAsia="Calibri" w:cs="Times New Roman"/>
                <w:iCs/>
                <w:szCs w:val="18"/>
              </w:rPr>
              <w:t>3.3</w:t>
            </w:r>
          </w:p>
        </w:tc>
        <w:tc>
          <w:tcPr>
            <w:tcW w:w="0" w:type="auto"/>
            <w:hideMark/>
          </w:tcPr>
          <w:p w14:paraId="595A326B" w14:textId="77777777" w:rsidR="00F36550" w:rsidRPr="00297DA6" w:rsidRDefault="00F36550" w:rsidP="00FC047F">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Расходы на обеспечение нормальных условий труда и мер по технике безопасности</w:t>
            </w:r>
          </w:p>
        </w:tc>
        <w:tc>
          <w:tcPr>
            <w:tcW w:w="504" w:type="pct"/>
            <w:hideMark/>
          </w:tcPr>
          <w:p w14:paraId="744D11A7"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9 504,2</w:t>
            </w:r>
          </w:p>
        </w:tc>
        <w:tc>
          <w:tcPr>
            <w:tcW w:w="514" w:type="pct"/>
            <w:hideMark/>
          </w:tcPr>
          <w:p w14:paraId="4BAB2B41"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10 293,1</w:t>
            </w:r>
          </w:p>
        </w:tc>
        <w:tc>
          <w:tcPr>
            <w:tcW w:w="419" w:type="pct"/>
            <w:hideMark/>
          </w:tcPr>
          <w:p w14:paraId="00A7328F"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33 948,73</w:t>
            </w:r>
          </w:p>
        </w:tc>
        <w:tc>
          <w:tcPr>
            <w:tcW w:w="425" w:type="pct"/>
            <w:hideMark/>
          </w:tcPr>
          <w:p w14:paraId="294B588A"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9 379,9</w:t>
            </w:r>
          </w:p>
        </w:tc>
        <w:tc>
          <w:tcPr>
            <w:tcW w:w="469" w:type="pct"/>
            <w:hideMark/>
          </w:tcPr>
          <w:p w14:paraId="4A906FA3"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9 742,8</w:t>
            </w:r>
          </w:p>
        </w:tc>
        <w:tc>
          <w:tcPr>
            <w:tcW w:w="421" w:type="pct"/>
            <w:hideMark/>
          </w:tcPr>
          <w:p w14:paraId="2217ACD3"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9 742,8</w:t>
            </w:r>
          </w:p>
        </w:tc>
        <w:tc>
          <w:tcPr>
            <w:tcW w:w="563" w:type="pct"/>
            <w:hideMark/>
          </w:tcPr>
          <w:p w14:paraId="014DEC54"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0,0</w:t>
            </w:r>
          </w:p>
        </w:tc>
        <w:tc>
          <w:tcPr>
            <w:tcW w:w="550" w:type="pct"/>
            <w:hideMark/>
          </w:tcPr>
          <w:p w14:paraId="2570058B"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-24 206,0</w:t>
            </w:r>
          </w:p>
        </w:tc>
      </w:tr>
      <w:tr w:rsidR="00FC047F" w:rsidRPr="00297DA6" w14:paraId="78DFE527" w14:textId="77777777" w:rsidTr="00FC047F">
        <w:tc>
          <w:tcPr>
            <w:cnfStyle w:val="001000000000" w:firstRow="0" w:lastRow="0" w:firstColumn="1" w:lastColumn="0" w:oddVBand="0" w:evenVBand="0" w:oddHBand="0" w:evenHBand="0" w:firstRowFirstColumn="0" w:firstRowLastColumn="0" w:lastRowFirstColumn="0" w:lastRowLastColumn="0"/>
            <w:tcW w:w="0" w:type="auto"/>
            <w:hideMark/>
          </w:tcPr>
          <w:p w14:paraId="48115776" w14:textId="3F8E7095" w:rsidR="00F36550" w:rsidRPr="00297DA6" w:rsidRDefault="00F36550" w:rsidP="00FC047F">
            <w:pPr>
              <w:tabs>
                <w:tab w:val="left" w:pos="1134"/>
              </w:tabs>
              <w:jc w:val="center"/>
              <w:rPr>
                <w:rFonts w:eastAsia="Calibri" w:cs="Times New Roman"/>
                <w:iCs/>
                <w:szCs w:val="18"/>
              </w:rPr>
            </w:pPr>
            <w:r w:rsidRPr="00297DA6">
              <w:rPr>
                <w:rFonts w:eastAsia="Calibri" w:cs="Times New Roman"/>
                <w:iCs/>
                <w:szCs w:val="18"/>
              </w:rPr>
              <w:t>3.5</w:t>
            </w:r>
          </w:p>
        </w:tc>
        <w:tc>
          <w:tcPr>
            <w:tcW w:w="0" w:type="auto"/>
            <w:hideMark/>
          </w:tcPr>
          <w:p w14:paraId="5C552487" w14:textId="77777777" w:rsidR="00F36550" w:rsidRPr="00297DA6" w:rsidRDefault="00F36550" w:rsidP="00FC047F">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Расходы на страхование</w:t>
            </w:r>
          </w:p>
        </w:tc>
        <w:tc>
          <w:tcPr>
            <w:tcW w:w="504" w:type="pct"/>
            <w:hideMark/>
          </w:tcPr>
          <w:p w14:paraId="49674701"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24 849,8</w:t>
            </w:r>
          </w:p>
        </w:tc>
        <w:tc>
          <w:tcPr>
            <w:tcW w:w="514" w:type="pct"/>
            <w:hideMark/>
          </w:tcPr>
          <w:p w14:paraId="1A1BC3C9"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26 912,4</w:t>
            </w:r>
          </w:p>
        </w:tc>
        <w:tc>
          <w:tcPr>
            <w:tcW w:w="419" w:type="pct"/>
            <w:hideMark/>
          </w:tcPr>
          <w:p w14:paraId="3632C85E"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30 215,93</w:t>
            </w:r>
          </w:p>
        </w:tc>
        <w:tc>
          <w:tcPr>
            <w:tcW w:w="425" w:type="pct"/>
            <w:hideMark/>
          </w:tcPr>
          <w:p w14:paraId="553D8986"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16 620,6</w:t>
            </w:r>
          </w:p>
        </w:tc>
        <w:tc>
          <w:tcPr>
            <w:tcW w:w="469" w:type="pct"/>
            <w:hideMark/>
          </w:tcPr>
          <w:p w14:paraId="34D1CF8B"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17 263,7</w:t>
            </w:r>
          </w:p>
        </w:tc>
        <w:tc>
          <w:tcPr>
            <w:tcW w:w="421" w:type="pct"/>
            <w:hideMark/>
          </w:tcPr>
          <w:p w14:paraId="7013D69E"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11 249,0</w:t>
            </w:r>
          </w:p>
        </w:tc>
        <w:tc>
          <w:tcPr>
            <w:tcW w:w="563" w:type="pct"/>
            <w:hideMark/>
          </w:tcPr>
          <w:p w14:paraId="441D6468"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-6 014,7</w:t>
            </w:r>
          </w:p>
        </w:tc>
        <w:tc>
          <w:tcPr>
            <w:tcW w:w="550" w:type="pct"/>
            <w:hideMark/>
          </w:tcPr>
          <w:p w14:paraId="36A1D11C"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-18 967,0</w:t>
            </w:r>
          </w:p>
        </w:tc>
      </w:tr>
      <w:tr w:rsidR="00FC047F" w:rsidRPr="00297DA6" w14:paraId="5EA1A339" w14:textId="77777777" w:rsidTr="00FC047F">
        <w:tc>
          <w:tcPr>
            <w:cnfStyle w:val="001000000000" w:firstRow="0" w:lastRow="0" w:firstColumn="1" w:lastColumn="0" w:oddVBand="0" w:evenVBand="0" w:oddHBand="0" w:evenHBand="0" w:firstRowFirstColumn="0" w:firstRowLastColumn="0" w:lastRowFirstColumn="0" w:lastRowLastColumn="0"/>
            <w:tcW w:w="0" w:type="auto"/>
            <w:hideMark/>
          </w:tcPr>
          <w:p w14:paraId="4066FC09" w14:textId="5681C850" w:rsidR="00F36550" w:rsidRPr="00297DA6" w:rsidRDefault="00F36550" w:rsidP="00FC047F">
            <w:pPr>
              <w:tabs>
                <w:tab w:val="left" w:pos="1134"/>
              </w:tabs>
              <w:jc w:val="center"/>
              <w:rPr>
                <w:rFonts w:eastAsia="Calibri" w:cs="Times New Roman"/>
                <w:iCs/>
                <w:szCs w:val="18"/>
              </w:rPr>
            </w:pPr>
            <w:r w:rsidRPr="00297DA6">
              <w:rPr>
                <w:rFonts w:eastAsia="Calibri" w:cs="Times New Roman"/>
                <w:iCs/>
                <w:szCs w:val="18"/>
              </w:rPr>
              <w:t>3.6</w:t>
            </w:r>
          </w:p>
        </w:tc>
        <w:tc>
          <w:tcPr>
            <w:tcW w:w="0" w:type="auto"/>
            <w:hideMark/>
          </w:tcPr>
          <w:p w14:paraId="49DFAA47" w14:textId="070A56D2" w:rsidR="00F36550" w:rsidRPr="00297DA6" w:rsidRDefault="00F36550" w:rsidP="00FC047F">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Электроэнергия на хоз</w:t>
            </w:r>
            <w:r w:rsidR="00FC047F" w:rsidRPr="00297DA6">
              <w:rPr>
                <w:rFonts w:eastAsia="Calibri" w:cs="Times New Roman"/>
                <w:iCs/>
                <w:szCs w:val="18"/>
              </w:rPr>
              <w:t>яйственные</w:t>
            </w:r>
            <w:r w:rsidRPr="00297DA6">
              <w:rPr>
                <w:rFonts w:eastAsia="Calibri" w:cs="Times New Roman"/>
                <w:iCs/>
                <w:szCs w:val="18"/>
              </w:rPr>
              <w:t xml:space="preserve"> нужды</w:t>
            </w:r>
          </w:p>
        </w:tc>
        <w:tc>
          <w:tcPr>
            <w:tcW w:w="504" w:type="pct"/>
            <w:hideMark/>
          </w:tcPr>
          <w:p w14:paraId="24944ACC"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16 806,4</w:t>
            </w:r>
          </w:p>
        </w:tc>
        <w:tc>
          <w:tcPr>
            <w:tcW w:w="514" w:type="pct"/>
            <w:hideMark/>
          </w:tcPr>
          <w:p w14:paraId="68064840"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18 201,4</w:t>
            </w:r>
          </w:p>
        </w:tc>
        <w:tc>
          <w:tcPr>
            <w:tcW w:w="419" w:type="pct"/>
            <w:hideMark/>
          </w:tcPr>
          <w:p w14:paraId="540EBEC7"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19 140,76</w:t>
            </w:r>
          </w:p>
        </w:tc>
        <w:tc>
          <w:tcPr>
            <w:tcW w:w="425" w:type="pct"/>
            <w:hideMark/>
          </w:tcPr>
          <w:p w14:paraId="54B9B7FA"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17 803,3</w:t>
            </w:r>
          </w:p>
        </w:tc>
        <w:tc>
          <w:tcPr>
            <w:tcW w:w="469" w:type="pct"/>
            <w:hideMark/>
          </w:tcPr>
          <w:p w14:paraId="73D3C9EF"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18 492,1</w:t>
            </w:r>
          </w:p>
        </w:tc>
        <w:tc>
          <w:tcPr>
            <w:tcW w:w="421" w:type="pct"/>
            <w:hideMark/>
          </w:tcPr>
          <w:p w14:paraId="1EF6C70B"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18 490,4</w:t>
            </w:r>
          </w:p>
        </w:tc>
        <w:tc>
          <w:tcPr>
            <w:tcW w:w="563" w:type="pct"/>
            <w:hideMark/>
          </w:tcPr>
          <w:p w14:paraId="7C3EB627"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-1,7</w:t>
            </w:r>
          </w:p>
        </w:tc>
        <w:tc>
          <w:tcPr>
            <w:tcW w:w="550" w:type="pct"/>
            <w:hideMark/>
          </w:tcPr>
          <w:p w14:paraId="0CDEE91D"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-650,4</w:t>
            </w:r>
          </w:p>
        </w:tc>
      </w:tr>
      <w:tr w:rsidR="00FC047F" w:rsidRPr="00297DA6" w14:paraId="311EE535" w14:textId="77777777" w:rsidTr="00FC047F">
        <w:tc>
          <w:tcPr>
            <w:cnfStyle w:val="001000000000" w:firstRow="0" w:lastRow="0" w:firstColumn="1" w:lastColumn="0" w:oddVBand="0" w:evenVBand="0" w:oddHBand="0" w:evenHBand="0" w:firstRowFirstColumn="0" w:firstRowLastColumn="0" w:lastRowFirstColumn="0" w:lastRowLastColumn="0"/>
            <w:tcW w:w="0" w:type="auto"/>
            <w:hideMark/>
          </w:tcPr>
          <w:p w14:paraId="79FFA98E" w14:textId="4BEE8A24" w:rsidR="00F36550" w:rsidRPr="00297DA6" w:rsidRDefault="00F36550" w:rsidP="00FC047F">
            <w:pPr>
              <w:tabs>
                <w:tab w:val="left" w:pos="1134"/>
              </w:tabs>
              <w:jc w:val="center"/>
              <w:rPr>
                <w:rFonts w:eastAsia="Calibri" w:cs="Times New Roman"/>
                <w:iCs/>
                <w:szCs w:val="18"/>
              </w:rPr>
            </w:pPr>
            <w:r w:rsidRPr="00297DA6">
              <w:rPr>
                <w:rFonts w:eastAsia="Calibri" w:cs="Times New Roman"/>
                <w:iCs/>
                <w:szCs w:val="18"/>
              </w:rPr>
              <w:t>3.7</w:t>
            </w:r>
          </w:p>
        </w:tc>
        <w:tc>
          <w:tcPr>
            <w:tcW w:w="0" w:type="auto"/>
            <w:hideMark/>
          </w:tcPr>
          <w:p w14:paraId="6018A358" w14:textId="77777777" w:rsidR="00F36550" w:rsidRPr="00297DA6" w:rsidRDefault="00F36550" w:rsidP="00FC047F">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Подконтрольные расходы из прибыли</w:t>
            </w:r>
          </w:p>
        </w:tc>
        <w:tc>
          <w:tcPr>
            <w:tcW w:w="504" w:type="pct"/>
            <w:hideMark/>
          </w:tcPr>
          <w:p w14:paraId="2C3F636D"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351 497,7</w:t>
            </w:r>
          </w:p>
        </w:tc>
        <w:tc>
          <w:tcPr>
            <w:tcW w:w="514" w:type="pct"/>
            <w:hideMark/>
          </w:tcPr>
          <w:p w14:paraId="16D61B20"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380 673,0</w:t>
            </w:r>
          </w:p>
        </w:tc>
        <w:tc>
          <w:tcPr>
            <w:tcW w:w="419" w:type="pct"/>
            <w:hideMark/>
          </w:tcPr>
          <w:p w14:paraId="2EDB5BE4"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371 641,93</w:t>
            </w:r>
          </w:p>
        </w:tc>
        <w:tc>
          <w:tcPr>
            <w:tcW w:w="425" w:type="pct"/>
            <w:hideMark/>
          </w:tcPr>
          <w:p w14:paraId="3060F553"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89 616,3</w:t>
            </w:r>
          </w:p>
        </w:tc>
        <w:tc>
          <w:tcPr>
            <w:tcW w:w="469" w:type="pct"/>
            <w:hideMark/>
          </w:tcPr>
          <w:p w14:paraId="12B02D2C"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93 083,4</w:t>
            </w:r>
          </w:p>
        </w:tc>
        <w:tc>
          <w:tcPr>
            <w:tcW w:w="421" w:type="pct"/>
            <w:hideMark/>
          </w:tcPr>
          <w:p w14:paraId="0BC1B76C"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100 571,4</w:t>
            </w:r>
          </w:p>
        </w:tc>
        <w:tc>
          <w:tcPr>
            <w:tcW w:w="563" w:type="pct"/>
            <w:hideMark/>
          </w:tcPr>
          <w:p w14:paraId="21A653D2"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7 488,0</w:t>
            </w:r>
          </w:p>
        </w:tc>
        <w:tc>
          <w:tcPr>
            <w:tcW w:w="550" w:type="pct"/>
            <w:hideMark/>
          </w:tcPr>
          <w:p w14:paraId="04EA71DD"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-271 070,5</w:t>
            </w:r>
          </w:p>
        </w:tc>
      </w:tr>
      <w:tr w:rsidR="00FC047F" w:rsidRPr="00297DA6" w14:paraId="3D921FD2" w14:textId="77777777" w:rsidTr="00FC047F">
        <w:tc>
          <w:tcPr>
            <w:cnfStyle w:val="001000000000" w:firstRow="0" w:lastRow="0" w:firstColumn="1" w:lastColumn="0" w:oddVBand="0" w:evenVBand="0" w:oddHBand="0" w:evenHBand="0" w:firstRowFirstColumn="0" w:firstRowLastColumn="0" w:lastRowFirstColumn="0" w:lastRowLastColumn="0"/>
            <w:tcW w:w="0" w:type="auto"/>
            <w:hideMark/>
          </w:tcPr>
          <w:p w14:paraId="094BE565" w14:textId="19366232" w:rsidR="00F36550" w:rsidRPr="00297DA6" w:rsidRDefault="00F36550" w:rsidP="00FC047F">
            <w:pPr>
              <w:tabs>
                <w:tab w:val="left" w:pos="1134"/>
              </w:tabs>
              <w:jc w:val="center"/>
              <w:rPr>
                <w:rFonts w:eastAsia="Calibri" w:cs="Times New Roman"/>
                <w:iCs/>
                <w:szCs w:val="18"/>
              </w:rPr>
            </w:pPr>
            <w:r w:rsidRPr="00297DA6">
              <w:rPr>
                <w:rFonts w:eastAsia="Calibri" w:cs="Times New Roman"/>
                <w:iCs/>
                <w:szCs w:val="18"/>
              </w:rPr>
              <w:t>3.7.1</w:t>
            </w:r>
          </w:p>
        </w:tc>
        <w:tc>
          <w:tcPr>
            <w:tcW w:w="0" w:type="auto"/>
            <w:hideMark/>
          </w:tcPr>
          <w:p w14:paraId="3FABFD94" w14:textId="77777777" w:rsidR="00F36550" w:rsidRPr="00297DA6" w:rsidRDefault="00F36550" w:rsidP="00FC047F">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Содержание управляющей компании</w:t>
            </w:r>
          </w:p>
        </w:tc>
        <w:tc>
          <w:tcPr>
            <w:tcW w:w="504" w:type="pct"/>
            <w:hideMark/>
          </w:tcPr>
          <w:p w14:paraId="442BDED9"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207 224,1</w:t>
            </w:r>
          </w:p>
        </w:tc>
        <w:tc>
          <w:tcPr>
            <w:tcW w:w="514" w:type="pct"/>
            <w:hideMark/>
          </w:tcPr>
          <w:p w14:paraId="6210FAA1"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224 424,3</w:t>
            </w:r>
          </w:p>
        </w:tc>
        <w:tc>
          <w:tcPr>
            <w:tcW w:w="419" w:type="pct"/>
            <w:hideMark/>
          </w:tcPr>
          <w:p w14:paraId="406BDD7C"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223 487,03</w:t>
            </w:r>
          </w:p>
        </w:tc>
        <w:tc>
          <w:tcPr>
            <w:tcW w:w="425" w:type="pct"/>
            <w:hideMark/>
          </w:tcPr>
          <w:p w14:paraId="051CC693"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28 338,5</w:t>
            </w:r>
          </w:p>
        </w:tc>
        <w:tc>
          <w:tcPr>
            <w:tcW w:w="469" w:type="pct"/>
            <w:hideMark/>
          </w:tcPr>
          <w:p w14:paraId="3BFAB7CA"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29 434,8</w:t>
            </w:r>
          </w:p>
        </w:tc>
        <w:tc>
          <w:tcPr>
            <w:tcW w:w="421" w:type="pct"/>
            <w:hideMark/>
          </w:tcPr>
          <w:p w14:paraId="1C6997AD"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70 547,2</w:t>
            </w:r>
          </w:p>
        </w:tc>
        <w:tc>
          <w:tcPr>
            <w:tcW w:w="563" w:type="pct"/>
            <w:hideMark/>
          </w:tcPr>
          <w:p w14:paraId="19EC92C7"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41 112,4</w:t>
            </w:r>
          </w:p>
        </w:tc>
        <w:tc>
          <w:tcPr>
            <w:tcW w:w="550" w:type="pct"/>
            <w:hideMark/>
          </w:tcPr>
          <w:p w14:paraId="23C7A859"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-152 939,9</w:t>
            </w:r>
          </w:p>
        </w:tc>
      </w:tr>
      <w:tr w:rsidR="00FC047F" w:rsidRPr="00297DA6" w14:paraId="4709CA2F" w14:textId="77777777" w:rsidTr="00FC047F">
        <w:tc>
          <w:tcPr>
            <w:cnfStyle w:val="001000000000" w:firstRow="0" w:lastRow="0" w:firstColumn="1" w:lastColumn="0" w:oddVBand="0" w:evenVBand="0" w:oddHBand="0" w:evenHBand="0" w:firstRowFirstColumn="0" w:firstRowLastColumn="0" w:lastRowFirstColumn="0" w:lastRowLastColumn="0"/>
            <w:tcW w:w="0" w:type="auto"/>
            <w:hideMark/>
          </w:tcPr>
          <w:p w14:paraId="29DB8BB0" w14:textId="5661C6D8" w:rsidR="00F36550" w:rsidRPr="00297DA6" w:rsidRDefault="00F36550" w:rsidP="00FC047F">
            <w:pPr>
              <w:tabs>
                <w:tab w:val="left" w:pos="1134"/>
              </w:tabs>
              <w:jc w:val="center"/>
              <w:rPr>
                <w:rFonts w:eastAsia="Calibri" w:cs="Times New Roman"/>
                <w:iCs/>
                <w:szCs w:val="18"/>
              </w:rPr>
            </w:pPr>
            <w:r w:rsidRPr="00297DA6">
              <w:rPr>
                <w:rFonts w:eastAsia="Calibri" w:cs="Times New Roman"/>
                <w:iCs/>
                <w:szCs w:val="18"/>
              </w:rPr>
              <w:t>3.7.2</w:t>
            </w:r>
          </w:p>
        </w:tc>
        <w:tc>
          <w:tcPr>
            <w:tcW w:w="0" w:type="auto"/>
            <w:hideMark/>
          </w:tcPr>
          <w:p w14:paraId="668AB4F4" w14:textId="77777777" w:rsidR="00F36550" w:rsidRPr="00297DA6" w:rsidRDefault="00F36550" w:rsidP="00FC047F">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Расходы из прибыли по коллективному договору</w:t>
            </w:r>
          </w:p>
        </w:tc>
        <w:tc>
          <w:tcPr>
            <w:tcW w:w="504" w:type="pct"/>
            <w:hideMark/>
          </w:tcPr>
          <w:p w14:paraId="724CE28F"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33 191,3</w:t>
            </w:r>
          </w:p>
        </w:tc>
        <w:tc>
          <w:tcPr>
            <w:tcW w:w="514" w:type="pct"/>
            <w:hideMark/>
          </w:tcPr>
          <w:p w14:paraId="0A9C73B3"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35 946,3</w:t>
            </w:r>
          </w:p>
        </w:tc>
        <w:tc>
          <w:tcPr>
            <w:tcW w:w="419" w:type="pct"/>
            <w:hideMark/>
          </w:tcPr>
          <w:p w14:paraId="2F0F554C"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41 231,50</w:t>
            </w:r>
          </w:p>
        </w:tc>
        <w:tc>
          <w:tcPr>
            <w:tcW w:w="425" w:type="pct"/>
            <w:hideMark/>
          </w:tcPr>
          <w:p w14:paraId="7A481215"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23 771,5</w:t>
            </w:r>
          </w:p>
        </w:tc>
        <w:tc>
          <w:tcPr>
            <w:tcW w:w="469" w:type="pct"/>
            <w:hideMark/>
          </w:tcPr>
          <w:p w14:paraId="39EAA8CA"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24 691,2</w:t>
            </w:r>
          </w:p>
        </w:tc>
        <w:tc>
          <w:tcPr>
            <w:tcW w:w="421" w:type="pct"/>
            <w:hideMark/>
          </w:tcPr>
          <w:p w14:paraId="7A5A1C47"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26 862,0</w:t>
            </w:r>
          </w:p>
        </w:tc>
        <w:tc>
          <w:tcPr>
            <w:tcW w:w="563" w:type="pct"/>
            <w:hideMark/>
          </w:tcPr>
          <w:p w14:paraId="6DFBDA42"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2 170,8</w:t>
            </w:r>
          </w:p>
        </w:tc>
        <w:tc>
          <w:tcPr>
            <w:tcW w:w="550" w:type="pct"/>
            <w:hideMark/>
          </w:tcPr>
          <w:p w14:paraId="71F10997"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-14 369,5</w:t>
            </w:r>
          </w:p>
        </w:tc>
      </w:tr>
      <w:tr w:rsidR="00FC047F" w:rsidRPr="00297DA6" w14:paraId="07456F82" w14:textId="77777777" w:rsidTr="00FC047F">
        <w:tc>
          <w:tcPr>
            <w:cnfStyle w:val="001000000000" w:firstRow="0" w:lastRow="0" w:firstColumn="1" w:lastColumn="0" w:oddVBand="0" w:evenVBand="0" w:oddHBand="0" w:evenHBand="0" w:firstRowFirstColumn="0" w:firstRowLastColumn="0" w:lastRowFirstColumn="0" w:lastRowLastColumn="0"/>
            <w:tcW w:w="0" w:type="auto"/>
            <w:hideMark/>
          </w:tcPr>
          <w:p w14:paraId="5D9E4F4E" w14:textId="00162C88" w:rsidR="00F36550" w:rsidRPr="00297DA6" w:rsidRDefault="00F36550" w:rsidP="00FC047F">
            <w:pPr>
              <w:tabs>
                <w:tab w:val="left" w:pos="1134"/>
              </w:tabs>
              <w:jc w:val="center"/>
              <w:rPr>
                <w:rFonts w:eastAsia="Calibri" w:cs="Times New Roman"/>
                <w:iCs/>
                <w:szCs w:val="18"/>
              </w:rPr>
            </w:pPr>
            <w:r w:rsidRPr="00297DA6">
              <w:rPr>
                <w:rFonts w:eastAsia="Calibri" w:cs="Times New Roman"/>
                <w:iCs/>
                <w:szCs w:val="18"/>
              </w:rPr>
              <w:t>3.7.3</w:t>
            </w:r>
          </w:p>
        </w:tc>
        <w:tc>
          <w:tcPr>
            <w:tcW w:w="0" w:type="auto"/>
            <w:hideMark/>
          </w:tcPr>
          <w:p w14:paraId="1D554233" w14:textId="77777777" w:rsidR="00F36550" w:rsidRPr="00297DA6" w:rsidRDefault="00F36550" w:rsidP="00FC047F">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Другие расходы из прибыли</w:t>
            </w:r>
          </w:p>
        </w:tc>
        <w:tc>
          <w:tcPr>
            <w:tcW w:w="504" w:type="pct"/>
            <w:hideMark/>
          </w:tcPr>
          <w:p w14:paraId="6AD9505A"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111 082,3</w:t>
            </w:r>
          </w:p>
        </w:tc>
        <w:tc>
          <w:tcPr>
            <w:tcW w:w="514" w:type="pct"/>
            <w:hideMark/>
          </w:tcPr>
          <w:p w14:paraId="2DEC84E2"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120 302,4</w:t>
            </w:r>
          </w:p>
        </w:tc>
        <w:tc>
          <w:tcPr>
            <w:tcW w:w="419" w:type="pct"/>
            <w:hideMark/>
          </w:tcPr>
          <w:p w14:paraId="65B29310"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106 923,40</w:t>
            </w:r>
          </w:p>
        </w:tc>
        <w:tc>
          <w:tcPr>
            <w:tcW w:w="425" w:type="pct"/>
            <w:hideMark/>
          </w:tcPr>
          <w:p w14:paraId="0EC0B92A"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37 506,4</w:t>
            </w:r>
          </w:p>
        </w:tc>
        <w:tc>
          <w:tcPr>
            <w:tcW w:w="469" w:type="pct"/>
            <w:hideMark/>
          </w:tcPr>
          <w:p w14:paraId="128C2666"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38 957,4</w:t>
            </w:r>
          </w:p>
        </w:tc>
        <w:tc>
          <w:tcPr>
            <w:tcW w:w="421" w:type="pct"/>
            <w:hideMark/>
          </w:tcPr>
          <w:p w14:paraId="25A9DBFE"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3 162,3</w:t>
            </w:r>
          </w:p>
        </w:tc>
        <w:tc>
          <w:tcPr>
            <w:tcW w:w="563" w:type="pct"/>
            <w:hideMark/>
          </w:tcPr>
          <w:p w14:paraId="006956F3"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-35 795,2</w:t>
            </w:r>
          </w:p>
        </w:tc>
        <w:tc>
          <w:tcPr>
            <w:tcW w:w="550" w:type="pct"/>
            <w:hideMark/>
          </w:tcPr>
          <w:p w14:paraId="64395A2D"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iCs/>
                <w:szCs w:val="18"/>
              </w:rPr>
            </w:pPr>
            <w:r w:rsidRPr="00297DA6">
              <w:rPr>
                <w:rFonts w:eastAsia="Calibri" w:cs="Times New Roman"/>
                <w:iCs/>
                <w:szCs w:val="18"/>
              </w:rPr>
              <w:t>-103 761,1</w:t>
            </w:r>
          </w:p>
        </w:tc>
      </w:tr>
      <w:tr w:rsidR="00FC047F" w:rsidRPr="00A54C03" w14:paraId="0D8AF75C" w14:textId="77777777" w:rsidTr="00FC047F">
        <w:tc>
          <w:tcPr>
            <w:cnfStyle w:val="001000000000" w:firstRow="0" w:lastRow="0" w:firstColumn="1" w:lastColumn="0" w:oddVBand="0" w:evenVBand="0" w:oddHBand="0" w:evenHBand="0" w:firstRowFirstColumn="0" w:firstRowLastColumn="0" w:lastRowFirstColumn="0" w:lastRowLastColumn="0"/>
            <w:tcW w:w="0" w:type="auto"/>
            <w:hideMark/>
          </w:tcPr>
          <w:p w14:paraId="0DD37318" w14:textId="6DB70BA2" w:rsidR="00F36550" w:rsidRPr="00297DA6" w:rsidRDefault="00F36550" w:rsidP="00FC047F">
            <w:pPr>
              <w:tabs>
                <w:tab w:val="left" w:pos="1134"/>
              </w:tabs>
              <w:jc w:val="center"/>
              <w:rPr>
                <w:rFonts w:eastAsia="Calibri" w:cs="Times New Roman"/>
                <w:b/>
                <w:iCs/>
                <w:szCs w:val="18"/>
              </w:rPr>
            </w:pPr>
          </w:p>
        </w:tc>
        <w:tc>
          <w:tcPr>
            <w:tcW w:w="0" w:type="auto"/>
            <w:hideMark/>
          </w:tcPr>
          <w:p w14:paraId="03F32149" w14:textId="77777777" w:rsidR="00F36550" w:rsidRPr="00297DA6" w:rsidRDefault="00F36550" w:rsidP="00FC047F">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b/>
                <w:iCs/>
                <w:szCs w:val="18"/>
              </w:rPr>
            </w:pPr>
            <w:r w:rsidRPr="00297DA6">
              <w:rPr>
                <w:rFonts w:eastAsia="Calibri" w:cs="Times New Roman"/>
                <w:b/>
                <w:iCs/>
                <w:szCs w:val="18"/>
              </w:rPr>
              <w:t>ИТОГО операционные (подконтрольные) расходы</w:t>
            </w:r>
          </w:p>
        </w:tc>
        <w:tc>
          <w:tcPr>
            <w:tcW w:w="504" w:type="pct"/>
            <w:hideMark/>
          </w:tcPr>
          <w:p w14:paraId="21509E86"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b/>
                <w:iCs/>
                <w:szCs w:val="18"/>
              </w:rPr>
            </w:pPr>
            <w:r w:rsidRPr="00297DA6">
              <w:rPr>
                <w:rFonts w:eastAsia="Calibri" w:cs="Times New Roman"/>
                <w:b/>
                <w:iCs/>
                <w:szCs w:val="18"/>
              </w:rPr>
              <w:t>1 808 837,22</w:t>
            </w:r>
          </w:p>
        </w:tc>
        <w:tc>
          <w:tcPr>
            <w:tcW w:w="514" w:type="pct"/>
            <w:hideMark/>
          </w:tcPr>
          <w:p w14:paraId="2CDE4C94"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b/>
                <w:iCs/>
                <w:szCs w:val="18"/>
              </w:rPr>
            </w:pPr>
            <w:r w:rsidRPr="00297DA6">
              <w:rPr>
                <w:rFonts w:eastAsia="Calibri" w:cs="Times New Roman"/>
                <w:b/>
                <w:iCs/>
                <w:szCs w:val="18"/>
              </w:rPr>
              <w:t>1 958 975,8</w:t>
            </w:r>
          </w:p>
        </w:tc>
        <w:tc>
          <w:tcPr>
            <w:tcW w:w="419" w:type="pct"/>
            <w:hideMark/>
          </w:tcPr>
          <w:p w14:paraId="672C91B2"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b/>
                <w:iCs/>
                <w:szCs w:val="18"/>
              </w:rPr>
            </w:pPr>
            <w:r w:rsidRPr="00297DA6">
              <w:rPr>
                <w:rFonts w:eastAsia="Calibri" w:cs="Times New Roman"/>
                <w:b/>
                <w:iCs/>
                <w:szCs w:val="18"/>
              </w:rPr>
              <w:t>2 457 943,68</w:t>
            </w:r>
          </w:p>
        </w:tc>
        <w:tc>
          <w:tcPr>
            <w:tcW w:w="425" w:type="pct"/>
            <w:hideMark/>
          </w:tcPr>
          <w:p w14:paraId="33DE41E4"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b/>
                <w:iCs/>
                <w:szCs w:val="18"/>
              </w:rPr>
            </w:pPr>
            <w:r w:rsidRPr="00297DA6">
              <w:rPr>
                <w:rFonts w:eastAsia="Calibri" w:cs="Times New Roman"/>
                <w:b/>
                <w:iCs/>
                <w:szCs w:val="18"/>
              </w:rPr>
              <w:t>1 698 503,91</w:t>
            </w:r>
          </w:p>
        </w:tc>
        <w:tc>
          <w:tcPr>
            <w:tcW w:w="469" w:type="pct"/>
            <w:hideMark/>
          </w:tcPr>
          <w:p w14:paraId="709294B4"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b/>
                <w:iCs/>
                <w:szCs w:val="18"/>
              </w:rPr>
            </w:pPr>
            <w:r w:rsidRPr="00297DA6">
              <w:rPr>
                <w:rFonts w:eastAsia="Calibri" w:cs="Times New Roman"/>
                <w:b/>
                <w:iCs/>
                <w:szCs w:val="18"/>
              </w:rPr>
              <w:t>1 764 216,06</w:t>
            </w:r>
          </w:p>
        </w:tc>
        <w:tc>
          <w:tcPr>
            <w:tcW w:w="421" w:type="pct"/>
            <w:hideMark/>
          </w:tcPr>
          <w:p w14:paraId="425FA52B"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b/>
                <w:iCs/>
                <w:szCs w:val="18"/>
              </w:rPr>
            </w:pPr>
            <w:r w:rsidRPr="00297DA6">
              <w:rPr>
                <w:rFonts w:eastAsia="Calibri" w:cs="Times New Roman"/>
                <w:b/>
                <w:iCs/>
                <w:szCs w:val="18"/>
              </w:rPr>
              <w:t>1 780 731,76</w:t>
            </w:r>
          </w:p>
        </w:tc>
        <w:tc>
          <w:tcPr>
            <w:tcW w:w="563" w:type="pct"/>
            <w:hideMark/>
          </w:tcPr>
          <w:p w14:paraId="6A502C20" w14:textId="77777777" w:rsidR="00F36550" w:rsidRPr="00297DA6"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b/>
                <w:iCs/>
                <w:szCs w:val="18"/>
              </w:rPr>
            </w:pPr>
            <w:r w:rsidRPr="00297DA6">
              <w:rPr>
                <w:rFonts w:eastAsia="Calibri" w:cs="Times New Roman"/>
                <w:b/>
                <w:iCs/>
                <w:szCs w:val="18"/>
              </w:rPr>
              <w:t>16 515,7</w:t>
            </w:r>
          </w:p>
        </w:tc>
        <w:tc>
          <w:tcPr>
            <w:tcW w:w="550" w:type="pct"/>
            <w:hideMark/>
          </w:tcPr>
          <w:p w14:paraId="20B9A8BC" w14:textId="77777777" w:rsidR="00F36550" w:rsidRPr="00A54C03" w:rsidRDefault="00F36550" w:rsidP="00FC047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b/>
                <w:iCs/>
                <w:szCs w:val="18"/>
              </w:rPr>
            </w:pPr>
            <w:r w:rsidRPr="00297DA6">
              <w:rPr>
                <w:rFonts w:eastAsia="Calibri" w:cs="Times New Roman"/>
                <w:b/>
                <w:iCs/>
                <w:szCs w:val="18"/>
              </w:rPr>
              <w:t>-677 211,92</w:t>
            </w:r>
          </w:p>
        </w:tc>
      </w:tr>
    </w:tbl>
    <w:p w14:paraId="3F44E615" w14:textId="77777777" w:rsidR="00FC047F" w:rsidRPr="00FB0A3A" w:rsidRDefault="00FC047F" w:rsidP="00A31747">
      <w:pPr>
        <w:tabs>
          <w:tab w:val="left" w:pos="1134"/>
        </w:tabs>
        <w:spacing w:after="0" w:line="360" w:lineRule="auto"/>
        <w:ind w:firstLine="567"/>
        <w:jc w:val="both"/>
        <w:rPr>
          <w:rFonts w:ascii="Myriad Pro" w:eastAsia="Calibri" w:hAnsi="Myriad Pro" w:cs="Times New Roman"/>
          <w:iCs/>
          <w:sz w:val="26"/>
          <w:szCs w:val="26"/>
        </w:rPr>
        <w:sectPr w:rsidR="00FC047F" w:rsidRPr="00FB0A3A" w:rsidSect="002F115E">
          <w:pgSz w:w="16838" w:h="11906" w:orient="landscape"/>
          <w:pgMar w:top="1418" w:right="851" w:bottom="1134" w:left="1701" w:header="709" w:footer="709" w:gutter="0"/>
          <w:cols w:space="708"/>
          <w:docGrid w:linePitch="360"/>
        </w:sectPr>
      </w:pPr>
    </w:p>
    <w:p w14:paraId="03F9A585" w14:textId="521B3BAA" w:rsidR="004D7D17" w:rsidRPr="002D6C17" w:rsidRDefault="004D7D17" w:rsidP="00A54C03">
      <w:pPr>
        <w:pStyle w:val="3"/>
        <w:numPr>
          <w:ilvl w:val="0"/>
          <w:numId w:val="67"/>
        </w:numPr>
        <w:spacing w:line="360" w:lineRule="auto"/>
        <w:jc w:val="both"/>
        <w:rPr>
          <w:rFonts w:ascii="Myriad Pro" w:hAnsi="Myriad Pro"/>
          <w:b/>
          <w:color w:val="4F6228" w:themeColor="accent3" w:themeShade="80"/>
          <w:sz w:val="28"/>
          <w:szCs w:val="28"/>
        </w:rPr>
      </w:pPr>
      <w:bookmarkStart w:id="48" w:name="_Toc40797959"/>
      <w:r w:rsidRPr="002D6C17">
        <w:rPr>
          <w:rFonts w:ascii="Myriad Pro" w:hAnsi="Myriad Pro"/>
          <w:b/>
          <w:color w:val="4F6228" w:themeColor="accent3" w:themeShade="80"/>
          <w:sz w:val="28"/>
          <w:szCs w:val="28"/>
        </w:rPr>
        <w:lastRenderedPageBreak/>
        <w:t xml:space="preserve">Анализ обоснованности принятых </w:t>
      </w:r>
      <w:r w:rsidR="00DD5473" w:rsidRPr="002D6C17">
        <w:rPr>
          <w:rFonts w:ascii="Myriad Pro" w:hAnsi="Myriad Pro"/>
          <w:b/>
          <w:color w:val="4F6228" w:themeColor="accent3" w:themeShade="80"/>
          <w:sz w:val="28"/>
          <w:szCs w:val="28"/>
        </w:rPr>
        <w:t>Комитетом по тарифному регулированию Мурманской области</w:t>
      </w:r>
      <w:r w:rsidRPr="002D6C17">
        <w:rPr>
          <w:rFonts w:ascii="Myriad Pro" w:hAnsi="Myriad Pro"/>
          <w:b/>
          <w:color w:val="4F6228" w:themeColor="accent3" w:themeShade="80"/>
          <w:sz w:val="28"/>
          <w:szCs w:val="28"/>
        </w:rPr>
        <w:t xml:space="preserve"> в расчет тарифов долгосрочных параметров регулирования: индекса эффективности подконтрольных расходов, уровня надежности и качества услуг на 2019 год</w:t>
      </w:r>
      <w:bookmarkEnd w:id="48"/>
    </w:p>
    <w:p w14:paraId="50BEB453" w14:textId="01F306A8" w:rsidR="00E3121D" w:rsidRPr="00FB0A3A" w:rsidRDefault="00DF2538"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В соответствии с</w:t>
      </w:r>
      <w:r w:rsidR="00934EF7" w:rsidRPr="00FB0A3A">
        <w:rPr>
          <w:rFonts w:ascii="Myriad Pro" w:eastAsia="Calibri" w:hAnsi="Myriad Pro" w:cs="Times New Roman"/>
          <w:sz w:val="26"/>
          <w:szCs w:val="26"/>
        </w:rPr>
        <w:t xml:space="preserve"> п. </w:t>
      </w:r>
      <w:r w:rsidR="00E3121D" w:rsidRPr="00FB0A3A">
        <w:rPr>
          <w:rFonts w:ascii="Myriad Pro" w:eastAsia="Calibri" w:hAnsi="Myriad Pro" w:cs="Times New Roman"/>
          <w:sz w:val="26"/>
          <w:szCs w:val="26"/>
        </w:rPr>
        <w:t xml:space="preserve">38 Основ ценообразования </w:t>
      </w:r>
      <w:r w:rsidR="00CA2B21" w:rsidRPr="00FB0A3A">
        <w:rPr>
          <w:rFonts w:ascii="Myriad Pro" w:eastAsia="Calibri" w:hAnsi="Myriad Pro" w:cs="Times New Roman"/>
          <w:sz w:val="26"/>
          <w:szCs w:val="26"/>
        </w:rPr>
        <w:t xml:space="preserve">№ 1178 </w:t>
      </w:r>
      <w:r w:rsidR="00E3121D" w:rsidRPr="00FB0A3A">
        <w:rPr>
          <w:rFonts w:ascii="Myriad Pro" w:eastAsia="Calibri" w:hAnsi="Myriad Pro" w:cs="Times New Roman"/>
          <w:sz w:val="26"/>
          <w:szCs w:val="26"/>
        </w:rPr>
        <w:t>тарифы на услуги 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утверждаемыми Федеральной антимонопольной службой, на основании следующих долгосрочных параметров регулирования:</w:t>
      </w:r>
    </w:p>
    <w:p w14:paraId="33BD5995" w14:textId="77777777" w:rsidR="00E3121D" w:rsidRPr="00FB0A3A" w:rsidRDefault="00E3121D" w:rsidP="009B0BC1">
      <w:pPr>
        <w:pStyle w:val="a4"/>
        <w:numPr>
          <w:ilvl w:val="0"/>
          <w:numId w:val="13"/>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базовый уровень подконтрольных расходов, устанавливаемый регулирующими органами;</w:t>
      </w:r>
    </w:p>
    <w:p w14:paraId="02226719" w14:textId="77777777" w:rsidR="00E3121D" w:rsidRPr="00FB0A3A" w:rsidRDefault="00E3121D" w:rsidP="009B0BC1">
      <w:pPr>
        <w:pStyle w:val="a4"/>
        <w:numPr>
          <w:ilvl w:val="0"/>
          <w:numId w:val="13"/>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индекс эффективности подконтрольных расходов определяется регулирующими органами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4E549A45" w14:textId="77777777" w:rsidR="00E3121D" w:rsidRPr="00FB0A3A" w:rsidRDefault="00E3121D" w:rsidP="009B0BC1">
      <w:pPr>
        <w:pStyle w:val="a4"/>
        <w:numPr>
          <w:ilvl w:val="0"/>
          <w:numId w:val="13"/>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коэффициент эластичности подконтрольных расходов по количеству активов, определяемый в соответствии с методическими указаниями по расчету тарифов на услуги по передаче электрической энергии с применением метода долгосрочной индексации необходимой валовой выручки, утверждаемыми Федеральной антимонопольной службой;</w:t>
      </w:r>
    </w:p>
    <w:p w14:paraId="35E517D6" w14:textId="45947436" w:rsidR="00E3121D" w:rsidRPr="00FB0A3A" w:rsidRDefault="00E3121D" w:rsidP="009B0BC1">
      <w:pPr>
        <w:pStyle w:val="a4"/>
        <w:numPr>
          <w:ilvl w:val="0"/>
          <w:numId w:val="13"/>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 xml:space="preserve">уровень потерь электрической энергии при ее передаче по электрическим сетям, определяемый в соответствии с пунктом 40(1) </w:t>
      </w:r>
      <w:r w:rsidR="00822FF9" w:rsidRPr="00FB0A3A">
        <w:rPr>
          <w:rFonts w:ascii="Myriad Pro" w:hAnsi="Myriad Pro"/>
          <w:sz w:val="26"/>
          <w:szCs w:val="26"/>
        </w:rPr>
        <w:t>Основ ценооб</w:t>
      </w:r>
      <w:r w:rsidR="00927E4E" w:rsidRPr="00FB0A3A">
        <w:rPr>
          <w:rFonts w:ascii="Myriad Pro" w:hAnsi="Myriad Pro"/>
          <w:sz w:val="26"/>
          <w:szCs w:val="26"/>
        </w:rPr>
        <w:t>р</w:t>
      </w:r>
      <w:r w:rsidR="00822FF9" w:rsidRPr="00FB0A3A">
        <w:rPr>
          <w:rFonts w:ascii="Myriad Pro" w:hAnsi="Myriad Pro"/>
          <w:sz w:val="26"/>
          <w:szCs w:val="26"/>
        </w:rPr>
        <w:t>азования</w:t>
      </w:r>
      <w:r w:rsidRPr="00FB0A3A">
        <w:rPr>
          <w:rFonts w:ascii="Myriad Pro" w:hAnsi="Myriad Pro"/>
          <w:sz w:val="26"/>
          <w:szCs w:val="26"/>
        </w:rPr>
        <w:t>;</w:t>
      </w:r>
    </w:p>
    <w:p w14:paraId="20E49E8F" w14:textId="2A345388" w:rsidR="004D7D17" w:rsidRPr="00FB0A3A" w:rsidRDefault="00E3121D" w:rsidP="009B0BC1">
      <w:pPr>
        <w:pStyle w:val="a4"/>
        <w:numPr>
          <w:ilvl w:val="0"/>
          <w:numId w:val="13"/>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 xml:space="preserve">уровень надежности и качества реализуемых товаров (услуг), устанавливаемый в соответствии с пунктом 8 </w:t>
      </w:r>
      <w:r w:rsidR="00822FF9" w:rsidRPr="00FB0A3A">
        <w:rPr>
          <w:rFonts w:ascii="Myriad Pro" w:hAnsi="Myriad Pro"/>
          <w:sz w:val="26"/>
          <w:szCs w:val="26"/>
        </w:rPr>
        <w:t>Основ ценообразования</w:t>
      </w:r>
      <w:r w:rsidRPr="00FB0A3A">
        <w:rPr>
          <w:rFonts w:ascii="Myriad Pro" w:hAnsi="Myriad Pro"/>
          <w:sz w:val="26"/>
          <w:szCs w:val="26"/>
        </w:rPr>
        <w:t xml:space="preserve"> и </w:t>
      </w:r>
      <w:r w:rsidRPr="00FB0A3A">
        <w:rPr>
          <w:rFonts w:ascii="Myriad Pro" w:hAnsi="Myriad Pro"/>
          <w:sz w:val="26"/>
          <w:szCs w:val="26"/>
        </w:rPr>
        <w:lastRenderedPageBreak/>
        <w:t>применяемый при регулировании тарифов с даты вступления в силу методических указаний по расчету уровня надежности и качества реализуемых товаров (услуг).</w:t>
      </w:r>
    </w:p>
    <w:p w14:paraId="7DA38A92" w14:textId="6D9E3039" w:rsidR="004D7D17" w:rsidRPr="00FB0A3A" w:rsidRDefault="0051538D"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 xml:space="preserve">Базовый уровень подконтрольных расходов определяется регулирующими органами с использованием метода экономически обоснованных расходов (затрат) и метода сравнения аналогов. Базовый уровень подконтрольных расходов устанавливается как сумма доли базового уровня подконтрольных расходов, рассчитанного с применением метода экономически обоснованных расходов (затрат) в соответствии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доли базового уровня подконтрольных расходов, рассчитанного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 Базовый уровень подконтрольных расходов территориальных сетевых организаций в случае принятия решения о его установлении (пересмотре) в течение долгосрочного периода регулирования на основании решения Правительства Российской Федерации или в иных случаях, предусмотренных </w:t>
      </w:r>
      <w:r w:rsidR="008608F6" w:rsidRPr="00FB0A3A">
        <w:rPr>
          <w:rFonts w:ascii="Myriad Pro" w:eastAsia="Calibri" w:hAnsi="Myriad Pro" w:cs="Times New Roman"/>
          <w:sz w:val="26"/>
          <w:szCs w:val="26"/>
        </w:rPr>
        <w:t>Основами ценообразования № 1178</w:t>
      </w:r>
      <w:r w:rsidRPr="00FB0A3A">
        <w:rPr>
          <w:rFonts w:ascii="Myriad Pro" w:eastAsia="Calibri" w:hAnsi="Myriad Pro" w:cs="Times New Roman"/>
          <w:sz w:val="26"/>
          <w:szCs w:val="26"/>
        </w:rPr>
        <w:t xml:space="preserve">, устанавливается как сумма доли утвержденного базового уровня подконтрольных расходов, скорректированного в соответствии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доли базового уровня подконтрольных расходов, рассчитанного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w:t>
      </w:r>
      <w:r w:rsidRPr="00FB0A3A">
        <w:rPr>
          <w:rFonts w:ascii="Myriad Pro" w:eastAsia="Calibri" w:hAnsi="Myriad Pro" w:cs="Times New Roman"/>
          <w:sz w:val="26"/>
          <w:szCs w:val="26"/>
        </w:rPr>
        <w:lastRenderedPageBreak/>
        <w:t>аналогов, утверждаемыми Федеральной антимонопольной службой. Указанные в пункте</w:t>
      </w:r>
      <w:r w:rsidR="008608F6" w:rsidRPr="00FB0A3A">
        <w:rPr>
          <w:rFonts w:ascii="Myriad Pro" w:eastAsia="Calibri" w:hAnsi="Myriad Pro" w:cs="Times New Roman"/>
          <w:sz w:val="26"/>
          <w:szCs w:val="26"/>
        </w:rPr>
        <w:t xml:space="preserve"> 38 Основ ценообразования № 1178</w:t>
      </w:r>
      <w:r w:rsidRPr="00FB0A3A">
        <w:rPr>
          <w:rFonts w:ascii="Myriad Pro" w:eastAsia="Calibri" w:hAnsi="Myriad Pro" w:cs="Times New Roman"/>
          <w:sz w:val="26"/>
          <w:szCs w:val="26"/>
        </w:rPr>
        <w:t xml:space="preserve"> доли определяются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4F80A757" w14:textId="77777777" w:rsidR="00026371" w:rsidRPr="00FB0A3A" w:rsidRDefault="00026371" w:rsidP="00A31747">
      <w:pPr>
        <w:tabs>
          <w:tab w:val="left" w:pos="1134"/>
        </w:tabs>
        <w:spacing w:after="0" w:line="360" w:lineRule="auto"/>
        <w:ind w:firstLine="567"/>
        <w:contextualSpacing/>
        <w:jc w:val="both"/>
        <w:rPr>
          <w:rFonts w:ascii="Myriad Pro" w:eastAsia="Calibri" w:hAnsi="Myriad Pro" w:cs="Times New Roman"/>
          <w:b/>
          <w:sz w:val="26"/>
          <w:szCs w:val="26"/>
        </w:rPr>
      </w:pPr>
    </w:p>
    <w:p w14:paraId="3EA7EB8F" w14:textId="77777777" w:rsidR="002F115E" w:rsidRDefault="002F115E" w:rsidP="008E15A7">
      <w:pPr>
        <w:pStyle w:val="3"/>
        <w:numPr>
          <w:ilvl w:val="1"/>
          <w:numId w:val="67"/>
        </w:numPr>
        <w:spacing w:line="360" w:lineRule="auto"/>
        <w:jc w:val="both"/>
        <w:rPr>
          <w:rFonts w:ascii="Myriad Pro" w:hAnsi="Myriad Pro"/>
          <w:b/>
          <w:color w:val="4F6228" w:themeColor="accent3" w:themeShade="80"/>
          <w:sz w:val="28"/>
          <w:szCs w:val="28"/>
        </w:rPr>
        <w:sectPr w:rsidR="002F115E" w:rsidSect="00FB0A3A">
          <w:pgSz w:w="11906" w:h="16838"/>
          <w:pgMar w:top="1134" w:right="851" w:bottom="1134" w:left="1701" w:header="708" w:footer="708" w:gutter="0"/>
          <w:cols w:space="708"/>
          <w:docGrid w:linePitch="360"/>
        </w:sectPr>
      </w:pPr>
    </w:p>
    <w:p w14:paraId="652FCDF9" w14:textId="3361813E" w:rsidR="00026371" w:rsidRPr="002D6C17" w:rsidRDefault="008E15A7" w:rsidP="008E15A7">
      <w:pPr>
        <w:pStyle w:val="3"/>
        <w:numPr>
          <w:ilvl w:val="1"/>
          <w:numId w:val="67"/>
        </w:numPr>
        <w:spacing w:line="360" w:lineRule="auto"/>
        <w:jc w:val="both"/>
        <w:rPr>
          <w:rFonts w:ascii="Myriad Pro" w:hAnsi="Myriad Pro"/>
          <w:b/>
          <w:color w:val="4F6228" w:themeColor="accent3" w:themeShade="80"/>
          <w:sz w:val="28"/>
          <w:szCs w:val="28"/>
        </w:rPr>
      </w:pPr>
      <w:r>
        <w:rPr>
          <w:rFonts w:ascii="Myriad Pro" w:hAnsi="Myriad Pro"/>
          <w:b/>
          <w:color w:val="4F6228" w:themeColor="accent3" w:themeShade="80"/>
          <w:sz w:val="28"/>
          <w:szCs w:val="28"/>
        </w:rPr>
        <w:lastRenderedPageBreak/>
        <w:t xml:space="preserve"> </w:t>
      </w:r>
      <w:bookmarkStart w:id="49" w:name="_Toc40797960"/>
      <w:r w:rsidR="00026371" w:rsidRPr="002D6C17">
        <w:rPr>
          <w:rFonts w:ascii="Myriad Pro" w:hAnsi="Myriad Pro"/>
          <w:b/>
          <w:color w:val="4F6228" w:themeColor="accent3" w:themeShade="80"/>
          <w:sz w:val="28"/>
          <w:szCs w:val="28"/>
        </w:rPr>
        <w:t>Индекс эффективности подконтрольных расходов</w:t>
      </w:r>
      <w:bookmarkEnd w:id="49"/>
    </w:p>
    <w:p w14:paraId="23479A11" w14:textId="345E3D04" w:rsidR="00045B71" w:rsidRPr="00C04ABD" w:rsidRDefault="00045B71"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 xml:space="preserve">Согласно п. 7 Методических указаний </w:t>
      </w:r>
      <w:r w:rsidR="00745E51" w:rsidRPr="00C04ABD">
        <w:rPr>
          <w:rFonts w:ascii="Myriad Pro" w:eastAsia="Calibri" w:hAnsi="Myriad Pro" w:cs="Times New Roman"/>
          <w:sz w:val="26"/>
          <w:szCs w:val="26"/>
        </w:rPr>
        <w:t>№ 421-э</w:t>
      </w:r>
      <w:r w:rsidRPr="00C04ABD">
        <w:rPr>
          <w:rFonts w:ascii="Myriad Pro" w:eastAsia="Calibri" w:hAnsi="Myriad Pro" w:cs="Times New Roman"/>
          <w:sz w:val="26"/>
          <w:szCs w:val="26"/>
        </w:rPr>
        <w:t xml:space="preserve"> расчет индекса эффективности ОПР и величины базового уровня ОПР с применением метода сравнения аналогов осуществляется на основании распределения ТСО по группам ТСО, показатель рейтинга эффективности которых находится в заданном интервале фиксированных значений в соответствии с приложением N 3 к Методическим указаниям</w:t>
      </w:r>
      <w:r w:rsidR="00A212B6" w:rsidRPr="00C04ABD">
        <w:rPr>
          <w:rFonts w:ascii="Myriad Pro" w:eastAsia="Calibri" w:hAnsi="Myriad Pro" w:cs="Times New Roman"/>
          <w:sz w:val="26"/>
          <w:szCs w:val="26"/>
        </w:rPr>
        <w:t xml:space="preserve"> №421-э</w:t>
      </w:r>
      <w:r w:rsidRPr="00C04ABD">
        <w:rPr>
          <w:rFonts w:ascii="Myriad Pro" w:eastAsia="Calibri" w:hAnsi="Myriad Pro" w:cs="Times New Roman"/>
          <w:sz w:val="26"/>
          <w:szCs w:val="26"/>
        </w:rPr>
        <w:t xml:space="preserve"> (далее - группа эффективности) по итогам расчета рейтинга эффективности ТСО, с учетом:</w:t>
      </w:r>
    </w:p>
    <w:p w14:paraId="0CEE3D45" w14:textId="77777777" w:rsidR="00045B71" w:rsidRPr="00C04ABD" w:rsidRDefault="00045B71"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1) уровня цен и климатических условий в регионе, в котором осуществляется деятельность ТСО;</w:t>
      </w:r>
    </w:p>
    <w:p w14:paraId="22DA13C9" w14:textId="1789730F" w:rsidR="00045B71" w:rsidRPr="00C04ABD" w:rsidRDefault="00045B71"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2) натуральных показателей ТСО, предусмотренных приложением N 1 к Методическим указаниям</w:t>
      </w:r>
      <w:r w:rsidR="00F531CF" w:rsidRPr="00C04ABD">
        <w:rPr>
          <w:rFonts w:ascii="Myriad Pro" w:eastAsia="Calibri" w:hAnsi="Myriad Pro" w:cs="Times New Roman"/>
          <w:sz w:val="26"/>
          <w:szCs w:val="26"/>
        </w:rPr>
        <w:t xml:space="preserve"> № 421-э</w:t>
      </w:r>
      <w:r w:rsidRPr="00C04ABD">
        <w:rPr>
          <w:rFonts w:ascii="Myriad Pro" w:eastAsia="Calibri" w:hAnsi="Myriad Pro" w:cs="Times New Roman"/>
          <w:sz w:val="26"/>
          <w:szCs w:val="26"/>
        </w:rPr>
        <w:t>.</w:t>
      </w:r>
    </w:p>
    <w:p w14:paraId="3EC31342" w14:textId="4A156513" w:rsidR="00045B71" w:rsidRPr="00C04ABD" w:rsidRDefault="00045B71"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В соответствии с п. 8 Методических указаний № 421-э ранжирование уровней эффективности сетевой организации, проводится с использованием нормализованных (преобразованных в значения в диапазоне от 0 до 1) удельных показателей, определенных следующим образом:</w:t>
      </w:r>
    </w:p>
    <w:p w14:paraId="1FF2F4C8" w14:textId="4A31150B" w:rsidR="00045B71" w:rsidRPr="00C04ABD" w:rsidRDefault="00045B71" w:rsidP="004D5A32">
      <w:pPr>
        <w:tabs>
          <w:tab w:val="left" w:pos="1134"/>
        </w:tabs>
        <w:spacing w:after="0" w:line="360" w:lineRule="auto"/>
        <w:ind w:firstLine="567"/>
        <w:contextualSpacing/>
        <w:jc w:val="center"/>
        <w:rPr>
          <w:rFonts w:ascii="Myriad Pro" w:eastAsia="Calibri" w:hAnsi="Myriad Pro" w:cs="Times New Roman"/>
          <w:sz w:val="26"/>
          <w:szCs w:val="26"/>
        </w:rPr>
      </w:pPr>
      <w:r w:rsidRPr="00C04ABD">
        <w:rPr>
          <w:rFonts w:ascii="Myriad Pro" w:hAnsi="Myriad Pro"/>
          <w:noProof/>
          <w:position w:val="-27"/>
          <w:sz w:val="26"/>
          <w:szCs w:val="26"/>
          <w:lang w:eastAsia="ru-RU"/>
        </w:rPr>
        <w:drawing>
          <wp:inline distT="0" distB="0" distL="0" distR="0" wp14:anchorId="295731A4" wp14:editId="3875A2A0">
            <wp:extent cx="1890395" cy="50101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890395" cy="501015"/>
                    </a:xfrm>
                    <a:prstGeom prst="rect">
                      <a:avLst/>
                    </a:prstGeom>
                    <a:noFill/>
                    <a:ln>
                      <a:noFill/>
                    </a:ln>
                  </pic:spPr>
                </pic:pic>
              </a:graphicData>
            </a:graphic>
          </wp:inline>
        </w:drawing>
      </w:r>
      <w:r w:rsidRPr="00C04ABD">
        <w:rPr>
          <w:rFonts w:ascii="Myriad Pro" w:eastAsia="Calibri" w:hAnsi="Myriad Pro" w:cs="Times New Roman"/>
          <w:sz w:val="26"/>
          <w:szCs w:val="26"/>
        </w:rPr>
        <w:t>(1),</w:t>
      </w:r>
    </w:p>
    <w:p w14:paraId="46A553CE" w14:textId="77777777" w:rsidR="00045B71" w:rsidRPr="00C04ABD" w:rsidRDefault="00045B71" w:rsidP="00A31747">
      <w:pPr>
        <w:tabs>
          <w:tab w:val="left" w:pos="1134"/>
        </w:tabs>
        <w:spacing w:after="0" w:line="360" w:lineRule="auto"/>
        <w:ind w:firstLine="567"/>
        <w:contextualSpacing/>
        <w:jc w:val="both"/>
        <w:rPr>
          <w:rFonts w:ascii="Myriad Pro" w:eastAsia="Calibri" w:hAnsi="Myriad Pro" w:cs="Times New Roman"/>
          <w:sz w:val="26"/>
          <w:szCs w:val="26"/>
        </w:rPr>
      </w:pPr>
    </w:p>
    <w:p w14:paraId="4F8CD3B0" w14:textId="77777777" w:rsidR="00045B71" w:rsidRPr="00C04ABD" w:rsidRDefault="00045B71"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где:</w:t>
      </w:r>
    </w:p>
    <w:p w14:paraId="68A1D636" w14:textId="06CB5131" w:rsidR="00045B71" w:rsidRPr="00C04ABD" w:rsidRDefault="00045B71"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hAnsi="Myriad Pro"/>
          <w:noProof/>
          <w:position w:val="-10"/>
          <w:sz w:val="26"/>
          <w:szCs w:val="26"/>
          <w:lang w:eastAsia="ru-RU"/>
        </w:rPr>
        <w:drawing>
          <wp:inline distT="0" distB="0" distL="0" distR="0" wp14:anchorId="1C66DC78" wp14:editId="0DC983A0">
            <wp:extent cx="255270" cy="299085"/>
            <wp:effectExtent l="0" t="0" r="0" b="571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55270" cy="299085"/>
                    </a:xfrm>
                    <a:prstGeom prst="rect">
                      <a:avLst/>
                    </a:prstGeom>
                    <a:noFill/>
                    <a:ln>
                      <a:noFill/>
                    </a:ln>
                  </pic:spPr>
                </pic:pic>
              </a:graphicData>
            </a:graphic>
          </wp:inline>
        </w:drawing>
      </w:r>
      <w:r w:rsidRPr="00C04ABD">
        <w:rPr>
          <w:rFonts w:ascii="Myriad Pro" w:eastAsia="Calibri" w:hAnsi="Myriad Pro" w:cs="Times New Roman"/>
          <w:sz w:val="26"/>
          <w:szCs w:val="26"/>
        </w:rPr>
        <w:t xml:space="preserve">  - значение рейтинга эффективности ТСО n в году i.</w:t>
      </w:r>
    </w:p>
    <w:p w14:paraId="6EA8570D" w14:textId="0AF94C8D" w:rsidR="00045B71" w:rsidRPr="00C04ABD" w:rsidRDefault="00045B71"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 xml:space="preserve">  </w:t>
      </w:r>
      <w:r w:rsidRPr="00C04ABD">
        <w:rPr>
          <w:rFonts w:ascii="Myriad Pro" w:hAnsi="Myriad Pro"/>
          <w:noProof/>
          <w:position w:val="-10"/>
          <w:sz w:val="26"/>
          <w:szCs w:val="26"/>
          <w:lang w:eastAsia="ru-RU"/>
        </w:rPr>
        <w:drawing>
          <wp:inline distT="0" distB="0" distL="0" distR="0" wp14:anchorId="5C11CF1E" wp14:editId="6C0806C9">
            <wp:extent cx="307975" cy="299085"/>
            <wp:effectExtent l="0" t="0" r="0" b="571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07975" cy="299085"/>
                    </a:xfrm>
                    <a:prstGeom prst="rect">
                      <a:avLst/>
                    </a:prstGeom>
                    <a:noFill/>
                    <a:ln>
                      <a:noFill/>
                    </a:ln>
                  </pic:spPr>
                </pic:pic>
              </a:graphicData>
            </a:graphic>
          </wp:inline>
        </w:drawing>
      </w:r>
      <w:r w:rsidRPr="00C04ABD">
        <w:rPr>
          <w:rFonts w:ascii="Myriad Pro" w:hAnsi="Myriad Pro"/>
          <w:sz w:val="26"/>
          <w:szCs w:val="26"/>
        </w:rPr>
        <w:t xml:space="preserve"> </w:t>
      </w:r>
      <w:r w:rsidRPr="00C04ABD">
        <w:rPr>
          <w:rFonts w:ascii="Myriad Pro" w:eastAsia="Calibri" w:hAnsi="Myriad Pro" w:cs="Times New Roman"/>
          <w:sz w:val="26"/>
          <w:szCs w:val="26"/>
        </w:rPr>
        <w:t>- значения нормализованных удельных показателей</w:t>
      </w:r>
    </w:p>
    <w:p w14:paraId="60C0FF12" w14:textId="5A94E4FD" w:rsidR="00F531CF" w:rsidRPr="00C04ABD" w:rsidRDefault="00F531CF" w:rsidP="004D5A32">
      <w:pPr>
        <w:tabs>
          <w:tab w:val="left" w:pos="1134"/>
        </w:tabs>
        <w:spacing w:after="0" w:line="360" w:lineRule="auto"/>
        <w:ind w:firstLine="567"/>
        <w:contextualSpacing/>
        <w:jc w:val="center"/>
        <w:rPr>
          <w:rFonts w:ascii="Myriad Pro" w:eastAsia="Calibri" w:hAnsi="Myriad Pro" w:cs="Times New Roman"/>
          <w:sz w:val="26"/>
          <w:szCs w:val="26"/>
        </w:rPr>
      </w:pPr>
      <w:r w:rsidRPr="00C04ABD">
        <w:rPr>
          <w:rFonts w:ascii="Myriad Pro" w:eastAsia="Calibri" w:hAnsi="Myriad Pro" w:cs="Times New Roman"/>
          <w:noProof/>
          <w:sz w:val="26"/>
          <w:szCs w:val="26"/>
          <w:lang w:eastAsia="ru-RU"/>
        </w:rPr>
        <w:drawing>
          <wp:inline distT="0" distB="0" distL="0" distR="0" wp14:anchorId="08BC8C45" wp14:editId="00EE4228">
            <wp:extent cx="1847850" cy="895350"/>
            <wp:effectExtent l="0" t="0" r="0" b="0"/>
            <wp:docPr id="471" name="Рисунок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847850" cy="895350"/>
                    </a:xfrm>
                    <a:prstGeom prst="rect">
                      <a:avLst/>
                    </a:prstGeom>
                    <a:noFill/>
                    <a:ln>
                      <a:noFill/>
                    </a:ln>
                  </pic:spPr>
                </pic:pic>
              </a:graphicData>
            </a:graphic>
          </wp:inline>
        </w:drawing>
      </w:r>
      <w:r w:rsidRPr="00C04ABD">
        <w:rPr>
          <w:rFonts w:ascii="Myriad Pro" w:eastAsia="Calibri" w:hAnsi="Myriad Pro" w:cs="Times New Roman"/>
          <w:sz w:val="26"/>
          <w:szCs w:val="26"/>
        </w:rPr>
        <w:t>(2)</w:t>
      </w:r>
    </w:p>
    <w:p w14:paraId="67063645" w14:textId="77777777" w:rsidR="00F531CF" w:rsidRPr="00C04ABD" w:rsidRDefault="00F531CF" w:rsidP="00A31747">
      <w:pPr>
        <w:tabs>
          <w:tab w:val="left" w:pos="1134"/>
        </w:tabs>
        <w:spacing w:after="0" w:line="360" w:lineRule="auto"/>
        <w:ind w:firstLine="567"/>
        <w:contextualSpacing/>
        <w:jc w:val="both"/>
        <w:rPr>
          <w:rFonts w:ascii="Myriad Pro" w:eastAsia="Calibri" w:hAnsi="Myriad Pro" w:cs="Times New Roman"/>
          <w:sz w:val="26"/>
          <w:szCs w:val="26"/>
        </w:rPr>
      </w:pPr>
    </w:p>
    <w:p w14:paraId="745CE202" w14:textId="11C0A2F9" w:rsidR="00F531CF" w:rsidRPr="00C04ABD" w:rsidRDefault="00F531CF" w:rsidP="004D5A32">
      <w:pPr>
        <w:tabs>
          <w:tab w:val="left" w:pos="1134"/>
        </w:tabs>
        <w:spacing w:after="0" w:line="360" w:lineRule="auto"/>
        <w:ind w:firstLine="567"/>
        <w:contextualSpacing/>
        <w:jc w:val="center"/>
        <w:rPr>
          <w:rFonts w:ascii="Myriad Pro" w:eastAsia="Calibri" w:hAnsi="Myriad Pro" w:cs="Times New Roman"/>
          <w:sz w:val="26"/>
          <w:szCs w:val="26"/>
        </w:rPr>
      </w:pPr>
      <w:r w:rsidRPr="00C04ABD">
        <w:rPr>
          <w:rFonts w:ascii="Myriad Pro" w:eastAsia="Calibri" w:hAnsi="Myriad Pro" w:cs="Times New Roman"/>
          <w:noProof/>
          <w:sz w:val="26"/>
          <w:szCs w:val="26"/>
          <w:lang w:eastAsia="ru-RU"/>
        </w:rPr>
        <w:drawing>
          <wp:inline distT="0" distB="0" distL="0" distR="0" wp14:anchorId="445DF0F5" wp14:editId="13442C82">
            <wp:extent cx="1905635" cy="895350"/>
            <wp:effectExtent l="0" t="0" r="0" b="0"/>
            <wp:docPr id="470" name="Рисунок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905635" cy="895350"/>
                    </a:xfrm>
                    <a:prstGeom prst="rect">
                      <a:avLst/>
                    </a:prstGeom>
                    <a:noFill/>
                    <a:ln>
                      <a:noFill/>
                    </a:ln>
                  </pic:spPr>
                </pic:pic>
              </a:graphicData>
            </a:graphic>
          </wp:inline>
        </w:drawing>
      </w:r>
      <w:r w:rsidRPr="00C04ABD">
        <w:rPr>
          <w:rFonts w:ascii="Myriad Pro" w:eastAsia="Calibri" w:hAnsi="Myriad Pro" w:cs="Times New Roman"/>
          <w:sz w:val="26"/>
          <w:szCs w:val="26"/>
        </w:rPr>
        <w:t>(3)</w:t>
      </w:r>
    </w:p>
    <w:p w14:paraId="2A576AFA" w14:textId="77777777" w:rsidR="00F531CF" w:rsidRPr="00C04ABD" w:rsidRDefault="00F531CF" w:rsidP="00A31747">
      <w:pPr>
        <w:tabs>
          <w:tab w:val="left" w:pos="1134"/>
        </w:tabs>
        <w:spacing w:after="0" w:line="360" w:lineRule="auto"/>
        <w:ind w:firstLine="567"/>
        <w:contextualSpacing/>
        <w:jc w:val="both"/>
        <w:rPr>
          <w:rFonts w:ascii="Myriad Pro" w:eastAsia="Calibri" w:hAnsi="Myriad Pro" w:cs="Times New Roman"/>
          <w:sz w:val="26"/>
          <w:szCs w:val="26"/>
        </w:rPr>
      </w:pPr>
    </w:p>
    <w:p w14:paraId="76AFC339" w14:textId="4DC21C26" w:rsidR="00F531CF" w:rsidRPr="00C04ABD" w:rsidRDefault="00F531CF" w:rsidP="004D5A32">
      <w:pPr>
        <w:tabs>
          <w:tab w:val="left" w:pos="1134"/>
        </w:tabs>
        <w:spacing w:after="0" w:line="360" w:lineRule="auto"/>
        <w:ind w:firstLine="567"/>
        <w:contextualSpacing/>
        <w:jc w:val="center"/>
        <w:rPr>
          <w:rFonts w:ascii="Myriad Pro" w:eastAsia="Calibri" w:hAnsi="Myriad Pro" w:cs="Times New Roman"/>
          <w:sz w:val="26"/>
          <w:szCs w:val="26"/>
        </w:rPr>
      </w:pPr>
      <w:r w:rsidRPr="00C04ABD">
        <w:rPr>
          <w:rFonts w:ascii="Myriad Pro" w:eastAsia="Calibri" w:hAnsi="Myriad Pro" w:cs="Times New Roman"/>
          <w:noProof/>
          <w:sz w:val="26"/>
          <w:szCs w:val="26"/>
          <w:lang w:eastAsia="ru-RU"/>
        </w:rPr>
        <w:drawing>
          <wp:inline distT="0" distB="0" distL="0" distR="0" wp14:anchorId="62F1C231" wp14:editId="79A92053">
            <wp:extent cx="2088515" cy="895350"/>
            <wp:effectExtent l="0" t="0" r="6985" b="0"/>
            <wp:docPr id="469" name="Рисунок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088515" cy="895350"/>
                    </a:xfrm>
                    <a:prstGeom prst="rect">
                      <a:avLst/>
                    </a:prstGeom>
                    <a:noFill/>
                    <a:ln>
                      <a:noFill/>
                    </a:ln>
                  </pic:spPr>
                </pic:pic>
              </a:graphicData>
            </a:graphic>
          </wp:inline>
        </w:drawing>
      </w:r>
      <w:r w:rsidRPr="00C04ABD">
        <w:rPr>
          <w:rFonts w:ascii="Myriad Pro" w:eastAsia="Calibri" w:hAnsi="Myriad Pro" w:cs="Times New Roman"/>
          <w:sz w:val="26"/>
          <w:szCs w:val="26"/>
        </w:rPr>
        <w:t>(4),</w:t>
      </w:r>
    </w:p>
    <w:p w14:paraId="10D58318" w14:textId="77777777" w:rsidR="00F531CF" w:rsidRPr="00C04ABD" w:rsidRDefault="00F531CF"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где:</w:t>
      </w:r>
    </w:p>
    <w:p w14:paraId="6A12D721" w14:textId="6BFB8CB2" w:rsidR="00F531CF" w:rsidRPr="00C04ABD" w:rsidRDefault="00F531CF"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noProof/>
          <w:sz w:val="26"/>
          <w:szCs w:val="26"/>
          <w:lang w:eastAsia="ru-RU"/>
        </w:rPr>
        <w:drawing>
          <wp:inline distT="0" distB="0" distL="0" distR="0" wp14:anchorId="6FB3ADCF" wp14:editId="37757D10">
            <wp:extent cx="317500" cy="279400"/>
            <wp:effectExtent l="0" t="0" r="6350" b="6350"/>
            <wp:docPr id="468" name="Рисунок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317500" cy="279400"/>
                    </a:xfrm>
                    <a:prstGeom prst="rect">
                      <a:avLst/>
                    </a:prstGeom>
                    <a:noFill/>
                    <a:ln>
                      <a:noFill/>
                    </a:ln>
                  </pic:spPr>
                </pic:pic>
              </a:graphicData>
            </a:graphic>
          </wp:inline>
        </w:drawing>
      </w:r>
      <w:r w:rsidRPr="00C04ABD">
        <w:rPr>
          <w:rFonts w:ascii="Myriad Pro" w:eastAsia="Calibri" w:hAnsi="Myriad Pro" w:cs="Times New Roman"/>
          <w:sz w:val="26"/>
          <w:szCs w:val="26"/>
        </w:rPr>
        <w:t xml:space="preserve">, </w:t>
      </w:r>
      <w:r w:rsidRPr="00C04ABD">
        <w:rPr>
          <w:rFonts w:ascii="Myriad Pro" w:eastAsia="Calibri" w:hAnsi="Myriad Pro" w:cs="Times New Roman"/>
          <w:noProof/>
          <w:sz w:val="26"/>
          <w:szCs w:val="26"/>
          <w:lang w:eastAsia="ru-RU"/>
        </w:rPr>
        <w:drawing>
          <wp:inline distT="0" distB="0" distL="0" distR="0" wp14:anchorId="5B1FE080" wp14:editId="421B2DFF">
            <wp:extent cx="337185" cy="279400"/>
            <wp:effectExtent l="0" t="0" r="5715" b="6350"/>
            <wp:docPr id="467" name="Рисунок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337185" cy="279400"/>
                    </a:xfrm>
                    <a:prstGeom prst="rect">
                      <a:avLst/>
                    </a:prstGeom>
                    <a:noFill/>
                    <a:ln>
                      <a:noFill/>
                    </a:ln>
                  </pic:spPr>
                </pic:pic>
              </a:graphicData>
            </a:graphic>
          </wp:inline>
        </w:drawing>
      </w:r>
      <w:r w:rsidRPr="00C04ABD">
        <w:rPr>
          <w:rFonts w:ascii="Myriad Pro" w:eastAsia="Calibri" w:hAnsi="Myriad Pro" w:cs="Times New Roman"/>
          <w:sz w:val="26"/>
          <w:szCs w:val="26"/>
        </w:rPr>
        <w:t xml:space="preserve">, </w:t>
      </w:r>
      <w:r w:rsidRPr="00C04ABD">
        <w:rPr>
          <w:rFonts w:ascii="Myriad Pro" w:eastAsia="Calibri" w:hAnsi="Myriad Pro" w:cs="Times New Roman"/>
          <w:noProof/>
          <w:sz w:val="26"/>
          <w:szCs w:val="26"/>
          <w:lang w:eastAsia="ru-RU"/>
        </w:rPr>
        <w:drawing>
          <wp:inline distT="0" distB="0" distL="0" distR="0" wp14:anchorId="70F4638A" wp14:editId="105EE778">
            <wp:extent cx="404495" cy="279400"/>
            <wp:effectExtent l="0" t="0" r="0" b="6350"/>
            <wp:docPr id="466" name="Рисунок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404495" cy="279400"/>
                    </a:xfrm>
                    <a:prstGeom prst="rect">
                      <a:avLst/>
                    </a:prstGeom>
                    <a:noFill/>
                    <a:ln>
                      <a:noFill/>
                    </a:ln>
                  </pic:spPr>
                </pic:pic>
              </a:graphicData>
            </a:graphic>
          </wp:inline>
        </w:drawing>
      </w:r>
      <w:r w:rsidRPr="00C04ABD">
        <w:rPr>
          <w:rFonts w:ascii="Myriad Pro" w:eastAsia="Calibri" w:hAnsi="Myriad Pro" w:cs="Times New Roman"/>
          <w:sz w:val="26"/>
          <w:szCs w:val="26"/>
        </w:rPr>
        <w:t xml:space="preserve">, </w:t>
      </w:r>
      <w:r w:rsidRPr="00C04ABD">
        <w:rPr>
          <w:rFonts w:ascii="Myriad Pro" w:eastAsia="Calibri" w:hAnsi="Myriad Pro" w:cs="Times New Roman"/>
          <w:noProof/>
          <w:sz w:val="26"/>
          <w:szCs w:val="26"/>
          <w:lang w:eastAsia="ru-RU"/>
        </w:rPr>
        <w:drawing>
          <wp:inline distT="0" distB="0" distL="0" distR="0" wp14:anchorId="6A9BAB8D" wp14:editId="24B39E0F">
            <wp:extent cx="404495" cy="279400"/>
            <wp:effectExtent l="0" t="0" r="0" b="6350"/>
            <wp:docPr id="465" name="Рисунок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404495" cy="279400"/>
                    </a:xfrm>
                    <a:prstGeom prst="rect">
                      <a:avLst/>
                    </a:prstGeom>
                    <a:noFill/>
                    <a:ln>
                      <a:noFill/>
                    </a:ln>
                  </pic:spPr>
                </pic:pic>
              </a:graphicData>
            </a:graphic>
          </wp:inline>
        </w:drawing>
      </w:r>
      <w:r w:rsidRPr="00C04ABD">
        <w:rPr>
          <w:rFonts w:ascii="Myriad Pro" w:eastAsia="Calibri" w:hAnsi="Myriad Pro" w:cs="Times New Roman"/>
          <w:sz w:val="26"/>
          <w:szCs w:val="26"/>
        </w:rPr>
        <w:t xml:space="preserve">, </w:t>
      </w:r>
      <w:r w:rsidRPr="00C04ABD">
        <w:rPr>
          <w:rFonts w:ascii="Myriad Pro" w:eastAsia="Calibri" w:hAnsi="Myriad Pro" w:cs="Times New Roman"/>
          <w:noProof/>
          <w:sz w:val="26"/>
          <w:szCs w:val="26"/>
          <w:lang w:eastAsia="ru-RU"/>
        </w:rPr>
        <w:drawing>
          <wp:inline distT="0" distB="0" distL="0" distR="0" wp14:anchorId="71113B54" wp14:editId="7B931E22">
            <wp:extent cx="414020" cy="279400"/>
            <wp:effectExtent l="0" t="0" r="5080" b="6350"/>
            <wp:docPr id="464" name="Рисунок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414020" cy="279400"/>
                    </a:xfrm>
                    <a:prstGeom prst="rect">
                      <a:avLst/>
                    </a:prstGeom>
                    <a:noFill/>
                    <a:ln>
                      <a:noFill/>
                    </a:ln>
                  </pic:spPr>
                </pic:pic>
              </a:graphicData>
            </a:graphic>
          </wp:inline>
        </w:drawing>
      </w:r>
      <w:r w:rsidRPr="00C04ABD">
        <w:rPr>
          <w:rFonts w:ascii="Myriad Pro" w:eastAsia="Calibri" w:hAnsi="Myriad Pro" w:cs="Times New Roman"/>
          <w:sz w:val="26"/>
          <w:szCs w:val="26"/>
        </w:rPr>
        <w:t xml:space="preserve">, </w:t>
      </w:r>
      <w:r w:rsidRPr="00C04ABD">
        <w:rPr>
          <w:rFonts w:ascii="Myriad Pro" w:eastAsia="Calibri" w:hAnsi="Myriad Pro" w:cs="Times New Roman"/>
          <w:noProof/>
          <w:sz w:val="26"/>
          <w:szCs w:val="26"/>
          <w:lang w:eastAsia="ru-RU"/>
        </w:rPr>
        <w:drawing>
          <wp:inline distT="0" distB="0" distL="0" distR="0" wp14:anchorId="3D1DF010" wp14:editId="27972E52">
            <wp:extent cx="462280" cy="279400"/>
            <wp:effectExtent l="0" t="0" r="0" b="6350"/>
            <wp:docPr id="458" name="Рисунок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462280" cy="279400"/>
                    </a:xfrm>
                    <a:prstGeom prst="rect">
                      <a:avLst/>
                    </a:prstGeom>
                    <a:noFill/>
                    <a:ln>
                      <a:noFill/>
                    </a:ln>
                  </pic:spPr>
                </pic:pic>
              </a:graphicData>
            </a:graphic>
          </wp:inline>
        </w:drawing>
      </w:r>
      <w:r w:rsidRPr="00C04ABD">
        <w:rPr>
          <w:rFonts w:ascii="Myriad Pro" w:eastAsia="Calibri" w:hAnsi="Myriad Pro" w:cs="Times New Roman"/>
          <w:sz w:val="26"/>
          <w:szCs w:val="26"/>
        </w:rPr>
        <w:t xml:space="preserve"> - коэффициенты нормализации (преобразование в значения в диапазоне от 0 до 1) ТСО n для года i, определяемые в соответствии с </w:t>
      </w:r>
      <w:hyperlink w:anchor="Par482" w:tooltip="КОЭФФИЦИЕНТЫ НОРМАЛИЗАЦИИ &lt;1&gt;" w:history="1">
        <w:r w:rsidRPr="00C04ABD">
          <w:rPr>
            <w:rStyle w:val="ab"/>
            <w:rFonts w:ascii="Myriad Pro" w:eastAsia="Calibri" w:hAnsi="Myriad Pro" w:cs="Times New Roman"/>
            <w:color w:val="auto"/>
            <w:sz w:val="26"/>
            <w:szCs w:val="26"/>
            <w:u w:val="none"/>
          </w:rPr>
          <w:t>приложением N 2</w:t>
        </w:r>
      </w:hyperlink>
      <w:r w:rsidRPr="00C04ABD">
        <w:rPr>
          <w:rFonts w:ascii="Myriad Pro" w:eastAsia="Calibri" w:hAnsi="Myriad Pro" w:cs="Times New Roman"/>
          <w:sz w:val="26"/>
          <w:szCs w:val="26"/>
        </w:rPr>
        <w:t xml:space="preserve"> к Методическим указаниям</w:t>
      </w:r>
      <w:r w:rsidR="00854A22" w:rsidRPr="00C04ABD">
        <w:rPr>
          <w:rFonts w:ascii="Myriad Pro" w:eastAsia="Calibri" w:hAnsi="Myriad Pro" w:cs="Times New Roman"/>
          <w:sz w:val="26"/>
          <w:szCs w:val="26"/>
        </w:rPr>
        <w:t xml:space="preserve"> № 421-э</w:t>
      </w:r>
      <w:r w:rsidRPr="00C04ABD">
        <w:rPr>
          <w:rFonts w:ascii="Myriad Pro" w:eastAsia="Calibri" w:hAnsi="Myriad Pro" w:cs="Times New Roman"/>
          <w:sz w:val="26"/>
          <w:szCs w:val="26"/>
        </w:rPr>
        <w:t>.</w:t>
      </w:r>
    </w:p>
    <w:p w14:paraId="326A40BC" w14:textId="6250F5C5" w:rsidR="00F531CF" w:rsidRPr="00C04ABD" w:rsidRDefault="00F531CF"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noProof/>
          <w:sz w:val="26"/>
          <w:szCs w:val="26"/>
          <w:lang w:eastAsia="ru-RU"/>
        </w:rPr>
        <w:drawing>
          <wp:inline distT="0" distB="0" distL="0" distR="0" wp14:anchorId="408F7B0A" wp14:editId="4FF7E44B">
            <wp:extent cx="307975" cy="298450"/>
            <wp:effectExtent l="0" t="0" r="0" b="6350"/>
            <wp:docPr id="457" name="Рисунок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307975" cy="298450"/>
                    </a:xfrm>
                    <a:prstGeom prst="rect">
                      <a:avLst/>
                    </a:prstGeom>
                    <a:noFill/>
                    <a:ln>
                      <a:noFill/>
                    </a:ln>
                  </pic:spPr>
                </pic:pic>
              </a:graphicData>
            </a:graphic>
          </wp:inline>
        </w:drawing>
      </w:r>
      <w:r w:rsidRPr="00C04ABD">
        <w:rPr>
          <w:rFonts w:ascii="Myriad Pro" w:eastAsia="Calibri" w:hAnsi="Myriad Pro" w:cs="Times New Roman"/>
          <w:sz w:val="26"/>
          <w:szCs w:val="26"/>
        </w:rPr>
        <w:t xml:space="preserve">, </w:t>
      </w:r>
      <w:r w:rsidRPr="00C04ABD">
        <w:rPr>
          <w:rFonts w:ascii="Myriad Pro" w:eastAsia="Calibri" w:hAnsi="Myriad Pro" w:cs="Times New Roman"/>
          <w:noProof/>
          <w:sz w:val="26"/>
          <w:szCs w:val="26"/>
          <w:lang w:eastAsia="ru-RU"/>
        </w:rPr>
        <w:drawing>
          <wp:inline distT="0" distB="0" distL="0" distR="0" wp14:anchorId="5B7017AE" wp14:editId="62CD90DF">
            <wp:extent cx="365760" cy="298450"/>
            <wp:effectExtent l="0" t="0" r="0" b="6350"/>
            <wp:docPr id="456" name="Рисунок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365760" cy="298450"/>
                    </a:xfrm>
                    <a:prstGeom prst="rect">
                      <a:avLst/>
                    </a:prstGeom>
                    <a:noFill/>
                    <a:ln>
                      <a:noFill/>
                    </a:ln>
                  </pic:spPr>
                </pic:pic>
              </a:graphicData>
            </a:graphic>
          </wp:inline>
        </w:drawing>
      </w:r>
      <w:r w:rsidRPr="00C04ABD">
        <w:rPr>
          <w:rFonts w:ascii="Myriad Pro" w:eastAsia="Calibri" w:hAnsi="Myriad Pro" w:cs="Times New Roman"/>
          <w:sz w:val="26"/>
          <w:szCs w:val="26"/>
        </w:rPr>
        <w:t xml:space="preserve">, </w:t>
      </w:r>
      <w:r w:rsidRPr="00C04ABD">
        <w:rPr>
          <w:rFonts w:ascii="Myriad Pro" w:eastAsia="Calibri" w:hAnsi="Myriad Pro" w:cs="Times New Roman"/>
          <w:noProof/>
          <w:sz w:val="26"/>
          <w:szCs w:val="26"/>
          <w:lang w:eastAsia="ru-RU"/>
        </w:rPr>
        <w:drawing>
          <wp:inline distT="0" distB="0" distL="0" distR="0" wp14:anchorId="7649615F" wp14:editId="0D5A6C27">
            <wp:extent cx="317500" cy="298450"/>
            <wp:effectExtent l="0" t="0" r="6350" b="6350"/>
            <wp:docPr id="455" name="Рисунок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317500" cy="298450"/>
                    </a:xfrm>
                    <a:prstGeom prst="rect">
                      <a:avLst/>
                    </a:prstGeom>
                    <a:noFill/>
                    <a:ln>
                      <a:noFill/>
                    </a:ln>
                  </pic:spPr>
                </pic:pic>
              </a:graphicData>
            </a:graphic>
          </wp:inline>
        </w:drawing>
      </w:r>
      <w:r w:rsidRPr="00C04ABD">
        <w:rPr>
          <w:rFonts w:ascii="Myriad Pro" w:eastAsia="Calibri" w:hAnsi="Myriad Pro" w:cs="Times New Roman"/>
          <w:sz w:val="26"/>
          <w:szCs w:val="26"/>
        </w:rPr>
        <w:t xml:space="preserve"> - значения приведенных удельных показателей ТСО n в году i, характеризующие отношение фактических операционных (подконтрольных) расходов к фактическим показателям по протяженности линий электропередач, трансформаторной мощности электрооборудования и числу точек присоединения потребителей услуг к электрической сети.</w:t>
      </w:r>
    </w:p>
    <w:p w14:paraId="31424AEF" w14:textId="0B436BA1" w:rsidR="00F531CF" w:rsidRPr="00C04ABD" w:rsidRDefault="00F531CF" w:rsidP="004D5A32">
      <w:pPr>
        <w:tabs>
          <w:tab w:val="left" w:pos="1134"/>
        </w:tabs>
        <w:spacing w:after="0" w:line="360" w:lineRule="auto"/>
        <w:ind w:firstLine="567"/>
        <w:contextualSpacing/>
        <w:jc w:val="center"/>
        <w:rPr>
          <w:rFonts w:ascii="Myriad Pro" w:eastAsia="Calibri" w:hAnsi="Myriad Pro" w:cs="Times New Roman"/>
          <w:sz w:val="26"/>
          <w:szCs w:val="26"/>
        </w:rPr>
      </w:pPr>
      <w:r w:rsidRPr="00C04ABD">
        <w:rPr>
          <w:rFonts w:ascii="Myriad Pro" w:eastAsia="Calibri" w:hAnsi="Myriad Pro" w:cs="Times New Roman"/>
          <w:noProof/>
          <w:sz w:val="26"/>
          <w:szCs w:val="26"/>
          <w:lang w:eastAsia="ru-RU"/>
        </w:rPr>
        <w:drawing>
          <wp:inline distT="0" distB="0" distL="0" distR="0" wp14:anchorId="782980AE" wp14:editId="5202119F">
            <wp:extent cx="1771015" cy="548640"/>
            <wp:effectExtent l="0" t="0" r="635" b="3810"/>
            <wp:docPr id="454" name="Рисунок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771015" cy="548640"/>
                    </a:xfrm>
                    <a:prstGeom prst="rect">
                      <a:avLst/>
                    </a:prstGeom>
                    <a:noFill/>
                    <a:ln>
                      <a:noFill/>
                    </a:ln>
                  </pic:spPr>
                </pic:pic>
              </a:graphicData>
            </a:graphic>
          </wp:inline>
        </w:drawing>
      </w:r>
      <w:r w:rsidRPr="00C04ABD">
        <w:rPr>
          <w:rFonts w:ascii="Myriad Pro" w:eastAsia="Calibri" w:hAnsi="Myriad Pro" w:cs="Times New Roman"/>
          <w:sz w:val="26"/>
          <w:szCs w:val="26"/>
        </w:rPr>
        <w:t>(5)</w:t>
      </w:r>
    </w:p>
    <w:p w14:paraId="5741761C" w14:textId="77777777" w:rsidR="00F531CF" w:rsidRPr="00C04ABD" w:rsidRDefault="00F531CF" w:rsidP="00A31747">
      <w:pPr>
        <w:tabs>
          <w:tab w:val="left" w:pos="1134"/>
        </w:tabs>
        <w:spacing w:after="0" w:line="360" w:lineRule="auto"/>
        <w:ind w:firstLine="567"/>
        <w:contextualSpacing/>
        <w:jc w:val="both"/>
        <w:rPr>
          <w:rFonts w:ascii="Myriad Pro" w:eastAsia="Calibri" w:hAnsi="Myriad Pro" w:cs="Times New Roman"/>
          <w:sz w:val="26"/>
          <w:szCs w:val="26"/>
        </w:rPr>
      </w:pPr>
    </w:p>
    <w:p w14:paraId="055CEE5C" w14:textId="51FD3AED" w:rsidR="00F531CF" w:rsidRPr="00C04ABD" w:rsidRDefault="00F531CF" w:rsidP="004D5A32">
      <w:pPr>
        <w:tabs>
          <w:tab w:val="left" w:pos="1134"/>
        </w:tabs>
        <w:spacing w:after="0" w:line="360" w:lineRule="auto"/>
        <w:ind w:firstLine="567"/>
        <w:contextualSpacing/>
        <w:jc w:val="center"/>
        <w:rPr>
          <w:rFonts w:ascii="Myriad Pro" w:eastAsia="Calibri" w:hAnsi="Myriad Pro" w:cs="Times New Roman"/>
          <w:sz w:val="26"/>
          <w:szCs w:val="26"/>
        </w:rPr>
      </w:pPr>
      <w:r w:rsidRPr="00C04ABD">
        <w:rPr>
          <w:rFonts w:ascii="Myriad Pro" w:eastAsia="Calibri" w:hAnsi="Myriad Pro" w:cs="Times New Roman"/>
          <w:noProof/>
          <w:sz w:val="26"/>
          <w:szCs w:val="26"/>
          <w:lang w:eastAsia="ru-RU"/>
        </w:rPr>
        <w:drawing>
          <wp:inline distT="0" distB="0" distL="0" distR="0" wp14:anchorId="6B3A871F" wp14:editId="6E440218">
            <wp:extent cx="1780540" cy="548640"/>
            <wp:effectExtent l="0" t="0" r="0" b="3810"/>
            <wp:docPr id="452" name="Рисунок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1780540" cy="548640"/>
                    </a:xfrm>
                    <a:prstGeom prst="rect">
                      <a:avLst/>
                    </a:prstGeom>
                    <a:noFill/>
                    <a:ln>
                      <a:noFill/>
                    </a:ln>
                  </pic:spPr>
                </pic:pic>
              </a:graphicData>
            </a:graphic>
          </wp:inline>
        </w:drawing>
      </w:r>
      <w:r w:rsidRPr="00C04ABD">
        <w:rPr>
          <w:rFonts w:ascii="Myriad Pro" w:eastAsia="Calibri" w:hAnsi="Myriad Pro" w:cs="Times New Roman"/>
          <w:sz w:val="26"/>
          <w:szCs w:val="26"/>
        </w:rPr>
        <w:t>(6)</w:t>
      </w:r>
    </w:p>
    <w:p w14:paraId="5930FF42" w14:textId="77777777" w:rsidR="00F531CF" w:rsidRPr="00C04ABD" w:rsidRDefault="00F531CF" w:rsidP="00A31747">
      <w:pPr>
        <w:tabs>
          <w:tab w:val="left" w:pos="1134"/>
        </w:tabs>
        <w:spacing w:after="0" w:line="360" w:lineRule="auto"/>
        <w:ind w:firstLine="567"/>
        <w:contextualSpacing/>
        <w:jc w:val="both"/>
        <w:rPr>
          <w:rFonts w:ascii="Myriad Pro" w:eastAsia="Calibri" w:hAnsi="Myriad Pro" w:cs="Times New Roman"/>
          <w:sz w:val="26"/>
          <w:szCs w:val="26"/>
        </w:rPr>
      </w:pPr>
    </w:p>
    <w:p w14:paraId="47BD7DE3" w14:textId="0BA68FB6" w:rsidR="00F531CF" w:rsidRPr="00C04ABD" w:rsidRDefault="00F531CF" w:rsidP="004D5A32">
      <w:pPr>
        <w:tabs>
          <w:tab w:val="left" w:pos="1134"/>
        </w:tabs>
        <w:spacing w:after="0" w:line="360" w:lineRule="auto"/>
        <w:ind w:firstLine="567"/>
        <w:contextualSpacing/>
        <w:jc w:val="center"/>
        <w:rPr>
          <w:rFonts w:ascii="Myriad Pro" w:eastAsia="Calibri" w:hAnsi="Myriad Pro" w:cs="Times New Roman"/>
          <w:sz w:val="26"/>
          <w:szCs w:val="26"/>
        </w:rPr>
      </w:pPr>
      <w:r w:rsidRPr="00C04ABD">
        <w:rPr>
          <w:rFonts w:ascii="Myriad Pro" w:eastAsia="Calibri" w:hAnsi="Myriad Pro" w:cs="Times New Roman"/>
          <w:noProof/>
          <w:sz w:val="26"/>
          <w:szCs w:val="26"/>
          <w:lang w:eastAsia="ru-RU"/>
        </w:rPr>
        <w:drawing>
          <wp:inline distT="0" distB="0" distL="0" distR="0" wp14:anchorId="3F5EB077" wp14:editId="62D1F7C6">
            <wp:extent cx="1828800" cy="548640"/>
            <wp:effectExtent l="0" t="0" r="0" b="3810"/>
            <wp:docPr id="450" name="Рисунок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1828800" cy="548640"/>
                    </a:xfrm>
                    <a:prstGeom prst="rect">
                      <a:avLst/>
                    </a:prstGeom>
                    <a:noFill/>
                    <a:ln>
                      <a:noFill/>
                    </a:ln>
                  </pic:spPr>
                </pic:pic>
              </a:graphicData>
            </a:graphic>
          </wp:inline>
        </w:drawing>
      </w:r>
      <w:r w:rsidRPr="00C04ABD">
        <w:rPr>
          <w:rFonts w:ascii="Myriad Pro" w:eastAsia="Calibri" w:hAnsi="Myriad Pro" w:cs="Times New Roman"/>
          <w:sz w:val="26"/>
          <w:szCs w:val="26"/>
        </w:rPr>
        <w:t>(7),</w:t>
      </w:r>
    </w:p>
    <w:p w14:paraId="6DA75B8C" w14:textId="77777777" w:rsidR="00F531CF" w:rsidRPr="00C04ABD" w:rsidRDefault="00F531CF"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где:</w:t>
      </w:r>
    </w:p>
    <w:p w14:paraId="486FF65B" w14:textId="47E4FB34" w:rsidR="00F531CF" w:rsidRPr="00C04ABD" w:rsidRDefault="00F531CF"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noProof/>
          <w:sz w:val="26"/>
          <w:szCs w:val="26"/>
          <w:lang w:eastAsia="ru-RU"/>
        </w:rPr>
        <w:drawing>
          <wp:inline distT="0" distB="0" distL="0" distR="0" wp14:anchorId="2EA496FB" wp14:editId="105CD129">
            <wp:extent cx="606425" cy="298450"/>
            <wp:effectExtent l="0" t="0" r="3175" b="6350"/>
            <wp:docPr id="449" name="Рисунок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606425" cy="298450"/>
                    </a:xfrm>
                    <a:prstGeom prst="rect">
                      <a:avLst/>
                    </a:prstGeom>
                    <a:noFill/>
                    <a:ln>
                      <a:noFill/>
                    </a:ln>
                  </pic:spPr>
                </pic:pic>
              </a:graphicData>
            </a:graphic>
          </wp:inline>
        </w:drawing>
      </w:r>
      <w:r w:rsidRPr="00C04ABD">
        <w:rPr>
          <w:rFonts w:ascii="Myriad Pro" w:eastAsia="Calibri" w:hAnsi="Myriad Pro" w:cs="Times New Roman"/>
          <w:sz w:val="26"/>
          <w:szCs w:val="26"/>
        </w:rPr>
        <w:t xml:space="preserve"> - значение фактических операционных, подконтрольных расходов (далее - значение фактических ОПР), представленных ТСО n за год i, в соответствии с перечнем статей затрат, определенных в </w:t>
      </w:r>
      <w:hyperlink w:anchor="Par169" w:tooltip="       Данные о результатах регулирования и фактических результатах" w:history="1">
        <w:r w:rsidRPr="00C04ABD">
          <w:rPr>
            <w:rStyle w:val="ab"/>
            <w:rFonts w:ascii="Myriad Pro" w:eastAsia="Calibri" w:hAnsi="Myriad Pro" w:cs="Times New Roman"/>
            <w:color w:val="auto"/>
            <w:sz w:val="26"/>
            <w:szCs w:val="26"/>
            <w:u w:val="none"/>
          </w:rPr>
          <w:t>приложении N 1</w:t>
        </w:r>
      </w:hyperlink>
      <w:r w:rsidRPr="00C04ABD">
        <w:rPr>
          <w:rFonts w:ascii="Myriad Pro" w:eastAsia="Calibri" w:hAnsi="Myriad Pro" w:cs="Times New Roman"/>
          <w:sz w:val="26"/>
          <w:szCs w:val="26"/>
        </w:rPr>
        <w:t xml:space="preserve"> к Методическим указаниям № 421-э, и принятых органом регулирования с учетом норм п. 7 Основ ценообразования;</w:t>
      </w:r>
    </w:p>
    <w:p w14:paraId="0A4ADB80" w14:textId="391E5D34" w:rsidR="00F531CF" w:rsidRPr="00C04ABD" w:rsidRDefault="00F531CF"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noProof/>
          <w:sz w:val="26"/>
          <w:szCs w:val="26"/>
          <w:lang w:eastAsia="ru-RU"/>
        </w:rPr>
        <w:lastRenderedPageBreak/>
        <w:drawing>
          <wp:inline distT="0" distB="0" distL="0" distR="0" wp14:anchorId="7B40D52D" wp14:editId="42963518">
            <wp:extent cx="250190" cy="298450"/>
            <wp:effectExtent l="0" t="0" r="0" b="6350"/>
            <wp:docPr id="448" name="Рисунок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250190" cy="298450"/>
                    </a:xfrm>
                    <a:prstGeom prst="rect">
                      <a:avLst/>
                    </a:prstGeom>
                    <a:noFill/>
                    <a:ln>
                      <a:noFill/>
                    </a:ln>
                  </pic:spPr>
                </pic:pic>
              </a:graphicData>
            </a:graphic>
          </wp:inline>
        </w:drawing>
      </w:r>
      <w:r w:rsidRPr="00C04ABD">
        <w:rPr>
          <w:rFonts w:ascii="Myriad Pro" w:eastAsia="Calibri" w:hAnsi="Myriad Pro" w:cs="Times New Roman"/>
          <w:sz w:val="26"/>
          <w:szCs w:val="26"/>
        </w:rPr>
        <w:t xml:space="preserve"> - коэффициент приведения затрат по уровню цен для ТСО n в году i, в соответствии с </w:t>
      </w:r>
      <w:hyperlink w:anchor="Par593" w:tooltip="СТОИМОСТЬ" w:history="1">
        <w:r w:rsidRPr="00C04ABD">
          <w:rPr>
            <w:rStyle w:val="ab"/>
            <w:rFonts w:ascii="Myriad Pro" w:eastAsia="Calibri" w:hAnsi="Myriad Pro" w:cs="Times New Roman"/>
            <w:color w:val="auto"/>
            <w:sz w:val="26"/>
            <w:szCs w:val="26"/>
            <w:u w:val="none"/>
          </w:rPr>
          <w:t>приложением N 4</w:t>
        </w:r>
      </w:hyperlink>
      <w:r w:rsidRPr="00C04ABD">
        <w:rPr>
          <w:rFonts w:ascii="Myriad Pro" w:eastAsia="Calibri" w:hAnsi="Myriad Pro" w:cs="Times New Roman"/>
          <w:sz w:val="26"/>
          <w:szCs w:val="26"/>
        </w:rPr>
        <w:t xml:space="preserve"> к Методическим указаниям</w:t>
      </w:r>
      <w:r w:rsidR="00854A22" w:rsidRPr="00C04ABD">
        <w:rPr>
          <w:rFonts w:ascii="Myriad Pro" w:eastAsia="Calibri" w:hAnsi="Myriad Pro" w:cs="Times New Roman"/>
          <w:sz w:val="26"/>
          <w:szCs w:val="26"/>
        </w:rPr>
        <w:t xml:space="preserve"> № 421-э</w:t>
      </w:r>
      <w:r w:rsidRPr="00C04ABD">
        <w:rPr>
          <w:rFonts w:ascii="Myriad Pro" w:eastAsia="Calibri" w:hAnsi="Myriad Pro" w:cs="Times New Roman"/>
          <w:sz w:val="26"/>
          <w:szCs w:val="26"/>
        </w:rPr>
        <w:t>.</w:t>
      </w:r>
    </w:p>
    <w:p w14:paraId="70038895" w14:textId="62E53119" w:rsidR="00F531CF" w:rsidRPr="00C04ABD" w:rsidRDefault="00F531CF"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noProof/>
          <w:sz w:val="26"/>
          <w:szCs w:val="26"/>
          <w:lang w:eastAsia="ru-RU"/>
        </w:rPr>
        <w:drawing>
          <wp:inline distT="0" distB="0" distL="0" distR="0" wp14:anchorId="013F0FD2" wp14:editId="06D65C7E">
            <wp:extent cx="231140" cy="23114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231140" cy="231140"/>
                    </a:xfrm>
                    <a:prstGeom prst="rect">
                      <a:avLst/>
                    </a:prstGeom>
                    <a:noFill/>
                    <a:ln>
                      <a:noFill/>
                    </a:ln>
                  </pic:spPr>
                </pic:pic>
              </a:graphicData>
            </a:graphic>
          </wp:inline>
        </w:drawing>
      </w:r>
      <w:r w:rsidRPr="00C04ABD">
        <w:rPr>
          <w:rFonts w:ascii="Myriad Pro" w:eastAsia="Calibri" w:hAnsi="Myriad Pro" w:cs="Times New Roman"/>
          <w:sz w:val="26"/>
          <w:szCs w:val="26"/>
        </w:rPr>
        <w:t xml:space="preserve"> - коэффициент приведения затрат по климатическим условиям, рассчитываемый как:</w:t>
      </w:r>
    </w:p>
    <w:p w14:paraId="529BB3CA" w14:textId="62D033BE" w:rsidR="00F531CF" w:rsidRPr="00C04ABD" w:rsidRDefault="00F531CF" w:rsidP="004D5A32">
      <w:pPr>
        <w:tabs>
          <w:tab w:val="left" w:pos="1134"/>
        </w:tabs>
        <w:spacing w:after="0" w:line="360" w:lineRule="auto"/>
        <w:ind w:firstLine="567"/>
        <w:contextualSpacing/>
        <w:jc w:val="center"/>
        <w:rPr>
          <w:rFonts w:ascii="Myriad Pro" w:eastAsia="Calibri" w:hAnsi="Myriad Pro" w:cs="Times New Roman"/>
          <w:sz w:val="26"/>
          <w:szCs w:val="26"/>
        </w:rPr>
      </w:pPr>
      <w:r w:rsidRPr="00C04ABD">
        <w:rPr>
          <w:rFonts w:ascii="Myriad Pro" w:eastAsia="Calibri" w:hAnsi="Myriad Pro" w:cs="Times New Roman"/>
          <w:noProof/>
          <w:sz w:val="26"/>
          <w:szCs w:val="26"/>
          <w:lang w:eastAsia="ru-RU"/>
        </w:rPr>
        <w:drawing>
          <wp:inline distT="0" distB="0" distL="0" distR="0" wp14:anchorId="6B4E9120" wp14:editId="43E8068B">
            <wp:extent cx="1308735" cy="509905"/>
            <wp:effectExtent l="0" t="0" r="5715" b="444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308735" cy="509905"/>
                    </a:xfrm>
                    <a:prstGeom prst="rect">
                      <a:avLst/>
                    </a:prstGeom>
                    <a:noFill/>
                    <a:ln>
                      <a:noFill/>
                    </a:ln>
                  </pic:spPr>
                </pic:pic>
              </a:graphicData>
            </a:graphic>
          </wp:inline>
        </w:drawing>
      </w:r>
      <w:r w:rsidRPr="00C04ABD">
        <w:rPr>
          <w:rFonts w:ascii="Myriad Pro" w:eastAsia="Calibri" w:hAnsi="Myriad Pro" w:cs="Times New Roman"/>
          <w:sz w:val="26"/>
          <w:szCs w:val="26"/>
        </w:rPr>
        <w:t>(8),</w:t>
      </w:r>
    </w:p>
    <w:p w14:paraId="3D38E4F3" w14:textId="77777777" w:rsidR="00F531CF" w:rsidRPr="00C04ABD" w:rsidRDefault="00F531CF"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где:</w:t>
      </w:r>
    </w:p>
    <w:p w14:paraId="4AB40409" w14:textId="271920C6" w:rsidR="00F531CF" w:rsidRPr="00C04ABD" w:rsidRDefault="00F531CF"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noProof/>
          <w:sz w:val="26"/>
          <w:szCs w:val="26"/>
          <w:lang w:eastAsia="ru-RU"/>
        </w:rPr>
        <w:drawing>
          <wp:inline distT="0" distB="0" distL="0" distR="0" wp14:anchorId="40226E6A" wp14:editId="6127DDF6">
            <wp:extent cx="231140" cy="298450"/>
            <wp:effectExtent l="0" t="0" r="0" b="635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231140" cy="298450"/>
                    </a:xfrm>
                    <a:prstGeom prst="rect">
                      <a:avLst/>
                    </a:prstGeom>
                    <a:noFill/>
                    <a:ln>
                      <a:noFill/>
                    </a:ln>
                  </pic:spPr>
                </pic:pic>
              </a:graphicData>
            </a:graphic>
          </wp:inline>
        </w:drawing>
      </w:r>
      <w:r w:rsidRPr="00C04ABD">
        <w:rPr>
          <w:rFonts w:ascii="Myriad Pro" w:eastAsia="Calibri" w:hAnsi="Myriad Pro" w:cs="Times New Roman"/>
          <w:sz w:val="26"/>
          <w:szCs w:val="26"/>
        </w:rPr>
        <w:t xml:space="preserve">, </w:t>
      </w:r>
      <w:r w:rsidRPr="00C04ABD">
        <w:rPr>
          <w:rFonts w:ascii="Myriad Pro" w:eastAsia="Calibri" w:hAnsi="Myriad Pro" w:cs="Times New Roman"/>
          <w:noProof/>
          <w:sz w:val="26"/>
          <w:szCs w:val="26"/>
          <w:lang w:eastAsia="ru-RU"/>
        </w:rPr>
        <w:drawing>
          <wp:inline distT="0" distB="0" distL="0" distR="0" wp14:anchorId="03F2AC35" wp14:editId="2677D5CE">
            <wp:extent cx="231140" cy="298450"/>
            <wp:effectExtent l="0" t="0" r="0" b="635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31140" cy="298450"/>
                    </a:xfrm>
                    <a:prstGeom prst="rect">
                      <a:avLst/>
                    </a:prstGeom>
                    <a:noFill/>
                    <a:ln>
                      <a:noFill/>
                    </a:ln>
                  </pic:spPr>
                </pic:pic>
              </a:graphicData>
            </a:graphic>
          </wp:inline>
        </w:drawing>
      </w:r>
      <w:r w:rsidRPr="00C04ABD">
        <w:rPr>
          <w:rFonts w:ascii="Myriad Pro" w:eastAsia="Calibri" w:hAnsi="Myriad Pro" w:cs="Times New Roman"/>
          <w:sz w:val="26"/>
          <w:szCs w:val="26"/>
        </w:rPr>
        <w:t xml:space="preserve">, </w:t>
      </w:r>
      <w:r w:rsidRPr="00C04ABD">
        <w:rPr>
          <w:rFonts w:ascii="Myriad Pro" w:eastAsia="Calibri" w:hAnsi="Myriad Pro" w:cs="Times New Roman"/>
          <w:noProof/>
          <w:sz w:val="26"/>
          <w:szCs w:val="26"/>
          <w:lang w:eastAsia="ru-RU"/>
        </w:rPr>
        <w:drawing>
          <wp:inline distT="0" distB="0" distL="0" distR="0" wp14:anchorId="0FC51C9D" wp14:editId="49B6A184">
            <wp:extent cx="231140" cy="298450"/>
            <wp:effectExtent l="0" t="0" r="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31140" cy="298450"/>
                    </a:xfrm>
                    <a:prstGeom prst="rect">
                      <a:avLst/>
                    </a:prstGeom>
                    <a:noFill/>
                    <a:ln>
                      <a:noFill/>
                    </a:ln>
                  </pic:spPr>
                </pic:pic>
              </a:graphicData>
            </a:graphic>
          </wp:inline>
        </w:drawing>
      </w:r>
      <w:r w:rsidRPr="00C04ABD">
        <w:rPr>
          <w:rFonts w:ascii="Myriad Pro" w:eastAsia="Calibri" w:hAnsi="Myriad Pro" w:cs="Times New Roman"/>
          <w:sz w:val="26"/>
          <w:szCs w:val="26"/>
        </w:rPr>
        <w:t xml:space="preserve"> - коэффициенты приведения затрат по климатическим условиям, в соответствии с </w:t>
      </w:r>
      <w:hyperlink w:anchor="Par1091" w:tooltip="КОЭФФИЦИЕНТЫ ПРИВЕДЕНИЯ ЗАТРАТ ПО КЛИМАТИЧЕСКИМ УСЛОВИЯМ" w:history="1">
        <w:r w:rsidRPr="00C04ABD">
          <w:rPr>
            <w:rStyle w:val="ab"/>
            <w:rFonts w:ascii="Myriad Pro" w:eastAsia="Calibri" w:hAnsi="Myriad Pro" w:cs="Times New Roman"/>
            <w:color w:val="auto"/>
            <w:sz w:val="26"/>
            <w:szCs w:val="26"/>
            <w:u w:val="none"/>
          </w:rPr>
          <w:t>приложением N 5</w:t>
        </w:r>
      </w:hyperlink>
      <w:r w:rsidRPr="00C04ABD">
        <w:rPr>
          <w:rFonts w:ascii="Myriad Pro" w:eastAsia="Calibri" w:hAnsi="Myriad Pro" w:cs="Times New Roman"/>
          <w:sz w:val="26"/>
          <w:szCs w:val="26"/>
        </w:rPr>
        <w:t xml:space="preserve"> к Методическим указаниям</w:t>
      </w:r>
      <w:r w:rsidR="00854A22" w:rsidRPr="00C04ABD">
        <w:rPr>
          <w:rFonts w:ascii="Myriad Pro" w:eastAsia="Calibri" w:hAnsi="Myriad Pro" w:cs="Times New Roman"/>
          <w:sz w:val="26"/>
          <w:szCs w:val="26"/>
        </w:rPr>
        <w:t xml:space="preserve"> №421-э</w:t>
      </w:r>
      <w:r w:rsidRPr="00C04ABD">
        <w:rPr>
          <w:rFonts w:ascii="Myriad Pro" w:eastAsia="Calibri" w:hAnsi="Myriad Pro" w:cs="Times New Roman"/>
          <w:sz w:val="26"/>
          <w:szCs w:val="26"/>
        </w:rPr>
        <w:t>.</w:t>
      </w:r>
    </w:p>
    <w:p w14:paraId="770BAB3A" w14:textId="1104A127" w:rsidR="00F531CF" w:rsidRPr="00C04ABD" w:rsidRDefault="00F531CF"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noProof/>
          <w:sz w:val="26"/>
          <w:szCs w:val="26"/>
          <w:lang w:eastAsia="ru-RU"/>
        </w:rPr>
        <w:drawing>
          <wp:inline distT="0" distB="0" distL="0" distR="0" wp14:anchorId="17E75EB9" wp14:editId="6670D0BC">
            <wp:extent cx="317500" cy="298450"/>
            <wp:effectExtent l="0" t="0" r="6350"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317500" cy="298450"/>
                    </a:xfrm>
                    <a:prstGeom prst="rect">
                      <a:avLst/>
                    </a:prstGeom>
                    <a:noFill/>
                    <a:ln>
                      <a:noFill/>
                    </a:ln>
                  </pic:spPr>
                </pic:pic>
              </a:graphicData>
            </a:graphic>
          </wp:inline>
        </w:drawing>
      </w:r>
      <w:r w:rsidRPr="00C04ABD">
        <w:rPr>
          <w:rFonts w:ascii="Myriad Pro" w:eastAsia="Calibri" w:hAnsi="Myriad Pro" w:cs="Times New Roman"/>
          <w:sz w:val="26"/>
          <w:szCs w:val="26"/>
        </w:rPr>
        <w:t xml:space="preserve"> - фактическая протяженность линий электропередач, эксплуатируемых на законных основаниях и участвующих в регулируемом виде деятельности, ТСО n в году i в соответствующем субъекте Российской Федерации, км;</w:t>
      </w:r>
    </w:p>
    <w:p w14:paraId="15B4C7BC" w14:textId="386EC27C" w:rsidR="00F531CF" w:rsidRPr="00C04ABD" w:rsidRDefault="00F531CF"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noProof/>
          <w:sz w:val="26"/>
          <w:szCs w:val="26"/>
          <w:lang w:eastAsia="ru-RU"/>
        </w:rPr>
        <w:drawing>
          <wp:inline distT="0" distB="0" distL="0" distR="0" wp14:anchorId="22298EB7" wp14:editId="58D9D936">
            <wp:extent cx="414020" cy="298450"/>
            <wp:effectExtent l="0" t="0" r="508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414020" cy="298450"/>
                    </a:xfrm>
                    <a:prstGeom prst="rect">
                      <a:avLst/>
                    </a:prstGeom>
                    <a:noFill/>
                    <a:ln>
                      <a:noFill/>
                    </a:ln>
                  </pic:spPr>
                </pic:pic>
              </a:graphicData>
            </a:graphic>
          </wp:inline>
        </w:drawing>
      </w:r>
      <w:r w:rsidRPr="00C04ABD">
        <w:rPr>
          <w:rFonts w:ascii="Myriad Pro" w:eastAsia="Calibri" w:hAnsi="Myriad Pro" w:cs="Times New Roman"/>
          <w:sz w:val="26"/>
          <w:szCs w:val="26"/>
        </w:rPr>
        <w:t xml:space="preserve"> - фактическая установленная трансформаторная мощность электрооборудования, эксплуатируемого на законных основаниях и участвующая в регулируемом виде деятельности, ТСО n в году i в соответствующем субъекте Российской Федерации, МВА;</w:t>
      </w:r>
    </w:p>
    <w:p w14:paraId="535F2DEB" w14:textId="2940B01F" w:rsidR="00F531CF" w:rsidRPr="00C04ABD" w:rsidRDefault="00F531CF" w:rsidP="00A31747">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noProof/>
          <w:sz w:val="26"/>
          <w:szCs w:val="26"/>
          <w:lang w:eastAsia="ru-RU"/>
        </w:rPr>
        <w:drawing>
          <wp:inline distT="0" distB="0" distL="0" distR="0" wp14:anchorId="2F54BC1A" wp14:editId="5D5F39FE">
            <wp:extent cx="307975" cy="298450"/>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307975" cy="298450"/>
                    </a:xfrm>
                    <a:prstGeom prst="rect">
                      <a:avLst/>
                    </a:prstGeom>
                    <a:noFill/>
                    <a:ln>
                      <a:noFill/>
                    </a:ln>
                  </pic:spPr>
                </pic:pic>
              </a:graphicData>
            </a:graphic>
          </wp:inline>
        </w:drawing>
      </w:r>
      <w:r w:rsidRPr="00C04ABD">
        <w:rPr>
          <w:rFonts w:ascii="Myriad Pro" w:eastAsia="Calibri" w:hAnsi="Myriad Pro" w:cs="Times New Roman"/>
          <w:sz w:val="26"/>
          <w:szCs w:val="26"/>
        </w:rPr>
        <w:t xml:space="preserve"> - фактическое максимальное за отчетный период регулирования число точек присоединения потребителей услуг к электрической сети электросетевой организации, в том числе принятых в опытно-промышленную эксплуатацию ТСО n в году i в соответствующем субъекте Российской Федерации, шт.</w:t>
      </w:r>
    </w:p>
    <w:p w14:paraId="18FA76B2" w14:textId="77777777" w:rsidR="00045B71" w:rsidRPr="00C04ABD" w:rsidRDefault="00045B71" w:rsidP="00A31747">
      <w:pPr>
        <w:tabs>
          <w:tab w:val="left" w:pos="1134"/>
        </w:tabs>
        <w:spacing w:after="0" w:line="360" w:lineRule="auto"/>
        <w:ind w:firstLine="567"/>
        <w:contextualSpacing/>
        <w:jc w:val="both"/>
        <w:rPr>
          <w:rFonts w:ascii="Myriad Pro" w:eastAsia="Calibri" w:hAnsi="Myriad Pro" w:cs="Times New Roman"/>
          <w:sz w:val="26"/>
          <w:szCs w:val="26"/>
        </w:rPr>
      </w:pPr>
    </w:p>
    <w:p w14:paraId="0DE1923C" w14:textId="5D070963" w:rsidR="00026371" w:rsidRPr="00C04ABD" w:rsidRDefault="00026371" w:rsidP="004D5A32">
      <w:pPr>
        <w:tabs>
          <w:tab w:val="left" w:pos="1134"/>
        </w:tabs>
        <w:spacing w:after="0" w:line="360" w:lineRule="auto"/>
        <w:contextualSpacing/>
        <w:jc w:val="both"/>
        <w:rPr>
          <w:rFonts w:ascii="Myriad Pro" w:eastAsia="Calibri" w:hAnsi="Myriad Pro" w:cs="Times New Roman"/>
          <w:b/>
          <w:sz w:val="26"/>
          <w:szCs w:val="26"/>
        </w:rPr>
      </w:pPr>
      <w:r w:rsidRPr="00C04ABD">
        <w:rPr>
          <w:rFonts w:ascii="Myriad Pro" w:eastAsia="Calibri" w:hAnsi="Myriad Pro" w:cs="Times New Roman"/>
          <w:b/>
          <w:sz w:val="26"/>
          <w:szCs w:val="26"/>
        </w:rPr>
        <w:t>ПОЗИЦИЯ ТЕРРИТОРИАЛЬНОЙ СЕТЕВОЙ ОРГАНИЗАЦИИ</w:t>
      </w:r>
    </w:p>
    <w:p w14:paraId="71FFFACC" w14:textId="48E87717" w:rsidR="00F8656F" w:rsidRPr="00C04ABD" w:rsidRDefault="000B506C" w:rsidP="00A31747">
      <w:pPr>
        <w:tabs>
          <w:tab w:val="left" w:pos="1134"/>
        </w:tabs>
        <w:spacing w:after="0" w:line="360" w:lineRule="auto"/>
        <w:ind w:firstLine="567"/>
        <w:contextualSpacing/>
        <w:jc w:val="both"/>
        <w:rPr>
          <w:rFonts w:ascii="Myriad Pro" w:eastAsia="Calibri" w:hAnsi="Myriad Pro" w:cs="Times New Roman"/>
          <w:b/>
          <w:sz w:val="26"/>
          <w:szCs w:val="26"/>
        </w:rPr>
      </w:pPr>
      <w:r w:rsidRPr="00C04ABD">
        <w:rPr>
          <w:rFonts w:ascii="Myriad Pro" w:eastAsia="Calibri" w:hAnsi="Myriad Pro" w:cs="Times New Roman"/>
          <w:sz w:val="26"/>
          <w:szCs w:val="26"/>
        </w:rPr>
        <w:t xml:space="preserve">Филиалом ПАО </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МРСК Северо-Запада</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 xml:space="preserve"> </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Колэнерго</w:t>
      </w:r>
      <w:r w:rsidR="00655FFA" w:rsidRPr="00C04ABD">
        <w:rPr>
          <w:rFonts w:ascii="Myriad Pro" w:eastAsia="Calibri" w:hAnsi="Myriad Pro" w:cs="Times New Roman"/>
          <w:sz w:val="26"/>
          <w:szCs w:val="26"/>
        </w:rPr>
        <w:t>»</w:t>
      </w:r>
      <w:r w:rsidRPr="00C04ABD">
        <w:rPr>
          <w:rFonts w:ascii="Myriad Pro" w:eastAsia="Calibri" w:hAnsi="Myriad Pro" w:cs="Times New Roman"/>
          <w:sz w:val="26"/>
          <w:szCs w:val="26"/>
        </w:rPr>
        <w:t xml:space="preserve"> </w:t>
      </w:r>
      <w:r w:rsidRPr="00C04ABD">
        <w:rPr>
          <w:rFonts w:ascii="Myriad Pro" w:eastAsia="Calibri" w:hAnsi="Myriad Pro"/>
          <w:sz w:val="26"/>
          <w:szCs w:val="26"/>
        </w:rPr>
        <w:t>индекс эффективности подконтрольных расходов как долгосрочный параметр регулирования заявлен 1%.</w:t>
      </w:r>
    </w:p>
    <w:p w14:paraId="630F9020" w14:textId="77777777" w:rsidR="00F8656F" w:rsidRPr="00C04ABD" w:rsidRDefault="00F8656F" w:rsidP="00A31747">
      <w:pPr>
        <w:pStyle w:val="a4"/>
        <w:tabs>
          <w:tab w:val="left" w:pos="1134"/>
        </w:tabs>
        <w:spacing w:line="360" w:lineRule="auto"/>
        <w:ind w:left="0" w:firstLine="567"/>
        <w:jc w:val="both"/>
        <w:rPr>
          <w:rFonts w:ascii="Myriad Pro" w:hAnsi="Myriad Pro"/>
          <w:sz w:val="26"/>
          <w:szCs w:val="26"/>
        </w:rPr>
      </w:pPr>
      <w:r w:rsidRPr="00C04ABD">
        <w:rPr>
          <w:rFonts w:ascii="Myriad Pro" w:hAnsi="Myriad Pro"/>
          <w:sz w:val="26"/>
          <w:szCs w:val="26"/>
        </w:rPr>
        <w:t xml:space="preserve">Базовый уровень подконтрольных расходов и индекс эффективности подконтрольных расходов как долгосрочные параметры регулирования </w:t>
      </w:r>
      <w:r w:rsidRPr="00C04ABD">
        <w:rPr>
          <w:rFonts w:ascii="Myriad Pro" w:hAnsi="Myriad Pro"/>
          <w:sz w:val="26"/>
          <w:szCs w:val="26"/>
        </w:rPr>
        <w:lastRenderedPageBreak/>
        <w:t>деятельности территориальных сетевых организаций определяются в соответствии с пунктом 38 Основ ценообразования.</w:t>
      </w:r>
    </w:p>
    <w:p w14:paraId="67190439" w14:textId="77777777" w:rsidR="00F8656F" w:rsidRPr="00C04ABD" w:rsidRDefault="00F8656F" w:rsidP="00A31747">
      <w:pPr>
        <w:pStyle w:val="a4"/>
        <w:tabs>
          <w:tab w:val="left" w:pos="1134"/>
        </w:tabs>
        <w:spacing w:line="360" w:lineRule="auto"/>
        <w:ind w:left="0" w:firstLine="567"/>
        <w:jc w:val="both"/>
        <w:rPr>
          <w:rFonts w:ascii="Myriad Pro" w:hAnsi="Myriad Pro"/>
          <w:sz w:val="26"/>
          <w:szCs w:val="26"/>
        </w:rPr>
      </w:pPr>
      <w:r w:rsidRPr="00C04ABD">
        <w:rPr>
          <w:rFonts w:ascii="Myriad Pro" w:hAnsi="Myriad Pro"/>
          <w:sz w:val="26"/>
          <w:szCs w:val="26"/>
        </w:rPr>
        <w:t>Согласно данному пункту Основ ценообразования базовый уровень подконтрольных расходов определяется регулирующими органами с использованием метода экономически обоснованных расходов (затрат) и метода сравнения аналогов. Базовый уровень подконтрольных расходов устанавливается как сумма доли базового уровня подконтрольных расходов, рассчитанного с применением метода экономически обоснованных расходов (затрат) в соответствии с Методическими указаниями N 98-э, и доли базового уровня подконтрольных расходов, рассчитанного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утвержденными приказом Федеральной службы по тарифам от 18 марта 2015 г. N 421-э (далее - Методические указания N 421-э).</w:t>
      </w:r>
    </w:p>
    <w:p w14:paraId="45C3EE6D" w14:textId="77777777" w:rsidR="00F8656F" w:rsidRPr="00C04ABD" w:rsidRDefault="00F8656F" w:rsidP="00A31747">
      <w:pPr>
        <w:pStyle w:val="a4"/>
        <w:tabs>
          <w:tab w:val="left" w:pos="1134"/>
        </w:tabs>
        <w:spacing w:line="360" w:lineRule="auto"/>
        <w:ind w:left="0" w:firstLine="567"/>
        <w:jc w:val="both"/>
        <w:rPr>
          <w:rFonts w:ascii="Myriad Pro" w:hAnsi="Myriad Pro"/>
          <w:sz w:val="26"/>
          <w:szCs w:val="26"/>
        </w:rPr>
      </w:pPr>
      <w:r w:rsidRPr="00C04ABD">
        <w:rPr>
          <w:rFonts w:ascii="Myriad Pro" w:hAnsi="Myriad Pro"/>
          <w:sz w:val="26"/>
          <w:szCs w:val="26"/>
        </w:rPr>
        <w:t>Согласно пункту 7 Методических указаний N 421-э расчет индекса эффективности базового уровня операционных, подконтрольных расходов и величины базового уровня операционных, подконтрольных расходов с применением метода сравнения аналогов осуществляется на основании распределения территориальных сетевых организаций по их группам, показатель рейтинга эффективности которых находится в заданном интервале фиксированных значений в соответствии с приложением N 3 к Методическим указаниям N 421-э по итогам расчета рейтинга эффективности территориальных сетевых организаций, с учетом:</w:t>
      </w:r>
    </w:p>
    <w:p w14:paraId="089E9EC6" w14:textId="77777777" w:rsidR="00F8656F" w:rsidRPr="00C04ABD" w:rsidRDefault="00F8656F" w:rsidP="00A31747">
      <w:pPr>
        <w:pStyle w:val="a4"/>
        <w:tabs>
          <w:tab w:val="left" w:pos="1134"/>
        </w:tabs>
        <w:spacing w:line="360" w:lineRule="auto"/>
        <w:ind w:left="0" w:firstLine="567"/>
        <w:jc w:val="both"/>
        <w:rPr>
          <w:rFonts w:ascii="Myriad Pro" w:hAnsi="Myriad Pro"/>
          <w:sz w:val="26"/>
          <w:szCs w:val="26"/>
        </w:rPr>
      </w:pPr>
      <w:r w:rsidRPr="00C04ABD">
        <w:rPr>
          <w:rFonts w:ascii="Myriad Pro" w:hAnsi="Myriad Pro"/>
          <w:sz w:val="26"/>
          <w:szCs w:val="26"/>
        </w:rPr>
        <w:t>1) уровня цен и климатических условий в регионе, в котором осуществляется деятельность территориальных сетевых организаций;</w:t>
      </w:r>
    </w:p>
    <w:p w14:paraId="483DB6DF" w14:textId="232B8D44" w:rsidR="00F8656F" w:rsidRPr="00C04ABD" w:rsidRDefault="004D5A32" w:rsidP="00A31747">
      <w:pPr>
        <w:pStyle w:val="a4"/>
        <w:tabs>
          <w:tab w:val="left" w:pos="1134"/>
        </w:tabs>
        <w:spacing w:line="360" w:lineRule="auto"/>
        <w:ind w:left="0" w:firstLine="567"/>
        <w:jc w:val="both"/>
        <w:rPr>
          <w:rFonts w:ascii="Myriad Pro" w:hAnsi="Myriad Pro"/>
          <w:sz w:val="26"/>
          <w:szCs w:val="26"/>
        </w:rPr>
      </w:pPr>
      <w:r w:rsidRPr="00C04ABD">
        <w:rPr>
          <w:rFonts w:ascii="Myriad Pro" w:hAnsi="Myriad Pro"/>
          <w:sz w:val="26"/>
          <w:szCs w:val="26"/>
        </w:rPr>
        <w:t xml:space="preserve">2) </w:t>
      </w:r>
      <w:r w:rsidR="00F8656F" w:rsidRPr="00C04ABD">
        <w:rPr>
          <w:rFonts w:ascii="Myriad Pro" w:hAnsi="Myriad Pro"/>
          <w:sz w:val="26"/>
          <w:szCs w:val="26"/>
        </w:rPr>
        <w:t>натуральных показателей территориальных сетевых организаций, предусмотренных приложением N 1 к Методическим указаниям N 421-э.</w:t>
      </w:r>
    </w:p>
    <w:p w14:paraId="029D518C" w14:textId="77777777" w:rsidR="00F8656F" w:rsidRPr="00C04ABD" w:rsidRDefault="00F8656F" w:rsidP="00A31747">
      <w:pPr>
        <w:pStyle w:val="a4"/>
        <w:tabs>
          <w:tab w:val="left" w:pos="1134"/>
        </w:tabs>
        <w:spacing w:line="360" w:lineRule="auto"/>
        <w:ind w:left="0" w:firstLine="567"/>
        <w:jc w:val="both"/>
        <w:rPr>
          <w:rFonts w:ascii="Myriad Pro" w:hAnsi="Myriad Pro"/>
          <w:sz w:val="26"/>
          <w:szCs w:val="26"/>
        </w:rPr>
      </w:pPr>
      <w:r w:rsidRPr="00C04ABD">
        <w:rPr>
          <w:rFonts w:ascii="Myriad Pro" w:hAnsi="Myriad Pro"/>
          <w:sz w:val="26"/>
          <w:szCs w:val="26"/>
        </w:rPr>
        <w:t xml:space="preserve">Согласно пункту 8 Методических указаний N 421-э расчет рейтинга эффективности, ранжирование уровней эффективности сетевой организации, </w:t>
      </w:r>
      <w:r w:rsidRPr="00C04ABD">
        <w:rPr>
          <w:rFonts w:ascii="Myriad Pro" w:hAnsi="Myriad Pro"/>
          <w:sz w:val="26"/>
          <w:szCs w:val="26"/>
        </w:rPr>
        <w:lastRenderedPageBreak/>
        <w:t>проводится с использованием нормализованных (преобразованных в значения в диапазоне от 0 до 1) удельных показателей, определенных по приведенной в данном пункте формуле.</w:t>
      </w:r>
    </w:p>
    <w:p w14:paraId="684E14BD" w14:textId="77777777" w:rsidR="00F8656F" w:rsidRPr="00C04ABD" w:rsidRDefault="00F8656F" w:rsidP="00A31747">
      <w:pPr>
        <w:pStyle w:val="a4"/>
        <w:tabs>
          <w:tab w:val="left" w:pos="1134"/>
        </w:tabs>
        <w:spacing w:line="360" w:lineRule="auto"/>
        <w:ind w:left="0" w:firstLine="567"/>
        <w:jc w:val="both"/>
        <w:rPr>
          <w:rFonts w:ascii="Myriad Pro" w:hAnsi="Myriad Pro"/>
          <w:sz w:val="26"/>
          <w:szCs w:val="26"/>
        </w:rPr>
      </w:pPr>
      <w:r w:rsidRPr="00C04ABD">
        <w:rPr>
          <w:rFonts w:ascii="Myriad Pro" w:hAnsi="Myriad Pro"/>
          <w:sz w:val="26"/>
          <w:szCs w:val="26"/>
        </w:rPr>
        <w:t>Из пункта 9 Методических указаний N 421-э следует, что для расчета долгосрочных параметров регулирования на очередной долгосрочный период регулирования с применением метода сравнения аналогов в отношении территориальных сетевых организаций базовый уровень операционных, подконтрольных расходов территориальных сетевых организаций определяется в 70% доле от базового уровня операционных, подконтрольных расходов, рассчитанных в зависимости от применяемого в отношении организации метода регулирования, и 30% доле от базового уровня операционных, подконтрольных расходов для территориальных сетевых организаций с применением метода сравнения аналогов.</w:t>
      </w:r>
    </w:p>
    <w:p w14:paraId="167E8F4D" w14:textId="77777777" w:rsidR="00F8656F" w:rsidRPr="00C04ABD" w:rsidRDefault="00F8656F" w:rsidP="00A31747">
      <w:pPr>
        <w:pStyle w:val="a4"/>
        <w:tabs>
          <w:tab w:val="left" w:pos="1134"/>
        </w:tabs>
        <w:spacing w:line="360" w:lineRule="auto"/>
        <w:ind w:left="0" w:firstLine="567"/>
        <w:jc w:val="both"/>
        <w:rPr>
          <w:rFonts w:ascii="Myriad Pro" w:hAnsi="Myriad Pro"/>
          <w:sz w:val="26"/>
          <w:szCs w:val="26"/>
        </w:rPr>
      </w:pPr>
      <w:r w:rsidRPr="00C04ABD">
        <w:rPr>
          <w:rFonts w:ascii="Myriad Pro" w:hAnsi="Myriad Pro"/>
          <w:sz w:val="26"/>
          <w:szCs w:val="26"/>
        </w:rPr>
        <w:t xml:space="preserve">Но поскольку Методические указания N 421-э не содержат необходимые для расчета по формуле коэффициенты нормализации приложение № 2, равно как в приложении N 4 к указанным Методическим указаниям отсутствовали коэффициенты приведения затрат по уровню цен для территориальных сетевых организаций n в году i, у филиала отсутствовала возможность определить 30% базового уровня подконтрольных расходов общества с использованием метода сравнения аналогов. </w:t>
      </w:r>
    </w:p>
    <w:p w14:paraId="104C3206" w14:textId="77777777" w:rsidR="00F8656F" w:rsidRPr="00C04ABD" w:rsidRDefault="00F8656F" w:rsidP="004D5A32">
      <w:pPr>
        <w:pStyle w:val="a4"/>
        <w:tabs>
          <w:tab w:val="left" w:pos="1134"/>
        </w:tabs>
        <w:spacing w:after="0" w:line="360" w:lineRule="auto"/>
        <w:ind w:left="0" w:firstLine="567"/>
        <w:contextualSpacing w:val="0"/>
        <w:jc w:val="both"/>
        <w:rPr>
          <w:rFonts w:ascii="Myriad Pro" w:hAnsi="Myriad Pro"/>
          <w:sz w:val="26"/>
          <w:szCs w:val="26"/>
        </w:rPr>
      </w:pPr>
      <w:r w:rsidRPr="00C04ABD">
        <w:rPr>
          <w:rFonts w:ascii="Myriad Pro" w:hAnsi="Myriad Pro"/>
          <w:sz w:val="26"/>
          <w:szCs w:val="26"/>
        </w:rPr>
        <w:t xml:space="preserve">Использование метода сравнения аналогов в данном случае приведет к недополучению обществом значительной части необходимой валовой выручки. В связи с этим расчет базового уровня подконтрольных расходов в целом произведен методом экономически обоснованных расходов (затрат).  </w:t>
      </w:r>
    </w:p>
    <w:p w14:paraId="5919DE33" w14:textId="77777777" w:rsidR="00C04B18" w:rsidRPr="00C04ABD" w:rsidRDefault="00C04B18" w:rsidP="00A31747">
      <w:pPr>
        <w:tabs>
          <w:tab w:val="left" w:pos="1134"/>
        </w:tabs>
        <w:spacing w:after="0" w:line="360" w:lineRule="auto"/>
        <w:ind w:firstLine="567"/>
        <w:contextualSpacing/>
        <w:jc w:val="both"/>
        <w:rPr>
          <w:rFonts w:ascii="Myriad Pro" w:eastAsia="Calibri" w:hAnsi="Myriad Pro" w:cs="Times New Roman"/>
          <w:sz w:val="26"/>
          <w:szCs w:val="26"/>
        </w:rPr>
      </w:pPr>
    </w:p>
    <w:p w14:paraId="2BA5D426" w14:textId="18426E0C" w:rsidR="00026371" w:rsidRPr="00C04ABD" w:rsidRDefault="00026371" w:rsidP="004D5A32">
      <w:pPr>
        <w:tabs>
          <w:tab w:val="left" w:pos="1134"/>
        </w:tabs>
        <w:spacing w:after="0" w:line="360" w:lineRule="auto"/>
        <w:contextualSpacing/>
        <w:jc w:val="both"/>
        <w:rPr>
          <w:rFonts w:ascii="Myriad Pro" w:eastAsia="Calibri" w:hAnsi="Myriad Pro" w:cs="Times New Roman"/>
          <w:b/>
          <w:sz w:val="26"/>
          <w:szCs w:val="26"/>
        </w:rPr>
      </w:pPr>
      <w:r w:rsidRPr="00C04ABD">
        <w:rPr>
          <w:rFonts w:ascii="Myriad Pro" w:eastAsia="Calibri" w:hAnsi="Myriad Pro" w:cs="Times New Roman"/>
          <w:b/>
          <w:sz w:val="26"/>
          <w:szCs w:val="26"/>
        </w:rPr>
        <w:t>ПОЗИЦИЯ ОРГАНА РЕГУЛИРОВАНИЯ</w:t>
      </w:r>
    </w:p>
    <w:p w14:paraId="1AD6AE52" w14:textId="640F4482" w:rsidR="000B506C" w:rsidRPr="00C04ABD" w:rsidRDefault="000B506C" w:rsidP="00A31747">
      <w:pPr>
        <w:tabs>
          <w:tab w:val="left" w:pos="1134"/>
        </w:tabs>
        <w:spacing w:after="0" w:line="360" w:lineRule="auto"/>
        <w:ind w:firstLine="567"/>
        <w:contextualSpacing/>
        <w:jc w:val="both"/>
        <w:rPr>
          <w:rFonts w:ascii="Myriad Pro" w:hAnsi="Myriad Pro"/>
          <w:iCs/>
          <w:sz w:val="26"/>
          <w:szCs w:val="26"/>
        </w:rPr>
      </w:pPr>
      <w:r w:rsidRPr="00C04ABD">
        <w:rPr>
          <w:rFonts w:ascii="Myriad Pro" w:eastAsia="Calibri" w:hAnsi="Myriad Pro" w:cs="Times New Roman"/>
          <w:iCs/>
          <w:sz w:val="26"/>
          <w:szCs w:val="26"/>
        </w:rPr>
        <w:t xml:space="preserve">Постановлением Комитета по тарифному регулированию Мурманской области от 29.12.2018 № 56/2 </w:t>
      </w:r>
      <w:r w:rsidR="00655FFA" w:rsidRPr="00C04ABD">
        <w:rPr>
          <w:rFonts w:ascii="Myriad Pro" w:eastAsia="Calibri" w:hAnsi="Myriad Pro" w:cs="Times New Roman"/>
          <w:iCs/>
          <w:sz w:val="26"/>
          <w:szCs w:val="26"/>
        </w:rPr>
        <w:t>«</w:t>
      </w:r>
      <w:r w:rsidRPr="00C04ABD">
        <w:rPr>
          <w:rFonts w:ascii="Myriad Pro" w:eastAsia="Calibri" w:hAnsi="Myriad Pro" w:cs="Times New Roman"/>
          <w:iCs/>
          <w:sz w:val="26"/>
          <w:szCs w:val="26"/>
        </w:rPr>
        <w:t xml:space="preserve">Об установлении необходимой валовой выручки от оказания услуг по передаче электрической энергии (без учета расходов на покупку потерь) и долгосрочных параметров регулирования филиала ПАО </w:t>
      </w:r>
      <w:r w:rsidR="00655FFA" w:rsidRPr="00C04ABD">
        <w:rPr>
          <w:rFonts w:ascii="Myriad Pro" w:eastAsia="Calibri" w:hAnsi="Myriad Pro" w:cs="Times New Roman"/>
          <w:iCs/>
          <w:sz w:val="26"/>
          <w:szCs w:val="26"/>
        </w:rPr>
        <w:t>«</w:t>
      </w:r>
      <w:r w:rsidRPr="00C04ABD">
        <w:rPr>
          <w:rFonts w:ascii="Myriad Pro" w:eastAsia="Calibri" w:hAnsi="Myriad Pro" w:cs="Times New Roman"/>
          <w:iCs/>
          <w:sz w:val="26"/>
          <w:szCs w:val="26"/>
        </w:rPr>
        <w:t>МРСК Северо-Запада</w:t>
      </w:r>
      <w:r w:rsidR="00655FFA" w:rsidRPr="00C04ABD">
        <w:rPr>
          <w:rFonts w:ascii="Myriad Pro" w:eastAsia="Calibri" w:hAnsi="Myriad Pro" w:cs="Times New Roman"/>
          <w:iCs/>
          <w:sz w:val="26"/>
          <w:szCs w:val="26"/>
        </w:rPr>
        <w:t>»</w:t>
      </w:r>
      <w:r w:rsidRPr="00C04ABD">
        <w:rPr>
          <w:rFonts w:ascii="Myriad Pro" w:eastAsia="Calibri" w:hAnsi="Myriad Pro" w:cs="Times New Roman"/>
          <w:iCs/>
          <w:sz w:val="26"/>
          <w:szCs w:val="26"/>
        </w:rPr>
        <w:t xml:space="preserve"> </w:t>
      </w:r>
      <w:r w:rsidR="00655FFA" w:rsidRPr="00C04ABD">
        <w:rPr>
          <w:rFonts w:ascii="Myriad Pro" w:eastAsia="Calibri" w:hAnsi="Myriad Pro" w:cs="Times New Roman"/>
          <w:iCs/>
          <w:sz w:val="26"/>
          <w:szCs w:val="26"/>
        </w:rPr>
        <w:t>«</w:t>
      </w:r>
      <w:r w:rsidRPr="00C04ABD">
        <w:rPr>
          <w:rFonts w:ascii="Myriad Pro" w:eastAsia="Calibri" w:hAnsi="Myriad Pro" w:cs="Times New Roman"/>
          <w:iCs/>
          <w:sz w:val="26"/>
          <w:szCs w:val="26"/>
        </w:rPr>
        <w:t>Колэнерго</w:t>
      </w:r>
      <w:r w:rsidR="00655FFA" w:rsidRPr="00C04ABD">
        <w:rPr>
          <w:rFonts w:ascii="Myriad Pro" w:eastAsia="Calibri" w:hAnsi="Myriad Pro" w:cs="Times New Roman"/>
          <w:iCs/>
          <w:sz w:val="26"/>
          <w:szCs w:val="26"/>
        </w:rPr>
        <w:t>»</w:t>
      </w:r>
      <w:r w:rsidRPr="00C04ABD">
        <w:rPr>
          <w:rFonts w:ascii="Myriad Pro" w:eastAsia="Calibri" w:hAnsi="Myriad Pro" w:cs="Times New Roman"/>
          <w:iCs/>
          <w:sz w:val="26"/>
          <w:szCs w:val="26"/>
        </w:rPr>
        <w:t xml:space="preserve"> на долгосрочный период регулирования 2019-2023 </w:t>
      </w:r>
      <w:r w:rsidRPr="00C04ABD">
        <w:rPr>
          <w:rFonts w:ascii="Myriad Pro" w:eastAsia="Calibri" w:hAnsi="Myriad Pro" w:cs="Times New Roman"/>
          <w:iCs/>
          <w:sz w:val="26"/>
          <w:szCs w:val="26"/>
        </w:rPr>
        <w:lastRenderedPageBreak/>
        <w:t>год</w:t>
      </w:r>
      <w:r w:rsidR="00655FFA" w:rsidRPr="00C04ABD">
        <w:rPr>
          <w:rFonts w:ascii="Myriad Pro" w:eastAsia="Calibri" w:hAnsi="Myriad Pro" w:cs="Times New Roman"/>
          <w:iCs/>
          <w:sz w:val="26"/>
          <w:szCs w:val="26"/>
        </w:rPr>
        <w:t>»</w:t>
      </w:r>
      <w:r w:rsidRPr="00C04ABD">
        <w:rPr>
          <w:rFonts w:ascii="Myriad Pro" w:eastAsia="Calibri" w:hAnsi="Myriad Pro" w:cs="Times New Roman"/>
          <w:iCs/>
          <w:sz w:val="26"/>
          <w:szCs w:val="26"/>
        </w:rPr>
        <w:t xml:space="preserve"> установлен и</w:t>
      </w:r>
      <w:r w:rsidRPr="00C04ABD">
        <w:rPr>
          <w:rFonts w:ascii="Myriad Pro" w:hAnsi="Myriad Pro"/>
          <w:iCs/>
          <w:sz w:val="26"/>
          <w:szCs w:val="26"/>
        </w:rPr>
        <w:t>ндекс эффективности подконтрольных расходов в размере 4% на каждый год долгосрочного периода 2019-2023 гг.</w:t>
      </w:r>
    </w:p>
    <w:p w14:paraId="479EB1EF" w14:textId="44F17674" w:rsidR="00C95926" w:rsidRPr="00C04ABD" w:rsidRDefault="00C95926" w:rsidP="00A31747">
      <w:pPr>
        <w:tabs>
          <w:tab w:val="left" w:pos="1134"/>
        </w:tabs>
        <w:spacing w:after="0" w:line="360" w:lineRule="auto"/>
        <w:ind w:firstLine="567"/>
        <w:contextualSpacing/>
        <w:jc w:val="both"/>
        <w:rPr>
          <w:rFonts w:ascii="Myriad Pro" w:eastAsia="Calibri" w:hAnsi="Myriad Pro" w:cs="Times New Roman"/>
          <w:sz w:val="26"/>
          <w:szCs w:val="26"/>
        </w:rPr>
      </w:pPr>
    </w:p>
    <w:p w14:paraId="47847370" w14:textId="1CA50280" w:rsidR="00026371" w:rsidRPr="00C04ABD" w:rsidRDefault="00026371" w:rsidP="004D5A32">
      <w:pPr>
        <w:tabs>
          <w:tab w:val="left" w:pos="1134"/>
        </w:tabs>
        <w:spacing w:after="0" w:line="360" w:lineRule="auto"/>
        <w:contextualSpacing/>
        <w:jc w:val="both"/>
        <w:rPr>
          <w:rFonts w:ascii="Myriad Pro" w:eastAsia="Calibri" w:hAnsi="Myriad Pro" w:cs="Times New Roman"/>
          <w:b/>
          <w:sz w:val="26"/>
          <w:szCs w:val="26"/>
        </w:rPr>
      </w:pPr>
      <w:r w:rsidRPr="00C04ABD">
        <w:rPr>
          <w:rFonts w:ascii="Myriad Pro" w:eastAsia="Calibri" w:hAnsi="Myriad Pro" w:cs="Times New Roman"/>
          <w:b/>
          <w:sz w:val="26"/>
          <w:szCs w:val="26"/>
        </w:rPr>
        <w:t>ПОЗИЦИЯ ИСПОЛНИТЕЛЯ</w:t>
      </w:r>
    </w:p>
    <w:p w14:paraId="13B46267" w14:textId="77777777" w:rsidR="009C65EC" w:rsidRPr="00C04ABD" w:rsidRDefault="009C65EC" w:rsidP="00A31747">
      <w:pPr>
        <w:tabs>
          <w:tab w:val="left" w:pos="1134"/>
        </w:tabs>
        <w:spacing w:after="0" w:line="360" w:lineRule="auto"/>
        <w:ind w:firstLine="567"/>
        <w:contextualSpacing/>
        <w:jc w:val="both"/>
        <w:rPr>
          <w:rFonts w:ascii="Myriad Pro" w:hAnsi="Myriad Pro"/>
          <w:sz w:val="26"/>
          <w:szCs w:val="26"/>
        </w:rPr>
      </w:pPr>
      <w:r w:rsidRPr="00C04ABD">
        <w:rPr>
          <w:rFonts w:ascii="Myriad Pro" w:hAnsi="Myriad Pro"/>
          <w:sz w:val="26"/>
          <w:szCs w:val="26"/>
        </w:rPr>
        <w:t xml:space="preserve">Методическими указаниями №421-э регламентируется порядок определения значения эффективного уровня операционных, подконтрольных расходов (ОПР) и индекса эффективности ОПР территориальной сетевой организации (ТСО). </w:t>
      </w:r>
    </w:p>
    <w:p w14:paraId="0A2FC2D1" w14:textId="77777777" w:rsidR="009C65EC" w:rsidRPr="00C04ABD" w:rsidRDefault="009C65EC" w:rsidP="00A31747">
      <w:pPr>
        <w:tabs>
          <w:tab w:val="left" w:pos="1134"/>
        </w:tabs>
        <w:spacing w:after="0" w:line="360" w:lineRule="auto"/>
        <w:ind w:firstLine="567"/>
        <w:contextualSpacing/>
        <w:jc w:val="both"/>
        <w:rPr>
          <w:rFonts w:ascii="Myriad Pro" w:hAnsi="Myriad Pro"/>
          <w:sz w:val="26"/>
          <w:szCs w:val="26"/>
        </w:rPr>
      </w:pPr>
      <w:r w:rsidRPr="00C04ABD">
        <w:rPr>
          <w:rFonts w:ascii="Myriad Pro" w:hAnsi="Myriad Pro"/>
          <w:sz w:val="26"/>
          <w:szCs w:val="26"/>
        </w:rPr>
        <w:t>Согласно п. 7 Методических указаний № 421-э расчет индекса эффективности ОПР и величины базового уровня ОПР с применением метода сравнения аналогов осуществляется на основании распределения ТСО по группам ТСО, показатель рейтинга эффективности которых находится в заданном интервале фиксированных значений в соответствии с приложением N 3 к Методическим указаниям №421-э (далее - группа эффективности) по итогам расчета рейтинга эффективности ТСО, с учетом:</w:t>
      </w:r>
    </w:p>
    <w:p w14:paraId="655184A5" w14:textId="77777777" w:rsidR="009C65EC" w:rsidRPr="00C04ABD" w:rsidRDefault="009C65EC" w:rsidP="00A31747">
      <w:pPr>
        <w:tabs>
          <w:tab w:val="left" w:pos="1134"/>
        </w:tabs>
        <w:spacing w:after="0" w:line="360" w:lineRule="auto"/>
        <w:ind w:firstLine="567"/>
        <w:contextualSpacing/>
        <w:jc w:val="both"/>
        <w:rPr>
          <w:rFonts w:ascii="Myriad Pro" w:hAnsi="Myriad Pro"/>
          <w:sz w:val="26"/>
          <w:szCs w:val="26"/>
        </w:rPr>
      </w:pPr>
      <w:r w:rsidRPr="00C04ABD">
        <w:rPr>
          <w:rFonts w:ascii="Myriad Pro" w:hAnsi="Myriad Pro"/>
          <w:sz w:val="26"/>
          <w:szCs w:val="26"/>
        </w:rPr>
        <w:t>1) уровня цен и климатических условий в регионе, в котором осуществляется деятельность ТСО;</w:t>
      </w:r>
    </w:p>
    <w:p w14:paraId="035A9B0B" w14:textId="77777777" w:rsidR="009C65EC" w:rsidRPr="00C04ABD" w:rsidRDefault="009C65EC" w:rsidP="00A31747">
      <w:pPr>
        <w:tabs>
          <w:tab w:val="left" w:pos="1134"/>
        </w:tabs>
        <w:spacing w:after="0" w:line="360" w:lineRule="auto"/>
        <w:ind w:firstLine="567"/>
        <w:contextualSpacing/>
        <w:jc w:val="both"/>
        <w:rPr>
          <w:rFonts w:ascii="Myriad Pro" w:hAnsi="Myriad Pro"/>
          <w:sz w:val="26"/>
          <w:szCs w:val="26"/>
        </w:rPr>
      </w:pPr>
      <w:r w:rsidRPr="00C04ABD">
        <w:rPr>
          <w:rFonts w:ascii="Myriad Pro" w:hAnsi="Myriad Pro"/>
          <w:sz w:val="26"/>
          <w:szCs w:val="26"/>
        </w:rPr>
        <w:t>2) натуральных показателей ТСО, предусмотренных приложением N 1 к Методическим указаниям № 421-э.</w:t>
      </w:r>
    </w:p>
    <w:p w14:paraId="45FA9417" w14:textId="5866F40F" w:rsidR="009C65EC" w:rsidRPr="00C04ABD" w:rsidRDefault="009C65EC" w:rsidP="00A31747">
      <w:pPr>
        <w:tabs>
          <w:tab w:val="left" w:pos="1134"/>
        </w:tabs>
        <w:spacing w:after="0" w:line="360" w:lineRule="auto"/>
        <w:ind w:firstLine="567"/>
        <w:contextualSpacing/>
        <w:jc w:val="both"/>
        <w:rPr>
          <w:rFonts w:ascii="Myriad Pro" w:hAnsi="Myriad Pro"/>
          <w:sz w:val="26"/>
          <w:szCs w:val="26"/>
        </w:rPr>
      </w:pPr>
      <w:r w:rsidRPr="00C04ABD">
        <w:rPr>
          <w:rFonts w:ascii="Myriad Pro" w:hAnsi="Myriad Pro"/>
          <w:sz w:val="26"/>
          <w:szCs w:val="26"/>
        </w:rPr>
        <w:t>Согласно п.10. величина эффективного уровня ОПР в целях расчета базового уровня ОПР ТСО для расчета долгосрочных параметров регулирования ТСО рассчитывается по формулам (11) или (13) (в зависимости от</w:t>
      </w:r>
      <w:r w:rsidR="00A34CB9" w:rsidRPr="00C04ABD">
        <w:rPr>
          <w:rFonts w:ascii="Myriad Pro" w:hAnsi="Myriad Pro"/>
          <w:sz w:val="26"/>
          <w:szCs w:val="26"/>
        </w:rPr>
        <w:t xml:space="preserve"> </w:t>
      </w:r>
      <w:r w:rsidRPr="00C04ABD">
        <w:rPr>
          <w:rFonts w:ascii="Myriad Pro" w:hAnsi="Myriad Pro"/>
          <w:sz w:val="26"/>
          <w:szCs w:val="26"/>
        </w:rPr>
        <w:t>выполнения</w:t>
      </w:r>
      <w:r w:rsidR="00A34CB9" w:rsidRPr="00C04ABD">
        <w:rPr>
          <w:rFonts w:ascii="Myriad Pro" w:hAnsi="Myriad Pro"/>
          <w:sz w:val="26"/>
          <w:szCs w:val="26"/>
        </w:rPr>
        <w:t>,</w:t>
      </w:r>
      <w:r w:rsidRPr="00C04ABD">
        <w:rPr>
          <w:rFonts w:ascii="Myriad Pro" w:hAnsi="Myriad Pro"/>
          <w:sz w:val="26"/>
          <w:szCs w:val="26"/>
        </w:rPr>
        <w:t xml:space="preserve"> заданного в пункте 10 условия) на основании расчета коэффициента изменения рейтинга эффективности.</w:t>
      </w:r>
    </w:p>
    <w:p w14:paraId="39101ECE" w14:textId="77777777" w:rsidR="009C65EC" w:rsidRPr="00C04ABD" w:rsidRDefault="009C65EC" w:rsidP="00A31747">
      <w:pPr>
        <w:tabs>
          <w:tab w:val="left" w:pos="1134"/>
        </w:tabs>
        <w:ind w:firstLine="567"/>
        <w:jc w:val="center"/>
        <w:rPr>
          <w:rFonts w:ascii="Myriad Pro" w:hAnsi="Myriad Pro"/>
          <w:sz w:val="26"/>
          <w:szCs w:val="26"/>
        </w:rPr>
      </w:pPr>
      <w:r w:rsidRPr="00C04ABD">
        <w:rPr>
          <w:rFonts w:ascii="Myriad Pro" w:hAnsi="Myriad Pro"/>
          <w:noProof/>
          <w:sz w:val="26"/>
          <w:szCs w:val="26"/>
          <w:lang w:eastAsia="ru-RU"/>
        </w:rPr>
        <w:drawing>
          <wp:inline distT="0" distB="0" distL="0" distR="0" wp14:anchorId="4455605A" wp14:editId="1A5E236E">
            <wp:extent cx="1302385" cy="74168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302385" cy="741680"/>
                    </a:xfrm>
                    <a:prstGeom prst="rect">
                      <a:avLst/>
                    </a:prstGeom>
                    <a:noFill/>
                    <a:ln>
                      <a:noFill/>
                    </a:ln>
                  </pic:spPr>
                </pic:pic>
              </a:graphicData>
            </a:graphic>
          </wp:inline>
        </w:drawing>
      </w:r>
      <w:r w:rsidRPr="00C04ABD">
        <w:rPr>
          <w:rFonts w:ascii="Myriad Pro" w:hAnsi="Myriad Pro"/>
          <w:sz w:val="26"/>
          <w:szCs w:val="26"/>
        </w:rPr>
        <w:t xml:space="preserve"> (10),</w:t>
      </w:r>
    </w:p>
    <w:p w14:paraId="3A7AA69E" w14:textId="77777777" w:rsidR="009C65EC" w:rsidRPr="00C04ABD" w:rsidRDefault="009C65EC" w:rsidP="00A31747">
      <w:pPr>
        <w:tabs>
          <w:tab w:val="left" w:pos="1134"/>
        </w:tabs>
        <w:ind w:firstLine="567"/>
        <w:rPr>
          <w:rFonts w:ascii="Myriad Pro" w:hAnsi="Myriad Pro"/>
          <w:sz w:val="26"/>
          <w:szCs w:val="26"/>
        </w:rPr>
      </w:pPr>
      <w:r w:rsidRPr="00C04ABD">
        <w:rPr>
          <w:rFonts w:ascii="Myriad Pro" w:hAnsi="Myriad Pro"/>
          <w:sz w:val="26"/>
          <w:szCs w:val="26"/>
        </w:rPr>
        <w:t>где:</w:t>
      </w:r>
    </w:p>
    <w:p w14:paraId="0E56D6D0" w14:textId="77777777" w:rsidR="009C65EC" w:rsidRPr="00C04ABD" w:rsidRDefault="009C65EC" w:rsidP="00A31747">
      <w:pPr>
        <w:tabs>
          <w:tab w:val="left" w:pos="1134"/>
        </w:tabs>
        <w:ind w:firstLine="567"/>
        <w:rPr>
          <w:rFonts w:ascii="Myriad Pro" w:hAnsi="Myriad Pro"/>
          <w:sz w:val="26"/>
          <w:szCs w:val="26"/>
        </w:rPr>
      </w:pPr>
      <w:r w:rsidRPr="00C04ABD">
        <w:rPr>
          <w:rFonts w:ascii="Myriad Pro" w:hAnsi="Myriad Pro"/>
          <w:noProof/>
          <w:sz w:val="26"/>
          <w:szCs w:val="26"/>
          <w:lang w:eastAsia="ru-RU"/>
        </w:rPr>
        <w:drawing>
          <wp:inline distT="0" distB="0" distL="0" distR="0" wp14:anchorId="2881F86C" wp14:editId="1D240953">
            <wp:extent cx="155575" cy="21590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55575" cy="215900"/>
                    </a:xfrm>
                    <a:prstGeom prst="rect">
                      <a:avLst/>
                    </a:prstGeom>
                    <a:noFill/>
                    <a:ln>
                      <a:noFill/>
                    </a:ln>
                  </pic:spPr>
                </pic:pic>
              </a:graphicData>
            </a:graphic>
          </wp:inline>
        </w:drawing>
      </w:r>
      <w:r w:rsidRPr="00C04ABD">
        <w:rPr>
          <w:rFonts w:ascii="Myriad Pro" w:hAnsi="Myriad Pro"/>
          <w:sz w:val="26"/>
          <w:szCs w:val="26"/>
        </w:rPr>
        <w:t xml:space="preserve"> - коэффициент изменения рейтинга эффективности ТСО n;</w:t>
      </w:r>
    </w:p>
    <w:p w14:paraId="347BB41E" w14:textId="77777777" w:rsidR="009C65EC" w:rsidRPr="00C04ABD" w:rsidRDefault="009C65EC" w:rsidP="00A31747">
      <w:pPr>
        <w:tabs>
          <w:tab w:val="left" w:pos="1134"/>
        </w:tabs>
        <w:ind w:firstLine="567"/>
        <w:rPr>
          <w:rFonts w:ascii="Myriad Pro" w:hAnsi="Myriad Pro"/>
          <w:sz w:val="26"/>
          <w:szCs w:val="26"/>
        </w:rPr>
      </w:pPr>
      <w:r w:rsidRPr="00C04ABD">
        <w:rPr>
          <w:rFonts w:ascii="Myriad Pro" w:hAnsi="Myriad Pro"/>
          <w:sz w:val="26"/>
          <w:szCs w:val="26"/>
        </w:rPr>
        <w:t>m - год, предшествующий периоду регулирования;</w:t>
      </w:r>
    </w:p>
    <w:p w14:paraId="08B9B27A" w14:textId="77777777" w:rsidR="009C65EC" w:rsidRPr="00C04ABD" w:rsidRDefault="009C65EC" w:rsidP="00A31747">
      <w:pPr>
        <w:tabs>
          <w:tab w:val="left" w:pos="1134"/>
        </w:tabs>
        <w:ind w:firstLine="567"/>
        <w:rPr>
          <w:rFonts w:ascii="Myriad Pro" w:hAnsi="Myriad Pro"/>
          <w:sz w:val="26"/>
          <w:szCs w:val="26"/>
        </w:rPr>
      </w:pPr>
      <w:r w:rsidRPr="00C04ABD">
        <w:rPr>
          <w:rFonts w:ascii="Myriad Pro" w:hAnsi="Myriad Pro"/>
          <w:noProof/>
          <w:sz w:val="26"/>
          <w:szCs w:val="26"/>
          <w:lang w:eastAsia="ru-RU"/>
        </w:rPr>
        <w:drawing>
          <wp:inline distT="0" distB="0" distL="0" distR="0" wp14:anchorId="0A867093" wp14:editId="62996C73">
            <wp:extent cx="180975" cy="267335"/>
            <wp:effectExtent l="0" t="0" r="9525" b="0"/>
            <wp:docPr id="451" name="Рисунок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80975" cy="267335"/>
                    </a:xfrm>
                    <a:prstGeom prst="rect">
                      <a:avLst/>
                    </a:prstGeom>
                    <a:noFill/>
                    <a:ln>
                      <a:noFill/>
                    </a:ln>
                  </pic:spPr>
                </pic:pic>
              </a:graphicData>
            </a:graphic>
          </wp:inline>
        </w:drawing>
      </w:r>
      <w:r w:rsidRPr="00C04ABD">
        <w:rPr>
          <w:rFonts w:ascii="Myriad Pro" w:hAnsi="Myriad Pro"/>
          <w:sz w:val="26"/>
          <w:szCs w:val="26"/>
        </w:rPr>
        <w:t xml:space="preserve"> - значение рейтинга эффективности ТСО n в году i.</w:t>
      </w:r>
    </w:p>
    <w:p w14:paraId="5700A20C" w14:textId="77777777" w:rsidR="009C65EC" w:rsidRPr="00C04ABD" w:rsidRDefault="009C65EC" w:rsidP="00A31747">
      <w:pPr>
        <w:tabs>
          <w:tab w:val="left" w:pos="1134"/>
        </w:tabs>
        <w:spacing w:after="0" w:line="360" w:lineRule="auto"/>
        <w:ind w:firstLine="567"/>
        <w:contextualSpacing/>
        <w:jc w:val="both"/>
        <w:rPr>
          <w:rFonts w:ascii="Myriad Pro" w:hAnsi="Myriad Pro"/>
          <w:sz w:val="26"/>
          <w:szCs w:val="26"/>
        </w:rPr>
      </w:pPr>
      <w:r w:rsidRPr="00C04ABD">
        <w:rPr>
          <w:rFonts w:ascii="Myriad Pro" w:hAnsi="Myriad Pro"/>
          <w:sz w:val="26"/>
          <w:szCs w:val="26"/>
        </w:rPr>
        <w:lastRenderedPageBreak/>
        <w:t>Таким образом, для расчета коэффициента изменения рейтинга ТСО необходимо определить значение рейтинга эффективности ТСО в 2012-2016 гг.</w:t>
      </w:r>
    </w:p>
    <w:p w14:paraId="4E559B3F" w14:textId="77777777" w:rsidR="009C65EC" w:rsidRPr="00C04ABD" w:rsidRDefault="009C65EC" w:rsidP="00A31747">
      <w:pPr>
        <w:tabs>
          <w:tab w:val="left" w:pos="1134"/>
        </w:tabs>
        <w:spacing w:after="0" w:line="360" w:lineRule="auto"/>
        <w:ind w:firstLine="567"/>
        <w:contextualSpacing/>
        <w:jc w:val="both"/>
        <w:rPr>
          <w:rFonts w:ascii="Myriad Pro" w:hAnsi="Myriad Pro"/>
          <w:sz w:val="26"/>
          <w:szCs w:val="26"/>
        </w:rPr>
      </w:pPr>
      <w:r w:rsidRPr="00C04ABD">
        <w:rPr>
          <w:rFonts w:ascii="Myriad Pro" w:hAnsi="Myriad Pro"/>
          <w:sz w:val="26"/>
          <w:szCs w:val="26"/>
        </w:rPr>
        <w:t>В соответствии с п. 8 Методических указаний № 421-э ранжирование уровней эффективности сетевой организации, проводится с использованием нормализованных (преобразованных в значения в диапазоне от 0 до 1) удельных показателей, рассчитанных по приведенным в пункте формулам.</w:t>
      </w:r>
    </w:p>
    <w:p w14:paraId="4531A783" w14:textId="77777777" w:rsidR="009C65EC" w:rsidRPr="00C04ABD" w:rsidRDefault="009C65EC" w:rsidP="00A31747">
      <w:pPr>
        <w:tabs>
          <w:tab w:val="left" w:pos="1134"/>
        </w:tabs>
        <w:spacing w:after="0" w:line="360" w:lineRule="auto"/>
        <w:ind w:firstLine="567"/>
        <w:contextualSpacing/>
        <w:jc w:val="both"/>
        <w:rPr>
          <w:rFonts w:ascii="Myriad Pro" w:hAnsi="Myriad Pro"/>
          <w:sz w:val="26"/>
          <w:szCs w:val="26"/>
        </w:rPr>
      </w:pPr>
      <w:r w:rsidRPr="00C04ABD">
        <w:rPr>
          <w:rFonts w:ascii="Myriad Pro" w:hAnsi="Myriad Pro"/>
          <w:sz w:val="26"/>
          <w:szCs w:val="26"/>
        </w:rPr>
        <w:t>Согласно разделу II. Методических указаний №421-э проведение сравнительного анализа ТСО осуществляется на основе собранных данных ФСТ России (п.5). Период сбора данных для определения базового уровня ОПР и индекса эффективности ОПР должен составлять не менее 3-х последних отчетных лет или всего срока существования ТСО, в случае, если ТСО функционирует менее 3-х лет. (п.6).</w:t>
      </w:r>
    </w:p>
    <w:p w14:paraId="1CF42E73" w14:textId="4C013F0D" w:rsidR="009C65EC" w:rsidRPr="00C04ABD" w:rsidRDefault="009C65EC" w:rsidP="00A31747">
      <w:pPr>
        <w:tabs>
          <w:tab w:val="left" w:pos="1134"/>
        </w:tabs>
        <w:spacing w:after="0" w:line="360" w:lineRule="auto"/>
        <w:ind w:firstLine="567"/>
        <w:contextualSpacing/>
        <w:jc w:val="both"/>
        <w:rPr>
          <w:rFonts w:ascii="Myriad Pro" w:hAnsi="Myriad Pro"/>
          <w:sz w:val="26"/>
          <w:szCs w:val="26"/>
        </w:rPr>
      </w:pPr>
      <w:r w:rsidRPr="00C04ABD">
        <w:rPr>
          <w:rFonts w:ascii="Myriad Pro" w:hAnsi="Myriad Pro"/>
          <w:sz w:val="26"/>
          <w:szCs w:val="26"/>
        </w:rPr>
        <w:t xml:space="preserve">Коэффициенты нормализации должны определяться на основании анализа репрезентативной выборки ТСО, в отношении которых осуществляется государственное регулирование тарифов на услуги по передаче электрической энергии, в соответствии с </w:t>
      </w:r>
      <w:hyperlink w:anchor="sub_700" w:history="1">
        <w:r w:rsidRPr="00C04ABD">
          <w:rPr>
            <w:rFonts w:ascii="Myriad Pro" w:hAnsi="Myriad Pro"/>
            <w:bCs/>
            <w:sz w:val="26"/>
            <w:szCs w:val="26"/>
          </w:rPr>
          <w:t>приложением N 7</w:t>
        </w:r>
      </w:hyperlink>
      <w:r w:rsidRPr="00C04ABD">
        <w:rPr>
          <w:rFonts w:ascii="Myriad Pro" w:hAnsi="Myriad Pro"/>
          <w:sz w:val="26"/>
          <w:szCs w:val="26"/>
        </w:rPr>
        <w:t xml:space="preserve"> к настоящим Методическим указаниям, согласно которым приведенные в </w:t>
      </w:r>
      <w:hyperlink w:anchor="sub_200" w:history="1">
        <w:r w:rsidRPr="00C04ABD">
          <w:rPr>
            <w:rFonts w:ascii="Myriad Pro" w:hAnsi="Myriad Pro"/>
            <w:bCs/>
            <w:sz w:val="26"/>
            <w:szCs w:val="26"/>
          </w:rPr>
          <w:t>приложении N 2</w:t>
        </w:r>
      </w:hyperlink>
      <w:r w:rsidRPr="00C04ABD">
        <w:rPr>
          <w:rFonts w:ascii="Myriad Pro" w:hAnsi="Myriad Pro"/>
          <w:sz w:val="26"/>
          <w:szCs w:val="26"/>
        </w:rPr>
        <w:t xml:space="preserve"> к Методическим указаниям коэффициенты нормализации </w:t>
      </w:r>
      <w:r w:rsidRPr="00C04ABD">
        <w:rPr>
          <w:rFonts w:ascii="Myriad Pro" w:hAnsi="Myriad Pro"/>
          <w:noProof/>
          <w:sz w:val="26"/>
          <w:szCs w:val="26"/>
          <w:lang w:eastAsia="ru-RU"/>
        </w:rPr>
        <w:drawing>
          <wp:inline distT="0" distB="0" distL="0" distR="0" wp14:anchorId="32E268B2" wp14:editId="32D7443D">
            <wp:extent cx="1345565" cy="301625"/>
            <wp:effectExtent l="0" t="0" r="0" b="0"/>
            <wp:docPr id="453" name="Рисунок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345565" cy="301625"/>
                    </a:xfrm>
                    <a:prstGeom prst="rect">
                      <a:avLst/>
                    </a:prstGeom>
                    <a:noFill/>
                    <a:ln>
                      <a:noFill/>
                    </a:ln>
                  </pic:spPr>
                </pic:pic>
              </a:graphicData>
            </a:graphic>
          </wp:inline>
        </w:drawing>
      </w:r>
      <w:r w:rsidRPr="00C04ABD">
        <w:rPr>
          <w:rFonts w:ascii="Myriad Pro" w:hAnsi="Myriad Pro"/>
          <w:sz w:val="26"/>
          <w:szCs w:val="26"/>
        </w:rPr>
        <w:t xml:space="preserve"> и </w:t>
      </w:r>
      <w:r w:rsidRPr="00C04ABD">
        <w:rPr>
          <w:rFonts w:ascii="Myriad Pro" w:hAnsi="Myriad Pro"/>
          <w:noProof/>
          <w:sz w:val="26"/>
          <w:szCs w:val="26"/>
          <w:lang w:eastAsia="ru-RU"/>
        </w:rPr>
        <w:drawing>
          <wp:inline distT="0" distB="0" distL="0" distR="0" wp14:anchorId="0761AE42" wp14:editId="4966C223">
            <wp:extent cx="1569720" cy="301625"/>
            <wp:effectExtent l="0" t="0" r="0" b="0"/>
            <wp:docPr id="459" name="Рисунок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569720" cy="301625"/>
                    </a:xfrm>
                    <a:prstGeom prst="rect">
                      <a:avLst/>
                    </a:prstGeom>
                    <a:noFill/>
                    <a:ln>
                      <a:noFill/>
                    </a:ln>
                  </pic:spPr>
                </pic:pic>
              </a:graphicData>
            </a:graphic>
          </wp:inline>
        </w:drawing>
      </w:r>
      <w:r w:rsidR="005643A5" w:rsidRPr="00C04ABD">
        <w:rPr>
          <w:rFonts w:ascii="Myriad Pro" w:hAnsi="Myriad Pro"/>
          <w:sz w:val="26"/>
          <w:szCs w:val="26"/>
        </w:rPr>
        <w:t xml:space="preserve"> для i-го </w:t>
      </w:r>
      <w:r w:rsidRPr="00C04ABD">
        <w:rPr>
          <w:rFonts w:ascii="Myriad Pro" w:hAnsi="Myriad Pro"/>
          <w:sz w:val="26"/>
          <w:szCs w:val="26"/>
        </w:rPr>
        <w:t xml:space="preserve">года рассчитываются на основании всего массива данных о приведенных удельных показателях </w:t>
      </w:r>
      <w:r w:rsidRPr="00C04ABD">
        <w:rPr>
          <w:rFonts w:ascii="Myriad Pro" w:hAnsi="Myriad Pro"/>
          <w:noProof/>
          <w:sz w:val="26"/>
          <w:szCs w:val="26"/>
          <w:lang w:eastAsia="ru-RU"/>
        </w:rPr>
        <w:drawing>
          <wp:inline distT="0" distB="0" distL="0" distR="0" wp14:anchorId="0632A058" wp14:editId="5F3E0B76">
            <wp:extent cx="1380490" cy="370840"/>
            <wp:effectExtent l="0" t="0" r="0" b="0"/>
            <wp:docPr id="460" name="Рисунок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sidRPr="00C04ABD">
        <w:rPr>
          <w:rFonts w:ascii="Myriad Pro" w:hAnsi="Myriad Pro"/>
          <w:sz w:val="26"/>
          <w:szCs w:val="26"/>
        </w:rPr>
        <w:t xml:space="preserve"> TCO в году i, рассчитанных согласно </w:t>
      </w:r>
      <w:hyperlink w:anchor="sub_1009" w:history="1">
        <w:r w:rsidRPr="00C04ABD">
          <w:rPr>
            <w:rFonts w:ascii="Myriad Pro" w:hAnsi="Myriad Pro"/>
            <w:bCs/>
            <w:sz w:val="26"/>
            <w:szCs w:val="26"/>
          </w:rPr>
          <w:t>пункту 9</w:t>
        </w:r>
      </w:hyperlink>
      <w:r w:rsidRPr="00C04ABD">
        <w:rPr>
          <w:rFonts w:ascii="Myriad Pro" w:hAnsi="Myriad Pro"/>
          <w:sz w:val="26"/>
          <w:szCs w:val="26"/>
        </w:rPr>
        <w:t xml:space="preserve"> настоящих Методических указаний. </w:t>
      </w:r>
    </w:p>
    <w:p w14:paraId="5EA6ADCB" w14:textId="6B4AF1BE" w:rsidR="009C65EC" w:rsidRPr="00C04ABD" w:rsidRDefault="009C65EC" w:rsidP="00A31747">
      <w:pPr>
        <w:tabs>
          <w:tab w:val="left" w:pos="1134"/>
        </w:tabs>
        <w:spacing w:after="0" w:line="360" w:lineRule="auto"/>
        <w:ind w:firstLine="567"/>
        <w:contextualSpacing/>
        <w:jc w:val="both"/>
        <w:rPr>
          <w:rFonts w:ascii="Myriad Pro" w:hAnsi="Myriad Pro"/>
          <w:sz w:val="26"/>
          <w:szCs w:val="26"/>
        </w:rPr>
      </w:pPr>
      <w:r w:rsidRPr="00C04ABD">
        <w:rPr>
          <w:rFonts w:ascii="Myriad Pro" w:hAnsi="Myriad Pro"/>
          <w:sz w:val="26"/>
          <w:szCs w:val="26"/>
        </w:rPr>
        <w:t xml:space="preserve">В приложении №2 к Методическим указаниям № 421-э установлены значения коэффициентов нормализации только на 2012, 2013 годы. При этом при определении эффективного уровня ОПР на 2018 г. также должны учитываться коэффициенты нормализации за 2014-2016 гг.  Исполнитель отмечает, что с 12 марта 2015 года вступило в силу постановление Правительства Российской Федерации от 28.02.2015 № 184 </w:t>
      </w:r>
      <w:r w:rsidR="00655FFA" w:rsidRPr="00C04ABD">
        <w:rPr>
          <w:rFonts w:ascii="Myriad Pro" w:hAnsi="Myriad Pro"/>
          <w:sz w:val="26"/>
          <w:szCs w:val="26"/>
        </w:rPr>
        <w:t>«</w:t>
      </w:r>
      <w:r w:rsidRPr="00C04ABD">
        <w:rPr>
          <w:rFonts w:ascii="Myriad Pro" w:hAnsi="Myriad Pro"/>
          <w:sz w:val="26"/>
          <w:szCs w:val="26"/>
        </w:rPr>
        <w:t>Об отнесении владельцев объектов электросетевого хозяйства к территориальным сетевым организациям</w:t>
      </w:r>
      <w:r w:rsidR="00655FFA" w:rsidRPr="00C04ABD">
        <w:rPr>
          <w:rFonts w:ascii="Myriad Pro" w:hAnsi="Myriad Pro"/>
          <w:sz w:val="26"/>
          <w:szCs w:val="26"/>
        </w:rPr>
        <w:t>»</w:t>
      </w:r>
      <w:r w:rsidRPr="00C04ABD">
        <w:rPr>
          <w:rFonts w:ascii="Myriad Pro" w:hAnsi="Myriad Pro"/>
          <w:sz w:val="26"/>
          <w:szCs w:val="26"/>
        </w:rPr>
        <w:t xml:space="preserve">. В соответствии с Постановление № 184 существенно изменился состав ТСО, в </w:t>
      </w:r>
      <w:r w:rsidRPr="00C04ABD">
        <w:rPr>
          <w:rFonts w:ascii="Myriad Pro" w:hAnsi="Myriad Pro"/>
          <w:sz w:val="26"/>
          <w:szCs w:val="26"/>
        </w:rPr>
        <w:lastRenderedPageBreak/>
        <w:t xml:space="preserve">отношении которых осуществляется государственное регулирование тарифов на услуги по передаче электрической энергии, за счет исключения ТСО, не соответствующих критериям. При этом, в связи с упразднением ФСТ России (указ Президента Российской Федерации от 21.07.2015 № 373) отсутствует информация о составе ТСО, участвовавших в репрезентативной выборке ТСО при определении и установлении коэффициентов нормализации на период 2012-2013 гг., в отношении которых осуществлялось государственное регулирование цен (тарифов) на услуги по передаче электрической энергии. ФАС России (приемник ФСТ России) не изменял коэффициенты нормализации с учетом изменения субъектного состава ТСО, осуществляющих регулируемый вид деятельности. </w:t>
      </w:r>
    </w:p>
    <w:p w14:paraId="3B66318B" w14:textId="77777777" w:rsidR="009C65EC" w:rsidRPr="00C04ABD" w:rsidRDefault="009C65EC" w:rsidP="00A31747">
      <w:pPr>
        <w:tabs>
          <w:tab w:val="left" w:pos="1134"/>
        </w:tabs>
        <w:spacing w:after="0" w:line="360" w:lineRule="auto"/>
        <w:ind w:firstLine="567"/>
        <w:contextualSpacing/>
        <w:jc w:val="both"/>
        <w:rPr>
          <w:rFonts w:ascii="Myriad Pro" w:hAnsi="Myriad Pro"/>
          <w:sz w:val="26"/>
          <w:szCs w:val="26"/>
        </w:rPr>
      </w:pPr>
      <w:r w:rsidRPr="00C04ABD">
        <w:rPr>
          <w:rFonts w:ascii="Myriad Pro" w:hAnsi="Myriad Pro"/>
          <w:sz w:val="26"/>
          <w:szCs w:val="26"/>
        </w:rPr>
        <w:t>О</w:t>
      </w:r>
      <w:r w:rsidRPr="00C04ABD">
        <w:rPr>
          <w:rFonts w:ascii="Myriad Pro" w:hAnsi="Myriad Pro"/>
          <w:sz w:val="26"/>
          <w:szCs w:val="26"/>
          <w:u w:val="single"/>
        </w:rPr>
        <w:t>тсутствие установленных коэффициентов нормализации за 2014-2016 гг. ведет к искажению определения рейтинга организации</w:t>
      </w:r>
      <w:r w:rsidRPr="00C04ABD">
        <w:rPr>
          <w:rFonts w:ascii="Myriad Pro" w:hAnsi="Myriad Pro"/>
          <w:sz w:val="26"/>
          <w:szCs w:val="26"/>
        </w:rPr>
        <w:t xml:space="preserve">, так как изменился состав регулируемых ТСО и фактические приведенные удельные показатели </w:t>
      </w:r>
      <w:r w:rsidRPr="00C04ABD">
        <w:rPr>
          <w:rFonts w:ascii="Myriad Pro" w:hAnsi="Myriad Pro"/>
          <w:noProof/>
          <w:sz w:val="26"/>
          <w:szCs w:val="26"/>
          <w:lang w:eastAsia="ru-RU"/>
        </w:rPr>
        <w:drawing>
          <wp:inline distT="0" distB="0" distL="0" distR="0" wp14:anchorId="6A4A903F" wp14:editId="498CADAF">
            <wp:extent cx="1380490" cy="370840"/>
            <wp:effectExtent l="0" t="0" r="0" b="0"/>
            <wp:docPr id="461" name="Рисунок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sidRPr="00C04ABD">
        <w:rPr>
          <w:rFonts w:ascii="Myriad Pro" w:hAnsi="Myriad Pro"/>
          <w:sz w:val="26"/>
          <w:szCs w:val="26"/>
        </w:rPr>
        <w:t xml:space="preserve">за 2014-2016 гг. (а следовательно, фактические расходы и натуральные показатели организации) сравниваются с неизменными с 2013 года приведенными удельными показателями </w:t>
      </w:r>
      <w:r w:rsidRPr="00C04ABD">
        <w:rPr>
          <w:rFonts w:ascii="Myriad Pro" w:hAnsi="Myriad Pro"/>
          <w:noProof/>
          <w:sz w:val="26"/>
          <w:szCs w:val="26"/>
          <w:lang w:eastAsia="ru-RU"/>
        </w:rPr>
        <w:drawing>
          <wp:inline distT="0" distB="0" distL="0" distR="0" wp14:anchorId="34EFE286" wp14:editId="71D2013F">
            <wp:extent cx="1380490" cy="370840"/>
            <wp:effectExtent l="0" t="0" r="0" b="0"/>
            <wp:docPr id="462" name="Рисунок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sidRPr="00C04ABD">
        <w:rPr>
          <w:rFonts w:ascii="Myriad Pro" w:hAnsi="Myriad Pro"/>
          <w:sz w:val="26"/>
          <w:szCs w:val="26"/>
        </w:rPr>
        <w:t xml:space="preserve">(а следовательно, расходами и натуральными показателями) иных ТСО, в отношении которых ранее осуществлялось государственное регулирование тарифов на услуги по передаче электрической энергии, включая организации, которые не соответствуют критериям отнесения владельцев объектов электросетевого хозяйства к территориальным сетевым организациям, утвержденным постановлением Правительства Российской Федерации от 28.02.2015 № 184. Таким образом, удельные показатели иных ТСО, а следовательно, и утвержденные коэффициенты нормализации </w:t>
      </w:r>
      <w:r w:rsidRPr="00C04ABD">
        <w:rPr>
          <w:rFonts w:ascii="Myriad Pro" w:hAnsi="Myriad Pro"/>
          <w:noProof/>
          <w:sz w:val="26"/>
          <w:szCs w:val="26"/>
          <w:lang w:eastAsia="ru-RU"/>
        </w:rPr>
        <w:drawing>
          <wp:inline distT="0" distB="0" distL="0" distR="0" wp14:anchorId="2086D489" wp14:editId="6F944EFA">
            <wp:extent cx="1345565" cy="301625"/>
            <wp:effectExtent l="0" t="0" r="0" b="0"/>
            <wp:docPr id="463" name="Рисунок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345565" cy="301625"/>
                    </a:xfrm>
                    <a:prstGeom prst="rect">
                      <a:avLst/>
                    </a:prstGeom>
                    <a:noFill/>
                    <a:ln>
                      <a:noFill/>
                    </a:ln>
                  </pic:spPr>
                </pic:pic>
              </a:graphicData>
            </a:graphic>
          </wp:inline>
        </w:drawing>
      </w:r>
      <w:r w:rsidRPr="00C04ABD">
        <w:rPr>
          <w:rFonts w:ascii="Myriad Pro" w:hAnsi="Myriad Pro"/>
          <w:sz w:val="26"/>
          <w:szCs w:val="26"/>
        </w:rPr>
        <w:t xml:space="preserve"> и </w:t>
      </w:r>
      <w:r w:rsidRPr="00C04ABD">
        <w:rPr>
          <w:rFonts w:ascii="Myriad Pro" w:hAnsi="Myriad Pro"/>
          <w:noProof/>
          <w:sz w:val="26"/>
          <w:szCs w:val="26"/>
          <w:lang w:eastAsia="ru-RU"/>
        </w:rPr>
        <w:drawing>
          <wp:inline distT="0" distB="0" distL="0" distR="0" wp14:anchorId="27A6CA67" wp14:editId="44AF9561">
            <wp:extent cx="1569720" cy="301625"/>
            <wp:effectExtent l="0" t="0" r="0" b="0"/>
            <wp:docPr id="472" name="Рисунок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569720" cy="301625"/>
                    </a:xfrm>
                    <a:prstGeom prst="rect">
                      <a:avLst/>
                    </a:prstGeom>
                    <a:noFill/>
                    <a:ln>
                      <a:noFill/>
                    </a:ln>
                  </pic:spPr>
                </pic:pic>
              </a:graphicData>
            </a:graphic>
          </wp:inline>
        </w:drawing>
      </w:r>
      <w:r w:rsidRPr="00C04ABD">
        <w:rPr>
          <w:rFonts w:ascii="Myriad Pro" w:hAnsi="Myriad Pro"/>
          <w:sz w:val="26"/>
          <w:szCs w:val="26"/>
        </w:rPr>
        <w:t xml:space="preserve">  на 2012- 2013 годы при их применении будут неизбежно приводить к некорректному определению базового уровня подконтрольных расходов ТСО. Применении указанных показателей на долгосрочный период регулирования в большинстве случаев может повлечь за собой образование значительного объема экономически обоснованных расходов, неучтенных при тарифном регулировании. В </w:t>
      </w:r>
      <w:r w:rsidRPr="00C04ABD">
        <w:rPr>
          <w:rFonts w:ascii="Myriad Pro" w:hAnsi="Myriad Pro"/>
          <w:sz w:val="26"/>
          <w:szCs w:val="26"/>
        </w:rPr>
        <w:lastRenderedPageBreak/>
        <w:t>последующем данные расходы при учете в тарифах на услугах по передаче электрической энергии приведут к существенному росту тарифов на услуги по передаче электрической энергии или банкротству ТСО, что снизит надежность энергоснабжения потребителей.</w:t>
      </w:r>
    </w:p>
    <w:p w14:paraId="5A877171" w14:textId="77777777" w:rsidR="009C65EC" w:rsidRPr="00C04ABD" w:rsidRDefault="009C65EC" w:rsidP="00A31747">
      <w:pPr>
        <w:tabs>
          <w:tab w:val="left" w:pos="1134"/>
        </w:tabs>
        <w:spacing w:after="0" w:line="360" w:lineRule="auto"/>
        <w:ind w:firstLine="567"/>
        <w:contextualSpacing/>
        <w:jc w:val="both"/>
        <w:rPr>
          <w:rFonts w:ascii="Myriad Pro" w:hAnsi="Myriad Pro"/>
          <w:sz w:val="26"/>
          <w:szCs w:val="26"/>
        </w:rPr>
      </w:pPr>
      <w:r w:rsidRPr="00C04ABD">
        <w:rPr>
          <w:rFonts w:ascii="Myriad Pro" w:hAnsi="Myriad Pro"/>
          <w:sz w:val="26"/>
          <w:szCs w:val="26"/>
        </w:rPr>
        <w:t xml:space="preserve">Кроме того, определенный Методическими указаниями № 421-э порядок расчета приведенных показателей ТСО n в году i </w:t>
      </w:r>
      <w:r w:rsidRPr="00C04ABD">
        <w:rPr>
          <w:rFonts w:ascii="Myriad Pro" w:hAnsi="Myriad Pro"/>
          <w:noProof/>
          <w:sz w:val="26"/>
          <w:szCs w:val="26"/>
          <w:lang w:eastAsia="ru-RU"/>
        </w:rPr>
        <w:drawing>
          <wp:inline distT="0" distB="0" distL="0" distR="0" wp14:anchorId="1F027A6A" wp14:editId="3D1EF59F">
            <wp:extent cx="307975" cy="298450"/>
            <wp:effectExtent l="0" t="0" r="0" b="6350"/>
            <wp:docPr id="478" name="Рисунок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307975" cy="298450"/>
                    </a:xfrm>
                    <a:prstGeom prst="rect">
                      <a:avLst/>
                    </a:prstGeom>
                    <a:noFill/>
                    <a:ln>
                      <a:noFill/>
                    </a:ln>
                  </pic:spPr>
                </pic:pic>
              </a:graphicData>
            </a:graphic>
          </wp:inline>
        </w:drawing>
      </w:r>
      <w:r w:rsidRPr="00C04ABD">
        <w:rPr>
          <w:rFonts w:ascii="Myriad Pro" w:hAnsi="Myriad Pro"/>
          <w:sz w:val="26"/>
          <w:szCs w:val="26"/>
        </w:rPr>
        <w:t xml:space="preserve">, </w:t>
      </w:r>
      <w:r w:rsidRPr="00C04ABD">
        <w:rPr>
          <w:rFonts w:ascii="Myriad Pro" w:hAnsi="Myriad Pro"/>
          <w:noProof/>
          <w:sz w:val="26"/>
          <w:szCs w:val="26"/>
          <w:lang w:eastAsia="ru-RU"/>
        </w:rPr>
        <w:drawing>
          <wp:inline distT="0" distB="0" distL="0" distR="0" wp14:anchorId="67C1A8AE" wp14:editId="0B7105D6">
            <wp:extent cx="365760" cy="298450"/>
            <wp:effectExtent l="0" t="0" r="0" b="6350"/>
            <wp:docPr id="477" name="Рисунок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365760" cy="298450"/>
                    </a:xfrm>
                    <a:prstGeom prst="rect">
                      <a:avLst/>
                    </a:prstGeom>
                    <a:noFill/>
                    <a:ln>
                      <a:noFill/>
                    </a:ln>
                  </pic:spPr>
                </pic:pic>
              </a:graphicData>
            </a:graphic>
          </wp:inline>
        </w:drawing>
      </w:r>
      <w:r w:rsidRPr="00C04ABD">
        <w:rPr>
          <w:rFonts w:ascii="Myriad Pro" w:hAnsi="Myriad Pro"/>
          <w:sz w:val="26"/>
          <w:szCs w:val="26"/>
        </w:rPr>
        <w:t xml:space="preserve">, </w:t>
      </w:r>
      <w:r w:rsidRPr="00C04ABD">
        <w:rPr>
          <w:rFonts w:ascii="Myriad Pro" w:hAnsi="Myriad Pro"/>
          <w:noProof/>
          <w:sz w:val="26"/>
          <w:szCs w:val="26"/>
          <w:lang w:eastAsia="ru-RU"/>
        </w:rPr>
        <w:drawing>
          <wp:inline distT="0" distB="0" distL="0" distR="0" wp14:anchorId="09F9A86E" wp14:editId="49BF3497">
            <wp:extent cx="317500" cy="298450"/>
            <wp:effectExtent l="0" t="0" r="6350" b="6350"/>
            <wp:docPr id="476" name="Рисунок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317500" cy="298450"/>
                    </a:xfrm>
                    <a:prstGeom prst="rect">
                      <a:avLst/>
                    </a:prstGeom>
                    <a:noFill/>
                    <a:ln>
                      <a:noFill/>
                    </a:ln>
                  </pic:spPr>
                </pic:pic>
              </a:graphicData>
            </a:graphic>
          </wp:inline>
        </w:drawing>
      </w:r>
      <w:r w:rsidRPr="00C04ABD">
        <w:rPr>
          <w:rFonts w:ascii="Myriad Pro" w:hAnsi="Myriad Pro"/>
          <w:sz w:val="26"/>
          <w:szCs w:val="26"/>
        </w:rPr>
        <w:t xml:space="preserve">, характеризующих отношение фактических операционных (подконтрольных) расходов к фактическим показателям по протяженности линий электропередач, трансформаторной мощности электрооборудования и числу точек присоединения потребителей услуг к электрической сети, не содержит указаний на использование в расчетах значений экономически обоснованных операционных, подконтрольных расходов только в отношении ТСО, действующих на территории только одного субъекта Российской Федерации. </w:t>
      </w:r>
    </w:p>
    <w:p w14:paraId="1917F4FD" w14:textId="0F8A09F9" w:rsidR="009C65EC" w:rsidRPr="00C04ABD" w:rsidRDefault="009C65EC" w:rsidP="00A31747">
      <w:pPr>
        <w:tabs>
          <w:tab w:val="left" w:pos="1134"/>
        </w:tabs>
        <w:spacing w:after="0" w:line="360" w:lineRule="auto"/>
        <w:ind w:firstLine="567"/>
        <w:contextualSpacing/>
        <w:jc w:val="both"/>
        <w:rPr>
          <w:rFonts w:ascii="Myriad Pro" w:hAnsi="Myriad Pro"/>
          <w:sz w:val="26"/>
          <w:szCs w:val="26"/>
        </w:rPr>
      </w:pPr>
      <w:r w:rsidRPr="00C04ABD">
        <w:rPr>
          <w:rFonts w:ascii="Myriad Pro" w:hAnsi="Myriad Pro"/>
          <w:sz w:val="26"/>
          <w:szCs w:val="26"/>
        </w:rPr>
        <w:t xml:space="preserve">Применяемые при расчетах </w:t>
      </w:r>
      <w:r w:rsidR="00655FFA" w:rsidRPr="00C04ABD">
        <w:rPr>
          <w:rFonts w:ascii="Myriad Pro" w:hAnsi="Myriad Pro"/>
          <w:sz w:val="26"/>
          <w:szCs w:val="26"/>
        </w:rPr>
        <w:t>«</w:t>
      </w:r>
      <w:r w:rsidRPr="00C04ABD">
        <w:rPr>
          <w:rFonts w:ascii="Myriad Pro" w:hAnsi="Myriad Pro"/>
          <w:sz w:val="26"/>
          <w:szCs w:val="26"/>
        </w:rPr>
        <w:t>Коэффициент приведения затрат по уровню цен</w:t>
      </w:r>
      <w:r w:rsidR="00655FFA" w:rsidRPr="00C04ABD">
        <w:rPr>
          <w:rFonts w:ascii="Myriad Pro" w:hAnsi="Myriad Pro"/>
          <w:sz w:val="26"/>
          <w:szCs w:val="26"/>
        </w:rPr>
        <w:t>»</w:t>
      </w:r>
      <w:r w:rsidRPr="00C04ABD">
        <w:rPr>
          <w:rFonts w:ascii="Myriad Pro" w:hAnsi="Myriad Pro"/>
          <w:sz w:val="26"/>
          <w:szCs w:val="26"/>
        </w:rPr>
        <w:t xml:space="preserve">, </w:t>
      </w:r>
      <w:r w:rsidR="00655FFA" w:rsidRPr="00C04ABD">
        <w:rPr>
          <w:rFonts w:ascii="Myriad Pro" w:hAnsi="Myriad Pro"/>
          <w:sz w:val="26"/>
          <w:szCs w:val="26"/>
        </w:rPr>
        <w:t>«</w:t>
      </w:r>
      <w:r w:rsidRPr="00C04ABD">
        <w:rPr>
          <w:rFonts w:ascii="Myriad Pro" w:hAnsi="Myriad Pro"/>
          <w:sz w:val="26"/>
          <w:szCs w:val="26"/>
        </w:rPr>
        <w:t>Коэффициент приведения затрат по климатическим условиям</w:t>
      </w:r>
      <w:r w:rsidR="00655FFA" w:rsidRPr="00C04ABD">
        <w:rPr>
          <w:rFonts w:ascii="Myriad Pro" w:hAnsi="Myriad Pro"/>
          <w:sz w:val="26"/>
          <w:szCs w:val="26"/>
        </w:rPr>
        <w:t>»</w:t>
      </w:r>
      <w:r w:rsidRPr="00C04ABD">
        <w:rPr>
          <w:rFonts w:ascii="Myriad Pro" w:hAnsi="Myriad Pro"/>
          <w:sz w:val="26"/>
          <w:szCs w:val="26"/>
        </w:rPr>
        <w:t>, определяемые в отношении конкретного субъекта Российской Федерации, свидетельствуют о приведении значений фактических операционных, подконтрольных затрат ТСО (на основе собранных данных ФСТ России), действующих на всей территории Российской Федерации, к условиям конкретного субъекта Российской Федерации. В противном случае, происходит задвоение учета условий конкретного субъекта Российской Федерации, так как ТСО несут затраты уже в условиях субъекта и приведение их затрат по уровню цен и по климатическим условиям было бы не обосновано.</w:t>
      </w:r>
    </w:p>
    <w:p w14:paraId="6FB67983" w14:textId="77777777" w:rsidR="009C65EC" w:rsidRPr="00C04ABD" w:rsidRDefault="009C65EC" w:rsidP="00A31747">
      <w:pPr>
        <w:tabs>
          <w:tab w:val="left" w:pos="1134"/>
        </w:tabs>
        <w:spacing w:after="0" w:line="360" w:lineRule="auto"/>
        <w:ind w:firstLine="567"/>
        <w:contextualSpacing/>
        <w:jc w:val="both"/>
        <w:rPr>
          <w:rFonts w:ascii="Myriad Pro" w:hAnsi="Myriad Pro"/>
          <w:sz w:val="26"/>
          <w:szCs w:val="26"/>
        </w:rPr>
      </w:pPr>
      <w:r w:rsidRPr="00C04ABD">
        <w:rPr>
          <w:rFonts w:ascii="Myriad Pro" w:hAnsi="Myriad Pro"/>
          <w:sz w:val="26"/>
          <w:szCs w:val="26"/>
        </w:rPr>
        <w:t xml:space="preserve">Кроме того, в приложении № 4 к указанным Методическим указаниям отсутствовали коэффициенты приведения затрат по уровню цен (коэффициент С) по регионам в 2014-2016 гг. (представлены только за 2012-2013 гг.). </w:t>
      </w:r>
    </w:p>
    <w:p w14:paraId="46608D34" w14:textId="77777777" w:rsidR="009C65EC" w:rsidRPr="00C04ABD" w:rsidRDefault="009C65EC" w:rsidP="00A31747">
      <w:pPr>
        <w:tabs>
          <w:tab w:val="left" w:pos="1134"/>
        </w:tabs>
        <w:spacing w:after="0" w:line="360" w:lineRule="auto"/>
        <w:ind w:firstLine="567"/>
        <w:contextualSpacing/>
        <w:jc w:val="both"/>
        <w:rPr>
          <w:rFonts w:ascii="Myriad Pro" w:hAnsi="Myriad Pro"/>
          <w:sz w:val="26"/>
          <w:szCs w:val="26"/>
        </w:rPr>
      </w:pPr>
      <w:r w:rsidRPr="00C04ABD">
        <w:rPr>
          <w:rFonts w:ascii="Myriad Pro" w:hAnsi="Myriad Pro"/>
          <w:sz w:val="26"/>
          <w:szCs w:val="26"/>
        </w:rPr>
        <w:t xml:space="preserve">Указанный коэффициент С используется для расчета приведенных удельных показателей </w:t>
      </w:r>
      <w:r w:rsidRPr="00C04ABD">
        <w:rPr>
          <w:rFonts w:ascii="Myriad Pro" w:hAnsi="Myriad Pro"/>
          <w:noProof/>
          <w:sz w:val="26"/>
          <w:szCs w:val="26"/>
          <w:lang w:eastAsia="ru-RU"/>
        </w:rPr>
        <w:drawing>
          <wp:inline distT="0" distB="0" distL="0" distR="0" wp14:anchorId="47515A46" wp14:editId="17010BF8">
            <wp:extent cx="1380490" cy="370840"/>
            <wp:effectExtent l="0" t="0" r="0" b="0"/>
            <wp:docPr id="473" name="Рисунок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sidRPr="00C04ABD">
        <w:rPr>
          <w:rFonts w:ascii="Myriad Pro" w:hAnsi="Myriad Pro"/>
          <w:sz w:val="26"/>
          <w:szCs w:val="26"/>
        </w:rPr>
        <w:t xml:space="preserve"> согласно формулам (5), (6), (7) соответственно.</w:t>
      </w:r>
    </w:p>
    <w:p w14:paraId="0115CC0D" w14:textId="77777777" w:rsidR="009C65EC" w:rsidRPr="00C04ABD" w:rsidRDefault="009C65EC" w:rsidP="00A31747">
      <w:pPr>
        <w:tabs>
          <w:tab w:val="left" w:pos="1134"/>
        </w:tabs>
        <w:spacing w:after="0" w:line="360" w:lineRule="auto"/>
        <w:ind w:firstLine="567"/>
        <w:contextualSpacing/>
        <w:jc w:val="both"/>
        <w:rPr>
          <w:rFonts w:ascii="Myriad Pro" w:hAnsi="Myriad Pro"/>
          <w:sz w:val="26"/>
          <w:szCs w:val="26"/>
        </w:rPr>
      </w:pPr>
      <w:r w:rsidRPr="00C04ABD">
        <w:rPr>
          <w:rFonts w:ascii="Myriad Pro" w:hAnsi="Myriad Pro"/>
          <w:sz w:val="26"/>
          <w:szCs w:val="26"/>
        </w:rPr>
        <w:t xml:space="preserve">На основании изложенного, Исполнитель считает, что применение метода сравнения аналогов при расчете базового уровня ОПР в отсутствие в </w:t>
      </w:r>
      <w:r w:rsidRPr="00C04ABD">
        <w:rPr>
          <w:rFonts w:ascii="Myriad Pro" w:hAnsi="Myriad Pro"/>
          <w:sz w:val="26"/>
          <w:szCs w:val="26"/>
        </w:rPr>
        <w:lastRenderedPageBreak/>
        <w:t xml:space="preserve">Методических указаниях №421-э установленных коэффициентов нормализации за 2014-2016 гг., коэффициентов приведения затрат по уровню цен за 2014-2016 гг. ведут к искажению эффективного уровня ОПР - </w:t>
      </w:r>
      <w:r w:rsidRPr="00C04ABD">
        <w:rPr>
          <w:rFonts w:ascii="Myriad Pro" w:hAnsi="Myriad Pro"/>
          <w:noProof/>
          <w:sz w:val="26"/>
          <w:szCs w:val="26"/>
          <w:lang w:eastAsia="ru-RU"/>
        </w:rPr>
        <w:drawing>
          <wp:inline distT="0" distB="0" distL="0" distR="0" wp14:anchorId="1E34E916" wp14:editId="6EDEA91C">
            <wp:extent cx="854075" cy="293370"/>
            <wp:effectExtent l="0" t="0" r="0" b="0"/>
            <wp:docPr id="474" name="Рисунок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854075" cy="293370"/>
                    </a:xfrm>
                    <a:prstGeom prst="rect">
                      <a:avLst/>
                    </a:prstGeom>
                    <a:noFill/>
                    <a:ln>
                      <a:noFill/>
                    </a:ln>
                  </pic:spPr>
                </pic:pic>
              </a:graphicData>
            </a:graphic>
          </wp:inline>
        </w:drawing>
      </w:r>
      <w:r w:rsidRPr="00C04ABD">
        <w:rPr>
          <w:rFonts w:ascii="Myriad Pro" w:hAnsi="Myriad Pro"/>
          <w:sz w:val="26"/>
          <w:szCs w:val="26"/>
        </w:rPr>
        <w:t xml:space="preserve">- на 2018 год, следовательно, к искажению базового уровня ОПР - </w:t>
      </w:r>
      <w:r w:rsidRPr="00C04ABD">
        <w:rPr>
          <w:rFonts w:ascii="Myriad Pro" w:hAnsi="Myriad Pro"/>
          <w:noProof/>
          <w:sz w:val="26"/>
          <w:szCs w:val="26"/>
          <w:lang w:eastAsia="ru-RU"/>
        </w:rPr>
        <w:drawing>
          <wp:inline distT="0" distB="0" distL="0" distR="0" wp14:anchorId="6F0A993F" wp14:editId="04A5EC51">
            <wp:extent cx="966470" cy="319405"/>
            <wp:effectExtent l="0" t="0" r="5080" b="0"/>
            <wp:docPr id="475" name="Рисунок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966470" cy="319405"/>
                    </a:xfrm>
                    <a:prstGeom prst="rect">
                      <a:avLst/>
                    </a:prstGeom>
                    <a:noFill/>
                    <a:ln>
                      <a:noFill/>
                    </a:ln>
                  </pic:spPr>
                </pic:pic>
              </a:graphicData>
            </a:graphic>
          </wp:inline>
        </w:drawing>
      </w:r>
      <w:r w:rsidRPr="00C04ABD">
        <w:rPr>
          <w:rFonts w:ascii="Myriad Pro" w:hAnsi="Myriad Pro"/>
          <w:sz w:val="26"/>
          <w:szCs w:val="26"/>
        </w:rPr>
        <w:t>, определяемого в соответствии с п.9 Методических указаний №421-э по формуле (9):</w:t>
      </w:r>
    </w:p>
    <w:p w14:paraId="3C41BF20" w14:textId="77777777" w:rsidR="009C65EC" w:rsidRPr="00C04ABD" w:rsidRDefault="009C65EC" w:rsidP="00A31747">
      <w:pPr>
        <w:tabs>
          <w:tab w:val="left" w:pos="1134"/>
        </w:tabs>
        <w:ind w:firstLine="567"/>
        <w:jc w:val="center"/>
        <w:rPr>
          <w:rFonts w:ascii="Myriad Pro" w:hAnsi="Myriad Pro"/>
          <w:sz w:val="26"/>
          <w:szCs w:val="26"/>
        </w:rPr>
      </w:pPr>
      <w:bookmarkStart w:id="50" w:name="sub_5009"/>
      <w:r w:rsidRPr="00C04ABD">
        <w:rPr>
          <w:rFonts w:ascii="Myriad Pro" w:hAnsi="Myriad Pro"/>
          <w:noProof/>
          <w:sz w:val="26"/>
          <w:szCs w:val="26"/>
          <w:lang w:eastAsia="ru-RU"/>
        </w:rPr>
        <w:drawing>
          <wp:inline distT="0" distB="0" distL="0" distR="0" wp14:anchorId="6C679E97" wp14:editId="5E3BE56A">
            <wp:extent cx="4123690" cy="387985"/>
            <wp:effectExtent l="0" t="0" r="0" b="0"/>
            <wp:docPr id="483" name="Рисунок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123690" cy="387985"/>
                    </a:xfrm>
                    <a:prstGeom prst="rect">
                      <a:avLst/>
                    </a:prstGeom>
                    <a:noFill/>
                    <a:ln>
                      <a:noFill/>
                    </a:ln>
                  </pic:spPr>
                </pic:pic>
              </a:graphicData>
            </a:graphic>
          </wp:inline>
        </w:drawing>
      </w:r>
      <w:r w:rsidRPr="00C04ABD">
        <w:rPr>
          <w:rFonts w:ascii="Myriad Pro" w:hAnsi="Myriad Pro"/>
          <w:sz w:val="26"/>
          <w:szCs w:val="26"/>
        </w:rPr>
        <w:t xml:space="preserve"> (9),</w:t>
      </w:r>
    </w:p>
    <w:bookmarkEnd w:id="50"/>
    <w:p w14:paraId="414E1581" w14:textId="3742A842" w:rsidR="009C65EC" w:rsidRPr="00C04ABD" w:rsidRDefault="009C65EC" w:rsidP="00A31747">
      <w:pPr>
        <w:tabs>
          <w:tab w:val="left" w:pos="1134"/>
        </w:tabs>
        <w:spacing w:after="0" w:line="360" w:lineRule="auto"/>
        <w:ind w:firstLine="567"/>
        <w:contextualSpacing/>
        <w:jc w:val="both"/>
        <w:rPr>
          <w:rFonts w:ascii="Myriad Pro" w:hAnsi="Myriad Pro"/>
          <w:sz w:val="26"/>
          <w:szCs w:val="26"/>
        </w:rPr>
      </w:pPr>
      <w:r w:rsidRPr="00C04ABD">
        <w:rPr>
          <w:rFonts w:ascii="Myriad Pro" w:hAnsi="Myriad Pro"/>
          <w:sz w:val="26"/>
          <w:szCs w:val="26"/>
        </w:rPr>
        <w:t>Кроме того, определением Верховного суда РФ по делу №20-АПГ1б-15 от 17 ноября 2016 г. подтверждена правомерность действий Республиканской службы по тарифам Республики Дагестан по неприменению при расчете ОПР для АО </w:t>
      </w:r>
      <w:r w:rsidR="00655FFA" w:rsidRPr="00C04ABD">
        <w:rPr>
          <w:rFonts w:ascii="Myriad Pro" w:hAnsi="Myriad Pro"/>
          <w:sz w:val="26"/>
          <w:szCs w:val="26"/>
        </w:rPr>
        <w:t>«</w:t>
      </w:r>
      <w:r w:rsidRPr="00C04ABD">
        <w:rPr>
          <w:rFonts w:ascii="Myriad Pro" w:hAnsi="Myriad Pro"/>
          <w:sz w:val="26"/>
          <w:szCs w:val="26"/>
        </w:rPr>
        <w:t>Дагестанская сетевая компания</w:t>
      </w:r>
      <w:r w:rsidR="00655FFA" w:rsidRPr="00C04ABD">
        <w:rPr>
          <w:rFonts w:ascii="Myriad Pro" w:hAnsi="Myriad Pro"/>
          <w:sz w:val="26"/>
          <w:szCs w:val="26"/>
        </w:rPr>
        <w:t>»</w:t>
      </w:r>
      <w:r w:rsidRPr="00C04ABD">
        <w:rPr>
          <w:rFonts w:ascii="Myriad Pro" w:hAnsi="Myriad Pro"/>
          <w:sz w:val="26"/>
          <w:szCs w:val="26"/>
        </w:rPr>
        <w:t xml:space="preserve"> на 2016 год метода сравнения аналогов, в том числе в связи с отсутствием в приложении № 2 к Методическим указаниям </w:t>
      </w:r>
      <w:r w:rsidR="00A54C03">
        <w:rPr>
          <w:rFonts w:ascii="Myriad Pro" w:hAnsi="Myriad Pro"/>
          <w:sz w:val="26"/>
          <w:szCs w:val="26"/>
        </w:rPr>
        <w:br/>
      </w:r>
      <w:r w:rsidRPr="00C04ABD">
        <w:rPr>
          <w:rFonts w:ascii="Myriad Pro" w:hAnsi="Myriad Pro"/>
          <w:sz w:val="26"/>
          <w:szCs w:val="26"/>
        </w:rPr>
        <w:t>№ 421-э необходимых для расчета по формуле коэффициентов нормализации, равно как в приложении № 4 к указанными Методическим указаниям - коэффициентов приведения затрат по уровню цен. Как указывает Служба по тарифам, использование метода сравнения аналогов в таком случае привело бы к недополучению обществом значительной части необходимой валовой выручки. В связи с этим расчет базового уровня подконтрольных расходов в целом произведен методом экономически обоснованных расходов (затрат).</w:t>
      </w:r>
    </w:p>
    <w:p w14:paraId="6B9BC3DC" w14:textId="77777777" w:rsidR="009C65EC" w:rsidRPr="00C04ABD" w:rsidRDefault="009C65EC" w:rsidP="00A31747">
      <w:pPr>
        <w:tabs>
          <w:tab w:val="left" w:pos="1134"/>
        </w:tabs>
        <w:spacing w:after="0" w:line="360" w:lineRule="auto"/>
        <w:ind w:firstLine="567"/>
        <w:contextualSpacing/>
        <w:jc w:val="both"/>
        <w:rPr>
          <w:rFonts w:ascii="Myriad Pro" w:hAnsi="Myriad Pro"/>
          <w:sz w:val="26"/>
          <w:szCs w:val="26"/>
        </w:rPr>
      </w:pPr>
      <w:r w:rsidRPr="00C04ABD">
        <w:rPr>
          <w:rFonts w:ascii="Myriad Pro" w:hAnsi="Myriad Pro"/>
          <w:sz w:val="26"/>
          <w:szCs w:val="26"/>
        </w:rPr>
        <w:t xml:space="preserve">Таким образом, судебным органом установлена правомерность неприменения метода сравнения аналогов при отсутствии установленных в Методических указаниях №421-э значений коэффициентов: </w:t>
      </w:r>
      <w:r w:rsidRPr="00C04ABD">
        <w:rPr>
          <w:rFonts w:ascii="Myriad Pro" w:hAnsi="Myriad Pro"/>
          <w:noProof/>
          <w:sz w:val="26"/>
          <w:szCs w:val="26"/>
          <w:lang w:eastAsia="ru-RU"/>
        </w:rPr>
        <w:drawing>
          <wp:inline distT="0" distB="0" distL="0" distR="0" wp14:anchorId="3ADCF657" wp14:editId="49E3317C">
            <wp:extent cx="1345565" cy="301625"/>
            <wp:effectExtent l="0" t="0" r="0" b="0"/>
            <wp:docPr id="484" name="Рисунок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345565" cy="301625"/>
                    </a:xfrm>
                    <a:prstGeom prst="rect">
                      <a:avLst/>
                    </a:prstGeom>
                    <a:noFill/>
                    <a:ln>
                      <a:noFill/>
                    </a:ln>
                  </pic:spPr>
                </pic:pic>
              </a:graphicData>
            </a:graphic>
          </wp:inline>
        </w:drawing>
      </w:r>
      <w:r w:rsidRPr="00C04ABD">
        <w:rPr>
          <w:rFonts w:ascii="Myriad Pro" w:hAnsi="Myriad Pro"/>
          <w:sz w:val="26"/>
          <w:szCs w:val="26"/>
        </w:rPr>
        <w:t xml:space="preserve"> и </w:t>
      </w:r>
      <w:r w:rsidRPr="00C04ABD">
        <w:rPr>
          <w:rFonts w:ascii="Myriad Pro" w:hAnsi="Myriad Pro"/>
          <w:noProof/>
          <w:sz w:val="26"/>
          <w:szCs w:val="26"/>
          <w:lang w:eastAsia="ru-RU"/>
        </w:rPr>
        <w:drawing>
          <wp:inline distT="0" distB="0" distL="0" distR="0" wp14:anchorId="2BEE3FA2" wp14:editId="6E0BFEAB">
            <wp:extent cx="1569720" cy="301625"/>
            <wp:effectExtent l="0" t="0" r="0" b="0"/>
            <wp:docPr id="485" name="Рисунок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569720" cy="301625"/>
                    </a:xfrm>
                    <a:prstGeom prst="rect">
                      <a:avLst/>
                    </a:prstGeom>
                    <a:noFill/>
                    <a:ln>
                      <a:noFill/>
                    </a:ln>
                  </pic:spPr>
                </pic:pic>
              </a:graphicData>
            </a:graphic>
          </wp:inline>
        </w:drawing>
      </w:r>
      <w:r w:rsidRPr="00C04ABD">
        <w:rPr>
          <w:rFonts w:ascii="Myriad Pro" w:hAnsi="Myriad Pro"/>
          <w:sz w:val="26"/>
          <w:szCs w:val="26"/>
        </w:rPr>
        <w:t xml:space="preserve">, коэффициента </w:t>
      </w:r>
      <w:r w:rsidRPr="00C04ABD">
        <w:rPr>
          <w:rFonts w:ascii="Myriad Pro" w:hAnsi="Myriad Pro"/>
          <w:noProof/>
          <w:sz w:val="26"/>
          <w:szCs w:val="26"/>
          <w:lang w:eastAsia="ru-RU"/>
        </w:rPr>
        <w:drawing>
          <wp:inline distT="0" distB="0" distL="0" distR="0" wp14:anchorId="5D35D7A3" wp14:editId="759E693E">
            <wp:extent cx="276225" cy="370840"/>
            <wp:effectExtent l="0" t="0" r="0" b="0"/>
            <wp:docPr id="486" name="Рисунок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76225" cy="370840"/>
                    </a:xfrm>
                    <a:prstGeom prst="rect">
                      <a:avLst/>
                    </a:prstGeom>
                    <a:noFill/>
                    <a:ln>
                      <a:noFill/>
                    </a:ln>
                  </pic:spPr>
                </pic:pic>
              </a:graphicData>
            </a:graphic>
          </wp:inline>
        </w:drawing>
      </w:r>
      <w:r w:rsidRPr="00C04ABD">
        <w:rPr>
          <w:rFonts w:ascii="Myriad Pro" w:hAnsi="Myriad Pro"/>
          <w:sz w:val="26"/>
          <w:szCs w:val="26"/>
        </w:rPr>
        <w:t>.</w:t>
      </w:r>
    </w:p>
    <w:p w14:paraId="51B5D27F" w14:textId="77777777" w:rsidR="009C65EC" w:rsidRPr="00C04ABD" w:rsidRDefault="009C65EC" w:rsidP="004D5A32">
      <w:pPr>
        <w:pStyle w:val="pcenter"/>
        <w:tabs>
          <w:tab w:val="left" w:pos="1134"/>
        </w:tabs>
        <w:spacing w:before="0" w:beforeAutospacing="0" w:after="0" w:afterAutospacing="0" w:line="360" w:lineRule="auto"/>
        <w:ind w:firstLine="567"/>
        <w:jc w:val="both"/>
        <w:rPr>
          <w:rFonts w:ascii="Myriad Pro" w:hAnsi="Myriad Pro" w:cs="Arial"/>
          <w:b/>
          <w:bCs/>
          <w:sz w:val="26"/>
          <w:szCs w:val="26"/>
        </w:rPr>
      </w:pPr>
      <w:r w:rsidRPr="00C04ABD">
        <w:rPr>
          <w:rFonts w:ascii="Myriad Pro" w:hAnsi="Myriad Pro"/>
          <w:sz w:val="26"/>
          <w:szCs w:val="26"/>
        </w:rPr>
        <w:t xml:space="preserve">Дополнительно, пунктом 13 Методических указаний № 421-э предусмотрено, что если в соответствии с представленными данными значение фактических операционных расходов территориальной сетевой организации за один год из двух лет, предшествующих периоду регулирования, превышает значение операционных, подконтрольных расходов, установленное органом регулирования для такой организации на соответствующий год, более чем на </w:t>
      </w:r>
      <w:r w:rsidRPr="00C04ABD">
        <w:rPr>
          <w:rFonts w:ascii="Myriad Pro" w:hAnsi="Myriad Pro"/>
          <w:sz w:val="26"/>
          <w:szCs w:val="26"/>
        </w:rPr>
        <w:lastRenderedPageBreak/>
        <w:t>количество процентов, определяемых по формуле 14 названных методических указаний, установление базового уровня таких расходов осуществляется в соответствии с действующим для данной организации долгосрочным методом регулирования (</w:t>
      </w:r>
      <w:r w:rsidRPr="00C04ABD">
        <w:rPr>
          <w:rFonts w:ascii="Myriad Pro" w:hAnsi="Myriad Pro" w:cs="Arial"/>
          <w:sz w:val="26"/>
          <w:szCs w:val="26"/>
        </w:rPr>
        <w:t xml:space="preserve">апелляционное определение </w:t>
      </w:r>
      <w:r w:rsidRPr="00C04ABD">
        <w:rPr>
          <w:rFonts w:ascii="Myriad Pro" w:hAnsi="Myriad Pro"/>
          <w:sz w:val="26"/>
          <w:szCs w:val="26"/>
        </w:rPr>
        <w:t xml:space="preserve"> </w:t>
      </w:r>
      <w:r w:rsidRPr="00C04ABD">
        <w:rPr>
          <w:rFonts w:ascii="Myriad Pro" w:hAnsi="Myriad Pro" w:cs="Arial"/>
          <w:sz w:val="26"/>
          <w:szCs w:val="26"/>
        </w:rPr>
        <w:t>Верховного Суда Российской Федерации от 28 февраля 2018 г. № 49-АПГ18-2). Следовательно, в случае превышения фактических операционных, подконтрольных расходов над утвержденными в тарифах на 25,7 %, возможно применение положений данного пункта и установления базового уровня подконтрольных расходов методом экономически обоснованных затрат.</w:t>
      </w:r>
    </w:p>
    <w:p w14:paraId="47592A7A" w14:textId="5006E898" w:rsidR="009C65EC" w:rsidRPr="00C04ABD" w:rsidRDefault="009C65EC" w:rsidP="00A31747">
      <w:pPr>
        <w:pStyle w:val="pcenter"/>
        <w:tabs>
          <w:tab w:val="left" w:pos="1134"/>
        </w:tabs>
        <w:spacing w:before="0" w:beforeAutospacing="0" w:after="0" w:line="360" w:lineRule="auto"/>
        <w:ind w:firstLine="567"/>
        <w:jc w:val="both"/>
        <w:rPr>
          <w:rFonts w:ascii="Myriad Pro" w:hAnsi="Myriad Pro" w:cs="Arial"/>
          <w:b/>
          <w:bCs/>
          <w:sz w:val="26"/>
          <w:szCs w:val="26"/>
        </w:rPr>
      </w:pPr>
      <w:r w:rsidRPr="00C04ABD">
        <w:rPr>
          <w:rFonts w:ascii="Myriad Pro" w:hAnsi="Myriad Pro" w:cs="Arial"/>
          <w:sz w:val="26"/>
          <w:szCs w:val="26"/>
        </w:rPr>
        <w:t xml:space="preserve">Учитывая вышеизложенные факты, </w:t>
      </w:r>
      <w:r w:rsidRPr="00BF5784">
        <w:rPr>
          <w:rFonts w:ascii="Myriad Pro" w:hAnsi="Myriad Pro" w:cs="Arial"/>
          <w:b/>
          <w:sz w:val="26"/>
          <w:szCs w:val="26"/>
          <w:u w:val="single"/>
        </w:rPr>
        <w:t>Исполнитель считает целесообразным в отношении определения базового уровня подконтрольных расходов применение только метода экономически обоснованных затрат, до</w:t>
      </w:r>
      <w:r w:rsidRPr="00C04ABD">
        <w:rPr>
          <w:rFonts w:ascii="Myriad Pro" w:hAnsi="Myriad Pro" w:cs="Arial"/>
          <w:sz w:val="26"/>
          <w:szCs w:val="26"/>
        </w:rPr>
        <w:t xml:space="preserve"> внесения изменений в методические указания, соответ</w:t>
      </w:r>
      <w:r w:rsidR="005643A5" w:rsidRPr="00C04ABD">
        <w:rPr>
          <w:rFonts w:ascii="Myriad Pro" w:hAnsi="Myriad Pro" w:cs="Arial"/>
          <w:sz w:val="26"/>
          <w:szCs w:val="26"/>
        </w:rPr>
        <w:t xml:space="preserve">ствующие методические указания </w:t>
      </w:r>
      <w:r w:rsidRPr="00C04ABD">
        <w:rPr>
          <w:rFonts w:ascii="Myriad Pro" w:hAnsi="Myriad Pro" w:cs="Arial"/>
          <w:sz w:val="26"/>
          <w:szCs w:val="26"/>
        </w:rPr>
        <w:t>по расчету необходимой валовой выручки ТСО.</w:t>
      </w:r>
    </w:p>
    <w:p w14:paraId="42BF6A14" w14:textId="77777777" w:rsidR="009C65EC" w:rsidRPr="00FB0A3A" w:rsidRDefault="009C65EC" w:rsidP="00A31747">
      <w:pPr>
        <w:tabs>
          <w:tab w:val="left" w:pos="1134"/>
        </w:tabs>
        <w:spacing w:after="0" w:line="360" w:lineRule="auto"/>
        <w:ind w:firstLine="567"/>
        <w:jc w:val="both"/>
        <w:rPr>
          <w:rFonts w:ascii="Myriad Pro" w:eastAsia="Times New Roman" w:hAnsi="Myriad Pro"/>
          <w:sz w:val="26"/>
          <w:szCs w:val="26"/>
          <w:lang w:eastAsia="ru-RU"/>
        </w:rPr>
      </w:pPr>
      <w:r w:rsidRPr="00C04ABD">
        <w:rPr>
          <w:rFonts w:ascii="Myriad Pro" w:hAnsi="Myriad Pro" w:cs="Arial"/>
          <w:sz w:val="26"/>
          <w:szCs w:val="26"/>
        </w:rPr>
        <w:t>Согласно пункту 38 Основ ценообразования № 1178 т</w:t>
      </w:r>
      <w:r w:rsidRPr="00C04ABD">
        <w:rPr>
          <w:rFonts w:ascii="Myriad Pro" w:eastAsia="Times New Roman" w:hAnsi="Myriad Pro"/>
          <w:sz w:val="26"/>
          <w:szCs w:val="26"/>
          <w:lang w:eastAsia="ru-RU"/>
        </w:rPr>
        <w:t xml:space="preserve">арифы на услуги 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утверждаемыми Федеральной антимонопольной службой, на основании долгосрочных параметров регулирования, включая индекс эффективности подконтрольных расходов. Учитывая, что индекс эффективности рассчитывается с учетом рейтинга эффективности ТСО, который как указано выше, некорректно применять в действующей редакции Методических указаний № 421-э, а также тот факт, что Основами ценообразования № 1178 не предусмотрен иной алгоритм (вариант) определения индекса эффективности операционных, подконтрольных расходов, Исполнитель считает целесообразным устанавливать и применять индекс в размере 1%, как наименьшее значение. </w:t>
      </w:r>
    </w:p>
    <w:p w14:paraId="2FDBD71F" w14:textId="77777777" w:rsidR="008813B1" w:rsidRPr="00FB0A3A" w:rsidRDefault="008813B1" w:rsidP="00A31747">
      <w:pPr>
        <w:tabs>
          <w:tab w:val="left" w:pos="1134"/>
        </w:tabs>
        <w:spacing w:after="0" w:line="360" w:lineRule="auto"/>
        <w:ind w:firstLine="567"/>
        <w:contextualSpacing/>
        <w:jc w:val="both"/>
        <w:rPr>
          <w:rFonts w:ascii="Myriad Pro" w:eastAsia="Calibri" w:hAnsi="Myriad Pro" w:cs="Times New Roman"/>
          <w:sz w:val="26"/>
          <w:szCs w:val="26"/>
        </w:rPr>
      </w:pPr>
    </w:p>
    <w:p w14:paraId="2B0C1DB9" w14:textId="4E63705E" w:rsidR="003957EB" w:rsidRPr="002D6C17" w:rsidRDefault="008E15A7" w:rsidP="008E15A7">
      <w:pPr>
        <w:pStyle w:val="3"/>
        <w:numPr>
          <w:ilvl w:val="1"/>
          <w:numId w:val="67"/>
        </w:numPr>
        <w:spacing w:line="360" w:lineRule="auto"/>
        <w:jc w:val="both"/>
        <w:rPr>
          <w:rFonts w:ascii="Myriad Pro" w:hAnsi="Myriad Pro"/>
          <w:b/>
          <w:color w:val="4F6228" w:themeColor="accent3" w:themeShade="80"/>
          <w:sz w:val="28"/>
          <w:szCs w:val="28"/>
        </w:rPr>
      </w:pPr>
      <w:r>
        <w:rPr>
          <w:rFonts w:ascii="Myriad Pro" w:hAnsi="Myriad Pro"/>
          <w:b/>
          <w:color w:val="4F6228" w:themeColor="accent3" w:themeShade="80"/>
          <w:sz w:val="28"/>
          <w:szCs w:val="28"/>
        </w:rPr>
        <w:lastRenderedPageBreak/>
        <w:t xml:space="preserve"> </w:t>
      </w:r>
      <w:bookmarkStart w:id="51" w:name="_Toc40797961"/>
      <w:r w:rsidR="00927E4E" w:rsidRPr="002D6C17">
        <w:rPr>
          <w:rFonts w:ascii="Myriad Pro" w:hAnsi="Myriad Pro"/>
          <w:b/>
          <w:color w:val="4F6228" w:themeColor="accent3" w:themeShade="80"/>
          <w:sz w:val="28"/>
          <w:szCs w:val="28"/>
        </w:rPr>
        <w:t>Показатели</w:t>
      </w:r>
      <w:r w:rsidR="003957EB" w:rsidRPr="002D6C17">
        <w:rPr>
          <w:rFonts w:ascii="Myriad Pro" w:hAnsi="Myriad Pro"/>
          <w:b/>
          <w:color w:val="4F6228" w:themeColor="accent3" w:themeShade="80"/>
          <w:sz w:val="28"/>
          <w:szCs w:val="28"/>
        </w:rPr>
        <w:t xml:space="preserve"> уровня надежности и качества услуг</w:t>
      </w:r>
      <w:bookmarkEnd w:id="51"/>
    </w:p>
    <w:p w14:paraId="2EC286E9" w14:textId="77777777" w:rsidR="002776EC" w:rsidRPr="00FB0A3A" w:rsidRDefault="002776EC"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В соответствии с п. 8 Основ ценообразования регулирующие органы устанавливают уровень надежности и качества реализуемых товаров (услуг) для электросетевых организаций в соответствии с методическими указаниями по расчету уровня надежности и качества реализуемых товаров (услуг), утверждаемыми Министерством энергетики Российской Федерации по согласованию с Федеральной антимонопольной службой и Министерством экономического развития Российской Федерации.</w:t>
      </w:r>
    </w:p>
    <w:p w14:paraId="77BE71A8" w14:textId="77777777" w:rsidR="002776EC" w:rsidRPr="00FB0A3A" w:rsidRDefault="002776EC"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Приказом Минэнерго России от 29.11.2016 № 1256 утверждены Методические указания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(далее Методические указания № 1256).</w:t>
      </w:r>
    </w:p>
    <w:p w14:paraId="601B3224" w14:textId="77777777" w:rsidR="002776EC" w:rsidRPr="00FB0A3A" w:rsidRDefault="002776EC"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В соответствии с пунктом 2.2.1 Методических указаний № 1256 уровень надежности оказываемых услуг определяется средней продолжительностью прекращения передачи электрической энергии потребителям услуг сетевой организации и средней частотой прекращения передачи электрической энергии потребителям услуг сетевой организации в течение расчетного периода регулирования.</w:t>
      </w:r>
    </w:p>
    <w:p w14:paraId="0E5F6F84" w14:textId="77777777" w:rsidR="002776EC" w:rsidRPr="00FB0A3A" w:rsidRDefault="002776EC" w:rsidP="00A31747">
      <w:pPr>
        <w:tabs>
          <w:tab w:val="left" w:pos="1134"/>
        </w:tabs>
        <w:spacing w:after="1" w:line="360" w:lineRule="auto"/>
        <w:ind w:firstLine="567"/>
        <w:jc w:val="both"/>
        <w:rPr>
          <w:rFonts w:ascii="Myriad Pro" w:eastAsia="Calibri" w:hAnsi="Myriad Pro" w:cs="Times New Roman"/>
          <w:sz w:val="26"/>
          <w:szCs w:val="26"/>
        </w:rPr>
      </w:pPr>
      <w:r w:rsidRPr="00FB0A3A">
        <w:rPr>
          <w:rFonts w:ascii="Myriad Pro" w:eastAsia="Calibri" w:hAnsi="Myriad Pro" w:cs="Times New Roman"/>
          <w:sz w:val="26"/>
          <w:szCs w:val="26"/>
        </w:rPr>
        <w:t>Согласно пункту 3.3.1 Методических указаний №1256 для целей использования при государственном регулировании тарифов на услуги по передаче электрической энергии уровень качества оказываемых услуг организации территориальных сетевых организаций определяется показателем уровня качества осуществляемого технологического присоединения к сети.</w:t>
      </w:r>
    </w:p>
    <w:p w14:paraId="7E45C5A9" w14:textId="3C28B24F" w:rsidR="002776EC" w:rsidRPr="00FB0A3A" w:rsidRDefault="002776EC" w:rsidP="00A31747">
      <w:pPr>
        <w:tabs>
          <w:tab w:val="left" w:pos="1134"/>
        </w:tabs>
        <w:spacing w:after="0" w:line="360" w:lineRule="auto"/>
        <w:ind w:firstLine="567"/>
        <w:jc w:val="both"/>
        <w:rPr>
          <w:rFonts w:ascii="Myriad Pro" w:eastAsia="Calibri" w:hAnsi="Myriad Pro" w:cs="Times New Roman"/>
          <w:sz w:val="26"/>
          <w:szCs w:val="26"/>
        </w:rPr>
      </w:pPr>
      <w:r w:rsidRPr="00FB0A3A">
        <w:rPr>
          <w:rFonts w:ascii="Myriad Pro" w:eastAsia="Calibri" w:hAnsi="Myriad Pro" w:cs="Times New Roman"/>
          <w:sz w:val="26"/>
          <w:szCs w:val="26"/>
        </w:rPr>
        <w:t xml:space="preserve">Пунктом 4.1.1 Методических указаний №1256 предусмотрено, что для первого расчетного периода регулирования в долгосрочном периоде регулирования, на который устанавливаются плановые значения показателей уровня надежности и качества оказываемых услуг, начинающиеся с 2018 года и позднее плановые значения определяются как минимальное значение из фактических значений показателей уровня надежности и качества оказываемых услуг в последнем отчетном периоде регулирования и средних фактических </w:t>
      </w:r>
      <w:r w:rsidRPr="00FB0A3A">
        <w:rPr>
          <w:rFonts w:ascii="Myriad Pro" w:eastAsia="Calibri" w:hAnsi="Myriad Pro" w:cs="Times New Roman"/>
          <w:sz w:val="26"/>
          <w:szCs w:val="26"/>
        </w:rPr>
        <w:lastRenderedPageBreak/>
        <w:t>значений показателей уровня надежности и качества оказываемых услуг за предыдущие расчетные периоды регулирования в пределах долгосрочного периода регулирования, суммарно не более трех, по которым имеются отчетные данные на момент установления плановых значений на следующий долгосрочный период регулирования, с применением темпа улучшения показателей надежности и качества услуг.</w:t>
      </w:r>
    </w:p>
    <w:p w14:paraId="55BCD2C3" w14:textId="1A04782B" w:rsidR="002776EC" w:rsidRPr="00FB0A3A" w:rsidRDefault="00376CB9" w:rsidP="00A31747">
      <w:pPr>
        <w:tabs>
          <w:tab w:val="left" w:pos="1134"/>
        </w:tabs>
        <w:spacing w:after="0" w:line="360" w:lineRule="auto"/>
        <w:ind w:firstLine="567"/>
        <w:jc w:val="both"/>
        <w:rPr>
          <w:rFonts w:ascii="Myriad Pro" w:eastAsia="Calibri" w:hAnsi="Myriad Pro" w:cs="Times New Roman"/>
          <w:sz w:val="26"/>
          <w:szCs w:val="26"/>
        </w:rPr>
      </w:pPr>
      <w:r w:rsidRPr="00FB0A3A">
        <w:rPr>
          <w:rFonts w:ascii="Myriad Pro" w:eastAsia="Calibri" w:hAnsi="Myriad Pro" w:cs="Times New Roman"/>
          <w:sz w:val="26"/>
          <w:szCs w:val="26"/>
        </w:rPr>
        <w:t xml:space="preserve">Подпунктом </w:t>
      </w:r>
      <w:r w:rsidR="00655FFA" w:rsidRPr="00FB0A3A">
        <w:rPr>
          <w:rFonts w:ascii="Myriad Pro" w:eastAsia="Calibri" w:hAnsi="Myriad Pro" w:cs="Times New Roman"/>
          <w:sz w:val="26"/>
          <w:szCs w:val="26"/>
        </w:rPr>
        <w:t>«</w:t>
      </w:r>
      <w:r w:rsidR="00762F8E" w:rsidRPr="00FB0A3A">
        <w:rPr>
          <w:rFonts w:ascii="Myriad Pro" w:eastAsia="Calibri" w:hAnsi="Myriad Pro" w:cs="Times New Roman"/>
          <w:sz w:val="26"/>
          <w:szCs w:val="26"/>
        </w:rPr>
        <w:t>б</w:t>
      </w:r>
      <w:r w:rsidR="00655FFA" w:rsidRPr="00FB0A3A">
        <w:rPr>
          <w:rFonts w:ascii="Myriad Pro" w:eastAsia="Calibri" w:hAnsi="Myriad Pro" w:cs="Times New Roman"/>
          <w:sz w:val="26"/>
          <w:szCs w:val="26"/>
        </w:rPr>
        <w:t>»</w:t>
      </w:r>
      <w:r w:rsidR="00762F8E" w:rsidRPr="00FB0A3A">
        <w:rPr>
          <w:rFonts w:ascii="Myriad Pro" w:eastAsia="Calibri" w:hAnsi="Myriad Pro" w:cs="Times New Roman"/>
          <w:sz w:val="26"/>
          <w:szCs w:val="26"/>
        </w:rPr>
        <w:t xml:space="preserve"> пункта 4.1.1 </w:t>
      </w:r>
      <w:r w:rsidR="002776EC" w:rsidRPr="00FB0A3A">
        <w:rPr>
          <w:rFonts w:ascii="Myriad Pro" w:eastAsia="Calibri" w:hAnsi="Myriad Pro" w:cs="Times New Roman"/>
          <w:sz w:val="26"/>
          <w:szCs w:val="26"/>
        </w:rPr>
        <w:t>Методических указаний №1256 для второго и последующих расчетных периодов регулирования долгосрочного периода регулирования плановые значения показателей надежности и качества услуг определяются по следующей формуле:</w:t>
      </w:r>
    </w:p>
    <w:p w14:paraId="219C6BE6" w14:textId="77777777" w:rsidR="002776EC" w:rsidRPr="00FB0A3A" w:rsidRDefault="002776EC" w:rsidP="00A31747">
      <w:pPr>
        <w:tabs>
          <w:tab w:val="left" w:pos="1134"/>
        </w:tabs>
        <w:spacing w:after="0" w:line="360" w:lineRule="auto"/>
        <w:ind w:firstLine="567"/>
        <w:jc w:val="center"/>
        <w:rPr>
          <w:rFonts w:ascii="Myriad Pro" w:eastAsia="Calibri" w:hAnsi="Myriad Pro" w:cs="Times New Roman"/>
          <w:sz w:val="26"/>
          <w:szCs w:val="26"/>
        </w:rPr>
      </w:pPr>
      <w:bookmarkStart w:id="52" w:name="P350"/>
      <w:bookmarkEnd w:id="52"/>
      <w:r w:rsidRPr="00FB0A3A">
        <w:rPr>
          <w:rFonts w:ascii="Myriad Pro" w:eastAsia="Calibri" w:hAnsi="Myriad Pro" w:cs="Times New Roman"/>
          <w:noProof/>
          <w:sz w:val="26"/>
          <w:szCs w:val="26"/>
          <w:lang w:eastAsia="ru-RU"/>
        </w:rPr>
        <w:drawing>
          <wp:inline distT="0" distB="0" distL="0" distR="0" wp14:anchorId="34889B3D" wp14:editId="77B848F3">
            <wp:extent cx="1383665" cy="278130"/>
            <wp:effectExtent l="0" t="0" r="6985" b="0"/>
            <wp:docPr id="23" name="Рисунок 23" descr="base_1_220786_327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base_1_220786_32780"/>
                    <pic:cNvPicPr preferRelativeResize="0">
                      <a:picLocks noChangeArrowheads="1"/>
                    </pic:cNvPicPr>
                  </pic:nvPicPr>
                  <pic:blipFill>
                    <a:blip r:embed="rId79" cstate="print"/>
                    <a:srcRect/>
                    <a:stretch>
                      <a:fillRect/>
                    </a:stretch>
                  </pic:blipFill>
                  <pic:spPr bwMode="auto">
                    <a:xfrm>
                      <a:off x="0" y="0"/>
                      <a:ext cx="1383665" cy="278130"/>
                    </a:xfrm>
                    <a:prstGeom prst="rect">
                      <a:avLst/>
                    </a:prstGeom>
                    <a:noFill/>
                    <a:ln w="9525">
                      <a:noFill/>
                      <a:miter lim="800000"/>
                      <a:headEnd/>
                      <a:tailEnd/>
                    </a:ln>
                  </pic:spPr>
                </pic:pic>
              </a:graphicData>
            </a:graphic>
          </wp:inline>
        </w:drawing>
      </w:r>
      <w:r w:rsidRPr="00FB0A3A">
        <w:rPr>
          <w:rFonts w:ascii="Myriad Pro" w:eastAsia="Calibri" w:hAnsi="Myriad Pro" w:cs="Times New Roman"/>
          <w:sz w:val="26"/>
          <w:szCs w:val="26"/>
        </w:rPr>
        <w:t>, (15)</w:t>
      </w:r>
    </w:p>
    <w:p w14:paraId="08E41439" w14:textId="77777777" w:rsidR="002776EC" w:rsidRPr="00FB0A3A" w:rsidRDefault="002776EC" w:rsidP="00A31747">
      <w:pPr>
        <w:tabs>
          <w:tab w:val="left" w:pos="1134"/>
        </w:tabs>
        <w:spacing w:after="0" w:line="360" w:lineRule="auto"/>
        <w:ind w:firstLine="567"/>
        <w:jc w:val="both"/>
        <w:rPr>
          <w:rFonts w:ascii="Myriad Pro" w:eastAsia="Calibri" w:hAnsi="Myriad Pro" w:cs="Times New Roman"/>
          <w:sz w:val="26"/>
          <w:szCs w:val="26"/>
        </w:rPr>
      </w:pPr>
      <w:r w:rsidRPr="00FB0A3A">
        <w:rPr>
          <w:rFonts w:ascii="Myriad Pro" w:eastAsia="Calibri" w:hAnsi="Myriad Pro" w:cs="Times New Roman"/>
          <w:sz w:val="26"/>
          <w:szCs w:val="26"/>
        </w:rPr>
        <w:t>где:</w:t>
      </w:r>
    </w:p>
    <w:p w14:paraId="30E894FE" w14:textId="77777777" w:rsidR="002776EC" w:rsidRPr="00FB0A3A" w:rsidRDefault="002776EC" w:rsidP="00A31747">
      <w:pPr>
        <w:tabs>
          <w:tab w:val="left" w:pos="1134"/>
        </w:tabs>
        <w:spacing w:after="0" w:line="360" w:lineRule="auto"/>
        <w:ind w:firstLine="567"/>
        <w:jc w:val="both"/>
        <w:rPr>
          <w:rFonts w:ascii="Myriad Pro" w:eastAsia="Calibri" w:hAnsi="Myriad Pro" w:cs="Times New Roman"/>
          <w:sz w:val="26"/>
          <w:szCs w:val="26"/>
        </w:rPr>
      </w:pPr>
      <w:r w:rsidRPr="00FB0A3A">
        <w:rPr>
          <w:rFonts w:ascii="Myriad Pro" w:eastAsia="Calibri" w:hAnsi="Myriad Pro" w:cs="Times New Roman"/>
          <w:sz w:val="26"/>
          <w:szCs w:val="26"/>
        </w:rPr>
        <w:t>(</w:t>
      </w:r>
      <w:r w:rsidRPr="00FB0A3A">
        <w:rPr>
          <w:rFonts w:ascii="Myriad Pro" w:eastAsia="Calibri" w:hAnsi="Myriad Pro" w:cs="Times New Roman"/>
          <w:noProof/>
          <w:sz w:val="26"/>
          <w:szCs w:val="26"/>
          <w:lang w:eastAsia="ru-RU"/>
        </w:rPr>
        <w:drawing>
          <wp:inline distT="0" distB="0" distL="0" distR="0" wp14:anchorId="73D391A7" wp14:editId="1687ABC8">
            <wp:extent cx="294005" cy="278130"/>
            <wp:effectExtent l="0" t="0" r="0" b="0"/>
            <wp:docPr id="24" name="Рисунок 24" descr="base_1_220786_327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base_1_220786_32781"/>
                    <pic:cNvPicPr preferRelativeResize="0">
                      <a:picLocks noChangeArrowheads="1"/>
                    </pic:cNvPicPr>
                  </pic:nvPicPr>
                  <pic:blipFill>
                    <a:blip r:embed="rId80" cstate="print"/>
                    <a:srcRect/>
                    <a:stretch>
                      <a:fillRect/>
                    </a:stretch>
                  </pic:blipFill>
                  <pic:spPr bwMode="auto">
                    <a:xfrm>
                      <a:off x="0" y="0"/>
                      <a:ext cx="294005" cy="278130"/>
                    </a:xfrm>
                    <a:prstGeom prst="rect">
                      <a:avLst/>
                    </a:prstGeom>
                    <a:noFill/>
                    <a:ln w="9525">
                      <a:noFill/>
                      <a:miter lim="800000"/>
                      <a:headEnd/>
                      <a:tailEnd/>
                    </a:ln>
                  </pic:spPr>
                </pic:pic>
              </a:graphicData>
            </a:graphic>
          </wp:inline>
        </w:drawing>
      </w:r>
      <w:r w:rsidRPr="00FB0A3A">
        <w:rPr>
          <w:rFonts w:ascii="Myriad Pro" w:eastAsia="Calibri" w:hAnsi="Myriad Pro" w:cs="Times New Roman"/>
          <w:sz w:val="26"/>
          <w:szCs w:val="26"/>
        </w:rPr>
        <w:t>) - устанавливаемое регулирующим органом плановое значение по каждому показателю надежности и качества услуг (i) на расчетный период регулирования (t);</w:t>
      </w:r>
    </w:p>
    <w:p w14:paraId="65A89649" w14:textId="77777777" w:rsidR="002776EC" w:rsidRPr="00FB0A3A" w:rsidRDefault="002776EC" w:rsidP="00A31747">
      <w:pPr>
        <w:tabs>
          <w:tab w:val="left" w:pos="1134"/>
        </w:tabs>
        <w:spacing w:after="0" w:line="360" w:lineRule="auto"/>
        <w:ind w:firstLine="567"/>
        <w:jc w:val="both"/>
        <w:rPr>
          <w:rFonts w:ascii="Myriad Pro" w:eastAsia="Calibri" w:hAnsi="Myriad Pro" w:cs="Times New Roman"/>
          <w:sz w:val="26"/>
          <w:szCs w:val="26"/>
        </w:rPr>
      </w:pPr>
      <w:r w:rsidRPr="00FB0A3A">
        <w:rPr>
          <w:rFonts w:ascii="Myriad Pro" w:eastAsia="Calibri" w:hAnsi="Myriad Pro" w:cs="Times New Roman"/>
          <w:sz w:val="26"/>
          <w:szCs w:val="26"/>
        </w:rPr>
        <w:t xml:space="preserve">p - темп улучшения показателей надежности и качества услуг, определяемый обязательной динамикой улучшения фактических значений показателей, равный 0,015 (p = 0,015).  </w:t>
      </w:r>
    </w:p>
    <w:p w14:paraId="0F9A4956" w14:textId="77777777" w:rsidR="002776EC" w:rsidRPr="00FB0A3A" w:rsidRDefault="002776EC" w:rsidP="00A31747">
      <w:pPr>
        <w:tabs>
          <w:tab w:val="left" w:pos="1134"/>
        </w:tabs>
        <w:spacing w:after="0" w:line="360" w:lineRule="auto"/>
        <w:ind w:firstLine="567"/>
        <w:jc w:val="both"/>
        <w:rPr>
          <w:rFonts w:ascii="Myriad Pro" w:eastAsia="Calibri" w:hAnsi="Myriad Pro" w:cs="Times New Roman"/>
          <w:sz w:val="26"/>
          <w:szCs w:val="26"/>
        </w:rPr>
      </w:pPr>
      <w:r w:rsidRPr="00FB0A3A">
        <w:rPr>
          <w:rFonts w:ascii="Myriad Pro" w:eastAsia="Calibri" w:hAnsi="Myriad Pro" w:cs="Times New Roman"/>
          <w:sz w:val="26"/>
          <w:szCs w:val="26"/>
        </w:rPr>
        <w:t>Темп улучшения не применяется в случае достижения неулучшаемых значений показателей (=1).</w:t>
      </w:r>
    </w:p>
    <w:p w14:paraId="2CFC216A" w14:textId="77777777" w:rsidR="002776EC" w:rsidRPr="00FB0A3A" w:rsidRDefault="002776EC"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В соответствии с п. 4.2.1. Методических указаний № 1256 плановые значения показателей уровня надежности оказываемых услуг устанавливаются регулирующими органами на каждый расчетный период регулирования в пределах долгосрочного периода регулирования для каждой территориальной сетевой организации исходя из:</w:t>
      </w:r>
    </w:p>
    <w:p w14:paraId="5F9AA9AF" w14:textId="77777777" w:rsidR="002776EC" w:rsidRPr="00FB0A3A" w:rsidRDefault="002776EC" w:rsidP="009B0BC1">
      <w:pPr>
        <w:pStyle w:val="a4"/>
        <w:numPr>
          <w:ilvl w:val="0"/>
          <w:numId w:val="14"/>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фактических значений показателей уровня надежности оказываемых услуг за предыдущие отчетные расчетные периоды регулирования, суммарно не более трех, по которым имеются данные на момент установления плановых значений показателей уровня надежности оказываемых услуг на следующий долгосрочный период регулирования;</w:t>
      </w:r>
    </w:p>
    <w:p w14:paraId="4B6C9808" w14:textId="77777777" w:rsidR="002776EC" w:rsidRPr="00FB0A3A" w:rsidRDefault="002776EC" w:rsidP="009B0BC1">
      <w:pPr>
        <w:pStyle w:val="a4"/>
        <w:numPr>
          <w:ilvl w:val="0"/>
          <w:numId w:val="14"/>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lastRenderedPageBreak/>
        <w:t>принадлежности территориальной сетевой организации к группе территориальных сетевых организаций, имеющих сопоставимые друг с другом экономические и (или) технические характеристики и (или) условия деятельности;</w:t>
      </w:r>
    </w:p>
    <w:p w14:paraId="2011559B" w14:textId="77777777" w:rsidR="002776EC" w:rsidRPr="00FB0A3A" w:rsidRDefault="002776EC" w:rsidP="009B0BC1">
      <w:pPr>
        <w:pStyle w:val="a4"/>
        <w:numPr>
          <w:ilvl w:val="0"/>
          <w:numId w:val="14"/>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динамики улучшения фактических значений показателей уровня надежности, определенной исходя из базовых значений показателей надежности для группы территориальных сетевых организаций.</w:t>
      </w:r>
    </w:p>
    <w:p w14:paraId="540DE7F6" w14:textId="77777777" w:rsidR="002776EC" w:rsidRPr="00FB0A3A" w:rsidRDefault="002776EC"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Приказом Минэнерго России от 18.10.2017 № 976 утверждены базовые значения показателей надежности, значения коэффициентов допустимых отклонений фактических значений показателей надежности от плановых и максимальной динамики улучшения плановых показателей надежности для групп территориальных сетевых организаций, имеющих сопоставимые друг с другом экономические и технические характеристики и (или) условия деятельности, с применением метода сравнения аналогов.</w:t>
      </w:r>
    </w:p>
    <w:p w14:paraId="477ED0FA" w14:textId="77777777" w:rsidR="008347FD" w:rsidRPr="00FB0A3A" w:rsidRDefault="008347FD" w:rsidP="00A31747">
      <w:pPr>
        <w:tabs>
          <w:tab w:val="left" w:pos="1134"/>
        </w:tabs>
        <w:spacing w:after="0" w:line="360" w:lineRule="auto"/>
        <w:ind w:firstLine="567"/>
        <w:contextualSpacing/>
        <w:jc w:val="both"/>
        <w:rPr>
          <w:rFonts w:ascii="Myriad Pro" w:eastAsia="Calibri" w:hAnsi="Myriad Pro" w:cs="Times New Roman"/>
          <w:sz w:val="26"/>
          <w:szCs w:val="26"/>
        </w:rPr>
      </w:pPr>
    </w:p>
    <w:p w14:paraId="0ADCFC48" w14:textId="342EABB6" w:rsidR="003957EB" w:rsidRPr="00FB0A3A" w:rsidRDefault="003957EB" w:rsidP="004D5A32">
      <w:pPr>
        <w:tabs>
          <w:tab w:val="left" w:pos="1134"/>
        </w:tabs>
        <w:spacing w:after="0" w:line="360" w:lineRule="auto"/>
        <w:contextualSpacing/>
        <w:jc w:val="both"/>
        <w:rPr>
          <w:rFonts w:ascii="Myriad Pro" w:eastAsia="Calibri" w:hAnsi="Myriad Pro" w:cs="Times New Roman"/>
          <w:b/>
          <w:sz w:val="26"/>
          <w:szCs w:val="26"/>
        </w:rPr>
      </w:pPr>
      <w:r w:rsidRPr="00FB0A3A">
        <w:rPr>
          <w:rFonts w:ascii="Myriad Pro" w:eastAsia="Calibri" w:hAnsi="Myriad Pro" w:cs="Times New Roman"/>
          <w:b/>
          <w:sz w:val="26"/>
          <w:szCs w:val="26"/>
        </w:rPr>
        <w:t>ПОЗИЦИЯ ТЕРРИТОРИАЛЬНОЙ СЕТЕВОЙ ОРГАНИЗАЦИИ</w:t>
      </w:r>
    </w:p>
    <w:p w14:paraId="088B916B" w14:textId="031DC715" w:rsidR="00C0132B" w:rsidRPr="00FB0A3A" w:rsidRDefault="003C73E8" w:rsidP="00A31747">
      <w:pPr>
        <w:tabs>
          <w:tab w:val="left" w:pos="1134"/>
        </w:tabs>
        <w:spacing w:after="0" w:line="360" w:lineRule="auto"/>
        <w:ind w:firstLine="567"/>
        <w:contextualSpacing/>
        <w:jc w:val="both"/>
        <w:rPr>
          <w:rFonts w:ascii="Myriad Pro" w:hAnsi="Myriad Pro"/>
          <w:sz w:val="26"/>
          <w:szCs w:val="26"/>
        </w:rPr>
      </w:pPr>
      <w:r w:rsidRPr="00FB0A3A">
        <w:rPr>
          <w:rFonts w:ascii="Myriad Pro" w:hAnsi="Myriad Pro"/>
          <w:sz w:val="26"/>
          <w:szCs w:val="26"/>
        </w:rPr>
        <w:t>Филиалом заявлением от 28.04.2018 №МР2/4/02/3129 были направлены следующие планируемые значения параметров расчета тарифов:</w:t>
      </w:r>
    </w:p>
    <w:p w14:paraId="46549277" w14:textId="0EB8A5B7" w:rsidR="003C73E8" w:rsidRPr="00FB0A3A" w:rsidRDefault="003C73E8" w:rsidP="009B0BC1">
      <w:pPr>
        <w:numPr>
          <w:ilvl w:val="0"/>
          <w:numId w:val="21"/>
        </w:numPr>
        <w:tabs>
          <w:tab w:val="left" w:pos="1134"/>
        </w:tabs>
        <w:autoSpaceDE w:val="0"/>
        <w:autoSpaceDN w:val="0"/>
        <w:adjustRightInd w:val="0"/>
        <w:spacing w:after="0" w:line="360" w:lineRule="auto"/>
        <w:ind w:left="0" w:firstLine="567"/>
        <w:jc w:val="both"/>
        <w:rPr>
          <w:rFonts w:ascii="Myriad Pro" w:hAnsi="Myriad Pro"/>
          <w:sz w:val="26"/>
          <w:szCs w:val="26"/>
        </w:rPr>
      </w:pPr>
      <w:r w:rsidRPr="00FB0A3A">
        <w:rPr>
          <w:rFonts w:ascii="Myriad Pro" w:hAnsi="Myriad Pro"/>
          <w:sz w:val="26"/>
          <w:szCs w:val="26"/>
        </w:rPr>
        <w:t xml:space="preserve">Показатель средней продолжительности прекращений передачи электрической энергии на точку поставки (Пsaidi), час на 2019 г. в размере 0,3455; </w:t>
      </w:r>
    </w:p>
    <w:p w14:paraId="3583B5C6" w14:textId="677D7B6C" w:rsidR="003C73E8" w:rsidRPr="00FB0A3A" w:rsidRDefault="003C73E8" w:rsidP="009B0BC1">
      <w:pPr>
        <w:numPr>
          <w:ilvl w:val="0"/>
          <w:numId w:val="21"/>
        </w:numPr>
        <w:tabs>
          <w:tab w:val="left" w:pos="1134"/>
        </w:tabs>
        <w:autoSpaceDE w:val="0"/>
        <w:autoSpaceDN w:val="0"/>
        <w:adjustRightInd w:val="0"/>
        <w:spacing w:after="0" w:line="360" w:lineRule="auto"/>
        <w:ind w:left="0" w:firstLine="567"/>
        <w:jc w:val="both"/>
        <w:rPr>
          <w:rFonts w:ascii="Myriad Pro" w:hAnsi="Myriad Pro"/>
          <w:sz w:val="26"/>
          <w:szCs w:val="26"/>
        </w:rPr>
      </w:pPr>
      <w:r w:rsidRPr="00FB0A3A">
        <w:rPr>
          <w:rFonts w:ascii="Myriad Pro" w:hAnsi="Myriad Pro"/>
          <w:sz w:val="26"/>
          <w:szCs w:val="26"/>
        </w:rPr>
        <w:t>Показатель средней частоты прекращений передачи электрической энергии на точку поставки (Пsaifi), шт. на 2019 г. 0,1523;</w:t>
      </w:r>
    </w:p>
    <w:p w14:paraId="18E13EE7" w14:textId="61246852" w:rsidR="003C73E8" w:rsidRPr="00FB0A3A" w:rsidRDefault="003C73E8" w:rsidP="009B0BC1">
      <w:pPr>
        <w:numPr>
          <w:ilvl w:val="0"/>
          <w:numId w:val="21"/>
        </w:numPr>
        <w:tabs>
          <w:tab w:val="left" w:pos="1134"/>
        </w:tabs>
        <w:autoSpaceDE w:val="0"/>
        <w:autoSpaceDN w:val="0"/>
        <w:adjustRightInd w:val="0"/>
        <w:spacing w:after="0" w:line="360" w:lineRule="auto"/>
        <w:ind w:left="0" w:firstLine="567"/>
        <w:jc w:val="both"/>
        <w:rPr>
          <w:rFonts w:ascii="Myriad Pro" w:hAnsi="Myriad Pro"/>
          <w:sz w:val="26"/>
          <w:szCs w:val="26"/>
        </w:rPr>
      </w:pPr>
      <w:r w:rsidRPr="00FB0A3A">
        <w:rPr>
          <w:rFonts w:ascii="Myriad Pro" w:hAnsi="Myriad Pro"/>
          <w:sz w:val="26"/>
          <w:szCs w:val="26"/>
        </w:rPr>
        <w:t xml:space="preserve"> Показатель уровня качества осуществляемого технологического присоединения (Птпр) на 2019 г. в размере 1,0002.</w:t>
      </w:r>
    </w:p>
    <w:p w14:paraId="39F39296" w14:textId="77777777" w:rsidR="003C73E8" w:rsidRPr="00FB0A3A" w:rsidRDefault="003C73E8" w:rsidP="004D5A32">
      <w:pPr>
        <w:pStyle w:val="afff4"/>
        <w:rPr>
          <w:lang w:val="ru-RU"/>
        </w:rPr>
      </w:pPr>
      <w:r w:rsidRPr="00FB0A3A">
        <w:rPr>
          <w:lang w:val="ru-RU"/>
        </w:rPr>
        <w:t>Предложения по плановым показателям надежности и качества на долгосрочный период регулирования представлены в нижеследующей таблице.</w:t>
      </w:r>
    </w:p>
    <w:tbl>
      <w:tblPr>
        <w:tblStyle w:val="afff6"/>
        <w:tblW w:w="5000" w:type="pct"/>
        <w:tblLook w:val="04A0" w:firstRow="1" w:lastRow="0" w:firstColumn="1" w:lastColumn="0" w:noHBand="0" w:noVBand="1"/>
      </w:tblPr>
      <w:tblGrid>
        <w:gridCol w:w="5350"/>
        <w:gridCol w:w="798"/>
        <w:gridCol w:w="799"/>
        <w:gridCol w:w="799"/>
        <w:gridCol w:w="799"/>
        <w:gridCol w:w="799"/>
      </w:tblGrid>
      <w:tr w:rsidR="003C73E8" w:rsidRPr="00A54C03" w14:paraId="6C36EB28" w14:textId="77777777" w:rsidTr="002267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504B454E" w14:textId="77777777" w:rsidR="003C73E8" w:rsidRPr="00A54C03" w:rsidRDefault="003C73E8" w:rsidP="004D5A32">
            <w:pPr>
              <w:tabs>
                <w:tab w:val="left" w:pos="1134"/>
              </w:tabs>
              <w:jc w:val="center"/>
              <w:rPr>
                <w:b/>
                <w:bCs/>
                <w:sz w:val="20"/>
                <w:szCs w:val="20"/>
              </w:rPr>
            </w:pPr>
            <w:r w:rsidRPr="00A54C03">
              <w:rPr>
                <w:b/>
                <w:bCs/>
                <w:sz w:val="20"/>
                <w:szCs w:val="20"/>
              </w:rPr>
              <w:t>Наименование показателя</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2AE9FBE" w14:textId="77777777" w:rsidR="003C73E8" w:rsidRPr="00A54C03" w:rsidRDefault="003C73E8" w:rsidP="004D5A32">
            <w:pPr>
              <w:tabs>
                <w:tab w:val="left" w:pos="1134"/>
              </w:tabs>
              <w:cnfStyle w:val="100000000000" w:firstRow="1" w:lastRow="0" w:firstColumn="0" w:lastColumn="0" w:oddVBand="0" w:evenVBand="0" w:oddHBand="0" w:evenHBand="0" w:firstRowFirstColumn="0" w:firstRowLastColumn="0" w:lastRowFirstColumn="0" w:lastRowLastColumn="0"/>
              <w:rPr>
                <w:b/>
                <w:bCs/>
                <w:sz w:val="20"/>
                <w:szCs w:val="20"/>
              </w:rPr>
            </w:pPr>
            <w:r w:rsidRPr="00A54C03">
              <w:rPr>
                <w:b/>
                <w:bCs/>
                <w:sz w:val="20"/>
                <w:szCs w:val="20"/>
              </w:rPr>
              <w:t>2019</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30333722" w14:textId="77777777" w:rsidR="003C73E8" w:rsidRPr="00A54C03" w:rsidRDefault="003C73E8" w:rsidP="004D5A32">
            <w:pPr>
              <w:tabs>
                <w:tab w:val="left" w:pos="1134"/>
              </w:tabs>
              <w:cnfStyle w:val="100000000000" w:firstRow="1" w:lastRow="0" w:firstColumn="0" w:lastColumn="0" w:oddVBand="0" w:evenVBand="0" w:oddHBand="0" w:evenHBand="0" w:firstRowFirstColumn="0" w:firstRowLastColumn="0" w:lastRowFirstColumn="0" w:lastRowLastColumn="0"/>
              <w:rPr>
                <w:b/>
                <w:bCs/>
                <w:sz w:val="20"/>
                <w:szCs w:val="20"/>
              </w:rPr>
            </w:pPr>
            <w:r w:rsidRPr="00A54C03">
              <w:rPr>
                <w:b/>
                <w:bCs/>
                <w:sz w:val="20"/>
                <w:szCs w:val="20"/>
              </w:rPr>
              <w:t>2020</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37D6D79D" w14:textId="77777777" w:rsidR="003C73E8" w:rsidRPr="00A54C03" w:rsidRDefault="003C73E8" w:rsidP="004D5A32">
            <w:pPr>
              <w:tabs>
                <w:tab w:val="left" w:pos="1134"/>
              </w:tabs>
              <w:cnfStyle w:val="100000000000" w:firstRow="1" w:lastRow="0" w:firstColumn="0" w:lastColumn="0" w:oddVBand="0" w:evenVBand="0" w:oddHBand="0" w:evenHBand="0" w:firstRowFirstColumn="0" w:firstRowLastColumn="0" w:lastRowFirstColumn="0" w:lastRowLastColumn="0"/>
              <w:rPr>
                <w:b/>
                <w:bCs/>
                <w:sz w:val="20"/>
                <w:szCs w:val="20"/>
              </w:rPr>
            </w:pPr>
            <w:r w:rsidRPr="00A54C03">
              <w:rPr>
                <w:b/>
                <w:bCs/>
                <w:sz w:val="20"/>
                <w:szCs w:val="20"/>
              </w:rPr>
              <w:t>2021</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481A67B8" w14:textId="77777777" w:rsidR="003C73E8" w:rsidRPr="00A54C03" w:rsidRDefault="003C73E8" w:rsidP="004D5A32">
            <w:pPr>
              <w:tabs>
                <w:tab w:val="left" w:pos="1134"/>
              </w:tabs>
              <w:cnfStyle w:val="100000000000" w:firstRow="1" w:lastRow="0" w:firstColumn="0" w:lastColumn="0" w:oddVBand="0" w:evenVBand="0" w:oddHBand="0" w:evenHBand="0" w:firstRowFirstColumn="0" w:firstRowLastColumn="0" w:lastRowFirstColumn="0" w:lastRowLastColumn="0"/>
              <w:rPr>
                <w:b/>
                <w:bCs/>
                <w:sz w:val="20"/>
                <w:szCs w:val="20"/>
              </w:rPr>
            </w:pPr>
            <w:r w:rsidRPr="00A54C03">
              <w:rPr>
                <w:b/>
                <w:bCs/>
                <w:sz w:val="20"/>
                <w:szCs w:val="20"/>
              </w:rPr>
              <w:t>2022</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3809D4D6" w14:textId="77777777" w:rsidR="003C73E8" w:rsidRPr="00A54C03" w:rsidRDefault="003C73E8" w:rsidP="004D5A32">
            <w:pPr>
              <w:tabs>
                <w:tab w:val="left" w:pos="1134"/>
              </w:tabs>
              <w:cnfStyle w:val="100000000000" w:firstRow="1" w:lastRow="0" w:firstColumn="0" w:lastColumn="0" w:oddVBand="0" w:evenVBand="0" w:oddHBand="0" w:evenHBand="0" w:firstRowFirstColumn="0" w:firstRowLastColumn="0" w:lastRowFirstColumn="0" w:lastRowLastColumn="0"/>
              <w:rPr>
                <w:b/>
                <w:bCs/>
                <w:sz w:val="20"/>
                <w:szCs w:val="20"/>
              </w:rPr>
            </w:pPr>
            <w:r w:rsidRPr="00A54C03">
              <w:rPr>
                <w:b/>
                <w:bCs/>
                <w:sz w:val="20"/>
                <w:szCs w:val="20"/>
              </w:rPr>
              <w:t>2023</w:t>
            </w:r>
          </w:p>
        </w:tc>
      </w:tr>
      <w:tr w:rsidR="003C73E8" w:rsidRPr="00A54C03" w14:paraId="51AA3812" w14:textId="77777777" w:rsidTr="002267D7">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tcBorders>
            <w:hideMark/>
          </w:tcPr>
          <w:p w14:paraId="11E8606F" w14:textId="77777777" w:rsidR="003C73E8" w:rsidRPr="00A54C03" w:rsidRDefault="003C73E8" w:rsidP="004D5A32">
            <w:pPr>
              <w:tabs>
                <w:tab w:val="left" w:pos="1134"/>
              </w:tabs>
              <w:rPr>
                <w:sz w:val="20"/>
                <w:szCs w:val="20"/>
              </w:rPr>
            </w:pPr>
            <w:r w:rsidRPr="00A54C03">
              <w:rPr>
                <w:sz w:val="20"/>
                <w:szCs w:val="20"/>
              </w:rPr>
              <w:t>Уровень надежности реализуемых товаров (услуг) (Saidi)</w:t>
            </w:r>
          </w:p>
        </w:tc>
        <w:tc>
          <w:tcPr>
            <w:tcW w:w="0" w:type="auto"/>
            <w:tcBorders>
              <w:top w:val="single" w:sz="4" w:space="0" w:color="FFFFFF" w:themeColor="background1"/>
            </w:tcBorders>
            <w:noWrap/>
            <w:hideMark/>
          </w:tcPr>
          <w:p w14:paraId="1AC84264" w14:textId="72D8FC7D" w:rsidR="003C73E8" w:rsidRPr="00A54C03" w:rsidRDefault="003C73E8" w:rsidP="004D5A32">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A54C03">
              <w:rPr>
                <w:sz w:val="20"/>
                <w:szCs w:val="20"/>
              </w:rPr>
              <w:t>0,3455</w:t>
            </w:r>
          </w:p>
        </w:tc>
        <w:tc>
          <w:tcPr>
            <w:tcW w:w="0" w:type="auto"/>
            <w:tcBorders>
              <w:top w:val="single" w:sz="4" w:space="0" w:color="FFFFFF" w:themeColor="background1"/>
            </w:tcBorders>
            <w:noWrap/>
            <w:hideMark/>
          </w:tcPr>
          <w:p w14:paraId="0FA7B56C" w14:textId="094DD809" w:rsidR="003C73E8" w:rsidRPr="00A54C03" w:rsidRDefault="003C73E8" w:rsidP="004D5A32">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A54C03">
              <w:rPr>
                <w:sz w:val="20"/>
                <w:szCs w:val="20"/>
              </w:rPr>
              <w:t>0,3404</w:t>
            </w:r>
          </w:p>
        </w:tc>
        <w:tc>
          <w:tcPr>
            <w:tcW w:w="0" w:type="auto"/>
            <w:tcBorders>
              <w:top w:val="single" w:sz="4" w:space="0" w:color="FFFFFF" w:themeColor="background1"/>
            </w:tcBorders>
            <w:noWrap/>
            <w:hideMark/>
          </w:tcPr>
          <w:p w14:paraId="2FE7A177" w14:textId="712721A3" w:rsidR="003C73E8" w:rsidRPr="00A54C03" w:rsidRDefault="003C73E8" w:rsidP="004D5A32">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A54C03">
              <w:rPr>
                <w:sz w:val="20"/>
                <w:szCs w:val="20"/>
              </w:rPr>
              <w:t>0,3352</w:t>
            </w:r>
          </w:p>
        </w:tc>
        <w:tc>
          <w:tcPr>
            <w:tcW w:w="0" w:type="auto"/>
            <w:tcBorders>
              <w:top w:val="single" w:sz="4" w:space="0" w:color="FFFFFF" w:themeColor="background1"/>
            </w:tcBorders>
            <w:noWrap/>
            <w:hideMark/>
          </w:tcPr>
          <w:p w14:paraId="642A12AB" w14:textId="5E69CE85" w:rsidR="003C73E8" w:rsidRPr="00A54C03" w:rsidRDefault="003C73E8" w:rsidP="004D5A32">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A54C03">
              <w:rPr>
                <w:sz w:val="20"/>
                <w:szCs w:val="20"/>
              </w:rPr>
              <w:t>0,3302</w:t>
            </w:r>
          </w:p>
        </w:tc>
        <w:tc>
          <w:tcPr>
            <w:tcW w:w="0" w:type="auto"/>
            <w:tcBorders>
              <w:top w:val="single" w:sz="4" w:space="0" w:color="FFFFFF" w:themeColor="background1"/>
            </w:tcBorders>
            <w:noWrap/>
            <w:hideMark/>
          </w:tcPr>
          <w:p w14:paraId="3D1B0C0E" w14:textId="435E5B81" w:rsidR="003C73E8" w:rsidRPr="00A54C03" w:rsidRDefault="003C73E8" w:rsidP="004D5A32">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A54C03">
              <w:rPr>
                <w:sz w:val="20"/>
                <w:szCs w:val="20"/>
              </w:rPr>
              <w:t>0,3253</w:t>
            </w:r>
          </w:p>
        </w:tc>
      </w:tr>
      <w:tr w:rsidR="003C73E8" w:rsidRPr="00A54C03" w14:paraId="1919A42D" w14:textId="77777777" w:rsidTr="004D5A32">
        <w:tc>
          <w:tcPr>
            <w:cnfStyle w:val="001000000000" w:firstRow="0" w:lastRow="0" w:firstColumn="1" w:lastColumn="0" w:oddVBand="0" w:evenVBand="0" w:oddHBand="0" w:evenHBand="0" w:firstRowFirstColumn="0" w:firstRowLastColumn="0" w:lastRowFirstColumn="0" w:lastRowLastColumn="0"/>
            <w:tcW w:w="0" w:type="auto"/>
            <w:hideMark/>
          </w:tcPr>
          <w:p w14:paraId="0A35F338" w14:textId="77777777" w:rsidR="003C73E8" w:rsidRPr="00A54C03" w:rsidRDefault="003C73E8" w:rsidP="004D5A32">
            <w:pPr>
              <w:tabs>
                <w:tab w:val="left" w:pos="1134"/>
              </w:tabs>
              <w:rPr>
                <w:sz w:val="20"/>
                <w:szCs w:val="20"/>
              </w:rPr>
            </w:pPr>
            <w:r w:rsidRPr="00A54C03">
              <w:rPr>
                <w:sz w:val="20"/>
                <w:szCs w:val="20"/>
              </w:rPr>
              <w:t>Уровень надежности реализуемых товаров (услуг) (Saifi)</w:t>
            </w:r>
          </w:p>
        </w:tc>
        <w:tc>
          <w:tcPr>
            <w:tcW w:w="0" w:type="auto"/>
            <w:noWrap/>
            <w:hideMark/>
          </w:tcPr>
          <w:p w14:paraId="52C0554E" w14:textId="3232BA12" w:rsidR="003C73E8" w:rsidRPr="00A54C03" w:rsidRDefault="003C73E8" w:rsidP="004D5A32">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A54C03">
              <w:rPr>
                <w:sz w:val="20"/>
                <w:szCs w:val="20"/>
              </w:rPr>
              <w:t>0,1523</w:t>
            </w:r>
          </w:p>
        </w:tc>
        <w:tc>
          <w:tcPr>
            <w:tcW w:w="0" w:type="auto"/>
            <w:noWrap/>
            <w:hideMark/>
          </w:tcPr>
          <w:p w14:paraId="37956063" w14:textId="5E3708DF" w:rsidR="003C73E8" w:rsidRPr="00A54C03" w:rsidRDefault="003C73E8" w:rsidP="004D5A32">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A54C03">
              <w:rPr>
                <w:sz w:val="20"/>
                <w:szCs w:val="20"/>
              </w:rPr>
              <w:t>0,1500</w:t>
            </w:r>
          </w:p>
        </w:tc>
        <w:tc>
          <w:tcPr>
            <w:tcW w:w="0" w:type="auto"/>
            <w:noWrap/>
            <w:hideMark/>
          </w:tcPr>
          <w:p w14:paraId="789F81A4" w14:textId="6C3CCCD6" w:rsidR="003C73E8" w:rsidRPr="00A54C03" w:rsidRDefault="003C73E8" w:rsidP="004D5A32">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A54C03">
              <w:rPr>
                <w:sz w:val="20"/>
                <w:szCs w:val="20"/>
              </w:rPr>
              <w:t>0,1477</w:t>
            </w:r>
          </w:p>
        </w:tc>
        <w:tc>
          <w:tcPr>
            <w:tcW w:w="0" w:type="auto"/>
            <w:noWrap/>
            <w:hideMark/>
          </w:tcPr>
          <w:p w14:paraId="1A3D5BF4" w14:textId="3D6B9D1A" w:rsidR="003C73E8" w:rsidRPr="00A54C03" w:rsidRDefault="003C73E8" w:rsidP="004D5A32">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A54C03">
              <w:rPr>
                <w:sz w:val="20"/>
                <w:szCs w:val="20"/>
              </w:rPr>
              <w:t>0,1455</w:t>
            </w:r>
          </w:p>
        </w:tc>
        <w:tc>
          <w:tcPr>
            <w:tcW w:w="0" w:type="auto"/>
            <w:noWrap/>
            <w:hideMark/>
          </w:tcPr>
          <w:p w14:paraId="3EFD5E5B" w14:textId="3BC62C01" w:rsidR="003C73E8" w:rsidRPr="00A54C03" w:rsidRDefault="003C73E8" w:rsidP="004D5A32">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A54C03">
              <w:rPr>
                <w:sz w:val="20"/>
                <w:szCs w:val="20"/>
              </w:rPr>
              <w:t>0,1433</w:t>
            </w:r>
          </w:p>
        </w:tc>
      </w:tr>
      <w:tr w:rsidR="003C73E8" w:rsidRPr="00A54C03" w14:paraId="1759FFF8" w14:textId="77777777" w:rsidTr="004D5A32">
        <w:tc>
          <w:tcPr>
            <w:cnfStyle w:val="001000000000" w:firstRow="0" w:lastRow="0" w:firstColumn="1" w:lastColumn="0" w:oddVBand="0" w:evenVBand="0" w:oddHBand="0" w:evenHBand="0" w:firstRowFirstColumn="0" w:firstRowLastColumn="0" w:lastRowFirstColumn="0" w:lastRowLastColumn="0"/>
            <w:tcW w:w="0" w:type="auto"/>
            <w:hideMark/>
          </w:tcPr>
          <w:p w14:paraId="07BC0108" w14:textId="77777777" w:rsidR="003C73E8" w:rsidRPr="00A54C03" w:rsidRDefault="003C73E8" w:rsidP="004D5A32">
            <w:pPr>
              <w:tabs>
                <w:tab w:val="left" w:pos="1134"/>
              </w:tabs>
              <w:rPr>
                <w:sz w:val="20"/>
                <w:szCs w:val="20"/>
              </w:rPr>
            </w:pPr>
            <w:r w:rsidRPr="00A54C03">
              <w:rPr>
                <w:sz w:val="20"/>
                <w:szCs w:val="20"/>
              </w:rPr>
              <w:t>Уровень качества реализуемых товаров (услуг) (П тпр)</w:t>
            </w:r>
          </w:p>
        </w:tc>
        <w:tc>
          <w:tcPr>
            <w:tcW w:w="0" w:type="auto"/>
            <w:noWrap/>
            <w:hideMark/>
          </w:tcPr>
          <w:p w14:paraId="5280499A" w14:textId="6AF6CA2F" w:rsidR="003C73E8" w:rsidRPr="00A54C03" w:rsidRDefault="003C73E8" w:rsidP="004D5A32">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A54C03">
              <w:rPr>
                <w:sz w:val="20"/>
                <w:szCs w:val="20"/>
              </w:rPr>
              <w:t>1,0002</w:t>
            </w:r>
          </w:p>
        </w:tc>
        <w:tc>
          <w:tcPr>
            <w:tcW w:w="0" w:type="auto"/>
            <w:noWrap/>
            <w:hideMark/>
          </w:tcPr>
          <w:p w14:paraId="1E946D8B" w14:textId="4F6F53F9" w:rsidR="003C73E8" w:rsidRPr="00A54C03" w:rsidRDefault="003C73E8" w:rsidP="004D5A32">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A54C03">
              <w:rPr>
                <w:sz w:val="20"/>
                <w:szCs w:val="20"/>
              </w:rPr>
              <w:t>1,00</w:t>
            </w:r>
          </w:p>
        </w:tc>
        <w:tc>
          <w:tcPr>
            <w:tcW w:w="0" w:type="auto"/>
            <w:noWrap/>
            <w:hideMark/>
          </w:tcPr>
          <w:p w14:paraId="3F3B23BF" w14:textId="6868175C" w:rsidR="003C73E8" w:rsidRPr="00A54C03" w:rsidRDefault="003C73E8" w:rsidP="004D5A32">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A54C03">
              <w:rPr>
                <w:sz w:val="20"/>
                <w:szCs w:val="20"/>
              </w:rPr>
              <w:t>1,00</w:t>
            </w:r>
          </w:p>
        </w:tc>
        <w:tc>
          <w:tcPr>
            <w:tcW w:w="0" w:type="auto"/>
            <w:noWrap/>
            <w:hideMark/>
          </w:tcPr>
          <w:p w14:paraId="5AD71D58" w14:textId="668B00E7" w:rsidR="003C73E8" w:rsidRPr="00A54C03" w:rsidRDefault="003C73E8" w:rsidP="004D5A32">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A54C03">
              <w:rPr>
                <w:sz w:val="20"/>
                <w:szCs w:val="20"/>
              </w:rPr>
              <w:t>1,00</w:t>
            </w:r>
          </w:p>
        </w:tc>
        <w:tc>
          <w:tcPr>
            <w:tcW w:w="0" w:type="auto"/>
            <w:noWrap/>
            <w:hideMark/>
          </w:tcPr>
          <w:p w14:paraId="098D9356" w14:textId="2C097E8F" w:rsidR="003C73E8" w:rsidRPr="00A54C03" w:rsidRDefault="003C73E8" w:rsidP="004D5A32">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A54C03">
              <w:rPr>
                <w:sz w:val="20"/>
                <w:szCs w:val="20"/>
              </w:rPr>
              <w:t>1,00</w:t>
            </w:r>
          </w:p>
        </w:tc>
      </w:tr>
    </w:tbl>
    <w:p w14:paraId="6C56030F" w14:textId="77777777" w:rsidR="003C73E8" w:rsidRPr="00FB0A3A" w:rsidRDefault="003C73E8" w:rsidP="004D5A32">
      <w:pPr>
        <w:pStyle w:val="afff7"/>
      </w:pPr>
      <w:r w:rsidRPr="00FB0A3A">
        <w:lastRenderedPageBreak/>
        <w:t xml:space="preserve">Расчет значений показателей уровня качества и надежности был определен, исходя из средних фактических значений показателей по расчетным периодам за 2015-2017 гг. </w:t>
      </w:r>
    </w:p>
    <w:p w14:paraId="3AC0565A" w14:textId="34A328CE" w:rsidR="003C73E8" w:rsidRPr="00FB0A3A" w:rsidRDefault="003C73E8" w:rsidP="00A31747">
      <w:pPr>
        <w:tabs>
          <w:tab w:val="left" w:pos="1134"/>
        </w:tabs>
        <w:spacing w:after="0" w:line="360" w:lineRule="auto"/>
        <w:ind w:firstLine="567"/>
        <w:contextualSpacing/>
        <w:jc w:val="both"/>
        <w:rPr>
          <w:rFonts w:ascii="Myriad Pro" w:hAnsi="Myriad Pro"/>
          <w:sz w:val="26"/>
          <w:szCs w:val="26"/>
        </w:rPr>
      </w:pPr>
      <w:r w:rsidRPr="00FB0A3A">
        <w:rPr>
          <w:rFonts w:ascii="Myriad Pro" w:hAnsi="Myriad Pro"/>
          <w:sz w:val="26"/>
          <w:szCs w:val="26"/>
        </w:rPr>
        <w:t xml:space="preserve">Расчеты представлены </w:t>
      </w:r>
      <w:r w:rsidR="00E70D39" w:rsidRPr="00FB0A3A">
        <w:rPr>
          <w:rFonts w:ascii="Myriad Pro" w:hAnsi="Myriad Pro"/>
          <w:sz w:val="26"/>
          <w:szCs w:val="26"/>
        </w:rPr>
        <w:t xml:space="preserve">по </w:t>
      </w:r>
      <w:r w:rsidRPr="00FB0A3A">
        <w:rPr>
          <w:rFonts w:ascii="Myriad Pro" w:hAnsi="Myriad Pro"/>
          <w:sz w:val="26"/>
          <w:szCs w:val="26"/>
        </w:rPr>
        <w:t>форм</w:t>
      </w:r>
      <w:r w:rsidR="00E70D39" w:rsidRPr="00FB0A3A">
        <w:rPr>
          <w:rFonts w:ascii="Myriad Pro" w:hAnsi="Myriad Pro"/>
          <w:sz w:val="26"/>
          <w:szCs w:val="26"/>
        </w:rPr>
        <w:t>ам</w:t>
      </w:r>
      <w:r w:rsidRPr="00FB0A3A">
        <w:rPr>
          <w:rFonts w:ascii="Myriad Pro" w:hAnsi="Myriad Pro"/>
          <w:sz w:val="26"/>
          <w:szCs w:val="26"/>
        </w:rPr>
        <w:t xml:space="preserve"> к Методическим указаниям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утвержденным приказом Минэнерго России от 29.11.2016 №1256.</w:t>
      </w:r>
    </w:p>
    <w:p w14:paraId="0B3A9E13" w14:textId="022D73BA" w:rsidR="005C2835" w:rsidRPr="00FB0A3A" w:rsidRDefault="005C2835"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 xml:space="preserve">В обоснование </w:t>
      </w:r>
      <w:r w:rsidRPr="00FB0A3A">
        <w:rPr>
          <w:rFonts w:ascii="Myriad Pro" w:hAnsi="Myriad Pro"/>
          <w:sz w:val="26"/>
          <w:szCs w:val="26"/>
        </w:rPr>
        <w:t xml:space="preserve">расчета показателей надежности и качества на 2019-2023 гг. Филиалом </w:t>
      </w:r>
      <w:r w:rsidR="00F77EC4" w:rsidRPr="00FB0A3A">
        <w:rPr>
          <w:rFonts w:ascii="Myriad Pro" w:hAnsi="Myriad Pro"/>
          <w:sz w:val="26"/>
          <w:szCs w:val="26"/>
        </w:rPr>
        <w:t xml:space="preserve">в Комитет </w:t>
      </w:r>
      <w:r w:rsidRPr="00FB0A3A">
        <w:rPr>
          <w:rFonts w:ascii="Myriad Pro" w:hAnsi="Myriad Pro"/>
          <w:sz w:val="26"/>
          <w:szCs w:val="26"/>
        </w:rPr>
        <w:t>б</w:t>
      </w:r>
      <w:r w:rsidRPr="00FB0A3A">
        <w:rPr>
          <w:rFonts w:ascii="Myriad Pro" w:eastAsia="Calibri" w:hAnsi="Myriad Pro" w:cs="Times New Roman"/>
          <w:sz w:val="26"/>
          <w:szCs w:val="26"/>
        </w:rPr>
        <w:t>ыли предоставлены следующие документы:</w:t>
      </w:r>
    </w:p>
    <w:p w14:paraId="798DDBED" w14:textId="77B7606A" w:rsidR="005C2835" w:rsidRPr="00FB0A3A" w:rsidRDefault="005C2835" w:rsidP="009B0BC1">
      <w:pPr>
        <w:pStyle w:val="a4"/>
        <w:numPr>
          <w:ilvl w:val="0"/>
          <w:numId w:val="9"/>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Расчет плановых значений показателей надежности и качества услуг на каждый расчетный период регулирования в пределах долгосрочного периода регулирования 2019-2023 гг.;</w:t>
      </w:r>
    </w:p>
    <w:p w14:paraId="18166B3B" w14:textId="6D129A6C" w:rsidR="00A6347C" w:rsidRPr="00FB0A3A" w:rsidRDefault="0066767D" w:rsidP="009B0BC1">
      <w:pPr>
        <w:pStyle w:val="a4"/>
        <w:numPr>
          <w:ilvl w:val="0"/>
          <w:numId w:val="9"/>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Предложение показателя уровня качества осуществляемого технологического присоединения;</w:t>
      </w:r>
    </w:p>
    <w:p w14:paraId="00BA0E12" w14:textId="2B460175" w:rsidR="009A4B8B" w:rsidRPr="00FB0A3A" w:rsidRDefault="009A4B8B" w:rsidP="009B0BC1">
      <w:pPr>
        <w:pStyle w:val="a4"/>
        <w:numPr>
          <w:ilvl w:val="0"/>
          <w:numId w:val="9"/>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Расчет фактического показателя уровня качества осуществляемого технологического присоединения к сети сетевой организации за 2017 г.;</w:t>
      </w:r>
    </w:p>
    <w:p w14:paraId="19FA5868" w14:textId="3F213C04" w:rsidR="009A4B8B" w:rsidRPr="00FB0A3A" w:rsidRDefault="00997701" w:rsidP="009B0BC1">
      <w:pPr>
        <w:pStyle w:val="a4"/>
        <w:numPr>
          <w:ilvl w:val="0"/>
          <w:numId w:val="9"/>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Ф</w:t>
      </w:r>
      <w:r w:rsidR="009A4B8B" w:rsidRPr="00FB0A3A">
        <w:rPr>
          <w:rFonts w:ascii="Myriad Pro" w:hAnsi="Myriad Pro"/>
          <w:sz w:val="26"/>
          <w:szCs w:val="26"/>
        </w:rPr>
        <w:t xml:space="preserve">ормы Методических указаний, утвержденных приказом Минэнерго России от 29.11.2016 №1256, используемые для расчета значения показателя уровня надежности оказываемых услуг 1.1, 1.2, </w:t>
      </w:r>
      <w:r w:rsidRPr="00FB0A3A">
        <w:rPr>
          <w:rFonts w:ascii="Myriad Pro" w:hAnsi="Myriad Pro"/>
          <w:sz w:val="26"/>
          <w:szCs w:val="26"/>
        </w:rPr>
        <w:t xml:space="preserve">1.7, 1.9, </w:t>
      </w:r>
      <w:r w:rsidR="009A4B8B" w:rsidRPr="00FB0A3A">
        <w:rPr>
          <w:rFonts w:ascii="Myriad Pro" w:hAnsi="Myriad Pro"/>
          <w:sz w:val="26"/>
          <w:szCs w:val="26"/>
        </w:rPr>
        <w:t xml:space="preserve">2.1, 2.2, 2.3, 3.1, 3.2, 3.3, 4.1, </w:t>
      </w:r>
      <w:r w:rsidR="00F77EC4" w:rsidRPr="00FB0A3A">
        <w:rPr>
          <w:rFonts w:ascii="Myriad Pro" w:hAnsi="Myriad Pro"/>
          <w:sz w:val="26"/>
          <w:szCs w:val="26"/>
        </w:rPr>
        <w:t xml:space="preserve">4.2, 8.1(письмо от 30.03.2018 №МР2/4/02/2325), </w:t>
      </w:r>
      <w:r w:rsidRPr="00FB0A3A">
        <w:rPr>
          <w:rFonts w:ascii="Myriad Pro" w:hAnsi="Myriad Pro"/>
          <w:sz w:val="26"/>
          <w:szCs w:val="26"/>
        </w:rPr>
        <w:t>8.3;</w:t>
      </w:r>
    </w:p>
    <w:tbl>
      <w:tblPr>
        <w:tblW w:w="9356" w:type="dxa"/>
        <w:tblLook w:val="04A0" w:firstRow="1" w:lastRow="0" w:firstColumn="1" w:lastColumn="0" w:noHBand="0" w:noVBand="1"/>
      </w:tblPr>
      <w:tblGrid>
        <w:gridCol w:w="9356"/>
      </w:tblGrid>
      <w:tr w:rsidR="00A6347C" w:rsidRPr="00FB0A3A" w14:paraId="1F8377B2" w14:textId="77777777" w:rsidTr="004505AB">
        <w:trPr>
          <w:trHeight w:val="345"/>
        </w:trPr>
        <w:tc>
          <w:tcPr>
            <w:tcW w:w="9356" w:type="dxa"/>
            <w:tcBorders>
              <w:top w:val="nil"/>
              <w:left w:val="nil"/>
              <w:bottom w:val="nil"/>
              <w:right w:val="nil"/>
            </w:tcBorders>
            <w:shd w:val="clear" w:color="auto" w:fill="auto"/>
            <w:noWrap/>
            <w:vAlign w:val="center"/>
          </w:tcPr>
          <w:p w14:paraId="1054C7D9" w14:textId="42FCF8B9" w:rsidR="00A6347C" w:rsidRPr="00FB0A3A" w:rsidRDefault="00997701" w:rsidP="009B0BC1">
            <w:pPr>
              <w:pStyle w:val="a4"/>
              <w:numPr>
                <w:ilvl w:val="0"/>
                <w:numId w:val="9"/>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Копии актов, подтверждающие данные первичной информации по всем событиям с прекращением передачи электрической энергии.</w:t>
            </w:r>
          </w:p>
        </w:tc>
      </w:tr>
    </w:tbl>
    <w:p w14:paraId="41A65528" w14:textId="77777777" w:rsidR="00E70D39" w:rsidRPr="00FB0A3A" w:rsidRDefault="00E70D39" w:rsidP="00A31747">
      <w:pPr>
        <w:tabs>
          <w:tab w:val="left" w:pos="1134"/>
        </w:tabs>
        <w:spacing w:after="0" w:line="360" w:lineRule="auto"/>
        <w:ind w:firstLine="567"/>
        <w:contextualSpacing/>
        <w:jc w:val="both"/>
        <w:rPr>
          <w:rFonts w:ascii="Myriad Pro" w:eastAsia="Calibri" w:hAnsi="Myriad Pro" w:cs="Times New Roman"/>
          <w:b/>
          <w:sz w:val="26"/>
          <w:szCs w:val="26"/>
        </w:rPr>
      </w:pPr>
    </w:p>
    <w:p w14:paraId="64E7B30B" w14:textId="5A3BC2A0" w:rsidR="003957EB" w:rsidRPr="00FB0A3A" w:rsidRDefault="003957EB" w:rsidP="004D5A32">
      <w:pPr>
        <w:tabs>
          <w:tab w:val="left" w:pos="1134"/>
        </w:tabs>
        <w:spacing w:after="0" w:line="360" w:lineRule="auto"/>
        <w:contextualSpacing/>
        <w:jc w:val="both"/>
        <w:rPr>
          <w:rFonts w:ascii="Myriad Pro" w:eastAsia="Calibri" w:hAnsi="Myriad Pro" w:cs="Times New Roman"/>
          <w:b/>
          <w:sz w:val="26"/>
          <w:szCs w:val="26"/>
        </w:rPr>
      </w:pPr>
      <w:r w:rsidRPr="00FB0A3A">
        <w:rPr>
          <w:rFonts w:ascii="Myriad Pro" w:eastAsia="Calibri" w:hAnsi="Myriad Pro" w:cs="Times New Roman"/>
          <w:b/>
          <w:sz w:val="26"/>
          <w:szCs w:val="26"/>
        </w:rPr>
        <w:t>ПОЗИЦИЯ ОРГАНА РЕГУЛИРОВАНИЯ</w:t>
      </w:r>
    </w:p>
    <w:p w14:paraId="5B30E1CA" w14:textId="2D3D089F" w:rsidR="00CD11FE" w:rsidRPr="00FB0A3A" w:rsidRDefault="00CD11FE" w:rsidP="004D5A32">
      <w:pPr>
        <w:pStyle w:val="afff4"/>
        <w:rPr>
          <w:lang w:val="ru-RU"/>
        </w:rPr>
      </w:pPr>
      <w:r w:rsidRPr="00FB0A3A">
        <w:rPr>
          <w:lang w:val="ru-RU"/>
        </w:rPr>
        <w:t>Показатели надежности и качества на 2019-2023 гг. приняты Комитетом в следующих размерах:</w:t>
      </w:r>
    </w:p>
    <w:tbl>
      <w:tblPr>
        <w:tblStyle w:val="afff6"/>
        <w:tblW w:w="5000" w:type="pct"/>
        <w:tblLook w:val="04A0" w:firstRow="1" w:lastRow="0" w:firstColumn="1" w:lastColumn="0" w:noHBand="0" w:noVBand="1"/>
      </w:tblPr>
      <w:tblGrid>
        <w:gridCol w:w="627"/>
        <w:gridCol w:w="3300"/>
        <w:gridCol w:w="2724"/>
        <w:gridCol w:w="2693"/>
      </w:tblGrid>
      <w:tr w:rsidR="00FC37A6" w:rsidRPr="00A54C03" w14:paraId="6E5039A6" w14:textId="77777777" w:rsidTr="002267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3987958A" w14:textId="32428B69" w:rsidR="00FC37A6" w:rsidRPr="00A54C03" w:rsidRDefault="00184A3C" w:rsidP="004D5A32">
            <w:pPr>
              <w:tabs>
                <w:tab w:val="left" w:pos="1134"/>
              </w:tabs>
              <w:jc w:val="center"/>
              <w:rPr>
                <w:sz w:val="20"/>
                <w:szCs w:val="20"/>
              </w:rPr>
            </w:pPr>
            <w:r w:rsidRPr="00A54C03">
              <w:rPr>
                <w:sz w:val="20"/>
                <w:szCs w:val="20"/>
              </w:rPr>
              <w:lastRenderedPageBreak/>
              <w:t xml:space="preserve"> </w:t>
            </w:r>
            <w:r w:rsidR="00FC37A6" w:rsidRPr="00A54C03">
              <w:rPr>
                <w:sz w:val="20"/>
                <w:szCs w:val="20"/>
              </w:rPr>
              <w:t>Год</w:t>
            </w:r>
          </w:p>
        </w:tc>
        <w:tc>
          <w:tcPr>
            <w:tcW w:w="0" w:type="auto"/>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1809857" w14:textId="77777777" w:rsidR="00FC37A6" w:rsidRPr="00A54C03" w:rsidRDefault="00FC37A6" w:rsidP="004D5A32">
            <w:pPr>
              <w:tabs>
                <w:tab w:val="left" w:pos="1134"/>
              </w:tabs>
              <w:cnfStyle w:val="100000000000" w:firstRow="1" w:lastRow="0" w:firstColumn="0" w:lastColumn="0" w:oddVBand="0" w:evenVBand="0" w:oddHBand="0" w:evenHBand="0" w:firstRowFirstColumn="0" w:firstRowLastColumn="0" w:lastRowFirstColumn="0" w:lastRowLastColumn="0"/>
              <w:rPr>
                <w:sz w:val="20"/>
                <w:szCs w:val="20"/>
              </w:rPr>
            </w:pPr>
            <w:r w:rsidRPr="00A54C03">
              <w:rPr>
                <w:sz w:val="20"/>
                <w:szCs w:val="20"/>
              </w:rPr>
              <w:t>Уровень надежности реализуемых товаров (услуг)</w:t>
            </w: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D6106D6" w14:textId="77777777" w:rsidR="00FC37A6" w:rsidRPr="00A54C03" w:rsidRDefault="00FC37A6" w:rsidP="004D5A32">
            <w:pPr>
              <w:tabs>
                <w:tab w:val="left" w:pos="1134"/>
              </w:tabs>
              <w:cnfStyle w:val="100000000000" w:firstRow="1" w:lastRow="0" w:firstColumn="0" w:lastColumn="0" w:oddVBand="0" w:evenVBand="0" w:oddHBand="0" w:evenHBand="0" w:firstRowFirstColumn="0" w:firstRowLastColumn="0" w:lastRowFirstColumn="0" w:lastRowLastColumn="0"/>
              <w:rPr>
                <w:sz w:val="20"/>
                <w:szCs w:val="20"/>
              </w:rPr>
            </w:pPr>
            <w:r w:rsidRPr="00A54C03">
              <w:rPr>
                <w:sz w:val="20"/>
                <w:szCs w:val="20"/>
              </w:rPr>
              <w:t>Уровень качества осуществляемого технологического присоединения к сетям</w:t>
            </w:r>
          </w:p>
        </w:tc>
      </w:tr>
      <w:tr w:rsidR="00FC37A6" w:rsidRPr="00A54C03" w14:paraId="1A294C0D" w14:textId="77777777" w:rsidTr="002267D7">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6C08374" w14:textId="77777777" w:rsidR="00FC37A6" w:rsidRPr="00A54C03" w:rsidRDefault="00FC37A6" w:rsidP="004D5A32">
            <w:pPr>
              <w:tabs>
                <w:tab w:val="left" w:pos="1134"/>
              </w:tabs>
              <w:rPr>
                <w:sz w:val="20"/>
                <w:szCs w:val="20"/>
              </w:rPr>
            </w:pP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727FAD37" w14:textId="77777777" w:rsidR="00FC37A6" w:rsidRPr="00A54C03" w:rsidRDefault="00FC37A6" w:rsidP="004D5A32">
            <w:pPr>
              <w:tabs>
                <w:tab w:val="left" w:pos="1134"/>
              </w:tabs>
              <w:cnfStyle w:val="000000000000" w:firstRow="0" w:lastRow="0" w:firstColumn="0" w:lastColumn="0" w:oddVBand="0" w:evenVBand="0" w:oddHBand="0" w:evenHBand="0" w:firstRowFirstColumn="0" w:firstRowLastColumn="0" w:lastRowFirstColumn="0" w:lastRowLastColumn="0"/>
              <w:rPr>
                <w:color w:val="FFFFFF" w:themeColor="background1"/>
                <w:sz w:val="20"/>
                <w:szCs w:val="20"/>
              </w:rPr>
            </w:pPr>
            <w:r w:rsidRPr="00A54C03">
              <w:rPr>
                <w:color w:val="FFFFFF" w:themeColor="background1"/>
                <w:sz w:val="20"/>
                <w:szCs w:val="20"/>
              </w:rPr>
              <w:t>Показатель средней продолжительности прекращений передачи электрической энергии на точку поставки</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2724FA0A" w14:textId="77777777" w:rsidR="00FC37A6" w:rsidRPr="00A54C03" w:rsidRDefault="00FC37A6" w:rsidP="004D5A32">
            <w:pPr>
              <w:tabs>
                <w:tab w:val="left" w:pos="1134"/>
              </w:tabs>
              <w:cnfStyle w:val="000000000000" w:firstRow="0" w:lastRow="0" w:firstColumn="0" w:lastColumn="0" w:oddVBand="0" w:evenVBand="0" w:oddHBand="0" w:evenHBand="0" w:firstRowFirstColumn="0" w:firstRowLastColumn="0" w:lastRowFirstColumn="0" w:lastRowLastColumn="0"/>
              <w:rPr>
                <w:color w:val="FFFFFF" w:themeColor="background1"/>
                <w:sz w:val="20"/>
                <w:szCs w:val="20"/>
              </w:rPr>
            </w:pPr>
            <w:r w:rsidRPr="00A54C03">
              <w:rPr>
                <w:color w:val="FFFFFF" w:themeColor="background1"/>
                <w:sz w:val="20"/>
                <w:szCs w:val="20"/>
              </w:rPr>
              <w:t>Показатель средней частоты прекращений передачи электрической энергии на точку поставки</w:t>
            </w: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0990A34" w14:textId="77777777" w:rsidR="00FC37A6" w:rsidRPr="00A54C03" w:rsidRDefault="00FC37A6" w:rsidP="004D5A32">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p>
        </w:tc>
      </w:tr>
      <w:tr w:rsidR="00FC37A6" w:rsidRPr="00A54C03" w14:paraId="07FA527D" w14:textId="77777777" w:rsidTr="002267D7">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tcBorders>
            <w:noWrap/>
            <w:hideMark/>
          </w:tcPr>
          <w:p w14:paraId="3D575C6C" w14:textId="77777777" w:rsidR="00FC37A6" w:rsidRPr="00A54C03" w:rsidRDefault="00FC37A6" w:rsidP="004D5A32">
            <w:pPr>
              <w:tabs>
                <w:tab w:val="left" w:pos="1134"/>
              </w:tabs>
              <w:jc w:val="center"/>
              <w:rPr>
                <w:sz w:val="20"/>
                <w:szCs w:val="20"/>
              </w:rPr>
            </w:pPr>
            <w:r w:rsidRPr="00A54C03">
              <w:rPr>
                <w:sz w:val="20"/>
                <w:szCs w:val="20"/>
              </w:rPr>
              <w:t>2019</w:t>
            </w:r>
          </w:p>
        </w:tc>
        <w:tc>
          <w:tcPr>
            <w:tcW w:w="0" w:type="auto"/>
            <w:tcBorders>
              <w:top w:val="single" w:sz="4" w:space="0" w:color="FFFFFF" w:themeColor="background1"/>
            </w:tcBorders>
            <w:noWrap/>
            <w:hideMark/>
          </w:tcPr>
          <w:p w14:paraId="5B8182EF" w14:textId="77777777" w:rsidR="00FC37A6" w:rsidRPr="00A54C03" w:rsidRDefault="00FC37A6" w:rsidP="004D5A32">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A54C03">
              <w:rPr>
                <w:sz w:val="20"/>
                <w:szCs w:val="20"/>
              </w:rPr>
              <w:t>0,3455</w:t>
            </w:r>
          </w:p>
        </w:tc>
        <w:tc>
          <w:tcPr>
            <w:tcW w:w="0" w:type="auto"/>
            <w:tcBorders>
              <w:top w:val="single" w:sz="4" w:space="0" w:color="FFFFFF" w:themeColor="background1"/>
            </w:tcBorders>
            <w:noWrap/>
            <w:hideMark/>
          </w:tcPr>
          <w:p w14:paraId="1288F3A7" w14:textId="77777777" w:rsidR="00FC37A6" w:rsidRPr="00A54C03" w:rsidRDefault="00FC37A6" w:rsidP="004D5A32">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A54C03">
              <w:rPr>
                <w:sz w:val="20"/>
                <w:szCs w:val="20"/>
              </w:rPr>
              <w:t>0,1523</w:t>
            </w:r>
          </w:p>
        </w:tc>
        <w:tc>
          <w:tcPr>
            <w:tcW w:w="0" w:type="auto"/>
            <w:tcBorders>
              <w:top w:val="single" w:sz="4" w:space="0" w:color="FFFFFF" w:themeColor="background1"/>
            </w:tcBorders>
            <w:noWrap/>
            <w:hideMark/>
          </w:tcPr>
          <w:p w14:paraId="2AF80591" w14:textId="77777777" w:rsidR="00FC37A6" w:rsidRPr="00A54C03" w:rsidRDefault="00FC37A6" w:rsidP="004D5A32">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A54C03">
              <w:rPr>
                <w:sz w:val="20"/>
                <w:szCs w:val="20"/>
              </w:rPr>
              <w:t>1,0020</w:t>
            </w:r>
          </w:p>
        </w:tc>
      </w:tr>
      <w:tr w:rsidR="00FC37A6" w:rsidRPr="00A54C03" w14:paraId="50FA7DF9" w14:textId="77777777" w:rsidTr="004D5A32">
        <w:tc>
          <w:tcPr>
            <w:cnfStyle w:val="001000000000" w:firstRow="0" w:lastRow="0" w:firstColumn="1" w:lastColumn="0" w:oddVBand="0" w:evenVBand="0" w:oddHBand="0" w:evenHBand="0" w:firstRowFirstColumn="0" w:firstRowLastColumn="0" w:lastRowFirstColumn="0" w:lastRowLastColumn="0"/>
            <w:tcW w:w="0" w:type="auto"/>
            <w:noWrap/>
            <w:hideMark/>
          </w:tcPr>
          <w:p w14:paraId="293B2B7A" w14:textId="77777777" w:rsidR="00FC37A6" w:rsidRPr="00A54C03" w:rsidRDefault="00FC37A6" w:rsidP="004D5A32">
            <w:pPr>
              <w:tabs>
                <w:tab w:val="left" w:pos="1134"/>
              </w:tabs>
              <w:jc w:val="center"/>
              <w:rPr>
                <w:sz w:val="20"/>
                <w:szCs w:val="20"/>
              </w:rPr>
            </w:pPr>
            <w:r w:rsidRPr="00A54C03">
              <w:rPr>
                <w:sz w:val="20"/>
                <w:szCs w:val="20"/>
              </w:rPr>
              <w:t>2020</w:t>
            </w:r>
          </w:p>
        </w:tc>
        <w:tc>
          <w:tcPr>
            <w:tcW w:w="0" w:type="auto"/>
            <w:noWrap/>
            <w:hideMark/>
          </w:tcPr>
          <w:p w14:paraId="5DFFA549" w14:textId="77777777" w:rsidR="00FC37A6" w:rsidRPr="00A54C03" w:rsidRDefault="00FC37A6" w:rsidP="004D5A32">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A54C03">
              <w:rPr>
                <w:sz w:val="20"/>
                <w:szCs w:val="20"/>
              </w:rPr>
              <w:t>0,3404</w:t>
            </w:r>
          </w:p>
        </w:tc>
        <w:tc>
          <w:tcPr>
            <w:tcW w:w="0" w:type="auto"/>
            <w:noWrap/>
            <w:hideMark/>
          </w:tcPr>
          <w:p w14:paraId="3374C3AD" w14:textId="77777777" w:rsidR="00FC37A6" w:rsidRPr="00A54C03" w:rsidRDefault="00FC37A6" w:rsidP="004D5A32">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A54C03">
              <w:rPr>
                <w:sz w:val="20"/>
                <w:szCs w:val="20"/>
              </w:rPr>
              <w:t>0,1500</w:t>
            </w:r>
          </w:p>
        </w:tc>
        <w:tc>
          <w:tcPr>
            <w:tcW w:w="0" w:type="auto"/>
            <w:noWrap/>
            <w:hideMark/>
          </w:tcPr>
          <w:p w14:paraId="21839BBE" w14:textId="77777777" w:rsidR="00FC37A6" w:rsidRPr="00A54C03" w:rsidRDefault="00FC37A6" w:rsidP="004D5A32">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A54C03">
              <w:rPr>
                <w:sz w:val="20"/>
                <w:szCs w:val="20"/>
              </w:rPr>
              <w:t>1,0000</w:t>
            </w:r>
          </w:p>
        </w:tc>
      </w:tr>
      <w:tr w:rsidR="00FC37A6" w:rsidRPr="00A54C03" w14:paraId="0E20EA6C" w14:textId="77777777" w:rsidTr="004D5A32">
        <w:tc>
          <w:tcPr>
            <w:cnfStyle w:val="001000000000" w:firstRow="0" w:lastRow="0" w:firstColumn="1" w:lastColumn="0" w:oddVBand="0" w:evenVBand="0" w:oddHBand="0" w:evenHBand="0" w:firstRowFirstColumn="0" w:firstRowLastColumn="0" w:lastRowFirstColumn="0" w:lastRowLastColumn="0"/>
            <w:tcW w:w="0" w:type="auto"/>
            <w:noWrap/>
            <w:hideMark/>
          </w:tcPr>
          <w:p w14:paraId="34BF8AE8" w14:textId="77777777" w:rsidR="00FC37A6" w:rsidRPr="00A54C03" w:rsidRDefault="00FC37A6" w:rsidP="004D5A32">
            <w:pPr>
              <w:tabs>
                <w:tab w:val="left" w:pos="1134"/>
              </w:tabs>
              <w:jc w:val="center"/>
              <w:rPr>
                <w:sz w:val="20"/>
                <w:szCs w:val="20"/>
              </w:rPr>
            </w:pPr>
            <w:r w:rsidRPr="00A54C03">
              <w:rPr>
                <w:sz w:val="20"/>
                <w:szCs w:val="20"/>
              </w:rPr>
              <w:t>2021</w:t>
            </w:r>
          </w:p>
        </w:tc>
        <w:tc>
          <w:tcPr>
            <w:tcW w:w="0" w:type="auto"/>
            <w:noWrap/>
            <w:hideMark/>
          </w:tcPr>
          <w:p w14:paraId="3340AAC4" w14:textId="77777777" w:rsidR="00FC37A6" w:rsidRPr="00A54C03" w:rsidRDefault="00FC37A6" w:rsidP="004D5A32">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A54C03">
              <w:rPr>
                <w:sz w:val="20"/>
                <w:szCs w:val="20"/>
              </w:rPr>
              <w:t>0,3352</w:t>
            </w:r>
          </w:p>
        </w:tc>
        <w:tc>
          <w:tcPr>
            <w:tcW w:w="0" w:type="auto"/>
            <w:noWrap/>
            <w:hideMark/>
          </w:tcPr>
          <w:p w14:paraId="52E3FBCA" w14:textId="77777777" w:rsidR="00FC37A6" w:rsidRPr="00A54C03" w:rsidRDefault="00FC37A6" w:rsidP="004D5A32">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A54C03">
              <w:rPr>
                <w:sz w:val="20"/>
                <w:szCs w:val="20"/>
              </w:rPr>
              <w:t>0,1477</w:t>
            </w:r>
          </w:p>
        </w:tc>
        <w:tc>
          <w:tcPr>
            <w:tcW w:w="0" w:type="auto"/>
            <w:noWrap/>
            <w:hideMark/>
          </w:tcPr>
          <w:p w14:paraId="0F3F6561" w14:textId="77777777" w:rsidR="00FC37A6" w:rsidRPr="00A54C03" w:rsidRDefault="00FC37A6" w:rsidP="004D5A32">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A54C03">
              <w:rPr>
                <w:sz w:val="20"/>
                <w:szCs w:val="20"/>
              </w:rPr>
              <w:t>1,0000</w:t>
            </w:r>
          </w:p>
        </w:tc>
      </w:tr>
      <w:tr w:rsidR="00FC37A6" w:rsidRPr="00A54C03" w14:paraId="3838EB8A" w14:textId="77777777" w:rsidTr="004D5A32">
        <w:tc>
          <w:tcPr>
            <w:cnfStyle w:val="001000000000" w:firstRow="0" w:lastRow="0" w:firstColumn="1" w:lastColumn="0" w:oddVBand="0" w:evenVBand="0" w:oddHBand="0" w:evenHBand="0" w:firstRowFirstColumn="0" w:firstRowLastColumn="0" w:lastRowFirstColumn="0" w:lastRowLastColumn="0"/>
            <w:tcW w:w="0" w:type="auto"/>
            <w:noWrap/>
            <w:hideMark/>
          </w:tcPr>
          <w:p w14:paraId="1FCDDCD8" w14:textId="77777777" w:rsidR="00FC37A6" w:rsidRPr="00A54C03" w:rsidRDefault="00FC37A6" w:rsidP="004D5A32">
            <w:pPr>
              <w:tabs>
                <w:tab w:val="left" w:pos="1134"/>
              </w:tabs>
              <w:jc w:val="center"/>
              <w:rPr>
                <w:sz w:val="20"/>
                <w:szCs w:val="20"/>
              </w:rPr>
            </w:pPr>
            <w:r w:rsidRPr="00A54C03">
              <w:rPr>
                <w:sz w:val="20"/>
                <w:szCs w:val="20"/>
              </w:rPr>
              <w:t>2022</w:t>
            </w:r>
          </w:p>
        </w:tc>
        <w:tc>
          <w:tcPr>
            <w:tcW w:w="0" w:type="auto"/>
            <w:noWrap/>
            <w:hideMark/>
          </w:tcPr>
          <w:p w14:paraId="379E195E" w14:textId="77777777" w:rsidR="00FC37A6" w:rsidRPr="00A54C03" w:rsidRDefault="00FC37A6" w:rsidP="004D5A32">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A54C03">
              <w:rPr>
                <w:sz w:val="20"/>
                <w:szCs w:val="20"/>
              </w:rPr>
              <w:t>0,3302</w:t>
            </w:r>
          </w:p>
        </w:tc>
        <w:tc>
          <w:tcPr>
            <w:tcW w:w="0" w:type="auto"/>
            <w:noWrap/>
            <w:hideMark/>
          </w:tcPr>
          <w:p w14:paraId="47400F41" w14:textId="77777777" w:rsidR="00FC37A6" w:rsidRPr="00A54C03" w:rsidRDefault="00FC37A6" w:rsidP="004D5A32">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A54C03">
              <w:rPr>
                <w:sz w:val="20"/>
                <w:szCs w:val="20"/>
              </w:rPr>
              <w:t>0,1455</w:t>
            </w:r>
          </w:p>
        </w:tc>
        <w:tc>
          <w:tcPr>
            <w:tcW w:w="0" w:type="auto"/>
            <w:noWrap/>
            <w:hideMark/>
          </w:tcPr>
          <w:p w14:paraId="7F95FDDC" w14:textId="77777777" w:rsidR="00FC37A6" w:rsidRPr="00A54C03" w:rsidRDefault="00FC37A6" w:rsidP="004D5A32">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A54C03">
              <w:rPr>
                <w:sz w:val="20"/>
                <w:szCs w:val="20"/>
              </w:rPr>
              <w:t>1,0000</w:t>
            </w:r>
          </w:p>
        </w:tc>
      </w:tr>
      <w:tr w:rsidR="00FC37A6" w:rsidRPr="00A54C03" w14:paraId="0C6F9605" w14:textId="77777777" w:rsidTr="004D5A32">
        <w:tc>
          <w:tcPr>
            <w:cnfStyle w:val="001000000000" w:firstRow="0" w:lastRow="0" w:firstColumn="1" w:lastColumn="0" w:oddVBand="0" w:evenVBand="0" w:oddHBand="0" w:evenHBand="0" w:firstRowFirstColumn="0" w:firstRowLastColumn="0" w:lastRowFirstColumn="0" w:lastRowLastColumn="0"/>
            <w:tcW w:w="0" w:type="auto"/>
            <w:noWrap/>
            <w:hideMark/>
          </w:tcPr>
          <w:p w14:paraId="7AB0E878" w14:textId="77777777" w:rsidR="00FC37A6" w:rsidRPr="00A54C03" w:rsidRDefault="00FC37A6" w:rsidP="004D5A32">
            <w:pPr>
              <w:tabs>
                <w:tab w:val="left" w:pos="1134"/>
              </w:tabs>
              <w:jc w:val="center"/>
              <w:rPr>
                <w:sz w:val="20"/>
                <w:szCs w:val="20"/>
              </w:rPr>
            </w:pPr>
            <w:r w:rsidRPr="00A54C03">
              <w:rPr>
                <w:sz w:val="20"/>
                <w:szCs w:val="20"/>
              </w:rPr>
              <w:t>2023</w:t>
            </w:r>
          </w:p>
        </w:tc>
        <w:tc>
          <w:tcPr>
            <w:tcW w:w="0" w:type="auto"/>
            <w:noWrap/>
            <w:hideMark/>
          </w:tcPr>
          <w:p w14:paraId="6FD32D8A" w14:textId="77777777" w:rsidR="00FC37A6" w:rsidRPr="00A54C03" w:rsidRDefault="00FC37A6" w:rsidP="004D5A32">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A54C03">
              <w:rPr>
                <w:sz w:val="20"/>
                <w:szCs w:val="20"/>
              </w:rPr>
              <w:t>0,3253</w:t>
            </w:r>
          </w:p>
        </w:tc>
        <w:tc>
          <w:tcPr>
            <w:tcW w:w="0" w:type="auto"/>
            <w:noWrap/>
            <w:hideMark/>
          </w:tcPr>
          <w:p w14:paraId="13870158" w14:textId="77777777" w:rsidR="00FC37A6" w:rsidRPr="00A54C03" w:rsidRDefault="00FC37A6" w:rsidP="004D5A32">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A54C03">
              <w:rPr>
                <w:sz w:val="20"/>
                <w:szCs w:val="20"/>
              </w:rPr>
              <w:t>0,1433</w:t>
            </w:r>
          </w:p>
        </w:tc>
        <w:tc>
          <w:tcPr>
            <w:tcW w:w="0" w:type="auto"/>
            <w:noWrap/>
            <w:hideMark/>
          </w:tcPr>
          <w:p w14:paraId="3D4B4A56" w14:textId="77777777" w:rsidR="00FC37A6" w:rsidRPr="00A54C03" w:rsidRDefault="00FC37A6" w:rsidP="004D5A32">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A54C03">
              <w:rPr>
                <w:sz w:val="20"/>
                <w:szCs w:val="20"/>
              </w:rPr>
              <w:t>1,0000</w:t>
            </w:r>
          </w:p>
        </w:tc>
      </w:tr>
    </w:tbl>
    <w:p w14:paraId="7DDD7D9E" w14:textId="77777777" w:rsidR="008C068E" w:rsidRPr="00FB0A3A" w:rsidRDefault="008C068E" w:rsidP="004D5A32">
      <w:pPr>
        <w:tabs>
          <w:tab w:val="left" w:pos="1134"/>
        </w:tabs>
        <w:spacing w:after="0" w:line="360" w:lineRule="auto"/>
        <w:ind w:firstLine="567"/>
        <w:contextualSpacing/>
        <w:jc w:val="both"/>
        <w:rPr>
          <w:rFonts w:ascii="Myriad Pro" w:eastAsia="Calibri" w:hAnsi="Myriad Pro" w:cs="Times New Roman"/>
          <w:b/>
          <w:sz w:val="26"/>
          <w:szCs w:val="26"/>
        </w:rPr>
      </w:pPr>
    </w:p>
    <w:p w14:paraId="62FE6AC0" w14:textId="377E2851" w:rsidR="003957EB" w:rsidRPr="00FB0A3A" w:rsidRDefault="003957EB" w:rsidP="004D5A32">
      <w:pPr>
        <w:tabs>
          <w:tab w:val="left" w:pos="1134"/>
        </w:tabs>
        <w:spacing w:after="0" w:line="360" w:lineRule="auto"/>
        <w:contextualSpacing/>
        <w:jc w:val="both"/>
        <w:rPr>
          <w:rFonts w:ascii="Myriad Pro" w:eastAsia="Calibri" w:hAnsi="Myriad Pro" w:cs="Times New Roman"/>
          <w:b/>
          <w:sz w:val="26"/>
          <w:szCs w:val="26"/>
        </w:rPr>
      </w:pPr>
      <w:r w:rsidRPr="00FB0A3A">
        <w:rPr>
          <w:rFonts w:ascii="Myriad Pro" w:eastAsia="Calibri" w:hAnsi="Myriad Pro" w:cs="Times New Roman"/>
          <w:b/>
          <w:sz w:val="26"/>
          <w:szCs w:val="26"/>
        </w:rPr>
        <w:t>ПОЗИЦИЯ ИСПОЛНИТЕЛЯ</w:t>
      </w:r>
    </w:p>
    <w:p w14:paraId="6617662A" w14:textId="43EA66C3" w:rsidR="00FC37A6" w:rsidRPr="00FB0A3A" w:rsidRDefault="00FC37A6" w:rsidP="00A31747">
      <w:pPr>
        <w:tabs>
          <w:tab w:val="left" w:pos="1134"/>
        </w:tabs>
        <w:spacing w:after="0" w:line="360" w:lineRule="auto"/>
        <w:ind w:firstLine="567"/>
        <w:contextualSpacing/>
        <w:jc w:val="both"/>
        <w:rPr>
          <w:rFonts w:ascii="Myriad Pro" w:hAnsi="Myriad Pro"/>
          <w:sz w:val="26"/>
          <w:szCs w:val="26"/>
        </w:rPr>
      </w:pPr>
      <w:r w:rsidRPr="00FB0A3A">
        <w:rPr>
          <w:rFonts w:ascii="Myriad Pro" w:hAnsi="Myriad Pro"/>
          <w:sz w:val="26"/>
          <w:szCs w:val="26"/>
        </w:rPr>
        <w:t>В Протоколе от 28-29.12.2018 не отражены показатели, которые были учтены Комитетом при расчете показателей надежности и качества на 2019-2023 гг.</w:t>
      </w:r>
    </w:p>
    <w:p w14:paraId="3A45C6CD" w14:textId="28CC370E" w:rsidR="009D39AC" w:rsidRPr="00FB0A3A" w:rsidRDefault="009D39AC" w:rsidP="00A31747">
      <w:pPr>
        <w:tabs>
          <w:tab w:val="left" w:pos="1134"/>
        </w:tabs>
        <w:spacing w:after="0" w:line="360" w:lineRule="auto"/>
        <w:ind w:firstLine="567"/>
        <w:contextualSpacing/>
        <w:jc w:val="both"/>
        <w:rPr>
          <w:rFonts w:ascii="Myriad Pro" w:hAnsi="Myriad Pro"/>
          <w:sz w:val="26"/>
          <w:szCs w:val="26"/>
        </w:rPr>
      </w:pPr>
      <w:r w:rsidRPr="00FB0A3A">
        <w:rPr>
          <w:rFonts w:ascii="Myriad Pro" w:hAnsi="Myriad Pro"/>
          <w:sz w:val="26"/>
          <w:szCs w:val="26"/>
        </w:rPr>
        <w:t xml:space="preserve">Исполнителем проанализированы представленные материалы со стороны филиала ПАО </w:t>
      </w:r>
      <w:r w:rsidR="00655FFA" w:rsidRPr="00FB0A3A">
        <w:rPr>
          <w:rFonts w:ascii="Myriad Pro" w:hAnsi="Myriad Pro"/>
          <w:sz w:val="26"/>
          <w:szCs w:val="26"/>
        </w:rPr>
        <w:t>«</w:t>
      </w:r>
      <w:r w:rsidRPr="00FB0A3A">
        <w:rPr>
          <w:rFonts w:ascii="Myriad Pro" w:hAnsi="Myriad Pro"/>
          <w:sz w:val="26"/>
          <w:szCs w:val="26"/>
        </w:rPr>
        <w:t>МРСК Северо-Запада</w:t>
      </w:r>
      <w:r w:rsidR="00655FFA" w:rsidRPr="00FB0A3A">
        <w:rPr>
          <w:rFonts w:ascii="Myriad Pro" w:hAnsi="Myriad Pro"/>
          <w:sz w:val="26"/>
          <w:szCs w:val="26"/>
        </w:rPr>
        <w:t>»</w:t>
      </w:r>
      <w:r w:rsidRPr="00FB0A3A">
        <w:rPr>
          <w:rFonts w:ascii="Myriad Pro" w:hAnsi="Myriad Pro"/>
          <w:sz w:val="26"/>
          <w:szCs w:val="26"/>
        </w:rPr>
        <w:t xml:space="preserve"> </w:t>
      </w:r>
      <w:r w:rsidR="00655FFA" w:rsidRPr="00FB0A3A">
        <w:rPr>
          <w:rFonts w:ascii="Myriad Pro" w:hAnsi="Myriad Pro"/>
          <w:sz w:val="26"/>
          <w:szCs w:val="26"/>
        </w:rPr>
        <w:t>«</w:t>
      </w:r>
      <w:r w:rsidRPr="00FB0A3A">
        <w:rPr>
          <w:rFonts w:ascii="Myriad Pro" w:hAnsi="Myriad Pro"/>
          <w:sz w:val="26"/>
          <w:szCs w:val="26"/>
        </w:rPr>
        <w:t>Колэнерго</w:t>
      </w:r>
      <w:r w:rsidR="00655FFA" w:rsidRPr="00FB0A3A">
        <w:rPr>
          <w:rFonts w:ascii="Myriad Pro" w:hAnsi="Myriad Pro"/>
          <w:sz w:val="26"/>
          <w:szCs w:val="26"/>
        </w:rPr>
        <w:t>»</w:t>
      </w:r>
      <w:r w:rsidRPr="00FB0A3A">
        <w:rPr>
          <w:rFonts w:ascii="Myriad Pro" w:hAnsi="Myriad Pro"/>
          <w:sz w:val="26"/>
          <w:szCs w:val="26"/>
        </w:rPr>
        <w:t>.</w:t>
      </w:r>
    </w:p>
    <w:p w14:paraId="18E33C1F" w14:textId="29BFE8DD" w:rsidR="00F77EC4" w:rsidRPr="00FB0A3A" w:rsidRDefault="00F77EC4" w:rsidP="00A31747">
      <w:pPr>
        <w:tabs>
          <w:tab w:val="left" w:pos="1134"/>
        </w:tabs>
        <w:spacing w:after="0" w:line="360" w:lineRule="auto"/>
        <w:ind w:firstLine="567"/>
        <w:contextualSpacing/>
        <w:jc w:val="both"/>
        <w:rPr>
          <w:rFonts w:ascii="Myriad Pro" w:hAnsi="Myriad Pro"/>
          <w:sz w:val="26"/>
          <w:szCs w:val="26"/>
        </w:rPr>
      </w:pPr>
      <w:r w:rsidRPr="00FB0A3A">
        <w:rPr>
          <w:rFonts w:ascii="Myriad Pro" w:hAnsi="Myriad Pro"/>
          <w:sz w:val="26"/>
          <w:szCs w:val="26"/>
        </w:rPr>
        <w:t xml:space="preserve">Филиалом не представлено в исследуемых материалах приложение по форме 8.1 </w:t>
      </w:r>
      <w:r w:rsidR="00655FFA" w:rsidRPr="00FB0A3A">
        <w:rPr>
          <w:rFonts w:ascii="Myriad Pro" w:hAnsi="Myriad Pro"/>
          <w:sz w:val="26"/>
          <w:szCs w:val="26"/>
        </w:rPr>
        <w:t>«</w:t>
      </w:r>
      <w:r w:rsidRPr="00FB0A3A">
        <w:rPr>
          <w:rFonts w:ascii="Myriad Pro" w:hAnsi="Myriad Pro"/>
          <w:sz w:val="26"/>
          <w:szCs w:val="26"/>
        </w:rPr>
        <w:t>Журнал учета данных первичной информации по всем</w:t>
      </w:r>
      <w:r w:rsidR="00EF279D" w:rsidRPr="00FB0A3A">
        <w:rPr>
          <w:rFonts w:ascii="Myriad Pro" w:hAnsi="Myriad Pro"/>
          <w:sz w:val="26"/>
          <w:szCs w:val="26"/>
        </w:rPr>
        <w:t xml:space="preserve"> </w:t>
      </w:r>
      <w:r w:rsidRPr="00FB0A3A">
        <w:rPr>
          <w:rFonts w:ascii="Myriad Pro" w:hAnsi="Myriad Pro"/>
          <w:sz w:val="26"/>
          <w:szCs w:val="26"/>
        </w:rPr>
        <w:t>прекращениям передачи электрической энергии произошедших на</w:t>
      </w:r>
      <w:r w:rsidR="000B506C" w:rsidRPr="00FB0A3A">
        <w:rPr>
          <w:rFonts w:ascii="Myriad Pro" w:hAnsi="Myriad Pro"/>
          <w:sz w:val="26"/>
          <w:szCs w:val="26"/>
        </w:rPr>
        <w:t xml:space="preserve"> объектах</w:t>
      </w:r>
      <w:r w:rsidR="00EF279D" w:rsidRPr="00FB0A3A">
        <w:rPr>
          <w:rFonts w:ascii="Myriad Pro" w:hAnsi="Myriad Pro"/>
          <w:sz w:val="26"/>
          <w:szCs w:val="26"/>
        </w:rPr>
        <w:t xml:space="preserve"> </w:t>
      </w:r>
      <w:r w:rsidR="000B506C" w:rsidRPr="00FB0A3A">
        <w:rPr>
          <w:rFonts w:ascii="Myriad Pro" w:hAnsi="Myriad Pro"/>
          <w:sz w:val="26"/>
          <w:szCs w:val="26"/>
        </w:rPr>
        <w:t>сетевой организации</w:t>
      </w:r>
      <w:r w:rsidR="00655FFA" w:rsidRPr="00FB0A3A">
        <w:rPr>
          <w:rFonts w:ascii="Myriad Pro" w:hAnsi="Myriad Pro"/>
          <w:sz w:val="26"/>
          <w:szCs w:val="26"/>
        </w:rPr>
        <w:t>»</w:t>
      </w:r>
      <w:r w:rsidR="000B506C" w:rsidRPr="00FB0A3A">
        <w:rPr>
          <w:rFonts w:ascii="Myriad Pro" w:hAnsi="Myriad Pro"/>
          <w:sz w:val="26"/>
          <w:szCs w:val="26"/>
        </w:rPr>
        <w:t>.</w:t>
      </w:r>
    </w:p>
    <w:p w14:paraId="2BEB6C5F" w14:textId="7BD46348" w:rsidR="000B506C" w:rsidRPr="00FB0A3A" w:rsidRDefault="00F77EC4" w:rsidP="004D5A32">
      <w:pPr>
        <w:pStyle w:val="afff4"/>
        <w:rPr>
          <w:lang w:val="ru-RU"/>
        </w:rPr>
      </w:pPr>
      <w:r w:rsidRPr="00FB0A3A">
        <w:rPr>
          <w:lang w:val="ru-RU"/>
        </w:rPr>
        <w:t>Исполнитель</w:t>
      </w:r>
      <w:r w:rsidR="009D39AC" w:rsidRPr="00FB0A3A">
        <w:rPr>
          <w:lang w:val="ru-RU"/>
        </w:rPr>
        <w:t>,</w:t>
      </w:r>
      <w:r w:rsidRPr="00FB0A3A">
        <w:rPr>
          <w:lang w:val="ru-RU"/>
        </w:rPr>
        <w:t xml:space="preserve"> полагая, что сведения по форме 8.1, отраженные в расчете</w:t>
      </w:r>
      <w:r w:rsidR="00EF279D" w:rsidRPr="00FB0A3A">
        <w:rPr>
          <w:lang w:val="ru-RU"/>
        </w:rPr>
        <w:t>,</w:t>
      </w:r>
      <w:r w:rsidRPr="00FB0A3A">
        <w:rPr>
          <w:lang w:val="ru-RU"/>
        </w:rPr>
        <w:t xml:space="preserve"> достоверны</w:t>
      </w:r>
      <w:r w:rsidR="00EF279D" w:rsidRPr="00FB0A3A">
        <w:rPr>
          <w:lang w:val="ru-RU"/>
        </w:rPr>
        <w:t>,</w:t>
      </w:r>
      <w:r w:rsidRPr="00FB0A3A">
        <w:rPr>
          <w:lang w:val="ru-RU"/>
        </w:rPr>
        <w:t xml:space="preserve"> произвел расчет показателя средней продолжительности прекращения передачи электрической энергии потребителям услуг и показателя средней частоты прекращений передачи электрической энергии потребителям услуг сетевой организации:</w:t>
      </w:r>
    </w:p>
    <w:tbl>
      <w:tblPr>
        <w:tblStyle w:val="afff6"/>
        <w:tblW w:w="5000" w:type="pct"/>
        <w:tblLook w:val="04A0" w:firstRow="1" w:lastRow="0" w:firstColumn="1" w:lastColumn="0" w:noHBand="0" w:noVBand="1"/>
      </w:tblPr>
      <w:tblGrid>
        <w:gridCol w:w="501"/>
        <w:gridCol w:w="4175"/>
        <w:gridCol w:w="771"/>
        <w:gridCol w:w="771"/>
        <w:gridCol w:w="771"/>
        <w:gridCol w:w="936"/>
        <w:gridCol w:w="1419"/>
      </w:tblGrid>
      <w:tr w:rsidR="00CC5860" w:rsidRPr="00A54C03" w14:paraId="73DB5F89" w14:textId="77777777" w:rsidTr="002267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BC1265A" w14:textId="77777777" w:rsidR="00CC5860" w:rsidRPr="00A54C03" w:rsidRDefault="00CC5860" w:rsidP="004D5A32">
            <w:pPr>
              <w:tabs>
                <w:tab w:val="left" w:pos="1134"/>
              </w:tabs>
              <w:jc w:val="center"/>
              <w:rPr>
                <w:sz w:val="20"/>
                <w:szCs w:val="20"/>
              </w:rPr>
            </w:pPr>
            <w:r w:rsidRPr="00A54C03">
              <w:rPr>
                <w:sz w:val="20"/>
                <w:szCs w:val="20"/>
              </w:rPr>
              <w:t>№</w:t>
            </w:r>
            <w:r w:rsidRPr="00A54C03">
              <w:rPr>
                <w:sz w:val="20"/>
                <w:szCs w:val="20"/>
              </w:rPr>
              <w:br/>
              <w:t>п/п</w:t>
            </w: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BE8F986" w14:textId="77777777" w:rsidR="00CC5860" w:rsidRPr="00A54C03" w:rsidRDefault="00CC5860" w:rsidP="004D5A32">
            <w:pPr>
              <w:tabs>
                <w:tab w:val="left" w:pos="1134"/>
              </w:tabs>
              <w:cnfStyle w:val="100000000000" w:firstRow="1" w:lastRow="0" w:firstColumn="0" w:lastColumn="0" w:oddVBand="0" w:evenVBand="0" w:oddHBand="0" w:evenHBand="0" w:firstRowFirstColumn="0" w:firstRowLastColumn="0" w:lastRowFirstColumn="0" w:lastRowLastColumn="0"/>
              <w:rPr>
                <w:sz w:val="20"/>
                <w:szCs w:val="20"/>
              </w:rPr>
            </w:pPr>
            <w:r w:rsidRPr="00A54C03">
              <w:rPr>
                <w:sz w:val="20"/>
                <w:szCs w:val="20"/>
              </w:rPr>
              <w:t>Наименование составляющей показателя</w:t>
            </w:r>
          </w:p>
        </w:tc>
        <w:tc>
          <w:tcPr>
            <w:tcW w:w="0" w:type="auto"/>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485B5BBE" w14:textId="77777777" w:rsidR="00CC5860" w:rsidRPr="00A54C03" w:rsidRDefault="00CC5860" w:rsidP="004D5A32">
            <w:pPr>
              <w:tabs>
                <w:tab w:val="left" w:pos="1134"/>
              </w:tabs>
              <w:cnfStyle w:val="100000000000" w:firstRow="1" w:lastRow="0" w:firstColumn="0" w:lastColumn="0" w:oddVBand="0" w:evenVBand="0" w:oddHBand="0" w:evenHBand="0" w:firstRowFirstColumn="0" w:firstRowLastColumn="0" w:lastRowFirstColumn="0" w:lastRowLastColumn="0"/>
              <w:rPr>
                <w:sz w:val="20"/>
                <w:szCs w:val="20"/>
              </w:rPr>
            </w:pPr>
            <w:r w:rsidRPr="00A54C03">
              <w:rPr>
                <w:sz w:val="20"/>
                <w:szCs w:val="20"/>
              </w:rPr>
              <w:t>Данные регулируемой организации</w:t>
            </w:r>
          </w:p>
        </w:tc>
      </w:tr>
      <w:tr w:rsidR="00CC5860" w:rsidRPr="00A54C03" w14:paraId="4F06C2EE" w14:textId="77777777" w:rsidTr="002267D7">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1ED10F7" w14:textId="77777777" w:rsidR="00CC5860" w:rsidRPr="00A54C03" w:rsidRDefault="00CC5860" w:rsidP="004D5A32">
            <w:pPr>
              <w:tabs>
                <w:tab w:val="left" w:pos="1134"/>
              </w:tabs>
              <w:rPr>
                <w:sz w:val="20"/>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EB0B9DC" w14:textId="77777777" w:rsidR="00CC5860" w:rsidRPr="00A54C03" w:rsidRDefault="00CC5860" w:rsidP="004D5A32">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4EB1B968" w14:textId="77777777" w:rsidR="00CC5860" w:rsidRPr="00A54C03" w:rsidRDefault="00CC5860" w:rsidP="004D5A32">
            <w:pPr>
              <w:tabs>
                <w:tab w:val="left" w:pos="1134"/>
              </w:tabs>
              <w:cnfStyle w:val="000000000000" w:firstRow="0" w:lastRow="0" w:firstColumn="0" w:lastColumn="0" w:oddVBand="0" w:evenVBand="0" w:oddHBand="0" w:evenHBand="0" w:firstRowFirstColumn="0" w:firstRowLastColumn="0" w:lastRowFirstColumn="0" w:lastRowLastColumn="0"/>
              <w:rPr>
                <w:color w:val="FFFFFF" w:themeColor="background1"/>
                <w:sz w:val="20"/>
                <w:szCs w:val="20"/>
              </w:rPr>
            </w:pPr>
            <w:r w:rsidRPr="00A54C03">
              <w:rPr>
                <w:color w:val="FFFFFF" w:themeColor="background1"/>
                <w:sz w:val="20"/>
                <w:szCs w:val="20"/>
              </w:rPr>
              <w:t>2015</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1322B9D4" w14:textId="77777777" w:rsidR="00CC5860" w:rsidRPr="00A54C03" w:rsidRDefault="00CC5860" w:rsidP="004D5A32">
            <w:pPr>
              <w:tabs>
                <w:tab w:val="left" w:pos="1134"/>
              </w:tabs>
              <w:cnfStyle w:val="000000000000" w:firstRow="0" w:lastRow="0" w:firstColumn="0" w:lastColumn="0" w:oddVBand="0" w:evenVBand="0" w:oddHBand="0" w:evenHBand="0" w:firstRowFirstColumn="0" w:firstRowLastColumn="0" w:lastRowFirstColumn="0" w:lastRowLastColumn="0"/>
              <w:rPr>
                <w:color w:val="FFFFFF" w:themeColor="background1"/>
                <w:sz w:val="20"/>
                <w:szCs w:val="20"/>
              </w:rPr>
            </w:pPr>
            <w:r w:rsidRPr="00A54C03">
              <w:rPr>
                <w:color w:val="FFFFFF" w:themeColor="background1"/>
                <w:sz w:val="20"/>
                <w:szCs w:val="20"/>
              </w:rPr>
              <w:t>2016</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363FB4D6" w14:textId="77777777" w:rsidR="00CC5860" w:rsidRPr="00A54C03" w:rsidRDefault="00CC5860" w:rsidP="004D5A32">
            <w:pPr>
              <w:tabs>
                <w:tab w:val="left" w:pos="1134"/>
              </w:tabs>
              <w:cnfStyle w:val="000000000000" w:firstRow="0" w:lastRow="0" w:firstColumn="0" w:lastColumn="0" w:oddVBand="0" w:evenVBand="0" w:oddHBand="0" w:evenHBand="0" w:firstRowFirstColumn="0" w:firstRowLastColumn="0" w:lastRowFirstColumn="0" w:lastRowLastColumn="0"/>
              <w:rPr>
                <w:color w:val="FFFFFF" w:themeColor="background1"/>
                <w:sz w:val="20"/>
                <w:szCs w:val="20"/>
              </w:rPr>
            </w:pPr>
            <w:r w:rsidRPr="00A54C03">
              <w:rPr>
                <w:color w:val="FFFFFF" w:themeColor="background1"/>
                <w:sz w:val="20"/>
                <w:szCs w:val="20"/>
              </w:rPr>
              <w:t>2017</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45093FC5" w14:textId="77777777" w:rsidR="00CC5860" w:rsidRPr="00A54C03" w:rsidRDefault="00CC5860" w:rsidP="004D5A32">
            <w:pPr>
              <w:tabs>
                <w:tab w:val="left" w:pos="1134"/>
              </w:tabs>
              <w:cnfStyle w:val="000000000000" w:firstRow="0" w:lastRow="0" w:firstColumn="0" w:lastColumn="0" w:oddVBand="0" w:evenVBand="0" w:oddHBand="0" w:evenHBand="0" w:firstRowFirstColumn="0" w:firstRowLastColumn="0" w:lastRowFirstColumn="0" w:lastRowLastColumn="0"/>
              <w:rPr>
                <w:color w:val="FFFFFF" w:themeColor="background1"/>
                <w:sz w:val="20"/>
                <w:szCs w:val="20"/>
              </w:rPr>
            </w:pPr>
            <w:r w:rsidRPr="00A54C03">
              <w:rPr>
                <w:color w:val="FFFFFF" w:themeColor="background1"/>
                <w:sz w:val="20"/>
                <w:szCs w:val="20"/>
              </w:rPr>
              <w:t>среднее</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0EE05418" w14:textId="77777777" w:rsidR="00CC5860" w:rsidRPr="00A54C03" w:rsidRDefault="00CC5860" w:rsidP="004D5A32">
            <w:pPr>
              <w:tabs>
                <w:tab w:val="left" w:pos="1134"/>
              </w:tabs>
              <w:cnfStyle w:val="000000000000" w:firstRow="0" w:lastRow="0" w:firstColumn="0" w:lastColumn="0" w:oddVBand="0" w:evenVBand="0" w:oddHBand="0" w:evenHBand="0" w:firstRowFirstColumn="0" w:firstRowLastColumn="0" w:lastRowFirstColumn="0" w:lastRowLastColumn="0"/>
              <w:rPr>
                <w:color w:val="FFFFFF" w:themeColor="background1"/>
                <w:sz w:val="20"/>
                <w:szCs w:val="20"/>
              </w:rPr>
            </w:pPr>
            <w:r w:rsidRPr="00A54C03">
              <w:rPr>
                <w:color w:val="FFFFFF" w:themeColor="background1"/>
                <w:sz w:val="20"/>
                <w:szCs w:val="20"/>
              </w:rPr>
              <w:t>минимальное</w:t>
            </w:r>
          </w:p>
        </w:tc>
      </w:tr>
      <w:tr w:rsidR="00CC5860" w:rsidRPr="00A54C03" w14:paraId="448F7416" w14:textId="77777777" w:rsidTr="002267D7">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tcBorders>
            <w:noWrap/>
            <w:hideMark/>
          </w:tcPr>
          <w:p w14:paraId="517116BA" w14:textId="77777777" w:rsidR="00CC5860" w:rsidRPr="00A54C03" w:rsidRDefault="00CC5860" w:rsidP="004D5A32">
            <w:pPr>
              <w:tabs>
                <w:tab w:val="left" w:pos="1134"/>
              </w:tabs>
              <w:jc w:val="center"/>
              <w:rPr>
                <w:sz w:val="20"/>
                <w:szCs w:val="20"/>
              </w:rPr>
            </w:pPr>
            <w:r w:rsidRPr="00A54C03">
              <w:rPr>
                <w:sz w:val="20"/>
                <w:szCs w:val="20"/>
              </w:rPr>
              <w:t>1</w:t>
            </w:r>
          </w:p>
        </w:tc>
        <w:tc>
          <w:tcPr>
            <w:tcW w:w="0" w:type="auto"/>
            <w:tcBorders>
              <w:top w:val="single" w:sz="4" w:space="0" w:color="FFFFFF" w:themeColor="background1"/>
            </w:tcBorders>
            <w:hideMark/>
          </w:tcPr>
          <w:p w14:paraId="7A81B77B" w14:textId="77777777" w:rsidR="00CC5860" w:rsidRPr="00A54C03" w:rsidRDefault="00CC5860" w:rsidP="004D5A32">
            <w:pPr>
              <w:tabs>
                <w:tab w:val="left" w:pos="1134"/>
              </w:tabs>
              <w:jc w:val="left"/>
              <w:cnfStyle w:val="000000000000" w:firstRow="0" w:lastRow="0" w:firstColumn="0" w:lastColumn="0" w:oddVBand="0" w:evenVBand="0" w:oddHBand="0" w:evenHBand="0" w:firstRowFirstColumn="0" w:firstRowLastColumn="0" w:lastRowFirstColumn="0" w:lastRowLastColumn="0"/>
              <w:rPr>
                <w:sz w:val="20"/>
                <w:szCs w:val="20"/>
              </w:rPr>
            </w:pPr>
            <w:r w:rsidRPr="00A54C03">
              <w:rPr>
                <w:sz w:val="20"/>
                <w:szCs w:val="20"/>
              </w:rPr>
              <w:t xml:space="preserve">Максимальное за расчетный период регулирования число точек поставки потребителей услуг сетевой </w:t>
            </w:r>
            <w:r w:rsidRPr="00A54C03">
              <w:rPr>
                <w:sz w:val="20"/>
                <w:szCs w:val="20"/>
              </w:rPr>
              <w:br/>
              <w:t>организации, шт.</w:t>
            </w:r>
          </w:p>
        </w:tc>
        <w:tc>
          <w:tcPr>
            <w:tcW w:w="0" w:type="auto"/>
            <w:tcBorders>
              <w:top w:val="single" w:sz="4" w:space="0" w:color="FFFFFF" w:themeColor="background1"/>
            </w:tcBorders>
            <w:noWrap/>
            <w:hideMark/>
          </w:tcPr>
          <w:p w14:paraId="438D8BAE" w14:textId="656433FE" w:rsidR="00CC5860" w:rsidRPr="00A54C03" w:rsidRDefault="00CC5860" w:rsidP="004D5A32">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A54C03">
              <w:rPr>
                <w:sz w:val="20"/>
                <w:szCs w:val="20"/>
              </w:rPr>
              <w:t>3 477</w:t>
            </w:r>
          </w:p>
        </w:tc>
        <w:tc>
          <w:tcPr>
            <w:tcW w:w="0" w:type="auto"/>
            <w:tcBorders>
              <w:top w:val="single" w:sz="4" w:space="0" w:color="FFFFFF" w:themeColor="background1"/>
            </w:tcBorders>
            <w:noWrap/>
            <w:hideMark/>
          </w:tcPr>
          <w:p w14:paraId="28347053" w14:textId="502B7708" w:rsidR="00CC5860" w:rsidRPr="00A54C03" w:rsidRDefault="00CC5860" w:rsidP="004D5A32">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A54C03">
              <w:rPr>
                <w:sz w:val="20"/>
                <w:szCs w:val="20"/>
              </w:rPr>
              <w:t>3 494</w:t>
            </w:r>
          </w:p>
        </w:tc>
        <w:tc>
          <w:tcPr>
            <w:tcW w:w="0" w:type="auto"/>
            <w:tcBorders>
              <w:top w:val="single" w:sz="4" w:space="0" w:color="FFFFFF" w:themeColor="background1"/>
            </w:tcBorders>
            <w:noWrap/>
            <w:hideMark/>
          </w:tcPr>
          <w:p w14:paraId="7EC5D905" w14:textId="57D07301" w:rsidR="00CC5860" w:rsidRPr="00A54C03" w:rsidRDefault="00CC5860" w:rsidP="004D5A32">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A54C03">
              <w:rPr>
                <w:sz w:val="20"/>
                <w:szCs w:val="20"/>
              </w:rPr>
              <w:t>4 766</w:t>
            </w:r>
          </w:p>
        </w:tc>
        <w:tc>
          <w:tcPr>
            <w:tcW w:w="0" w:type="auto"/>
            <w:tcBorders>
              <w:top w:val="single" w:sz="4" w:space="0" w:color="FFFFFF" w:themeColor="background1"/>
            </w:tcBorders>
            <w:noWrap/>
            <w:hideMark/>
          </w:tcPr>
          <w:p w14:paraId="07238FDA" w14:textId="0410C887" w:rsidR="00CC5860" w:rsidRPr="00A54C03" w:rsidRDefault="00CC5860" w:rsidP="004D5A32">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A54C03">
              <w:rPr>
                <w:sz w:val="20"/>
                <w:szCs w:val="20"/>
              </w:rPr>
              <w:t>*</w:t>
            </w:r>
          </w:p>
        </w:tc>
        <w:tc>
          <w:tcPr>
            <w:tcW w:w="0" w:type="auto"/>
            <w:tcBorders>
              <w:top w:val="single" w:sz="4" w:space="0" w:color="FFFFFF" w:themeColor="background1"/>
            </w:tcBorders>
            <w:noWrap/>
            <w:hideMark/>
          </w:tcPr>
          <w:p w14:paraId="7A525B8F" w14:textId="2776B006" w:rsidR="00CC5860" w:rsidRPr="00A54C03" w:rsidRDefault="00CC5860" w:rsidP="004D5A32">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A54C03">
              <w:rPr>
                <w:sz w:val="20"/>
                <w:szCs w:val="20"/>
              </w:rPr>
              <w:t>*</w:t>
            </w:r>
          </w:p>
        </w:tc>
      </w:tr>
      <w:tr w:rsidR="00CC5860" w:rsidRPr="00A54C03" w14:paraId="57E75D1C" w14:textId="77777777" w:rsidTr="004D5A32">
        <w:tc>
          <w:tcPr>
            <w:cnfStyle w:val="001000000000" w:firstRow="0" w:lastRow="0" w:firstColumn="1" w:lastColumn="0" w:oddVBand="0" w:evenVBand="0" w:oddHBand="0" w:evenHBand="0" w:firstRowFirstColumn="0" w:firstRowLastColumn="0" w:lastRowFirstColumn="0" w:lastRowLastColumn="0"/>
            <w:tcW w:w="0" w:type="auto"/>
            <w:vMerge w:val="restart"/>
            <w:noWrap/>
            <w:hideMark/>
          </w:tcPr>
          <w:p w14:paraId="4E6542A3" w14:textId="77777777" w:rsidR="00CC5860" w:rsidRPr="00A54C03" w:rsidRDefault="00CC5860" w:rsidP="004D5A32">
            <w:pPr>
              <w:tabs>
                <w:tab w:val="left" w:pos="1134"/>
              </w:tabs>
              <w:jc w:val="center"/>
              <w:rPr>
                <w:sz w:val="20"/>
                <w:szCs w:val="20"/>
              </w:rPr>
            </w:pPr>
            <w:r w:rsidRPr="00A54C03">
              <w:rPr>
                <w:sz w:val="20"/>
                <w:szCs w:val="20"/>
              </w:rPr>
              <w:t>2</w:t>
            </w:r>
          </w:p>
        </w:tc>
        <w:tc>
          <w:tcPr>
            <w:tcW w:w="0" w:type="auto"/>
            <w:vMerge w:val="restart"/>
            <w:hideMark/>
          </w:tcPr>
          <w:p w14:paraId="1DBA4E78" w14:textId="77777777" w:rsidR="00CC5860" w:rsidRPr="00A54C03" w:rsidRDefault="00CC5860" w:rsidP="004D5A32">
            <w:pPr>
              <w:tabs>
                <w:tab w:val="left" w:pos="1134"/>
              </w:tabs>
              <w:jc w:val="left"/>
              <w:cnfStyle w:val="000000000000" w:firstRow="0" w:lastRow="0" w:firstColumn="0" w:lastColumn="0" w:oddVBand="0" w:evenVBand="0" w:oddHBand="0" w:evenHBand="0" w:firstRowFirstColumn="0" w:firstRowLastColumn="0" w:lastRowFirstColumn="0" w:lastRowLastColumn="0"/>
              <w:rPr>
                <w:sz w:val="20"/>
                <w:szCs w:val="20"/>
              </w:rPr>
            </w:pPr>
            <w:r w:rsidRPr="00A54C03">
              <w:rPr>
                <w:sz w:val="20"/>
                <w:szCs w:val="20"/>
              </w:rPr>
              <w:t>Средняя продолжительность прекращения передачи электрической энергии на точку поставки (Пsaidi), час</w:t>
            </w:r>
          </w:p>
        </w:tc>
        <w:tc>
          <w:tcPr>
            <w:tcW w:w="0" w:type="auto"/>
            <w:noWrap/>
            <w:hideMark/>
          </w:tcPr>
          <w:p w14:paraId="04044F9B" w14:textId="0F4B987F" w:rsidR="00CC5860" w:rsidRPr="00A54C03" w:rsidRDefault="00CC5860" w:rsidP="004D5A32">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A54C03">
              <w:rPr>
                <w:sz w:val="20"/>
                <w:szCs w:val="20"/>
              </w:rPr>
              <w:t>660</w:t>
            </w:r>
          </w:p>
        </w:tc>
        <w:tc>
          <w:tcPr>
            <w:tcW w:w="0" w:type="auto"/>
            <w:noWrap/>
            <w:hideMark/>
          </w:tcPr>
          <w:p w14:paraId="346E99BE" w14:textId="63929021" w:rsidR="00CC5860" w:rsidRPr="00A54C03" w:rsidRDefault="00CC5860" w:rsidP="004D5A32">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A54C03">
              <w:rPr>
                <w:sz w:val="20"/>
                <w:szCs w:val="20"/>
              </w:rPr>
              <w:t>1 102</w:t>
            </w:r>
          </w:p>
        </w:tc>
        <w:tc>
          <w:tcPr>
            <w:tcW w:w="0" w:type="auto"/>
            <w:noWrap/>
            <w:hideMark/>
          </w:tcPr>
          <w:p w14:paraId="120CDCDA" w14:textId="08B03408" w:rsidR="00CC5860" w:rsidRPr="00A54C03" w:rsidRDefault="00CC5860" w:rsidP="004D5A32">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A54C03">
              <w:rPr>
                <w:sz w:val="20"/>
                <w:szCs w:val="20"/>
              </w:rPr>
              <w:t>2 608</w:t>
            </w:r>
          </w:p>
        </w:tc>
        <w:tc>
          <w:tcPr>
            <w:tcW w:w="0" w:type="auto"/>
            <w:noWrap/>
            <w:hideMark/>
          </w:tcPr>
          <w:p w14:paraId="12814DF9" w14:textId="36A98503" w:rsidR="00CC5860" w:rsidRPr="00A54C03" w:rsidRDefault="00CC5860" w:rsidP="004D5A32">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A54C03">
              <w:rPr>
                <w:sz w:val="20"/>
                <w:szCs w:val="20"/>
              </w:rPr>
              <w:t>*</w:t>
            </w:r>
          </w:p>
        </w:tc>
        <w:tc>
          <w:tcPr>
            <w:tcW w:w="0" w:type="auto"/>
            <w:noWrap/>
            <w:hideMark/>
          </w:tcPr>
          <w:p w14:paraId="0598F478" w14:textId="34BD0EF6" w:rsidR="00CC5860" w:rsidRPr="00A54C03" w:rsidRDefault="00CC5860" w:rsidP="004D5A32">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A54C03">
              <w:rPr>
                <w:sz w:val="20"/>
                <w:szCs w:val="20"/>
              </w:rPr>
              <w:t>*</w:t>
            </w:r>
          </w:p>
        </w:tc>
      </w:tr>
      <w:tr w:rsidR="00CC5860" w:rsidRPr="00A54C03" w14:paraId="74611B77" w14:textId="77777777" w:rsidTr="004D5A32">
        <w:tc>
          <w:tcPr>
            <w:cnfStyle w:val="001000000000" w:firstRow="0" w:lastRow="0" w:firstColumn="1" w:lastColumn="0" w:oddVBand="0" w:evenVBand="0" w:oddHBand="0" w:evenHBand="0" w:firstRowFirstColumn="0" w:firstRowLastColumn="0" w:lastRowFirstColumn="0" w:lastRowLastColumn="0"/>
            <w:tcW w:w="0" w:type="auto"/>
            <w:vMerge/>
            <w:hideMark/>
          </w:tcPr>
          <w:p w14:paraId="61EBD9E1" w14:textId="77777777" w:rsidR="00CC5860" w:rsidRPr="00A54C03" w:rsidRDefault="00CC5860" w:rsidP="004D5A32">
            <w:pPr>
              <w:tabs>
                <w:tab w:val="left" w:pos="1134"/>
              </w:tabs>
              <w:rPr>
                <w:sz w:val="20"/>
                <w:szCs w:val="20"/>
              </w:rPr>
            </w:pPr>
          </w:p>
        </w:tc>
        <w:tc>
          <w:tcPr>
            <w:tcW w:w="0" w:type="auto"/>
            <w:vMerge/>
            <w:hideMark/>
          </w:tcPr>
          <w:p w14:paraId="30127D5B" w14:textId="77777777" w:rsidR="00CC5860" w:rsidRPr="00A54C03" w:rsidRDefault="00CC5860" w:rsidP="004D5A32">
            <w:pPr>
              <w:tabs>
                <w:tab w:val="left" w:pos="1134"/>
              </w:tabs>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221F59B4" w14:textId="4BF471D7" w:rsidR="00CC5860" w:rsidRPr="00A54C03" w:rsidRDefault="00CC5860" w:rsidP="004D5A32">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A54C03">
              <w:rPr>
                <w:sz w:val="20"/>
                <w:szCs w:val="20"/>
              </w:rPr>
              <w:t>0,1898</w:t>
            </w:r>
          </w:p>
        </w:tc>
        <w:tc>
          <w:tcPr>
            <w:tcW w:w="0" w:type="auto"/>
            <w:noWrap/>
            <w:hideMark/>
          </w:tcPr>
          <w:p w14:paraId="27C10F94" w14:textId="7BC00FF5" w:rsidR="00CC5860" w:rsidRPr="00A54C03" w:rsidRDefault="00CC5860" w:rsidP="004D5A32">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A54C03">
              <w:rPr>
                <w:sz w:val="20"/>
                <w:szCs w:val="20"/>
              </w:rPr>
              <w:t>0,3153</w:t>
            </w:r>
          </w:p>
        </w:tc>
        <w:tc>
          <w:tcPr>
            <w:tcW w:w="0" w:type="auto"/>
            <w:noWrap/>
            <w:hideMark/>
          </w:tcPr>
          <w:p w14:paraId="347F7BA8" w14:textId="12311574" w:rsidR="00CC5860" w:rsidRPr="00A54C03" w:rsidRDefault="00CC5860" w:rsidP="004D5A32">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A54C03">
              <w:rPr>
                <w:sz w:val="20"/>
                <w:szCs w:val="20"/>
              </w:rPr>
              <w:t>0,5473</w:t>
            </w:r>
          </w:p>
        </w:tc>
        <w:tc>
          <w:tcPr>
            <w:tcW w:w="0" w:type="auto"/>
            <w:noWrap/>
            <w:hideMark/>
          </w:tcPr>
          <w:p w14:paraId="19B79C2C" w14:textId="0010C8E7" w:rsidR="00CC5860" w:rsidRPr="00A54C03" w:rsidRDefault="00CC5860" w:rsidP="004D5A32">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A54C03">
              <w:rPr>
                <w:sz w:val="20"/>
                <w:szCs w:val="20"/>
              </w:rPr>
              <w:t>0,3508</w:t>
            </w:r>
          </w:p>
        </w:tc>
        <w:tc>
          <w:tcPr>
            <w:tcW w:w="0" w:type="auto"/>
            <w:noWrap/>
            <w:hideMark/>
          </w:tcPr>
          <w:p w14:paraId="33EF0A0B" w14:textId="7795A6D8" w:rsidR="00CC5860" w:rsidRPr="00A54C03" w:rsidRDefault="00CC5860" w:rsidP="004D5A32">
            <w:pPr>
              <w:tabs>
                <w:tab w:val="left" w:pos="1134"/>
              </w:tabs>
              <w:cnfStyle w:val="000000000000" w:firstRow="0" w:lastRow="0" w:firstColumn="0" w:lastColumn="0" w:oddVBand="0" w:evenVBand="0" w:oddHBand="0" w:evenHBand="0" w:firstRowFirstColumn="0" w:firstRowLastColumn="0" w:lastRowFirstColumn="0" w:lastRowLastColumn="0"/>
              <w:rPr>
                <w:b/>
                <w:sz w:val="20"/>
                <w:szCs w:val="20"/>
              </w:rPr>
            </w:pPr>
            <w:r w:rsidRPr="00A54C03">
              <w:rPr>
                <w:b/>
                <w:sz w:val="20"/>
                <w:szCs w:val="20"/>
              </w:rPr>
              <w:t>0,3508</w:t>
            </w:r>
          </w:p>
        </w:tc>
      </w:tr>
      <w:tr w:rsidR="00CC5860" w:rsidRPr="00A54C03" w14:paraId="0B9ECB99" w14:textId="77777777" w:rsidTr="004D5A32">
        <w:tc>
          <w:tcPr>
            <w:cnfStyle w:val="001000000000" w:firstRow="0" w:lastRow="0" w:firstColumn="1" w:lastColumn="0" w:oddVBand="0" w:evenVBand="0" w:oddHBand="0" w:evenHBand="0" w:firstRowFirstColumn="0" w:firstRowLastColumn="0" w:lastRowFirstColumn="0" w:lastRowLastColumn="0"/>
            <w:tcW w:w="0" w:type="auto"/>
            <w:vMerge w:val="restart"/>
            <w:noWrap/>
            <w:hideMark/>
          </w:tcPr>
          <w:p w14:paraId="4C678B68" w14:textId="77777777" w:rsidR="00CC5860" w:rsidRPr="00A54C03" w:rsidRDefault="00CC5860" w:rsidP="004D5A32">
            <w:pPr>
              <w:tabs>
                <w:tab w:val="left" w:pos="1134"/>
              </w:tabs>
              <w:jc w:val="center"/>
              <w:rPr>
                <w:sz w:val="20"/>
                <w:szCs w:val="20"/>
              </w:rPr>
            </w:pPr>
            <w:r w:rsidRPr="00A54C03">
              <w:rPr>
                <w:sz w:val="20"/>
                <w:szCs w:val="20"/>
              </w:rPr>
              <w:t>3</w:t>
            </w:r>
          </w:p>
        </w:tc>
        <w:tc>
          <w:tcPr>
            <w:tcW w:w="0" w:type="auto"/>
            <w:vMerge w:val="restart"/>
            <w:hideMark/>
          </w:tcPr>
          <w:p w14:paraId="3B5BF344" w14:textId="77777777" w:rsidR="00CC5860" w:rsidRPr="00A54C03" w:rsidRDefault="00CC5860" w:rsidP="004D5A32">
            <w:pPr>
              <w:tabs>
                <w:tab w:val="left" w:pos="1134"/>
              </w:tabs>
              <w:jc w:val="left"/>
              <w:cnfStyle w:val="000000000000" w:firstRow="0" w:lastRow="0" w:firstColumn="0" w:lastColumn="0" w:oddVBand="0" w:evenVBand="0" w:oddHBand="0" w:evenHBand="0" w:firstRowFirstColumn="0" w:firstRowLastColumn="0" w:lastRowFirstColumn="0" w:lastRowLastColumn="0"/>
              <w:rPr>
                <w:sz w:val="20"/>
                <w:szCs w:val="20"/>
              </w:rPr>
            </w:pPr>
            <w:r w:rsidRPr="00A54C03">
              <w:rPr>
                <w:sz w:val="20"/>
                <w:szCs w:val="20"/>
              </w:rPr>
              <w:t>Средняя частота прекращений передачи электрической энергии на точку поставки (Пsaifi), шт.</w:t>
            </w:r>
          </w:p>
        </w:tc>
        <w:tc>
          <w:tcPr>
            <w:tcW w:w="0" w:type="auto"/>
            <w:noWrap/>
            <w:hideMark/>
          </w:tcPr>
          <w:p w14:paraId="7C472FAD" w14:textId="2AC58241" w:rsidR="00CC5860" w:rsidRPr="00A54C03" w:rsidRDefault="00CC5860" w:rsidP="004D5A32">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A54C03">
              <w:rPr>
                <w:sz w:val="20"/>
                <w:szCs w:val="20"/>
              </w:rPr>
              <w:t>342</w:t>
            </w:r>
          </w:p>
        </w:tc>
        <w:tc>
          <w:tcPr>
            <w:tcW w:w="0" w:type="auto"/>
            <w:noWrap/>
            <w:hideMark/>
          </w:tcPr>
          <w:p w14:paraId="51FCF5B6" w14:textId="2D8B6630" w:rsidR="00CC5860" w:rsidRPr="00A54C03" w:rsidRDefault="00CC5860" w:rsidP="004D5A32">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A54C03">
              <w:rPr>
                <w:sz w:val="20"/>
                <w:szCs w:val="20"/>
              </w:rPr>
              <w:t>564</w:t>
            </w:r>
          </w:p>
        </w:tc>
        <w:tc>
          <w:tcPr>
            <w:tcW w:w="0" w:type="auto"/>
            <w:noWrap/>
            <w:hideMark/>
          </w:tcPr>
          <w:p w14:paraId="706B1650" w14:textId="31F64823" w:rsidR="00CC5860" w:rsidRPr="00A54C03" w:rsidRDefault="00CC5860" w:rsidP="004D5A32">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A54C03">
              <w:rPr>
                <w:sz w:val="20"/>
                <w:szCs w:val="20"/>
              </w:rPr>
              <w:t>973</w:t>
            </w:r>
          </w:p>
        </w:tc>
        <w:tc>
          <w:tcPr>
            <w:tcW w:w="0" w:type="auto"/>
            <w:noWrap/>
            <w:hideMark/>
          </w:tcPr>
          <w:p w14:paraId="5743FB0A" w14:textId="661BD5A2" w:rsidR="00CC5860" w:rsidRPr="00A54C03" w:rsidRDefault="00CC5860" w:rsidP="004D5A32">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A54C03">
              <w:rPr>
                <w:sz w:val="20"/>
                <w:szCs w:val="20"/>
              </w:rPr>
              <w:t>*</w:t>
            </w:r>
          </w:p>
        </w:tc>
        <w:tc>
          <w:tcPr>
            <w:tcW w:w="0" w:type="auto"/>
            <w:noWrap/>
            <w:hideMark/>
          </w:tcPr>
          <w:p w14:paraId="660291C3" w14:textId="2322340E" w:rsidR="00CC5860" w:rsidRPr="00A54C03" w:rsidRDefault="00CC5860" w:rsidP="004D5A32">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A54C03">
              <w:rPr>
                <w:sz w:val="20"/>
                <w:szCs w:val="20"/>
              </w:rPr>
              <w:t>*</w:t>
            </w:r>
          </w:p>
        </w:tc>
      </w:tr>
      <w:tr w:rsidR="00CC5860" w:rsidRPr="00A54C03" w14:paraId="55912326" w14:textId="77777777" w:rsidTr="004D5A32">
        <w:tc>
          <w:tcPr>
            <w:cnfStyle w:val="001000000000" w:firstRow="0" w:lastRow="0" w:firstColumn="1" w:lastColumn="0" w:oddVBand="0" w:evenVBand="0" w:oddHBand="0" w:evenHBand="0" w:firstRowFirstColumn="0" w:firstRowLastColumn="0" w:lastRowFirstColumn="0" w:lastRowLastColumn="0"/>
            <w:tcW w:w="0" w:type="auto"/>
            <w:vMerge/>
            <w:hideMark/>
          </w:tcPr>
          <w:p w14:paraId="65F55351" w14:textId="77777777" w:rsidR="00CC5860" w:rsidRPr="00A54C03" w:rsidRDefault="00CC5860" w:rsidP="004D5A32">
            <w:pPr>
              <w:tabs>
                <w:tab w:val="left" w:pos="1134"/>
              </w:tabs>
              <w:rPr>
                <w:sz w:val="20"/>
                <w:szCs w:val="20"/>
              </w:rPr>
            </w:pPr>
          </w:p>
        </w:tc>
        <w:tc>
          <w:tcPr>
            <w:tcW w:w="0" w:type="auto"/>
            <w:vMerge/>
            <w:hideMark/>
          </w:tcPr>
          <w:p w14:paraId="0F8A471C" w14:textId="77777777" w:rsidR="00CC5860" w:rsidRPr="00A54C03" w:rsidRDefault="00CC5860" w:rsidP="004D5A32">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noWrap/>
            <w:hideMark/>
          </w:tcPr>
          <w:p w14:paraId="795A78CB" w14:textId="446551D9" w:rsidR="00CC5860" w:rsidRPr="00A54C03" w:rsidRDefault="00CC5860" w:rsidP="004D5A32">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A54C03">
              <w:rPr>
                <w:sz w:val="20"/>
                <w:szCs w:val="20"/>
              </w:rPr>
              <w:t>0,0984</w:t>
            </w:r>
          </w:p>
        </w:tc>
        <w:tc>
          <w:tcPr>
            <w:tcW w:w="0" w:type="auto"/>
            <w:noWrap/>
            <w:hideMark/>
          </w:tcPr>
          <w:p w14:paraId="1ED8FF74" w14:textId="7E01BA95" w:rsidR="00CC5860" w:rsidRPr="00A54C03" w:rsidRDefault="00CC5860" w:rsidP="004D5A32">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A54C03">
              <w:rPr>
                <w:sz w:val="20"/>
                <w:szCs w:val="20"/>
              </w:rPr>
              <w:t>0,1614</w:t>
            </w:r>
          </w:p>
        </w:tc>
        <w:tc>
          <w:tcPr>
            <w:tcW w:w="0" w:type="auto"/>
            <w:noWrap/>
            <w:hideMark/>
          </w:tcPr>
          <w:p w14:paraId="05CCDACA" w14:textId="235FF4A5" w:rsidR="00CC5860" w:rsidRPr="00A54C03" w:rsidRDefault="00CC5860" w:rsidP="004D5A32">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A54C03">
              <w:rPr>
                <w:sz w:val="20"/>
                <w:szCs w:val="20"/>
              </w:rPr>
              <w:t>0,2042</w:t>
            </w:r>
          </w:p>
        </w:tc>
        <w:tc>
          <w:tcPr>
            <w:tcW w:w="0" w:type="auto"/>
            <w:noWrap/>
            <w:hideMark/>
          </w:tcPr>
          <w:p w14:paraId="1EF21C1A" w14:textId="3226E779" w:rsidR="00CC5860" w:rsidRPr="00A54C03" w:rsidRDefault="00CC5860" w:rsidP="004D5A32">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A54C03">
              <w:rPr>
                <w:sz w:val="20"/>
                <w:szCs w:val="20"/>
              </w:rPr>
              <w:t>0,1546</w:t>
            </w:r>
          </w:p>
        </w:tc>
        <w:tc>
          <w:tcPr>
            <w:tcW w:w="0" w:type="auto"/>
            <w:noWrap/>
            <w:hideMark/>
          </w:tcPr>
          <w:p w14:paraId="492CC512" w14:textId="198ACDC6" w:rsidR="00CC5860" w:rsidRPr="00A54C03" w:rsidRDefault="00CC5860" w:rsidP="004D5A32">
            <w:pPr>
              <w:tabs>
                <w:tab w:val="left" w:pos="1134"/>
              </w:tabs>
              <w:cnfStyle w:val="000000000000" w:firstRow="0" w:lastRow="0" w:firstColumn="0" w:lastColumn="0" w:oddVBand="0" w:evenVBand="0" w:oddHBand="0" w:evenHBand="0" w:firstRowFirstColumn="0" w:firstRowLastColumn="0" w:lastRowFirstColumn="0" w:lastRowLastColumn="0"/>
              <w:rPr>
                <w:b/>
                <w:sz w:val="20"/>
                <w:szCs w:val="20"/>
              </w:rPr>
            </w:pPr>
            <w:r w:rsidRPr="00A54C03">
              <w:rPr>
                <w:b/>
                <w:sz w:val="20"/>
                <w:szCs w:val="20"/>
              </w:rPr>
              <w:t>0,1546</w:t>
            </w:r>
          </w:p>
        </w:tc>
      </w:tr>
    </w:tbl>
    <w:p w14:paraId="511860A6" w14:textId="1B63EE16" w:rsidR="00BE4B6B" w:rsidRPr="00FB0A3A" w:rsidRDefault="00BE4B6B" w:rsidP="004D5A32">
      <w:pPr>
        <w:pStyle w:val="afff7"/>
      </w:pPr>
      <w:r w:rsidRPr="00FB0A3A">
        <w:lastRenderedPageBreak/>
        <w:t>Определение темпа улучшения, применяемого при расчете показателей надежности на первый и последующие годы долгосрочного периода регулирования:</w:t>
      </w:r>
    </w:p>
    <w:p w14:paraId="4C0474A3" w14:textId="5C5DD927" w:rsidR="00BE4B6B" w:rsidRPr="00FB0A3A" w:rsidRDefault="00BE4B6B" w:rsidP="004D5A32">
      <w:pPr>
        <w:pStyle w:val="afff4"/>
        <w:rPr>
          <w:lang w:val="ru-RU"/>
        </w:rPr>
      </w:pPr>
      <w:r w:rsidRPr="00FB0A3A">
        <w:rPr>
          <w:lang w:val="ru-RU"/>
        </w:rPr>
        <w:t>Определение темпа улучшений для показателя средней продолжительности прекращений передачи электрической энергии на точку поставки (Номер группы территориальной сетевой организации по показателю Пsaidi  - 6 группа - ЛЭП 10 км и более</w:t>
      </w:r>
      <w:r w:rsidR="000C264C" w:rsidRPr="00FB0A3A">
        <w:rPr>
          <w:lang w:val="ru-RU"/>
        </w:rPr>
        <w:t>,</w:t>
      </w:r>
      <w:r w:rsidRPr="00FB0A3A">
        <w:rPr>
          <w:lang w:val="ru-RU"/>
        </w:rPr>
        <w:t xml:space="preserve"> и менее 7500 км, доля КЛ менее 30%, Плотность менее 20 шт. /км, Число точек поставки менее 10 000 шт.).</w:t>
      </w:r>
    </w:p>
    <w:tbl>
      <w:tblPr>
        <w:tblStyle w:val="afff6"/>
        <w:tblW w:w="5000" w:type="pct"/>
        <w:tblLook w:val="04A0" w:firstRow="1" w:lastRow="0" w:firstColumn="1" w:lastColumn="0" w:noHBand="0" w:noVBand="1"/>
      </w:tblPr>
      <w:tblGrid>
        <w:gridCol w:w="8132"/>
        <w:gridCol w:w="1212"/>
      </w:tblGrid>
      <w:tr w:rsidR="004D5A32" w:rsidRPr="00A54C03" w14:paraId="24EE1BBD" w14:textId="77777777" w:rsidTr="002267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C823185" w14:textId="63433778" w:rsidR="004D5A32" w:rsidRPr="00A54C03" w:rsidRDefault="004D5A32" w:rsidP="004D5A32">
            <w:pPr>
              <w:tabs>
                <w:tab w:val="left" w:pos="1134"/>
              </w:tabs>
              <w:jc w:val="center"/>
              <w:rPr>
                <w:sz w:val="20"/>
                <w:szCs w:val="20"/>
              </w:rPr>
            </w:pPr>
            <w:r w:rsidRPr="00A54C03">
              <w:rPr>
                <w:sz w:val="20"/>
                <w:szCs w:val="20"/>
              </w:rPr>
              <w:t>Наименование</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tcPr>
          <w:p w14:paraId="09B2A199" w14:textId="2DC43A02" w:rsidR="004D5A32" w:rsidRPr="00A54C03" w:rsidRDefault="004D5A32" w:rsidP="004D5A32">
            <w:pPr>
              <w:tabs>
                <w:tab w:val="left" w:pos="1134"/>
              </w:tabs>
              <w:cnfStyle w:val="100000000000" w:firstRow="1" w:lastRow="0" w:firstColumn="0" w:lastColumn="0" w:oddVBand="0" w:evenVBand="0" w:oddHBand="0" w:evenHBand="0" w:firstRowFirstColumn="0" w:firstRowLastColumn="0" w:lastRowFirstColumn="0" w:lastRowLastColumn="0"/>
              <w:rPr>
                <w:sz w:val="20"/>
                <w:szCs w:val="20"/>
              </w:rPr>
            </w:pPr>
            <w:r w:rsidRPr="00A54C03">
              <w:rPr>
                <w:sz w:val="20"/>
                <w:szCs w:val="20"/>
              </w:rPr>
              <w:t>Показатель</w:t>
            </w:r>
          </w:p>
        </w:tc>
      </w:tr>
      <w:tr w:rsidR="002320A3" w:rsidRPr="00A54C03" w14:paraId="247FD79D" w14:textId="77777777" w:rsidTr="002267D7">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tcBorders>
            <w:hideMark/>
          </w:tcPr>
          <w:p w14:paraId="30C811CE" w14:textId="72DD34F8" w:rsidR="00BE4B6B" w:rsidRPr="00A54C03" w:rsidRDefault="00BE4B6B" w:rsidP="004D5A32">
            <w:pPr>
              <w:tabs>
                <w:tab w:val="left" w:pos="1134"/>
              </w:tabs>
              <w:rPr>
                <w:sz w:val="20"/>
                <w:szCs w:val="20"/>
              </w:rPr>
            </w:pPr>
            <w:r w:rsidRPr="00A54C03">
              <w:rPr>
                <w:sz w:val="20"/>
                <w:szCs w:val="20"/>
              </w:rPr>
              <w:t>Базовое значение показателя средней продолжительности прекращений подачи э/э на точку поставки Пsadifi</w:t>
            </w:r>
          </w:p>
        </w:tc>
        <w:tc>
          <w:tcPr>
            <w:tcW w:w="0" w:type="auto"/>
            <w:tcBorders>
              <w:top w:val="single" w:sz="4" w:space="0" w:color="FFFFFF" w:themeColor="background1"/>
            </w:tcBorders>
            <w:noWrap/>
            <w:hideMark/>
          </w:tcPr>
          <w:p w14:paraId="065FCE73" w14:textId="122135B3" w:rsidR="00BE4B6B" w:rsidRPr="00A54C03" w:rsidRDefault="002320A3" w:rsidP="004D5A32">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A54C03">
              <w:rPr>
                <w:sz w:val="20"/>
                <w:szCs w:val="20"/>
              </w:rPr>
              <w:t>4,50546</w:t>
            </w:r>
          </w:p>
        </w:tc>
      </w:tr>
      <w:tr w:rsidR="002320A3" w:rsidRPr="00A54C03" w14:paraId="27629F8D" w14:textId="77777777" w:rsidTr="004D5A32">
        <w:tc>
          <w:tcPr>
            <w:cnfStyle w:val="001000000000" w:firstRow="0" w:lastRow="0" w:firstColumn="1" w:lastColumn="0" w:oddVBand="0" w:evenVBand="0" w:oddHBand="0" w:evenHBand="0" w:firstRowFirstColumn="0" w:firstRowLastColumn="0" w:lastRowFirstColumn="0" w:lastRowLastColumn="0"/>
            <w:tcW w:w="0" w:type="auto"/>
            <w:hideMark/>
          </w:tcPr>
          <w:p w14:paraId="577F6099" w14:textId="6632F36C" w:rsidR="00BE4B6B" w:rsidRPr="00A54C03" w:rsidRDefault="00BE4B6B" w:rsidP="004D5A32">
            <w:pPr>
              <w:tabs>
                <w:tab w:val="left" w:pos="1134"/>
              </w:tabs>
              <w:rPr>
                <w:sz w:val="20"/>
                <w:szCs w:val="20"/>
              </w:rPr>
            </w:pPr>
            <w:r w:rsidRPr="00A54C03">
              <w:rPr>
                <w:sz w:val="20"/>
                <w:szCs w:val="20"/>
              </w:rPr>
              <w:t>Значение показателя средней продолжительности прекращения подачи на точку поставки, определенное по формуле 18 МУ №1256</w:t>
            </w:r>
          </w:p>
        </w:tc>
        <w:tc>
          <w:tcPr>
            <w:tcW w:w="0" w:type="auto"/>
            <w:noWrap/>
            <w:hideMark/>
          </w:tcPr>
          <w:p w14:paraId="4CA9C11F" w14:textId="650D6F78" w:rsidR="00BE4B6B" w:rsidRPr="00A54C03" w:rsidRDefault="00BE4B6B" w:rsidP="004D5A32">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A54C03">
              <w:rPr>
                <w:sz w:val="20"/>
                <w:szCs w:val="20"/>
              </w:rPr>
              <w:t>4,3713</w:t>
            </w:r>
            <w:r w:rsidR="002320A3" w:rsidRPr="00A54C03">
              <w:rPr>
                <w:sz w:val="20"/>
                <w:szCs w:val="20"/>
              </w:rPr>
              <w:t>1</w:t>
            </w:r>
          </w:p>
        </w:tc>
      </w:tr>
      <w:tr w:rsidR="002320A3" w:rsidRPr="00A54C03" w14:paraId="1E330170" w14:textId="77777777" w:rsidTr="004D5A32">
        <w:tc>
          <w:tcPr>
            <w:cnfStyle w:val="001000000000" w:firstRow="0" w:lastRow="0" w:firstColumn="1" w:lastColumn="0" w:oddVBand="0" w:evenVBand="0" w:oddHBand="0" w:evenHBand="0" w:firstRowFirstColumn="0" w:firstRowLastColumn="0" w:lastRowFirstColumn="0" w:lastRowLastColumn="0"/>
            <w:tcW w:w="0" w:type="auto"/>
            <w:hideMark/>
          </w:tcPr>
          <w:p w14:paraId="0D8F9D2C" w14:textId="6FC3E21C" w:rsidR="00BE4B6B" w:rsidRPr="00A54C03" w:rsidRDefault="00BE4B6B" w:rsidP="004D5A32">
            <w:pPr>
              <w:tabs>
                <w:tab w:val="left" w:pos="1134"/>
              </w:tabs>
              <w:rPr>
                <w:sz w:val="20"/>
                <w:szCs w:val="20"/>
              </w:rPr>
            </w:pPr>
            <w:r w:rsidRPr="00A54C03">
              <w:rPr>
                <w:sz w:val="20"/>
                <w:szCs w:val="20"/>
              </w:rPr>
              <w:t>Год, на который определяется показатель</w:t>
            </w:r>
          </w:p>
        </w:tc>
        <w:tc>
          <w:tcPr>
            <w:tcW w:w="0" w:type="auto"/>
            <w:noWrap/>
            <w:hideMark/>
          </w:tcPr>
          <w:p w14:paraId="598D5642" w14:textId="77777777" w:rsidR="00BE4B6B" w:rsidRPr="00A54C03" w:rsidRDefault="00BE4B6B" w:rsidP="004D5A32">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A54C03">
              <w:rPr>
                <w:sz w:val="20"/>
                <w:szCs w:val="20"/>
              </w:rPr>
              <w:t>2019</w:t>
            </w:r>
          </w:p>
        </w:tc>
      </w:tr>
      <w:tr w:rsidR="002320A3" w:rsidRPr="00A54C03" w14:paraId="1285EDE5" w14:textId="77777777" w:rsidTr="004D5A32">
        <w:tc>
          <w:tcPr>
            <w:cnfStyle w:val="001000000000" w:firstRow="0" w:lastRow="0" w:firstColumn="1" w:lastColumn="0" w:oddVBand="0" w:evenVBand="0" w:oddHBand="0" w:evenHBand="0" w:firstRowFirstColumn="0" w:firstRowLastColumn="0" w:lastRowFirstColumn="0" w:lastRowLastColumn="0"/>
            <w:tcW w:w="0" w:type="auto"/>
            <w:hideMark/>
          </w:tcPr>
          <w:p w14:paraId="25CAE8E6" w14:textId="77777777" w:rsidR="00BE4B6B" w:rsidRPr="00A54C03" w:rsidRDefault="00BE4B6B" w:rsidP="004D5A32">
            <w:pPr>
              <w:tabs>
                <w:tab w:val="left" w:pos="1134"/>
              </w:tabs>
              <w:rPr>
                <w:sz w:val="20"/>
                <w:szCs w:val="20"/>
              </w:rPr>
            </w:pPr>
            <w:r w:rsidRPr="00A54C03">
              <w:rPr>
                <w:sz w:val="20"/>
                <w:szCs w:val="20"/>
              </w:rPr>
              <w:t>Год, в которому устанавливается базовое значение  показателя</w:t>
            </w:r>
          </w:p>
        </w:tc>
        <w:tc>
          <w:tcPr>
            <w:tcW w:w="0" w:type="auto"/>
            <w:noWrap/>
            <w:hideMark/>
          </w:tcPr>
          <w:p w14:paraId="745596C5" w14:textId="77777777" w:rsidR="00BE4B6B" w:rsidRPr="00A54C03" w:rsidRDefault="00BE4B6B" w:rsidP="004D5A32">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A54C03">
              <w:rPr>
                <w:sz w:val="20"/>
                <w:szCs w:val="20"/>
              </w:rPr>
              <w:t>2017</w:t>
            </w:r>
          </w:p>
        </w:tc>
      </w:tr>
      <w:tr w:rsidR="002320A3" w:rsidRPr="00A54C03" w14:paraId="68572521" w14:textId="77777777" w:rsidTr="004D5A32">
        <w:tc>
          <w:tcPr>
            <w:cnfStyle w:val="001000000000" w:firstRow="0" w:lastRow="0" w:firstColumn="1" w:lastColumn="0" w:oddVBand="0" w:evenVBand="0" w:oddHBand="0" w:evenHBand="0" w:firstRowFirstColumn="0" w:firstRowLastColumn="0" w:lastRowFirstColumn="0" w:lastRowLastColumn="0"/>
            <w:tcW w:w="0" w:type="auto"/>
            <w:hideMark/>
          </w:tcPr>
          <w:p w14:paraId="37041414" w14:textId="77777777" w:rsidR="00BE4B6B" w:rsidRPr="00A54C03" w:rsidRDefault="00BE4B6B" w:rsidP="004D5A32">
            <w:pPr>
              <w:tabs>
                <w:tab w:val="left" w:pos="1134"/>
              </w:tabs>
              <w:rPr>
                <w:sz w:val="20"/>
                <w:szCs w:val="20"/>
              </w:rPr>
            </w:pPr>
            <w:r w:rsidRPr="00A54C03">
              <w:rPr>
                <w:sz w:val="20"/>
                <w:szCs w:val="20"/>
              </w:rPr>
              <w:t>Значение показателя средней продолжительности прекращения подачи э/э на точку поставки, определяемой с абзацем вторым п. 4.2.2. МУ № 1256</w:t>
            </w:r>
          </w:p>
        </w:tc>
        <w:tc>
          <w:tcPr>
            <w:tcW w:w="0" w:type="auto"/>
            <w:noWrap/>
            <w:hideMark/>
          </w:tcPr>
          <w:p w14:paraId="32830B59" w14:textId="13169D05" w:rsidR="00BE4B6B" w:rsidRPr="00A54C03" w:rsidRDefault="002320A3" w:rsidP="004D5A32">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A54C03">
              <w:rPr>
                <w:sz w:val="20"/>
                <w:szCs w:val="20"/>
              </w:rPr>
              <w:t>0,35078</w:t>
            </w:r>
          </w:p>
        </w:tc>
      </w:tr>
      <w:tr w:rsidR="002320A3" w:rsidRPr="00A54C03" w14:paraId="340D8C5D" w14:textId="77777777" w:rsidTr="004D5A32">
        <w:tc>
          <w:tcPr>
            <w:cnfStyle w:val="001000000000" w:firstRow="0" w:lastRow="0" w:firstColumn="1" w:lastColumn="0" w:oddVBand="0" w:evenVBand="0" w:oddHBand="0" w:evenHBand="0" w:firstRowFirstColumn="0" w:firstRowLastColumn="0" w:lastRowFirstColumn="0" w:lastRowLastColumn="0"/>
            <w:tcW w:w="0" w:type="auto"/>
            <w:hideMark/>
          </w:tcPr>
          <w:p w14:paraId="72384DFC" w14:textId="11918DCF" w:rsidR="00BE4B6B" w:rsidRPr="00A54C03" w:rsidRDefault="00BE4B6B" w:rsidP="004D5A32">
            <w:pPr>
              <w:tabs>
                <w:tab w:val="left" w:pos="1134"/>
              </w:tabs>
              <w:rPr>
                <w:sz w:val="20"/>
                <w:szCs w:val="20"/>
              </w:rPr>
            </w:pPr>
            <w:r w:rsidRPr="00A54C03">
              <w:rPr>
                <w:sz w:val="20"/>
                <w:szCs w:val="20"/>
              </w:rPr>
              <w:t>Темп улучшения показателя, определенный по формуле 17 МУ №1256</w:t>
            </w:r>
          </w:p>
        </w:tc>
        <w:tc>
          <w:tcPr>
            <w:tcW w:w="0" w:type="auto"/>
            <w:noWrap/>
            <w:hideMark/>
          </w:tcPr>
          <w:p w14:paraId="7514A512" w14:textId="2F8042FB" w:rsidR="00BE4B6B" w:rsidRPr="00A54C03" w:rsidRDefault="00BE4B6B" w:rsidP="004D5A32">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A54C03">
              <w:rPr>
                <w:sz w:val="20"/>
                <w:szCs w:val="20"/>
              </w:rPr>
              <w:t>0,6562</w:t>
            </w:r>
            <w:r w:rsidR="002320A3" w:rsidRPr="00A54C03">
              <w:rPr>
                <w:sz w:val="20"/>
                <w:szCs w:val="20"/>
              </w:rPr>
              <w:t>1</w:t>
            </w:r>
          </w:p>
        </w:tc>
      </w:tr>
      <w:tr w:rsidR="002320A3" w:rsidRPr="00A54C03" w14:paraId="493C88F0" w14:textId="77777777" w:rsidTr="004D5A32">
        <w:tc>
          <w:tcPr>
            <w:cnfStyle w:val="001000000000" w:firstRow="0" w:lastRow="0" w:firstColumn="1" w:lastColumn="0" w:oddVBand="0" w:evenVBand="0" w:oddHBand="0" w:evenHBand="0" w:firstRowFirstColumn="0" w:firstRowLastColumn="0" w:lastRowFirstColumn="0" w:lastRowLastColumn="0"/>
            <w:tcW w:w="0" w:type="auto"/>
            <w:hideMark/>
          </w:tcPr>
          <w:p w14:paraId="06CEAA20" w14:textId="77777777" w:rsidR="00BE4B6B" w:rsidRPr="00A54C03" w:rsidRDefault="00BE4B6B" w:rsidP="004D5A32">
            <w:pPr>
              <w:tabs>
                <w:tab w:val="left" w:pos="1134"/>
              </w:tabs>
              <w:rPr>
                <w:sz w:val="20"/>
                <w:szCs w:val="20"/>
              </w:rPr>
            </w:pPr>
            <w:r w:rsidRPr="00A54C03">
              <w:rPr>
                <w:sz w:val="20"/>
                <w:szCs w:val="20"/>
              </w:rPr>
              <w:t>Темп улучшения показателя, принимаемый в расчет</w:t>
            </w:r>
          </w:p>
        </w:tc>
        <w:tc>
          <w:tcPr>
            <w:tcW w:w="0" w:type="auto"/>
            <w:noWrap/>
            <w:hideMark/>
          </w:tcPr>
          <w:p w14:paraId="4161350A" w14:textId="77777777" w:rsidR="00BE4B6B" w:rsidRPr="00A54C03" w:rsidRDefault="00BE4B6B" w:rsidP="004D5A32">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A54C03">
              <w:rPr>
                <w:sz w:val="20"/>
                <w:szCs w:val="20"/>
              </w:rPr>
              <w:t>0,015</w:t>
            </w:r>
          </w:p>
        </w:tc>
      </w:tr>
    </w:tbl>
    <w:p w14:paraId="21E87CA4" w14:textId="0D8B95AE" w:rsidR="009D39AC" w:rsidRPr="00FB0A3A" w:rsidRDefault="002320A3" w:rsidP="004D5A32">
      <w:pPr>
        <w:pStyle w:val="afff7"/>
        <w:spacing w:after="200"/>
      </w:pPr>
      <w:r w:rsidRPr="00FB0A3A">
        <w:t>Определение темпа улучшений для показателя средней частоты прекращений передачи электрической энергии на точку поставки (Номер группы территориальной сетевой организации по показателю Пsaifi</w:t>
      </w:r>
      <w:r w:rsidR="009D39AC" w:rsidRPr="00FB0A3A">
        <w:t xml:space="preserve"> </w:t>
      </w:r>
      <w:r w:rsidR="00C17EE4" w:rsidRPr="00FB0A3A">
        <w:t>– 3 группа - ЛЭП 3 000 км и более и менее 7 500 км, доля КЛ менее 15%).</w:t>
      </w:r>
    </w:p>
    <w:tbl>
      <w:tblPr>
        <w:tblStyle w:val="afff6"/>
        <w:tblW w:w="5000" w:type="pct"/>
        <w:tblLook w:val="04A0" w:firstRow="1" w:lastRow="0" w:firstColumn="1" w:lastColumn="0" w:noHBand="0" w:noVBand="1"/>
      </w:tblPr>
      <w:tblGrid>
        <w:gridCol w:w="8132"/>
        <w:gridCol w:w="1212"/>
      </w:tblGrid>
      <w:tr w:rsidR="004D5A32" w:rsidRPr="00A54C03" w14:paraId="0843D924" w14:textId="77777777" w:rsidTr="002267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CA79C9F" w14:textId="19B2C7C0" w:rsidR="004D5A32" w:rsidRPr="00A54C03" w:rsidRDefault="004D5A32" w:rsidP="004D5A32">
            <w:pPr>
              <w:tabs>
                <w:tab w:val="left" w:pos="1134"/>
              </w:tabs>
              <w:jc w:val="center"/>
              <w:rPr>
                <w:sz w:val="20"/>
                <w:szCs w:val="20"/>
              </w:rPr>
            </w:pPr>
            <w:r w:rsidRPr="00A54C03">
              <w:rPr>
                <w:sz w:val="20"/>
                <w:szCs w:val="20"/>
              </w:rPr>
              <w:t>Наименование</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tcPr>
          <w:p w14:paraId="653047EA" w14:textId="7AA5DE13" w:rsidR="004D5A32" w:rsidRPr="00A54C03" w:rsidRDefault="004D5A32" w:rsidP="004D5A32">
            <w:pPr>
              <w:tabs>
                <w:tab w:val="left" w:pos="1134"/>
              </w:tabs>
              <w:cnfStyle w:val="100000000000" w:firstRow="1" w:lastRow="0" w:firstColumn="0" w:lastColumn="0" w:oddVBand="0" w:evenVBand="0" w:oddHBand="0" w:evenHBand="0" w:firstRowFirstColumn="0" w:firstRowLastColumn="0" w:lastRowFirstColumn="0" w:lastRowLastColumn="0"/>
              <w:rPr>
                <w:sz w:val="20"/>
                <w:szCs w:val="20"/>
              </w:rPr>
            </w:pPr>
            <w:r w:rsidRPr="00A54C03">
              <w:rPr>
                <w:sz w:val="20"/>
                <w:szCs w:val="20"/>
              </w:rPr>
              <w:t>Показатель</w:t>
            </w:r>
          </w:p>
        </w:tc>
      </w:tr>
      <w:tr w:rsidR="00C17EE4" w:rsidRPr="00A54C03" w14:paraId="4C6213CE" w14:textId="77777777" w:rsidTr="002267D7">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tcBorders>
            <w:hideMark/>
          </w:tcPr>
          <w:p w14:paraId="652BED4E" w14:textId="61ACA8D7" w:rsidR="00C17EE4" w:rsidRPr="00A54C03" w:rsidRDefault="00C17EE4" w:rsidP="004D5A32">
            <w:pPr>
              <w:tabs>
                <w:tab w:val="left" w:pos="1134"/>
              </w:tabs>
              <w:rPr>
                <w:sz w:val="20"/>
                <w:szCs w:val="20"/>
              </w:rPr>
            </w:pPr>
            <w:r w:rsidRPr="00A54C03">
              <w:rPr>
                <w:sz w:val="20"/>
                <w:szCs w:val="20"/>
              </w:rPr>
              <w:t>Базовое значение показателя средней продолжительности прекращений подачи э/э на точку поставки Пsaifi</w:t>
            </w:r>
          </w:p>
        </w:tc>
        <w:tc>
          <w:tcPr>
            <w:tcW w:w="0" w:type="auto"/>
            <w:tcBorders>
              <w:top w:val="single" w:sz="4" w:space="0" w:color="FFFFFF" w:themeColor="background1"/>
            </w:tcBorders>
            <w:noWrap/>
            <w:hideMark/>
          </w:tcPr>
          <w:p w14:paraId="613BC0D8" w14:textId="77777777" w:rsidR="00C17EE4" w:rsidRPr="00A54C03" w:rsidRDefault="00C17EE4" w:rsidP="004D5A32">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A54C03">
              <w:rPr>
                <w:sz w:val="20"/>
                <w:szCs w:val="20"/>
              </w:rPr>
              <w:t>1,78816</w:t>
            </w:r>
          </w:p>
        </w:tc>
      </w:tr>
      <w:tr w:rsidR="00C17EE4" w:rsidRPr="00A54C03" w14:paraId="7598C78E" w14:textId="77777777" w:rsidTr="004D5A32">
        <w:tc>
          <w:tcPr>
            <w:cnfStyle w:val="001000000000" w:firstRow="0" w:lastRow="0" w:firstColumn="1" w:lastColumn="0" w:oddVBand="0" w:evenVBand="0" w:oddHBand="0" w:evenHBand="0" w:firstRowFirstColumn="0" w:firstRowLastColumn="0" w:lastRowFirstColumn="0" w:lastRowLastColumn="0"/>
            <w:tcW w:w="0" w:type="auto"/>
            <w:hideMark/>
          </w:tcPr>
          <w:p w14:paraId="699EB0E8" w14:textId="3CC648BE" w:rsidR="00C17EE4" w:rsidRPr="00A54C03" w:rsidRDefault="00C17EE4" w:rsidP="004D5A32">
            <w:pPr>
              <w:tabs>
                <w:tab w:val="left" w:pos="1134"/>
              </w:tabs>
              <w:rPr>
                <w:sz w:val="20"/>
                <w:szCs w:val="20"/>
              </w:rPr>
            </w:pPr>
            <w:r w:rsidRPr="00A54C03">
              <w:rPr>
                <w:sz w:val="20"/>
                <w:szCs w:val="20"/>
              </w:rPr>
              <w:t>Год, на который определяется показатель</w:t>
            </w:r>
          </w:p>
        </w:tc>
        <w:tc>
          <w:tcPr>
            <w:tcW w:w="0" w:type="auto"/>
            <w:noWrap/>
            <w:hideMark/>
          </w:tcPr>
          <w:p w14:paraId="07F5A3C7" w14:textId="77777777" w:rsidR="00C17EE4" w:rsidRPr="00A54C03" w:rsidRDefault="00C17EE4" w:rsidP="004D5A32">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A54C03">
              <w:rPr>
                <w:sz w:val="20"/>
                <w:szCs w:val="20"/>
              </w:rPr>
              <w:t>2019</w:t>
            </w:r>
          </w:p>
        </w:tc>
      </w:tr>
      <w:tr w:rsidR="00C17EE4" w:rsidRPr="00A54C03" w14:paraId="22F4B064" w14:textId="77777777" w:rsidTr="004D5A32">
        <w:tc>
          <w:tcPr>
            <w:cnfStyle w:val="001000000000" w:firstRow="0" w:lastRow="0" w:firstColumn="1" w:lastColumn="0" w:oddVBand="0" w:evenVBand="0" w:oddHBand="0" w:evenHBand="0" w:firstRowFirstColumn="0" w:firstRowLastColumn="0" w:lastRowFirstColumn="0" w:lastRowLastColumn="0"/>
            <w:tcW w:w="0" w:type="auto"/>
            <w:hideMark/>
          </w:tcPr>
          <w:p w14:paraId="012C909F" w14:textId="77777777" w:rsidR="00C17EE4" w:rsidRPr="00A54C03" w:rsidRDefault="00C17EE4" w:rsidP="004D5A32">
            <w:pPr>
              <w:tabs>
                <w:tab w:val="left" w:pos="1134"/>
              </w:tabs>
              <w:rPr>
                <w:sz w:val="20"/>
                <w:szCs w:val="20"/>
              </w:rPr>
            </w:pPr>
            <w:r w:rsidRPr="00A54C03">
              <w:rPr>
                <w:sz w:val="20"/>
                <w:szCs w:val="20"/>
              </w:rPr>
              <w:t>Год, в которому устанавливается базовое значение  показателя</w:t>
            </w:r>
          </w:p>
        </w:tc>
        <w:tc>
          <w:tcPr>
            <w:tcW w:w="0" w:type="auto"/>
            <w:noWrap/>
            <w:hideMark/>
          </w:tcPr>
          <w:p w14:paraId="25B4C4F5" w14:textId="77777777" w:rsidR="00C17EE4" w:rsidRPr="00A54C03" w:rsidRDefault="00C17EE4" w:rsidP="004D5A32">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A54C03">
              <w:rPr>
                <w:sz w:val="20"/>
                <w:szCs w:val="20"/>
              </w:rPr>
              <w:t>2017</w:t>
            </w:r>
          </w:p>
        </w:tc>
      </w:tr>
      <w:tr w:rsidR="00C17EE4" w:rsidRPr="00A54C03" w14:paraId="379CCAAE" w14:textId="77777777" w:rsidTr="004D5A32">
        <w:tc>
          <w:tcPr>
            <w:cnfStyle w:val="001000000000" w:firstRow="0" w:lastRow="0" w:firstColumn="1" w:lastColumn="0" w:oddVBand="0" w:evenVBand="0" w:oddHBand="0" w:evenHBand="0" w:firstRowFirstColumn="0" w:firstRowLastColumn="0" w:lastRowFirstColumn="0" w:lastRowLastColumn="0"/>
            <w:tcW w:w="0" w:type="auto"/>
            <w:hideMark/>
          </w:tcPr>
          <w:p w14:paraId="201FB2F3" w14:textId="77777777" w:rsidR="00C17EE4" w:rsidRPr="00A54C03" w:rsidRDefault="00C17EE4" w:rsidP="004D5A32">
            <w:pPr>
              <w:tabs>
                <w:tab w:val="left" w:pos="1134"/>
              </w:tabs>
              <w:rPr>
                <w:sz w:val="20"/>
                <w:szCs w:val="20"/>
              </w:rPr>
            </w:pPr>
            <w:r w:rsidRPr="00A54C03">
              <w:rPr>
                <w:sz w:val="20"/>
                <w:szCs w:val="20"/>
              </w:rPr>
              <w:t>Значение показателя средней продолжительности прекращения подачи э/э на точку поставки, определяемой с абзацем вторым п. 4.2.2. МУ № 1256</w:t>
            </w:r>
          </w:p>
        </w:tc>
        <w:tc>
          <w:tcPr>
            <w:tcW w:w="0" w:type="auto"/>
            <w:noWrap/>
            <w:hideMark/>
          </w:tcPr>
          <w:p w14:paraId="7B20E276" w14:textId="77777777" w:rsidR="00C17EE4" w:rsidRPr="00A54C03" w:rsidRDefault="00C17EE4" w:rsidP="004D5A32">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A54C03">
              <w:rPr>
                <w:sz w:val="20"/>
                <w:szCs w:val="20"/>
              </w:rPr>
              <w:t>0,15464</w:t>
            </w:r>
          </w:p>
        </w:tc>
      </w:tr>
      <w:tr w:rsidR="00C17EE4" w:rsidRPr="00A54C03" w14:paraId="277B9426" w14:textId="77777777" w:rsidTr="004D5A32">
        <w:tc>
          <w:tcPr>
            <w:cnfStyle w:val="001000000000" w:firstRow="0" w:lastRow="0" w:firstColumn="1" w:lastColumn="0" w:oddVBand="0" w:evenVBand="0" w:oddHBand="0" w:evenHBand="0" w:firstRowFirstColumn="0" w:firstRowLastColumn="0" w:lastRowFirstColumn="0" w:lastRowLastColumn="0"/>
            <w:tcW w:w="0" w:type="auto"/>
            <w:hideMark/>
          </w:tcPr>
          <w:p w14:paraId="1518568C" w14:textId="7F139E62" w:rsidR="00C17EE4" w:rsidRPr="00A54C03" w:rsidRDefault="00C17EE4" w:rsidP="004D5A32">
            <w:pPr>
              <w:tabs>
                <w:tab w:val="left" w:pos="1134"/>
              </w:tabs>
              <w:rPr>
                <w:sz w:val="20"/>
                <w:szCs w:val="20"/>
              </w:rPr>
            </w:pPr>
            <w:r w:rsidRPr="00A54C03">
              <w:rPr>
                <w:sz w:val="20"/>
                <w:szCs w:val="20"/>
              </w:rPr>
              <w:t>Темп улучшения показателя, определенный по формуле 17 МУ №1256</w:t>
            </w:r>
          </w:p>
        </w:tc>
        <w:tc>
          <w:tcPr>
            <w:tcW w:w="0" w:type="auto"/>
            <w:noWrap/>
            <w:hideMark/>
          </w:tcPr>
          <w:p w14:paraId="61BCEA76" w14:textId="77777777" w:rsidR="00C17EE4" w:rsidRPr="00A54C03" w:rsidRDefault="00C17EE4" w:rsidP="004D5A32">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A54C03">
              <w:rPr>
                <w:sz w:val="20"/>
                <w:szCs w:val="20"/>
              </w:rPr>
              <w:t>0,63160</w:t>
            </w:r>
          </w:p>
        </w:tc>
      </w:tr>
      <w:tr w:rsidR="00C17EE4" w:rsidRPr="00A54C03" w14:paraId="0EB2D2B0" w14:textId="77777777" w:rsidTr="004D5A32">
        <w:tc>
          <w:tcPr>
            <w:cnfStyle w:val="001000000000" w:firstRow="0" w:lastRow="0" w:firstColumn="1" w:lastColumn="0" w:oddVBand="0" w:evenVBand="0" w:oddHBand="0" w:evenHBand="0" w:firstRowFirstColumn="0" w:firstRowLastColumn="0" w:lastRowFirstColumn="0" w:lastRowLastColumn="0"/>
            <w:tcW w:w="0" w:type="auto"/>
            <w:hideMark/>
          </w:tcPr>
          <w:p w14:paraId="4AEF4321" w14:textId="77777777" w:rsidR="00C17EE4" w:rsidRPr="00A54C03" w:rsidRDefault="00C17EE4" w:rsidP="004D5A32">
            <w:pPr>
              <w:tabs>
                <w:tab w:val="left" w:pos="1134"/>
              </w:tabs>
              <w:rPr>
                <w:sz w:val="20"/>
                <w:szCs w:val="20"/>
              </w:rPr>
            </w:pPr>
            <w:r w:rsidRPr="00A54C03">
              <w:rPr>
                <w:sz w:val="20"/>
                <w:szCs w:val="20"/>
              </w:rPr>
              <w:t>Темп улучшения показателя, принимаемый в расчет</w:t>
            </w:r>
          </w:p>
        </w:tc>
        <w:tc>
          <w:tcPr>
            <w:tcW w:w="0" w:type="auto"/>
            <w:noWrap/>
            <w:hideMark/>
          </w:tcPr>
          <w:p w14:paraId="57EF3436" w14:textId="77777777" w:rsidR="00C17EE4" w:rsidRPr="00A54C03" w:rsidRDefault="00C17EE4" w:rsidP="004D5A32">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A54C03">
              <w:rPr>
                <w:sz w:val="20"/>
                <w:szCs w:val="20"/>
              </w:rPr>
              <w:t>0,015</w:t>
            </w:r>
          </w:p>
        </w:tc>
      </w:tr>
    </w:tbl>
    <w:p w14:paraId="48A3F43C" w14:textId="43D05C85" w:rsidR="002017D5" w:rsidRPr="00FB0A3A" w:rsidRDefault="002017D5" w:rsidP="008D3530">
      <w:pPr>
        <w:tabs>
          <w:tab w:val="left" w:pos="0"/>
          <w:tab w:val="left" w:pos="1134"/>
        </w:tabs>
        <w:spacing w:before="240" w:after="200" w:line="360" w:lineRule="auto"/>
        <w:ind w:firstLine="567"/>
        <w:jc w:val="both"/>
        <w:rPr>
          <w:rFonts w:ascii="Myriad Pro" w:hAnsi="Myriad Pro"/>
          <w:sz w:val="26"/>
          <w:szCs w:val="26"/>
        </w:rPr>
      </w:pPr>
      <w:r w:rsidRPr="00FB0A3A">
        <w:rPr>
          <w:rFonts w:ascii="Myriad Pro" w:hAnsi="Myriad Pro"/>
          <w:sz w:val="26"/>
          <w:szCs w:val="26"/>
        </w:rPr>
        <w:t>Расчет показателей надежности на 2019-2023 гг.:</w:t>
      </w:r>
    </w:p>
    <w:tbl>
      <w:tblPr>
        <w:tblStyle w:val="afff6"/>
        <w:tblW w:w="5000" w:type="pct"/>
        <w:tblLook w:val="04A0" w:firstRow="1" w:lastRow="0" w:firstColumn="1" w:lastColumn="0" w:noHBand="0" w:noVBand="1"/>
      </w:tblPr>
      <w:tblGrid>
        <w:gridCol w:w="3249"/>
        <w:gridCol w:w="2240"/>
        <w:gridCol w:w="771"/>
        <w:gridCol w:w="771"/>
        <w:gridCol w:w="771"/>
        <w:gridCol w:w="771"/>
        <w:gridCol w:w="771"/>
      </w:tblGrid>
      <w:tr w:rsidR="002017D5" w:rsidRPr="00A54C03" w14:paraId="63ECA6C7" w14:textId="77777777" w:rsidTr="002267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4DD8467" w14:textId="77777777" w:rsidR="002017D5" w:rsidRPr="00A54C03" w:rsidRDefault="002017D5" w:rsidP="008D3530">
            <w:pPr>
              <w:tabs>
                <w:tab w:val="left" w:pos="1134"/>
              </w:tabs>
              <w:contextualSpacing/>
              <w:jc w:val="center"/>
              <w:rPr>
                <w:b/>
                <w:bCs/>
                <w:sz w:val="20"/>
                <w:szCs w:val="20"/>
              </w:rPr>
            </w:pPr>
            <w:r w:rsidRPr="00A54C03">
              <w:rPr>
                <w:b/>
                <w:bCs/>
                <w:sz w:val="20"/>
                <w:szCs w:val="20"/>
              </w:rPr>
              <w:lastRenderedPageBreak/>
              <w:t>Показатель</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12D3EC1" w14:textId="58E2FFA9" w:rsidR="002017D5" w:rsidRPr="00A54C03" w:rsidRDefault="008D3530" w:rsidP="008D3530">
            <w:pPr>
              <w:tabs>
                <w:tab w:val="left" w:pos="1134"/>
              </w:tabs>
              <w:contextualSpacing/>
              <w:cnfStyle w:val="100000000000" w:firstRow="1" w:lastRow="0" w:firstColumn="0" w:lastColumn="0" w:oddVBand="0" w:evenVBand="0" w:oddHBand="0" w:evenHBand="0" w:firstRowFirstColumn="0" w:firstRowLastColumn="0" w:lastRowFirstColumn="0" w:lastRowLastColumn="0"/>
              <w:rPr>
                <w:b/>
                <w:bCs/>
                <w:sz w:val="20"/>
                <w:szCs w:val="20"/>
              </w:rPr>
            </w:pPr>
            <w:r w:rsidRPr="00A54C03">
              <w:rPr>
                <w:b/>
                <w:bCs/>
                <w:sz w:val="20"/>
                <w:szCs w:val="20"/>
              </w:rPr>
              <w:t>М</w:t>
            </w:r>
            <w:r w:rsidR="002017D5" w:rsidRPr="00A54C03">
              <w:rPr>
                <w:b/>
                <w:bCs/>
                <w:sz w:val="20"/>
                <w:szCs w:val="20"/>
              </w:rPr>
              <w:t>инимальное значение при сравнении факта 3-х лет и факта 2017 года</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FCD5C10" w14:textId="77777777" w:rsidR="002017D5" w:rsidRPr="00A54C03" w:rsidRDefault="002017D5" w:rsidP="008D3530">
            <w:pPr>
              <w:tabs>
                <w:tab w:val="left" w:pos="1134"/>
              </w:tabs>
              <w:contextualSpacing/>
              <w:cnfStyle w:val="100000000000" w:firstRow="1" w:lastRow="0" w:firstColumn="0" w:lastColumn="0" w:oddVBand="0" w:evenVBand="0" w:oddHBand="0" w:evenHBand="0" w:firstRowFirstColumn="0" w:firstRowLastColumn="0" w:lastRowFirstColumn="0" w:lastRowLastColumn="0"/>
              <w:rPr>
                <w:b/>
                <w:bCs/>
                <w:sz w:val="20"/>
                <w:szCs w:val="20"/>
              </w:rPr>
            </w:pPr>
            <w:r w:rsidRPr="00A54C03">
              <w:rPr>
                <w:b/>
                <w:bCs/>
                <w:sz w:val="20"/>
                <w:szCs w:val="20"/>
              </w:rPr>
              <w:t>2019</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451A583" w14:textId="77777777" w:rsidR="002017D5" w:rsidRPr="00A54C03" w:rsidRDefault="002017D5" w:rsidP="008D3530">
            <w:pPr>
              <w:tabs>
                <w:tab w:val="left" w:pos="1134"/>
              </w:tabs>
              <w:contextualSpacing/>
              <w:cnfStyle w:val="100000000000" w:firstRow="1" w:lastRow="0" w:firstColumn="0" w:lastColumn="0" w:oddVBand="0" w:evenVBand="0" w:oddHBand="0" w:evenHBand="0" w:firstRowFirstColumn="0" w:firstRowLastColumn="0" w:lastRowFirstColumn="0" w:lastRowLastColumn="0"/>
              <w:rPr>
                <w:b/>
                <w:bCs/>
                <w:sz w:val="20"/>
                <w:szCs w:val="20"/>
              </w:rPr>
            </w:pPr>
            <w:r w:rsidRPr="00A54C03">
              <w:rPr>
                <w:b/>
                <w:bCs/>
                <w:sz w:val="20"/>
                <w:szCs w:val="20"/>
              </w:rPr>
              <w:t>2020</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B4741F2" w14:textId="77777777" w:rsidR="002017D5" w:rsidRPr="00A54C03" w:rsidRDefault="002017D5" w:rsidP="008D3530">
            <w:pPr>
              <w:tabs>
                <w:tab w:val="left" w:pos="1134"/>
              </w:tabs>
              <w:contextualSpacing/>
              <w:cnfStyle w:val="100000000000" w:firstRow="1" w:lastRow="0" w:firstColumn="0" w:lastColumn="0" w:oddVBand="0" w:evenVBand="0" w:oddHBand="0" w:evenHBand="0" w:firstRowFirstColumn="0" w:firstRowLastColumn="0" w:lastRowFirstColumn="0" w:lastRowLastColumn="0"/>
              <w:rPr>
                <w:b/>
                <w:bCs/>
                <w:sz w:val="20"/>
                <w:szCs w:val="20"/>
              </w:rPr>
            </w:pPr>
            <w:r w:rsidRPr="00A54C03">
              <w:rPr>
                <w:b/>
                <w:bCs/>
                <w:sz w:val="20"/>
                <w:szCs w:val="20"/>
              </w:rPr>
              <w:t>2021</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7B9B2F7" w14:textId="77777777" w:rsidR="002017D5" w:rsidRPr="00A54C03" w:rsidRDefault="002017D5" w:rsidP="008D3530">
            <w:pPr>
              <w:tabs>
                <w:tab w:val="left" w:pos="1134"/>
              </w:tabs>
              <w:contextualSpacing/>
              <w:cnfStyle w:val="100000000000" w:firstRow="1" w:lastRow="0" w:firstColumn="0" w:lastColumn="0" w:oddVBand="0" w:evenVBand="0" w:oddHBand="0" w:evenHBand="0" w:firstRowFirstColumn="0" w:firstRowLastColumn="0" w:lastRowFirstColumn="0" w:lastRowLastColumn="0"/>
              <w:rPr>
                <w:b/>
                <w:bCs/>
                <w:sz w:val="20"/>
                <w:szCs w:val="20"/>
              </w:rPr>
            </w:pPr>
            <w:r w:rsidRPr="00A54C03">
              <w:rPr>
                <w:b/>
                <w:bCs/>
                <w:sz w:val="20"/>
                <w:szCs w:val="20"/>
              </w:rPr>
              <w:t>2022</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A135D3C" w14:textId="77777777" w:rsidR="002017D5" w:rsidRPr="00A54C03" w:rsidRDefault="002017D5" w:rsidP="008D3530">
            <w:pPr>
              <w:tabs>
                <w:tab w:val="left" w:pos="1134"/>
              </w:tabs>
              <w:contextualSpacing/>
              <w:cnfStyle w:val="100000000000" w:firstRow="1" w:lastRow="0" w:firstColumn="0" w:lastColumn="0" w:oddVBand="0" w:evenVBand="0" w:oddHBand="0" w:evenHBand="0" w:firstRowFirstColumn="0" w:firstRowLastColumn="0" w:lastRowFirstColumn="0" w:lastRowLastColumn="0"/>
              <w:rPr>
                <w:b/>
                <w:bCs/>
                <w:sz w:val="20"/>
                <w:szCs w:val="20"/>
              </w:rPr>
            </w:pPr>
            <w:r w:rsidRPr="00A54C03">
              <w:rPr>
                <w:b/>
                <w:bCs/>
                <w:sz w:val="20"/>
                <w:szCs w:val="20"/>
              </w:rPr>
              <w:t>2023</w:t>
            </w:r>
          </w:p>
        </w:tc>
      </w:tr>
      <w:tr w:rsidR="002017D5" w:rsidRPr="00A54C03" w14:paraId="50D1EE82" w14:textId="77777777" w:rsidTr="002267D7">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tcBorders>
            <w:hideMark/>
          </w:tcPr>
          <w:p w14:paraId="08C71449" w14:textId="77777777" w:rsidR="002017D5" w:rsidRPr="00A54C03" w:rsidRDefault="002017D5" w:rsidP="008D3530">
            <w:pPr>
              <w:tabs>
                <w:tab w:val="left" w:pos="1134"/>
              </w:tabs>
              <w:contextualSpacing/>
              <w:jc w:val="both"/>
              <w:rPr>
                <w:sz w:val="20"/>
                <w:szCs w:val="20"/>
              </w:rPr>
            </w:pPr>
            <w:r w:rsidRPr="00A54C03">
              <w:rPr>
                <w:sz w:val="20"/>
                <w:szCs w:val="20"/>
              </w:rPr>
              <w:t>Показатель средней продолжительности прекращений передачи электрической энергии на точку поставки (Пsaidi), час.</w:t>
            </w:r>
          </w:p>
        </w:tc>
        <w:tc>
          <w:tcPr>
            <w:tcW w:w="0" w:type="auto"/>
            <w:tcBorders>
              <w:top w:val="single" w:sz="4" w:space="0" w:color="FFFFFF" w:themeColor="background1"/>
            </w:tcBorders>
            <w:hideMark/>
          </w:tcPr>
          <w:p w14:paraId="5861EEE3" w14:textId="77777777" w:rsidR="002017D5" w:rsidRPr="00A54C03" w:rsidRDefault="002017D5" w:rsidP="008D3530">
            <w:pPr>
              <w:tabs>
                <w:tab w:val="left" w:pos="1134"/>
              </w:tabs>
              <w:contextualSpacing/>
              <w:cnfStyle w:val="000000000000" w:firstRow="0" w:lastRow="0" w:firstColumn="0" w:lastColumn="0" w:oddVBand="0" w:evenVBand="0" w:oddHBand="0" w:evenHBand="0" w:firstRowFirstColumn="0" w:firstRowLastColumn="0" w:lastRowFirstColumn="0" w:lastRowLastColumn="0"/>
              <w:rPr>
                <w:sz w:val="20"/>
                <w:szCs w:val="20"/>
              </w:rPr>
            </w:pPr>
            <w:r w:rsidRPr="00A54C03">
              <w:rPr>
                <w:sz w:val="20"/>
                <w:szCs w:val="20"/>
              </w:rPr>
              <w:t>0,3508</w:t>
            </w:r>
          </w:p>
        </w:tc>
        <w:tc>
          <w:tcPr>
            <w:tcW w:w="0" w:type="auto"/>
            <w:tcBorders>
              <w:top w:val="single" w:sz="4" w:space="0" w:color="FFFFFF" w:themeColor="background1"/>
            </w:tcBorders>
            <w:noWrap/>
            <w:hideMark/>
          </w:tcPr>
          <w:p w14:paraId="40166769" w14:textId="77777777" w:rsidR="002017D5" w:rsidRPr="00A54C03" w:rsidRDefault="002017D5" w:rsidP="008D3530">
            <w:pPr>
              <w:tabs>
                <w:tab w:val="left" w:pos="1134"/>
              </w:tabs>
              <w:contextualSpacing/>
              <w:cnfStyle w:val="000000000000" w:firstRow="0" w:lastRow="0" w:firstColumn="0" w:lastColumn="0" w:oddVBand="0" w:evenVBand="0" w:oddHBand="0" w:evenHBand="0" w:firstRowFirstColumn="0" w:firstRowLastColumn="0" w:lastRowFirstColumn="0" w:lastRowLastColumn="0"/>
              <w:rPr>
                <w:sz w:val="20"/>
                <w:szCs w:val="20"/>
              </w:rPr>
            </w:pPr>
            <w:r w:rsidRPr="00A54C03">
              <w:rPr>
                <w:sz w:val="20"/>
                <w:szCs w:val="20"/>
              </w:rPr>
              <w:t>0,3455</w:t>
            </w:r>
          </w:p>
        </w:tc>
        <w:tc>
          <w:tcPr>
            <w:tcW w:w="0" w:type="auto"/>
            <w:tcBorders>
              <w:top w:val="single" w:sz="4" w:space="0" w:color="FFFFFF" w:themeColor="background1"/>
            </w:tcBorders>
            <w:noWrap/>
            <w:hideMark/>
          </w:tcPr>
          <w:p w14:paraId="368A0508" w14:textId="5E2C7E94" w:rsidR="002017D5" w:rsidRPr="00A54C03" w:rsidRDefault="00B5723D" w:rsidP="008D3530">
            <w:pPr>
              <w:tabs>
                <w:tab w:val="left" w:pos="1134"/>
              </w:tabs>
              <w:contextualSpacing/>
              <w:cnfStyle w:val="000000000000" w:firstRow="0" w:lastRow="0" w:firstColumn="0" w:lastColumn="0" w:oddVBand="0" w:evenVBand="0" w:oddHBand="0" w:evenHBand="0" w:firstRowFirstColumn="0" w:firstRowLastColumn="0" w:lastRowFirstColumn="0" w:lastRowLastColumn="0"/>
              <w:rPr>
                <w:sz w:val="20"/>
                <w:szCs w:val="20"/>
              </w:rPr>
            </w:pPr>
            <w:r w:rsidRPr="00A54C03">
              <w:rPr>
                <w:sz w:val="20"/>
                <w:szCs w:val="20"/>
              </w:rPr>
              <w:t>0,3404</w:t>
            </w:r>
          </w:p>
        </w:tc>
        <w:tc>
          <w:tcPr>
            <w:tcW w:w="0" w:type="auto"/>
            <w:tcBorders>
              <w:top w:val="single" w:sz="4" w:space="0" w:color="FFFFFF" w:themeColor="background1"/>
            </w:tcBorders>
            <w:noWrap/>
            <w:hideMark/>
          </w:tcPr>
          <w:p w14:paraId="67EFCE3C" w14:textId="77777777" w:rsidR="002017D5" w:rsidRPr="00A54C03" w:rsidRDefault="002017D5" w:rsidP="008D3530">
            <w:pPr>
              <w:tabs>
                <w:tab w:val="left" w:pos="1134"/>
              </w:tabs>
              <w:contextualSpacing/>
              <w:cnfStyle w:val="000000000000" w:firstRow="0" w:lastRow="0" w:firstColumn="0" w:lastColumn="0" w:oddVBand="0" w:evenVBand="0" w:oddHBand="0" w:evenHBand="0" w:firstRowFirstColumn="0" w:firstRowLastColumn="0" w:lastRowFirstColumn="0" w:lastRowLastColumn="0"/>
              <w:rPr>
                <w:sz w:val="20"/>
                <w:szCs w:val="20"/>
              </w:rPr>
            </w:pPr>
            <w:r w:rsidRPr="00A54C03">
              <w:rPr>
                <w:sz w:val="20"/>
                <w:szCs w:val="20"/>
              </w:rPr>
              <w:t>0,3352</w:t>
            </w:r>
          </w:p>
        </w:tc>
        <w:tc>
          <w:tcPr>
            <w:tcW w:w="0" w:type="auto"/>
            <w:tcBorders>
              <w:top w:val="single" w:sz="4" w:space="0" w:color="FFFFFF" w:themeColor="background1"/>
            </w:tcBorders>
            <w:noWrap/>
            <w:hideMark/>
          </w:tcPr>
          <w:p w14:paraId="75C7B4D3" w14:textId="77777777" w:rsidR="002017D5" w:rsidRPr="00A54C03" w:rsidRDefault="002017D5" w:rsidP="008D3530">
            <w:pPr>
              <w:tabs>
                <w:tab w:val="left" w:pos="1134"/>
              </w:tabs>
              <w:contextualSpacing/>
              <w:cnfStyle w:val="000000000000" w:firstRow="0" w:lastRow="0" w:firstColumn="0" w:lastColumn="0" w:oddVBand="0" w:evenVBand="0" w:oddHBand="0" w:evenHBand="0" w:firstRowFirstColumn="0" w:firstRowLastColumn="0" w:lastRowFirstColumn="0" w:lastRowLastColumn="0"/>
              <w:rPr>
                <w:sz w:val="20"/>
                <w:szCs w:val="20"/>
              </w:rPr>
            </w:pPr>
            <w:r w:rsidRPr="00A54C03">
              <w:rPr>
                <w:sz w:val="20"/>
                <w:szCs w:val="20"/>
              </w:rPr>
              <w:t>0,3302</w:t>
            </w:r>
          </w:p>
        </w:tc>
        <w:tc>
          <w:tcPr>
            <w:tcW w:w="0" w:type="auto"/>
            <w:tcBorders>
              <w:top w:val="single" w:sz="4" w:space="0" w:color="FFFFFF" w:themeColor="background1"/>
            </w:tcBorders>
            <w:noWrap/>
            <w:hideMark/>
          </w:tcPr>
          <w:p w14:paraId="09710B7A" w14:textId="77777777" w:rsidR="002017D5" w:rsidRPr="00A54C03" w:rsidRDefault="002017D5" w:rsidP="008D3530">
            <w:pPr>
              <w:tabs>
                <w:tab w:val="left" w:pos="1134"/>
              </w:tabs>
              <w:contextualSpacing/>
              <w:cnfStyle w:val="000000000000" w:firstRow="0" w:lastRow="0" w:firstColumn="0" w:lastColumn="0" w:oddVBand="0" w:evenVBand="0" w:oddHBand="0" w:evenHBand="0" w:firstRowFirstColumn="0" w:firstRowLastColumn="0" w:lastRowFirstColumn="0" w:lastRowLastColumn="0"/>
              <w:rPr>
                <w:sz w:val="20"/>
                <w:szCs w:val="20"/>
              </w:rPr>
            </w:pPr>
            <w:r w:rsidRPr="00A54C03">
              <w:rPr>
                <w:sz w:val="20"/>
                <w:szCs w:val="20"/>
              </w:rPr>
              <w:t>0,3253</w:t>
            </w:r>
          </w:p>
        </w:tc>
      </w:tr>
      <w:tr w:rsidR="002017D5" w:rsidRPr="00A54C03" w14:paraId="371E67E1" w14:textId="77777777" w:rsidTr="008D3530">
        <w:tc>
          <w:tcPr>
            <w:cnfStyle w:val="001000000000" w:firstRow="0" w:lastRow="0" w:firstColumn="1" w:lastColumn="0" w:oddVBand="0" w:evenVBand="0" w:oddHBand="0" w:evenHBand="0" w:firstRowFirstColumn="0" w:firstRowLastColumn="0" w:lastRowFirstColumn="0" w:lastRowLastColumn="0"/>
            <w:tcW w:w="0" w:type="auto"/>
            <w:hideMark/>
          </w:tcPr>
          <w:p w14:paraId="20B7CAFE" w14:textId="77777777" w:rsidR="002017D5" w:rsidRPr="00A54C03" w:rsidRDefault="002017D5" w:rsidP="008D3530">
            <w:pPr>
              <w:tabs>
                <w:tab w:val="left" w:pos="1134"/>
              </w:tabs>
              <w:contextualSpacing/>
              <w:jc w:val="both"/>
              <w:rPr>
                <w:sz w:val="20"/>
                <w:szCs w:val="20"/>
              </w:rPr>
            </w:pPr>
            <w:r w:rsidRPr="00A54C03">
              <w:rPr>
                <w:sz w:val="20"/>
                <w:szCs w:val="20"/>
              </w:rPr>
              <w:t>Показатель средней частоты прекращений передачи электрической энергии на точку поставки (Пsaifi), шт.</w:t>
            </w:r>
          </w:p>
        </w:tc>
        <w:tc>
          <w:tcPr>
            <w:tcW w:w="0" w:type="auto"/>
            <w:hideMark/>
          </w:tcPr>
          <w:p w14:paraId="45F33CFA" w14:textId="77777777" w:rsidR="002017D5" w:rsidRPr="00A54C03" w:rsidRDefault="002017D5" w:rsidP="008D3530">
            <w:pPr>
              <w:tabs>
                <w:tab w:val="left" w:pos="1134"/>
              </w:tabs>
              <w:contextualSpacing/>
              <w:cnfStyle w:val="000000000000" w:firstRow="0" w:lastRow="0" w:firstColumn="0" w:lastColumn="0" w:oddVBand="0" w:evenVBand="0" w:oddHBand="0" w:evenHBand="0" w:firstRowFirstColumn="0" w:firstRowLastColumn="0" w:lastRowFirstColumn="0" w:lastRowLastColumn="0"/>
              <w:rPr>
                <w:sz w:val="20"/>
                <w:szCs w:val="20"/>
              </w:rPr>
            </w:pPr>
            <w:r w:rsidRPr="00A54C03">
              <w:rPr>
                <w:sz w:val="20"/>
                <w:szCs w:val="20"/>
              </w:rPr>
              <w:t>0,1546</w:t>
            </w:r>
          </w:p>
        </w:tc>
        <w:tc>
          <w:tcPr>
            <w:tcW w:w="0" w:type="auto"/>
            <w:noWrap/>
            <w:hideMark/>
          </w:tcPr>
          <w:p w14:paraId="1F772055" w14:textId="77777777" w:rsidR="002017D5" w:rsidRPr="00A54C03" w:rsidRDefault="002017D5" w:rsidP="008D3530">
            <w:pPr>
              <w:tabs>
                <w:tab w:val="left" w:pos="1134"/>
              </w:tabs>
              <w:contextualSpacing/>
              <w:cnfStyle w:val="000000000000" w:firstRow="0" w:lastRow="0" w:firstColumn="0" w:lastColumn="0" w:oddVBand="0" w:evenVBand="0" w:oddHBand="0" w:evenHBand="0" w:firstRowFirstColumn="0" w:firstRowLastColumn="0" w:lastRowFirstColumn="0" w:lastRowLastColumn="0"/>
              <w:rPr>
                <w:sz w:val="20"/>
                <w:szCs w:val="20"/>
              </w:rPr>
            </w:pPr>
            <w:r w:rsidRPr="00A54C03">
              <w:rPr>
                <w:sz w:val="20"/>
                <w:szCs w:val="20"/>
              </w:rPr>
              <w:t>0,1523</w:t>
            </w:r>
          </w:p>
        </w:tc>
        <w:tc>
          <w:tcPr>
            <w:tcW w:w="0" w:type="auto"/>
            <w:noWrap/>
            <w:hideMark/>
          </w:tcPr>
          <w:p w14:paraId="38202ABB" w14:textId="77777777" w:rsidR="002017D5" w:rsidRPr="00A54C03" w:rsidRDefault="002017D5" w:rsidP="008D3530">
            <w:pPr>
              <w:tabs>
                <w:tab w:val="left" w:pos="1134"/>
              </w:tabs>
              <w:contextualSpacing/>
              <w:cnfStyle w:val="000000000000" w:firstRow="0" w:lastRow="0" w:firstColumn="0" w:lastColumn="0" w:oddVBand="0" w:evenVBand="0" w:oddHBand="0" w:evenHBand="0" w:firstRowFirstColumn="0" w:firstRowLastColumn="0" w:lastRowFirstColumn="0" w:lastRowLastColumn="0"/>
              <w:rPr>
                <w:sz w:val="20"/>
                <w:szCs w:val="20"/>
              </w:rPr>
            </w:pPr>
            <w:r w:rsidRPr="00A54C03">
              <w:rPr>
                <w:sz w:val="20"/>
                <w:szCs w:val="20"/>
              </w:rPr>
              <w:t>0,1500</w:t>
            </w:r>
          </w:p>
        </w:tc>
        <w:tc>
          <w:tcPr>
            <w:tcW w:w="0" w:type="auto"/>
            <w:noWrap/>
            <w:hideMark/>
          </w:tcPr>
          <w:p w14:paraId="45141735" w14:textId="470E9E03" w:rsidR="002017D5" w:rsidRPr="00A54C03" w:rsidRDefault="00B5723D" w:rsidP="008D3530">
            <w:pPr>
              <w:tabs>
                <w:tab w:val="left" w:pos="1134"/>
              </w:tabs>
              <w:contextualSpacing/>
              <w:cnfStyle w:val="000000000000" w:firstRow="0" w:lastRow="0" w:firstColumn="0" w:lastColumn="0" w:oddVBand="0" w:evenVBand="0" w:oddHBand="0" w:evenHBand="0" w:firstRowFirstColumn="0" w:firstRowLastColumn="0" w:lastRowFirstColumn="0" w:lastRowLastColumn="0"/>
              <w:rPr>
                <w:sz w:val="20"/>
                <w:szCs w:val="20"/>
              </w:rPr>
            </w:pPr>
            <w:r w:rsidRPr="00A54C03">
              <w:rPr>
                <w:sz w:val="20"/>
                <w:szCs w:val="20"/>
              </w:rPr>
              <w:t>0,1477</w:t>
            </w:r>
          </w:p>
        </w:tc>
        <w:tc>
          <w:tcPr>
            <w:tcW w:w="0" w:type="auto"/>
            <w:noWrap/>
            <w:hideMark/>
          </w:tcPr>
          <w:p w14:paraId="2ECB2CD6" w14:textId="202F85FE" w:rsidR="002017D5" w:rsidRPr="00A54C03" w:rsidRDefault="00B5723D" w:rsidP="008D3530">
            <w:pPr>
              <w:tabs>
                <w:tab w:val="left" w:pos="1134"/>
              </w:tabs>
              <w:contextualSpacing/>
              <w:cnfStyle w:val="000000000000" w:firstRow="0" w:lastRow="0" w:firstColumn="0" w:lastColumn="0" w:oddVBand="0" w:evenVBand="0" w:oddHBand="0" w:evenHBand="0" w:firstRowFirstColumn="0" w:firstRowLastColumn="0" w:lastRowFirstColumn="0" w:lastRowLastColumn="0"/>
              <w:rPr>
                <w:sz w:val="20"/>
                <w:szCs w:val="20"/>
              </w:rPr>
            </w:pPr>
            <w:r w:rsidRPr="00A54C03">
              <w:rPr>
                <w:sz w:val="20"/>
                <w:szCs w:val="20"/>
              </w:rPr>
              <w:t>0,1455</w:t>
            </w:r>
          </w:p>
        </w:tc>
        <w:tc>
          <w:tcPr>
            <w:tcW w:w="0" w:type="auto"/>
            <w:noWrap/>
            <w:hideMark/>
          </w:tcPr>
          <w:p w14:paraId="4383ECC0" w14:textId="3010A8C1" w:rsidR="002017D5" w:rsidRPr="00A54C03" w:rsidRDefault="00B5723D" w:rsidP="008D3530">
            <w:pPr>
              <w:tabs>
                <w:tab w:val="left" w:pos="1134"/>
              </w:tabs>
              <w:contextualSpacing/>
              <w:cnfStyle w:val="000000000000" w:firstRow="0" w:lastRow="0" w:firstColumn="0" w:lastColumn="0" w:oddVBand="0" w:evenVBand="0" w:oddHBand="0" w:evenHBand="0" w:firstRowFirstColumn="0" w:firstRowLastColumn="0" w:lastRowFirstColumn="0" w:lastRowLastColumn="0"/>
              <w:rPr>
                <w:sz w:val="20"/>
                <w:szCs w:val="20"/>
              </w:rPr>
            </w:pPr>
            <w:r w:rsidRPr="00A54C03">
              <w:rPr>
                <w:sz w:val="20"/>
                <w:szCs w:val="20"/>
              </w:rPr>
              <w:t>0,1433</w:t>
            </w:r>
          </w:p>
        </w:tc>
      </w:tr>
    </w:tbl>
    <w:p w14:paraId="791C3C41" w14:textId="55365A57" w:rsidR="00DF6ED2" w:rsidRPr="00FB0A3A" w:rsidRDefault="00DF6ED2" w:rsidP="008D3530">
      <w:pPr>
        <w:tabs>
          <w:tab w:val="left" w:pos="0"/>
          <w:tab w:val="left" w:pos="1134"/>
        </w:tabs>
        <w:spacing w:before="240" w:after="200" w:line="360" w:lineRule="auto"/>
        <w:ind w:firstLine="567"/>
        <w:jc w:val="both"/>
        <w:rPr>
          <w:rFonts w:ascii="Myriad Pro" w:hAnsi="Myriad Pro"/>
          <w:sz w:val="26"/>
          <w:szCs w:val="26"/>
        </w:rPr>
      </w:pPr>
      <w:r w:rsidRPr="00FB0A3A">
        <w:rPr>
          <w:rFonts w:ascii="Myriad Pro" w:hAnsi="Myriad Pro"/>
          <w:sz w:val="26"/>
          <w:szCs w:val="26"/>
        </w:rPr>
        <w:t>Расчет показателей качества на 2019-2023 гг.:</w:t>
      </w:r>
    </w:p>
    <w:tbl>
      <w:tblPr>
        <w:tblStyle w:val="afff6"/>
        <w:tblW w:w="5000" w:type="pct"/>
        <w:tblLook w:val="04A0" w:firstRow="1" w:lastRow="0" w:firstColumn="1" w:lastColumn="0" w:noHBand="0" w:noVBand="1"/>
      </w:tblPr>
      <w:tblGrid>
        <w:gridCol w:w="2258"/>
        <w:gridCol w:w="1829"/>
        <w:gridCol w:w="1712"/>
        <w:gridCol w:w="873"/>
        <w:gridCol w:w="668"/>
        <w:gridCol w:w="668"/>
        <w:gridCol w:w="668"/>
        <w:gridCol w:w="668"/>
      </w:tblGrid>
      <w:tr w:rsidR="008D3530" w:rsidRPr="00A54C03" w14:paraId="008CA8C2" w14:textId="77777777" w:rsidTr="002267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72D539B" w14:textId="77777777" w:rsidR="00DF6ED2" w:rsidRPr="00A54C03" w:rsidRDefault="00DF6ED2" w:rsidP="008D3530">
            <w:pPr>
              <w:tabs>
                <w:tab w:val="left" w:pos="1134"/>
              </w:tabs>
              <w:jc w:val="center"/>
              <w:rPr>
                <w:sz w:val="20"/>
                <w:szCs w:val="20"/>
              </w:rPr>
            </w:pPr>
            <w:r w:rsidRPr="00A54C03">
              <w:rPr>
                <w:sz w:val="20"/>
                <w:szCs w:val="20"/>
              </w:rPr>
              <w:t>Показатель</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0ED4710" w14:textId="1B9DC06E" w:rsidR="00DF6ED2" w:rsidRPr="00A54C03" w:rsidRDefault="008D3530" w:rsidP="008D3530">
            <w:pPr>
              <w:tabs>
                <w:tab w:val="left" w:pos="1134"/>
              </w:tabs>
              <w:cnfStyle w:val="100000000000" w:firstRow="1" w:lastRow="0" w:firstColumn="0" w:lastColumn="0" w:oddVBand="0" w:evenVBand="0" w:oddHBand="0" w:evenHBand="0" w:firstRowFirstColumn="0" w:firstRowLastColumn="0" w:lastRowFirstColumn="0" w:lastRowLastColumn="0"/>
              <w:rPr>
                <w:sz w:val="20"/>
                <w:szCs w:val="20"/>
              </w:rPr>
            </w:pPr>
            <w:r w:rsidRPr="00A54C03">
              <w:rPr>
                <w:sz w:val="20"/>
                <w:szCs w:val="20"/>
              </w:rPr>
              <w:t>М</w:t>
            </w:r>
            <w:r w:rsidR="00DF6ED2" w:rsidRPr="00A54C03">
              <w:rPr>
                <w:sz w:val="20"/>
                <w:szCs w:val="20"/>
              </w:rPr>
              <w:t>инимальное значение при сравнении факта 3-х лет и факта 2017 года</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9CBFE10" w14:textId="41AB2CA1" w:rsidR="00DF6ED2" w:rsidRPr="00A54C03" w:rsidRDefault="008D3530" w:rsidP="008D3530">
            <w:pPr>
              <w:tabs>
                <w:tab w:val="left" w:pos="1134"/>
              </w:tabs>
              <w:cnfStyle w:val="100000000000" w:firstRow="1" w:lastRow="0" w:firstColumn="0" w:lastColumn="0" w:oddVBand="0" w:evenVBand="0" w:oddHBand="0" w:evenHBand="0" w:firstRowFirstColumn="0" w:firstRowLastColumn="0" w:lastRowFirstColumn="0" w:lastRowLastColumn="0"/>
              <w:rPr>
                <w:sz w:val="20"/>
                <w:szCs w:val="20"/>
              </w:rPr>
            </w:pPr>
            <w:r w:rsidRPr="00A54C03">
              <w:rPr>
                <w:sz w:val="20"/>
                <w:szCs w:val="20"/>
              </w:rPr>
              <w:t>П</w:t>
            </w:r>
            <w:r w:rsidR="00DF6ED2" w:rsidRPr="00A54C03">
              <w:rPr>
                <w:sz w:val="20"/>
                <w:szCs w:val="20"/>
              </w:rPr>
              <w:t>оказатель качества за 2017 год в соответствии с формулой 12</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1DE9011" w14:textId="77777777" w:rsidR="00DF6ED2" w:rsidRPr="00A54C03" w:rsidRDefault="00DF6ED2" w:rsidP="008D3530">
            <w:pPr>
              <w:tabs>
                <w:tab w:val="left" w:pos="1134"/>
              </w:tabs>
              <w:cnfStyle w:val="100000000000" w:firstRow="1" w:lastRow="0" w:firstColumn="0" w:lastColumn="0" w:oddVBand="0" w:evenVBand="0" w:oddHBand="0" w:evenHBand="0" w:firstRowFirstColumn="0" w:firstRowLastColumn="0" w:lastRowFirstColumn="0" w:lastRowLastColumn="0"/>
              <w:rPr>
                <w:sz w:val="20"/>
                <w:szCs w:val="20"/>
              </w:rPr>
            </w:pPr>
            <w:r w:rsidRPr="00A54C03">
              <w:rPr>
                <w:sz w:val="20"/>
                <w:szCs w:val="20"/>
              </w:rPr>
              <w:t>2019</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249B75D" w14:textId="77777777" w:rsidR="00DF6ED2" w:rsidRPr="00A54C03" w:rsidRDefault="00DF6ED2" w:rsidP="008D3530">
            <w:pPr>
              <w:tabs>
                <w:tab w:val="left" w:pos="1134"/>
              </w:tabs>
              <w:cnfStyle w:val="100000000000" w:firstRow="1" w:lastRow="0" w:firstColumn="0" w:lastColumn="0" w:oddVBand="0" w:evenVBand="0" w:oddHBand="0" w:evenHBand="0" w:firstRowFirstColumn="0" w:firstRowLastColumn="0" w:lastRowFirstColumn="0" w:lastRowLastColumn="0"/>
              <w:rPr>
                <w:sz w:val="20"/>
                <w:szCs w:val="20"/>
              </w:rPr>
            </w:pPr>
            <w:r w:rsidRPr="00A54C03">
              <w:rPr>
                <w:sz w:val="20"/>
                <w:szCs w:val="20"/>
              </w:rPr>
              <w:t>2020</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10C46CD" w14:textId="77777777" w:rsidR="00DF6ED2" w:rsidRPr="00A54C03" w:rsidRDefault="00DF6ED2" w:rsidP="008D3530">
            <w:pPr>
              <w:tabs>
                <w:tab w:val="left" w:pos="1134"/>
              </w:tabs>
              <w:cnfStyle w:val="100000000000" w:firstRow="1" w:lastRow="0" w:firstColumn="0" w:lastColumn="0" w:oddVBand="0" w:evenVBand="0" w:oddHBand="0" w:evenHBand="0" w:firstRowFirstColumn="0" w:firstRowLastColumn="0" w:lastRowFirstColumn="0" w:lastRowLastColumn="0"/>
              <w:rPr>
                <w:sz w:val="20"/>
                <w:szCs w:val="20"/>
              </w:rPr>
            </w:pPr>
            <w:r w:rsidRPr="00A54C03">
              <w:rPr>
                <w:sz w:val="20"/>
                <w:szCs w:val="20"/>
              </w:rPr>
              <w:t>2021</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F04DC0B" w14:textId="77777777" w:rsidR="00DF6ED2" w:rsidRPr="00A54C03" w:rsidRDefault="00DF6ED2" w:rsidP="008D3530">
            <w:pPr>
              <w:tabs>
                <w:tab w:val="left" w:pos="1134"/>
              </w:tabs>
              <w:cnfStyle w:val="100000000000" w:firstRow="1" w:lastRow="0" w:firstColumn="0" w:lastColumn="0" w:oddVBand="0" w:evenVBand="0" w:oddHBand="0" w:evenHBand="0" w:firstRowFirstColumn="0" w:firstRowLastColumn="0" w:lastRowFirstColumn="0" w:lastRowLastColumn="0"/>
              <w:rPr>
                <w:sz w:val="20"/>
                <w:szCs w:val="20"/>
              </w:rPr>
            </w:pPr>
            <w:r w:rsidRPr="00A54C03">
              <w:rPr>
                <w:sz w:val="20"/>
                <w:szCs w:val="20"/>
              </w:rPr>
              <w:t>2022</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87A8D54" w14:textId="77777777" w:rsidR="00DF6ED2" w:rsidRPr="00A54C03" w:rsidRDefault="00DF6ED2" w:rsidP="008D3530">
            <w:pPr>
              <w:tabs>
                <w:tab w:val="left" w:pos="1134"/>
              </w:tabs>
              <w:cnfStyle w:val="100000000000" w:firstRow="1" w:lastRow="0" w:firstColumn="0" w:lastColumn="0" w:oddVBand="0" w:evenVBand="0" w:oddHBand="0" w:evenHBand="0" w:firstRowFirstColumn="0" w:firstRowLastColumn="0" w:lastRowFirstColumn="0" w:lastRowLastColumn="0"/>
              <w:rPr>
                <w:sz w:val="20"/>
                <w:szCs w:val="20"/>
              </w:rPr>
            </w:pPr>
            <w:r w:rsidRPr="00A54C03">
              <w:rPr>
                <w:sz w:val="20"/>
                <w:szCs w:val="20"/>
              </w:rPr>
              <w:t>2023</w:t>
            </w:r>
          </w:p>
        </w:tc>
      </w:tr>
      <w:tr w:rsidR="00DF6ED2" w:rsidRPr="00A54C03" w14:paraId="1CA56F4D" w14:textId="77777777" w:rsidTr="002267D7">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tcBorders>
            <w:hideMark/>
          </w:tcPr>
          <w:p w14:paraId="2F32DAC4" w14:textId="77777777" w:rsidR="00DF6ED2" w:rsidRPr="00A54C03" w:rsidRDefault="00DF6ED2" w:rsidP="008D3530">
            <w:pPr>
              <w:tabs>
                <w:tab w:val="left" w:pos="1134"/>
              </w:tabs>
              <w:rPr>
                <w:sz w:val="20"/>
                <w:szCs w:val="20"/>
              </w:rPr>
            </w:pPr>
            <w:r w:rsidRPr="00A54C03">
              <w:rPr>
                <w:sz w:val="20"/>
                <w:szCs w:val="20"/>
              </w:rPr>
              <w:t>Показатель уровня качества осуществляемого технологического присоединения (Птпр)</w:t>
            </w:r>
          </w:p>
        </w:tc>
        <w:tc>
          <w:tcPr>
            <w:tcW w:w="0" w:type="auto"/>
            <w:tcBorders>
              <w:top w:val="single" w:sz="4" w:space="0" w:color="FFFFFF" w:themeColor="background1"/>
            </w:tcBorders>
            <w:hideMark/>
          </w:tcPr>
          <w:p w14:paraId="4CFF6533" w14:textId="77777777" w:rsidR="00DF6ED2" w:rsidRPr="00A54C03" w:rsidRDefault="00DF6ED2" w:rsidP="008D3530">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A54C03">
              <w:rPr>
                <w:sz w:val="20"/>
                <w:szCs w:val="20"/>
              </w:rPr>
              <w:t>1,0339</w:t>
            </w:r>
          </w:p>
        </w:tc>
        <w:tc>
          <w:tcPr>
            <w:tcW w:w="0" w:type="auto"/>
            <w:tcBorders>
              <w:top w:val="single" w:sz="4" w:space="0" w:color="FFFFFF" w:themeColor="background1"/>
            </w:tcBorders>
            <w:hideMark/>
          </w:tcPr>
          <w:p w14:paraId="7CDA2C41" w14:textId="77777777" w:rsidR="00DF6ED2" w:rsidRPr="00A54C03" w:rsidRDefault="00DF6ED2" w:rsidP="008D3530">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A54C03">
              <w:rPr>
                <w:sz w:val="20"/>
                <w:szCs w:val="20"/>
              </w:rPr>
              <w:t>1,0154</w:t>
            </w:r>
          </w:p>
        </w:tc>
        <w:tc>
          <w:tcPr>
            <w:tcW w:w="0" w:type="auto"/>
            <w:tcBorders>
              <w:top w:val="single" w:sz="4" w:space="0" w:color="FFFFFF" w:themeColor="background1"/>
            </w:tcBorders>
            <w:noWrap/>
            <w:hideMark/>
          </w:tcPr>
          <w:p w14:paraId="58E0B026" w14:textId="77777777" w:rsidR="00DF6ED2" w:rsidRPr="00A54C03" w:rsidRDefault="00DF6ED2" w:rsidP="008D3530">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A54C03">
              <w:rPr>
                <w:sz w:val="20"/>
                <w:szCs w:val="20"/>
              </w:rPr>
              <w:t>1,00019</w:t>
            </w:r>
          </w:p>
        </w:tc>
        <w:tc>
          <w:tcPr>
            <w:tcW w:w="0" w:type="auto"/>
            <w:tcBorders>
              <w:top w:val="single" w:sz="4" w:space="0" w:color="FFFFFF" w:themeColor="background1"/>
            </w:tcBorders>
            <w:noWrap/>
            <w:hideMark/>
          </w:tcPr>
          <w:p w14:paraId="3ED2896E" w14:textId="77777777" w:rsidR="00DF6ED2" w:rsidRPr="00A54C03" w:rsidRDefault="00DF6ED2" w:rsidP="008D3530">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A54C03">
              <w:rPr>
                <w:sz w:val="20"/>
                <w:szCs w:val="20"/>
              </w:rPr>
              <w:t>1,000</w:t>
            </w:r>
          </w:p>
        </w:tc>
        <w:tc>
          <w:tcPr>
            <w:tcW w:w="0" w:type="auto"/>
            <w:tcBorders>
              <w:top w:val="single" w:sz="4" w:space="0" w:color="FFFFFF" w:themeColor="background1"/>
            </w:tcBorders>
            <w:noWrap/>
            <w:hideMark/>
          </w:tcPr>
          <w:p w14:paraId="2DEF22D2" w14:textId="77777777" w:rsidR="00DF6ED2" w:rsidRPr="00A54C03" w:rsidRDefault="00DF6ED2" w:rsidP="008D3530">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A54C03">
              <w:rPr>
                <w:sz w:val="20"/>
                <w:szCs w:val="20"/>
              </w:rPr>
              <w:t>1,000</w:t>
            </w:r>
          </w:p>
        </w:tc>
        <w:tc>
          <w:tcPr>
            <w:tcW w:w="0" w:type="auto"/>
            <w:tcBorders>
              <w:top w:val="single" w:sz="4" w:space="0" w:color="FFFFFF" w:themeColor="background1"/>
            </w:tcBorders>
            <w:noWrap/>
            <w:hideMark/>
          </w:tcPr>
          <w:p w14:paraId="4A178E4E" w14:textId="77777777" w:rsidR="00DF6ED2" w:rsidRPr="00A54C03" w:rsidRDefault="00DF6ED2" w:rsidP="008D3530">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A54C03">
              <w:rPr>
                <w:sz w:val="20"/>
                <w:szCs w:val="20"/>
              </w:rPr>
              <w:t>1,000</w:t>
            </w:r>
          </w:p>
        </w:tc>
        <w:tc>
          <w:tcPr>
            <w:tcW w:w="0" w:type="auto"/>
            <w:tcBorders>
              <w:top w:val="single" w:sz="4" w:space="0" w:color="FFFFFF" w:themeColor="background1"/>
            </w:tcBorders>
            <w:noWrap/>
            <w:hideMark/>
          </w:tcPr>
          <w:p w14:paraId="04BB3323" w14:textId="77777777" w:rsidR="00DF6ED2" w:rsidRPr="00A54C03" w:rsidRDefault="00DF6ED2" w:rsidP="008D3530">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A54C03">
              <w:rPr>
                <w:sz w:val="20"/>
                <w:szCs w:val="20"/>
              </w:rPr>
              <w:t>1,000</w:t>
            </w:r>
          </w:p>
        </w:tc>
      </w:tr>
    </w:tbl>
    <w:p w14:paraId="041A6009" w14:textId="4D4C9885" w:rsidR="00A55268" w:rsidRPr="00FB0A3A" w:rsidRDefault="00A55268" w:rsidP="008D3530">
      <w:pPr>
        <w:pStyle w:val="afff7"/>
      </w:pPr>
      <w:r w:rsidRPr="00FB0A3A">
        <w:t xml:space="preserve">Показатели, применяемые в расчетах за 2015-2017 гг. соответствуют показателям, опубликованным на официальном сайте ПАО </w:t>
      </w:r>
      <w:r w:rsidR="00655FFA" w:rsidRPr="00FB0A3A">
        <w:t>«</w:t>
      </w:r>
      <w:r w:rsidRPr="00FB0A3A">
        <w:t>МРСК Северо-Запада</w:t>
      </w:r>
      <w:r w:rsidR="00655FFA" w:rsidRPr="00FB0A3A">
        <w:t>»</w:t>
      </w:r>
      <w:r w:rsidRPr="00FB0A3A">
        <w:t xml:space="preserve"> в рамках стандарта раскрытия информации субъектами оптового и розничного рынка электрической энергии.</w:t>
      </w:r>
    </w:p>
    <w:p w14:paraId="18EFF72F" w14:textId="1B2779B6" w:rsidR="00BE7040" w:rsidRPr="00FB0A3A" w:rsidRDefault="00BE7040" w:rsidP="00A31747">
      <w:pPr>
        <w:tabs>
          <w:tab w:val="left" w:pos="1134"/>
        </w:tabs>
        <w:spacing w:after="0" w:line="360" w:lineRule="auto"/>
        <w:ind w:firstLine="567"/>
        <w:contextualSpacing/>
        <w:jc w:val="both"/>
        <w:rPr>
          <w:rFonts w:ascii="Myriad Pro" w:hAnsi="Myriad Pro"/>
          <w:sz w:val="26"/>
          <w:szCs w:val="26"/>
        </w:rPr>
      </w:pPr>
      <w:r w:rsidRPr="00FB0A3A">
        <w:rPr>
          <w:rFonts w:ascii="Myriad Pro" w:hAnsi="Myriad Pro"/>
          <w:sz w:val="26"/>
          <w:szCs w:val="26"/>
        </w:rPr>
        <w:t xml:space="preserve">По мнению Исполнителя, показатели надежности и качества услуг по передаче электрической </w:t>
      </w:r>
      <w:r w:rsidRPr="00C95201">
        <w:rPr>
          <w:rFonts w:ascii="Myriad Pro" w:hAnsi="Myriad Pro"/>
          <w:sz w:val="26"/>
          <w:szCs w:val="26"/>
        </w:rPr>
        <w:t>энергии рассчитанные филиал</w:t>
      </w:r>
      <w:r w:rsidR="00994DAE" w:rsidRPr="00C95201">
        <w:rPr>
          <w:rFonts w:ascii="Myriad Pro" w:hAnsi="Myriad Pro"/>
          <w:sz w:val="26"/>
          <w:szCs w:val="26"/>
        </w:rPr>
        <w:t>о</w:t>
      </w:r>
      <w:r w:rsidRPr="00C95201">
        <w:rPr>
          <w:rFonts w:ascii="Myriad Pro" w:hAnsi="Myriad Pro"/>
          <w:sz w:val="26"/>
          <w:szCs w:val="26"/>
        </w:rPr>
        <w:t xml:space="preserve">м ПАО </w:t>
      </w:r>
      <w:r w:rsidR="00655FFA" w:rsidRPr="00C95201">
        <w:rPr>
          <w:rFonts w:ascii="Myriad Pro" w:hAnsi="Myriad Pro"/>
          <w:sz w:val="26"/>
          <w:szCs w:val="26"/>
        </w:rPr>
        <w:t>«</w:t>
      </w:r>
      <w:r w:rsidRPr="00C95201">
        <w:rPr>
          <w:rFonts w:ascii="Myriad Pro" w:hAnsi="Myriad Pro"/>
          <w:sz w:val="26"/>
          <w:szCs w:val="26"/>
        </w:rPr>
        <w:t>МРСК Северо-Запада</w:t>
      </w:r>
      <w:r w:rsidR="00655FFA" w:rsidRPr="00C95201">
        <w:rPr>
          <w:rFonts w:ascii="Myriad Pro" w:hAnsi="Myriad Pro"/>
          <w:sz w:val="26"/>
          <w:szCs w:val="26"/>
        </w:rPr>
        <w:t>»</w:t>
      </w:r>
      <w:r w:rsidRPr="00C95201">
        <w:rPr>
          <w:rFonts w:ascii="Myriad Pro" w:hAnsi="Myriad Pro"/>
          <w:sz w:val="26"/>
          <w:szCs w:val="26"/>
        </w:rPr>
        <w:t xml:space="preserve"> </w:t>
      </w:r>
      <w:r w:rsidR="00655FFA" w:rsidRPr="00C95201">
        <w:rPr>
          <w:rFonts w:ascii="Myriad Pro" w:hAnsi="Myriad Pro"/>
          <w:sz w:val="26"/>
          <w:szCs w:val="26"/>
        </w:rPr>
        <w:t>«</w:t>
      </w:r>
      <w:r w:rsidRPr="00C95201">
        <w:rPr>
          <w:rFonts w:ascii="Myriad Pro" w:hAnsi="Myriad Pro"/>
          <w:sz w:val="26"/>
          <w:szCs w:val="26"/>
        </w:rPr>
        <w:t>Колэнерго</w:t>
      </w:r>
      <w:r w:rsidR="00655FFA" w:rsidRPr="00C95201">
        <w:rPr>
          <w:rFonts w:ascii="Myriad Pro" w:hAnsi="Myriad Pro"/>
          <w:sz w:val="26"/>
          <w:szCs w:val="26"/>
        </w:rPr>
        <w:t>»</w:t>
      </w:r>
      <w:r w:rsidRPr="00C95201">
        <w:rPr>
          <w:rFonts w:ascii="Myriad Pro" w:hAnsi="Myriad Pro"/>
          <w:sz w:val="26"/>
          <w:szCs w:val="26"/>
        </w:rPr>
        <w:t xml:space="preserve"> и учтенные Комитетом как долгосрочные параметры соответствуют требованиям действующих Методических указаний № 1256.</w:t>
      </w:r>
    </w:p>
    <w:p w14:paraId="1551C4BF" w14:textId="77777777" w:rsidR="00BE7040" w:rsidRPr="00FB0A3A" w:rsidRDefault="00BE7040" w:rsidP="00A31747">
      <w:pPr>
        <w:tabs>
          <w:tab w:val="left" w:pos="1134"/>
        </w:tabs>
        <w:spacing w:after="0" w:line="360" w:lineRule="auto"/>
        <w:ind w:firstLine="567"/>
        <w:contextualSpacing/>
        <w:jc w:val="both"/>
        <w:rPr>
          <w:rFonts w:ascii="Myriad Pro" w:hAnsi="Myriad Pro"/>
          <w:sz w:val="26"/>
          <w:szCs w:val="26"/>
        </w:rPr>
      </w:pPr>
    </w:p>
    <w:p w14:paraId="7AF87C1F" w14:textId="77777777" w:rsidR="00645463" w:rsidRPr="00FB0A3A" w:rsidRDefault="00645463" w:rsidP="00A31747">
      <w:pPr>
        <w:tabs>
          <w:tab w:val="left" w:pos="1134"/>
        </w:tabs>
        <w:spacing w:after="0" w:line="360" w:lineRule="auto"/>
        <w:ind w:firstLine="567"/>
        <w:contextualSpacing/>
        <w:jc w:val="both"/>
        <w:rPr>
          <w:rFonts w:ascii="Myriad Pro" w:hAnsi="Myriad Pro"/>
          <w:sz w:val="26"/>
          <w:szCs w:val="26"/>
        </w:rPr>
      </w:pPr>
    </w:p>
    <w:p w14:paraId="6994D13C" w14:textId="2FBC0CE9" w:rsidR="00EF279D" w:rsidRPr="00FB0A3A" w:rsidRDefault="00B5723D"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 xml:space="preserve"> </w:t>
      </w:r>
      <w:r w:rsidR="00EF279D" w:rsidRPr="00FB0A3A">
        <w:rPr>
          <w:rFonts w:ascii="Myriad Pro" w:eastAsia="Calibri" w:hAnsi="Myriad Pro" w:cs="Times New Roman"/>
          <w:sz w:val="26"/>
          <w:szCs w:val="26"/>
        </w:rPr>
        <w:br w:type="page"/>
      </w:r>
    </w:p>
    <w:p w14:paraId="1B4F836F" w14:textId="568B62D7" w:rsidR="004D7D17" w:rsidRPr="002D6C17" w:rsidRDefault="004D7D17" w:rsidP="00A54C03">
      <w:pPr>
        <w:pStyle w:val="3"/>
        <w:numPr>
          <w:ilvl w:val="0"/>
          <w:numId w:val="67"/>
        </w:numPr>
        <w:spacing w:line="360" w:lineRule="auto"/>
        <w:jc w:val="both"/>
        <w:rPr>
          <w:rFonts w:ascii="Myriad Pro" w:hAnsi="Myriad Pro"/>
          <w:b/>
          <w:color w:val="4F6228" w:themeColor="accent3" w:themeShade="80"/>
          <w:sz w:val="28"/>
          <w:szCs w:val="28"/>
        </w:rPr>
      </w:pPr>
      <w:bookmarkStart w:id="53" w:name="_Toc40797962"/>
      <w:r w:rsidRPr="002D6C17">
        <w:rPr>
          <w:rFonts w:ascii="Myriad Pro" w:hAnsi="Myriad Pro"/>
          <w:b/>
          <w:color w:val="4F6228" w:themeColor="accent3" w:themeShade="80"/>
          <w:sz w:val="28"/>
          <w:szCs w:val="28"/>
        </w:rPr>
        <w:lastRenderedPageBreak/>
        <w:t>Экспертиза обоснованности расчетов регулирующего органа по статьям неподконтрольных расходов на 2019 год</w:t>
      </w:r>
      <w:bookmarkEnd w:id="53"/>
    </w:p>
    <w:p w14:paraId="0C081C2C" w14:textId="1A5BABC2" w:rsidR="00577263" w:rsidRPr="00FB0A3A" w:rsidRDefault="00577263"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В соответствии с п. 11 Методических указаний неподконтрольные расходы, определяемые методом экономически обоснованных расходов, для базового и i-го года долгосрочного периода регулирования, включают в себя:</w:t>
      </w:r>
    </w:p>
    <w:p w14:paraId="2E2D8B64" w14:textId="38528E07" w:rsidR="00577263" w:rsidRPr="00FB0A3A" w:rsidRDefault="00577263" w:rsidP="009B0BC1">
      <w:pPr>
        <w:pStyle w:val="a4"/>
        <w:numPr>
          <w:ilvl w:val="0"/>
          <w:numId w:val="57"/>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 xml:space="preserve">расходы на финансирование капитальных вложений из прибыли (в соответствии с пунктом 32 Основ ценообразования). Указанные расходы с учетом возврата заемных средств, направляемых на финансирование капитальных вложений, не могут превышать 12% от необходимой валовой выручки регулируемой организации, определенной в соответствии с Методическими указаниями без учета расходов на оплату технологического расхода (потерь) электрической энергии, расходов на финансирование капитальных вложений из прибыли и налога на прибыль на капитальные вложения, расходов на оплату услуг по передаче электрической энергии по единой национальной (общероссийской) электрической сети, оказываемых ОАО </w:t>
      </w:r>
      <w:r w:rsidR="00655FFA" w:rsidRPr="00FB0A3A">
        <w:rPr>
          <w:rFonts w:ascii="Myriad Pro" w:hAnsi="Myriad Pro"/>
          <w:sz w:val="26"/>
          <w:szCs w:val="26"/>
        </w:rPr>
        <w:t>«</w:t>
      </w:r>
      <w:r w:rsidRPr="00FB0A3A">
        <w:rPr>
          <w:rFonts w:ascii="Myriad Pro" w:hAnsi="Myriad Pro"/>
          <w:sz w:val="26"/>
          <w:szCs w:val="26"/>
        </w:rPr>
        <w:t>Федеральная сетевая компания Единой энергетической системы</w:t>
      </w:r>
      <w:r w:rsidR="00655FFA" w:rsidRPr="00FB0A3A">
        <w:rPr>
          <w:rFonts w:ascii="Myriad Pro" w:hAnsi="Myriad Pro"/>
          <w:sz w:val="26"/>
          <w:szCs w:val="26"/>
        </w:rPr>
        <w:t>»</w:t>
      </w:r>
      <w:r w:rsidRPr="00FB0A3A">
        <w:rPr>
          <w:rFonts w:ascii="Myriad Pro" w:hAnsi="Myriad Pro"/>
          <w:sz w:val="26"/>
          <w:szCs w:val="26"/>
        </w:rPr>
        <w:t>, расходов на оплату услуг по передаче электрической энергии по сетям территориальных сетевых организаций, возврата заемных средств, направляемых на финансирование капитальных вложений, расходов, связанных с арендой объектов электросетевого хозяйства, используемого для осуществления регулируемой деятельности, в том числе по договорам финансовой аренды (лизинга);</w:t>
      </w:r>
    </w:p>
    <w:p w14:paraId="24495924" w14:textId="2AD7ACD3" w:rsidR="00577263" w:rsidRPr="00FB0A3A" w:rsidRDefault="00577263" w:rsidP="009B0BC1">
      <w:pPr>
        <w:pStyle w:val="a4"/>
        <w:numPr>
          <w:ilvl w:val="0"/>
          <w:numId w:val="57"/>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оплату налогов на прибыль, имущество и иных налогов (в соответствии с пунктами 20 и 28 Основ ценообразования);</w:t>
      </w:r>
    </w:p>
    <w:p w14:paraId="2CED7D71" w14:textId="594912F8" w:rsidR="00577263" w:rsidRPr="00FB0A3A" w:rsidRDefault="00577263" w:rsidP="009B0BC1">
      <w:pPr>
        <w:pStyle w:val="a4"/>
        <w:numPr>
          <w:ilvl w:val="0"/>
          <w:numId w:val="57"/>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амортизацию основных средств (в соответствии с пунктом 27 Основ ценообразования);</w:t>
      </w:r>
    </w:p>
    <w:p w14:paraId="2DF216D8" w14:textId="2F3D0DAF" w:rsidR="00577263" w:rsidRPr="00FB0A3A" w:rsidRDefault="00577263" w:rsidP="009B0BC1">
      <w:pPr>
        <w:pStyle w:val="a4"/>
        <w:numPr>
          <w:ilvl w:val="0"/>
          <w:numId w:val="57"/>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расходы на возврат и обслуживание долгосрочных заемных средств, в том числе направляемых на финансирование капитальных вложений в соответствии с пунктом 32 Основ ценообразования;</w:t>
      </w:r>
    </w:p>
    <w:p w14:paraId="63A3BA5C" w14:textId="5B5EC17F" w:rsidR="00577263" w:rsidRPr="00FB0A3A" w:rsidRDefault="00577263" w:rsidP="009B0BC1">
      <w:pPr>
        <w:pStyle w:val="a4"/>
        <w:numPr>
          <w:ilvl w:val="0"/>
          <w:numId w:val="57"/>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расходы, связанные с компенсацией выпадающих доходов, предусмотренных пунктом 87 Основ ценообразования;</w:t>
      </w:r>
    </w:p>
    <w:p w14:paraId="1B313BDB" w14:textId="66133EE6" w:rsidR="00577263" w:rsidRPr="00FB0A3A" w:rsidRDefault="00577263" w:rsidP="009B0BC1">
      <w:pPr>
        <w:pStyle w:val="a4"/>
        <w:numPr>
          <w:ilvl w:val="0"/>
          <w:numId w:val="57"/>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lastRenderedPageBreak/>
        <w:t>расходы на оплату продукции (услуг) организаций, осуществляющих регулируемые виды деятельности, рассчитанные исходя из размера тарифов, установленных в отношении товаров и услуг указанных организаций;</w:t>
      </w:r>
    </w:p>
    <w:p w14:paraId="0607ECD7" w14:textId="1B3E4C3F" w:rsidR="004D7D17" w:rsidRPr="00FB0A3A" w:rsidRDefault="00577263" w:rsidP="009B0BC1">
      <w:pPr>
        <w:pStyle w:val="a4"/>
        <w:numPr>
          <w:ilvl w:val="0"/>
          <w:numId w:val="57"/>
        </w:numPr>
        <w:tabs>
          <w:tab w:val="left" w:pos="1134"/>
        </w:tabs>
        <w:spacing w:after="200" w:line="360" w:lineRule="auto"/>
        <w:ind w:left="0" w:firstLine="567"/>
        <w:jc w:val="both"/>
        <w:rPr>
          <w:rFonts w:ascii="Myriad Pro" w:hAnsi="Myriad Pro"/>
          <w:sz w:val="26"/>
          <w:szCs w:val="26"/>
        </w:rPr>
      </w:pPr>
      <w:r w:rsidRPr="00FB0A3A">
        <w:rPr>
          <w:rFonts w:ascii="Myriad Pro" w:hAnsi="Myriad Pro"/>
          <w:sz w:val="26"/>
          <w:szCs w:val="26"/>
        </w:rPr>
        <w:t>прочие расходы, учитываемые при установлении тарифов на i-й год долгосрочного периода регулирования.</w:t>
      </w:r>
    </w:p>
    <w:tbl>
      <w:tblPr>
        <w:tblStyle w:val="afff6"/>
        <w:tblW w:w="5000" w:type="pct"/>
        <w:tblLook w:val="04A0" w:firstRow="1" w:lastRow="0" w:firstColumn="1" w:lastColumn="0" w:noHBand="0" w:noVBand="1"/>
      </w:tblPr>
      <w:tblGrid>
        <w:gridCol w:w="2466"/>
        <w:gridCol w:w="1536"/>
        <w:gridCol w:w="1536"/>
        <w:gridCol w:w="1398"/>
        <w:gridCol w:w="1340"/>
        <w:gridCol w:w="1068"/>
      </w:tblGrid>
      <w:tr w:rsidR="00D20107" w:rsidRPr="00FB0A3A" w14:paraId="090669A8" w14:textId="77777777" w:rsidTr="002267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5B39D399" w14:textId="77777777" w:rsidR="0080781D" w:rsidRPr="00FB0A3A" w:rsidRDefault="0080781D" w:rsidP="00D20107">
            <w:pPr>
              <w:tabs>
                <w:tab w:val="left" w:pos="1134"/>
              </w:tabs>
              <w:jc w:val="center"/>
              <w:rPr>
                <w:rFonts w:eastAsia="Calibri" w:cs="Times New Roman"/>
                <w:szCs w:val="18"/>
              </w:rPr>
            </w:pPr>
            <w:r w:rsidRPr="00FB0A3A">
              <w:rPr>
                <w:rFonts w:eastAsia="Calibri" w:cs="Times New Roman"/>
                <w:szCs w:val="18"/>
              </w:rPr>
              <w:t> Наименование статьи</w:t>
            </w:r>
          </w:p>
        </w:tc>
        <w:tc>
          <w:tcPr>
            <w:tcW w:w="8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47789EB" w14:textId="77777777" w:rsidR="0080781D" w:rsidRPr="00FB0A3A" w:rsidRDefault="0080781D" w:rsidP="00D20107">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Факт за 2017, тыс. руб.</w:t>
            </w:r>
          </w:p>
        </w:tc>
        <w:tc>
          <w:tcPr>
            <w:tcW w:w="8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8F2E773" w14:textId="0ADE9F2F" w:rsidR="0080781D" w:rsidRPr="00FB0A3A" w:rsidRDefault="0080781D" w:rsidP="00D20107">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 xml:space="preserve">Заявлено филиалом ПАО </w:t>
            </w:r>
            <w:r w:rsidR="00655FFA" w:rsidRPr="00FB0A3A">
              <w:rPr>
                <w:rFonts w:eastAsia="Calibri" w:cs="Times New Roman"/>
                <w:szCs w:val="18"/>
              </w:rPr>
              <w:t>«</w:t>
            </w:r>
            <w:r w:rsidRPr="00FB0A3A">
              <w:rPr>
                <w:rFonts w:eastAsia="Calibri" w:cs="Times New Roman"/>
                <w:szCs w:val="18"/>
              </w:rPr>
              <w:t>МРСК Северо</w:t>
            </w:r>
            <w:r w:rsidR="004A715A" w:rsidRPr="00FB0A3A">
              <w:rPr>
                <w:rFonts w:eastAsia="Calibri" w:cs="Times New Roman"/>
                <w:szCs w:val="18"/>
              </w:rPr>
              <w:t>- Запада</w:t>
            </w:r>
            <w:r w:rsidR="00655FFA" w:rsidRPr="00FB0A3A">
              <w:rPr>
                <w:rFonts w:eastAsia="Calibri" w:cs="Times New Roman"/>
                <w:szCs w:val="18"/>
              </w:rPr>
              <w:t>»</w:t>
            </w:r>
            <w:r w:rsidR="004A715A" w:rsidRPr="00FB0A3A">
              <w:rPr>
                <w:rFonts w:eastAsia="Calibri" w:cs="Times New Roman"/>
                <w:szCs w:val="18"/>
              </w:rPr>
              <w:t xml:space="preserve"> </w:t>
            </w:r>
            <w:r w:rsidR="00655FFA" w:rsidRPr="00FB0A3A">
              <w:rPr>
                <w:rFonts w:eastAsia="Calibri" w:cs="Times New Roman"/>
                <w:szCs w:val="18"/>
              </w:rPr>
              <w:t>«</w:t>
            </w:r>
            <w:r w:rsidRPr="00FB0A3A">
              <w:rPr>
                <w:rFonts w:eastAsia="Calibri" w:cs="Times New Roman"/>
                <w:szCs w:val="18"/>
              </w:rPr>
              <w:t>Колэнерго</w:t>
            </w:r>
            <w:r w:rsidR="00655FFA" w:rsidRPr="00FB0A3A">
              <w:rPr>
                <w:rFonts w:eastAsia="Calibri" w:cs="Times New Roman"/>
                <w:szCs w:val="18"/>
              </w:rPr>
              <w:t>»</w:t>
            </w:r>
            <w:r w:rsidRPr="00FB0A3A">
              <w:rPr>
                <w:rFonts w:eastAsia="Calibri" w:cs="Times New Roman"/>
                <w:szCs w:val="18"/>
              </w:rPr>
              <w:t xml:space="preserve"> на 2019, тыс. руб.</w:t>
            </w:r>
          </w:p>
        </w:tc>
        <w:tc>
          <w:tcPr>
            <w:tcW w:w="7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9A5C98B" w14:textId="77777777" w:rsidR="0080781D" w:rsidRPr="00FB0A3A" w:rsidRDefault="0080781D" w:rsidP="00D20107">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ТБР на 2019, тыс. руб.</w:t>
            </w:r>
          </w:p>
        </w:tc>
        <w:tc>
          <w:tcPr>
            <w:tcW w:w="7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831BE21" w14:textId="77777777" w:rsidR="0080781D" w:rsidRPr="00FB0A3A" w:rsidRDefault="0080781D" w:rsidP="00D20107">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Отклонение ТБР на 2019/ заявка на 2019, %</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757A94A" w14:textId="77777777" w:rsidR="0080781D" w:rsidRPr="00FB0A3A" w:rsidRDefault="0080781D" w:rsidP="00D20107">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ТБР на 2019 /факт за 2017, %</w:t>
            </w:r>
          </w:p>
        </w:tc>
      </w:tr>
      <w:tr w:rsidR="00D20107" w:rsidRPr="00FB0A3A" w14:paraId="6766E11E" w14:textId="77777777" w:rsidTr="002267D7">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tcBorders>
            <w:hideMark/>
          </w:tcPr>
          <w:p w14:paraId="78328BFE" w14:textId="32BF42CD" w:rsidR="0080781D" w:rsidRPr="00FB0A3A" w:rsidRDefault="0080781D" w:rsidP="00D20107">
            <w:pPr>
              <w:tabs>
                <w:tab w:val="left" w:pos="1134"/>
              </w:tabs>
              <w:rPr>
                <w:rFonts w:eastAsia="Calibri" w:cs="Times New Roman"/>
                <w:szCs w:val="18"/>
              </w:rPr>
            </w:pPr>
            <w:r w:rsidRPr="00FB0A3A">
              <w:rPr>
                <w:rFonts w:eastAsia="Calibri" w:cs="Times New Roman"/>
                <w:szCs w:val="18"/>
              </w:rPr>
              <w:t xml:space="preserve">Оплата услуг ПАО </w:t>
            </w:r>
            <w:r w:rsidR="00655FFA" w:rsidRPr="00FB0A3A">
              <w:rPr>
                <w:rFonts w:eastAsia="Calibri" w:cs="Times New Roman"/>
                <w:szCs w:val="18"/>
              </w:rPr>
              <w:t>«</w:t>
            </w:r>
            <w:r w:rsidRPr="00FB0A3A">
              <w:rPr>
                <w:rFonts w:eastAsia="Calibri" w:cs="Times New Roman"/>
                <w:szCs w:val="18"/>
              </w:rPr>
              <w:t>ФСК ЕЭС</w:t>
            </w:r>
            <w:r w:rsidR="00655FFA" w:rsidRPr="00FB0A3A">
              <w:rPr>
                <w:rFonts w:eastAsia="Calibri" w:cs="Times New Roman"/>
                <w:szCs w:val="18"/>
              </w:rPr>
              <w:t>»</w:t>
            </w:r>
          </w:p>
        </w:tc>
        <w:tc>
          <w:tcPr>
            <w:tcW w:w="822" w:type="pct"/>
            <w:tcBorders>
              <w:top w:val="single" w:sz="4" w:space="0" w:color="FFFFFF" w:themeColor="background1"/>
            </w:tcBorders>
            <w:hideMark/>
          </w:tcPr>
          <w:p w14:paraId="46317E78" w14:textId="77777777" w:rsidR="0080781D" w:rsidRPr="00FB0A3A" w:rsidRDefault="0080781D"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2 256 810,05</w:t>
            </w:r>
          </w:p>
        </w:tc>
        <w:tc>
          <w:tcPr>
            <w:tcW w:w="822" w:type="pct"/>
            <w:tcBorders>
              <w:top w:val="single" w:sz="4" w:space="0" w:color="FFFFFF" w:themeColor="background1"/>
            </w:tcBorders>
            <w:hideMark/>
          </w:tcPr>
          <w:p w14:paraId="73CD8A59" w14:textId="77777777" w:rsidR="0080781D" w:rsidRPr="00FB0A3A" w:rsidRDefault="0080781D"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2 507 399,48</w:t>
            </w:r>
          </w:p>
        </w:tc>
        <w:tc>
          <w:tcPr>
            <w:tcW w:w="748" w:type="pct"/>
            <w:tcBorders>
              <w:top w:val="single" w:sz="4" w:space="0" w:color="FFFFFF" w:themeColor="background1"/>
            </w:tcBorders>
            <w:hideMark/>
          </w:tcPr>
          <w:p w14:paraId="2F41607C" w14:textId="77777777" w:rsidR="0080781D" w:rsidRPr="00FB0A3A" w:rsidRDefault="0080781D"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2 550 894,70</w:t>
            </w:r>
          </w:p>
        </w:tc>
        <w:tc>
          <w:tcPr>
            <w:tcW w:w="717" w:type="pct"/>
            <w:tcBorders>
              <w:top w:val="single" w:sz="4" w:space="0" w:color="FFFFFF" w:themeColor="background1"/>
            </w:tcBorders>
            <w:hideMark/>
          </w:tcPr>
          <w:p w14:paraId="7A1F3B1A" w14:textId="77777777" w:rsidR="0080781D" w:rsidRPr="00FB0A3A" w:rsidRDefault="0080781D"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1,7</w:t>
            </w:r>
          </w:p>
        </w:tc>
        <w:tc>
          <w:tcPr>
            <w:tcW w:w="0" w:type="auto"/>
            <w:tcBorders>
              <w:top w:val="single" w:sz="4" w:space="0" w:color="FFFFFF" w:themeColor="background1"/>
            </w:tcBorders>
            <w:hideMark/>
          </w:tcPr>
          <w:p w14:paraId="1B2B4E48" w14:textId="77777777" w:rsidR="0080781D" w:rsidRPr="00FB0A3A" w:rsidRDefault="0080781D"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13,03</w:t>
            </w:r>
          </w:p>
        </w:tc>
      </w:tr>
      <w:tr w:rsidR="00D20107" w:rsidRPr="00FB0A3A" w14:paraId="2154F560" w14:textId="77777777" w:rsidTr="00D20107">
        <w:tc>
          <w:tcPr>
            <w:cnfStyle w:val="001000000000" w:firstRow="0" w:lastRow="0" w:firstColumn="1" w:lastColumn="0" w:oddVBand="0" w:evenVBand="0" w:oddHBand="0" w:evenHBand="0" w:firstRowFirstColumn="0" w:firstRowLastColumn="0" w:lastRowFirstColumn="0" w:lastRowLastColumn="0"/>
            <w:tcW w:w="0" w:type="auto"/>
            <w:hideMark/>
          </w:tcPr>
          <w:p w14:paraId="70D7283E" w14:textId="77777777" w:rsidR="0080781D" w:rsidRPr="00FB0A3A" w:rsidRDefault="0080781D" w:rsidP="00D20107">
            <w:pPr>
              <w:tabs>
                <w:tab w:val="left" w:pos="1134"/>
              </w:tabs>
              <w:rPr>
                <w:rFonts w:eastAsia="Calibri" w:cs="Times New Roman"/>
                <w:szCs w:val="18"/>
              </w:rPr>
            </w:pPr>
            <w:r w:rsidRPr="00FB0A3A">
              <w:rPr>
                <w:rFonts w:eastAsia="Calibri" w:cs="Times New Roman"/>
                <w:szCs w:val="18"/>
              </w:rPr>
              <w:t>Тепловая энергия на хоз. нужды</w:t>
            </w:r>
          </w:p>
        </w:tc>
        <w:tc>
          <w:tcPr>
            <w:tcW w:w="822" w:type="pct"/>
            <w:hideMark/>
          </w:tcPr>
          <w:p w14:paraId="092FC564" w14:textId="77777777" w:rsidR="0080781D" w:rsidRPr="00FB0A3A" w:rsidRDefault="0080781D"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15 522,81</w:t>
            </w:r>
          </w:p>
        </w:tc>
        <w:tc>
          <w:tcPr>
            <w:tcW w:w="822" w:type="pct"/>
            <w:hideMark/>
          </w:tcPr>
          <w:p w14:paraId="08B45257" w14:textId="77777777" w:rsidR="0080781D" w:rsidRPr="00FB0A3A" w:rsidRDefault="0080781D"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0,00</w:t>
            </w:r>
          </w:p>
        </w:tc>
        <w:tc>
          <w:tcPr>
            <w:tcW w:w="748" w:type="pct"/>
            <w:hideMark/>
          </w:tcPr>
          <w:p w14:paraId="08C79240" w14:textId="77777777" w:rsidR="0080781D" w:rsidRPr="00FB0A3A" w:rsidRDefault="0080781D"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19 140,00</w:t>
            </w:r>
          </w:p>
        </w:tc>
        <w:tc>
          <w:tcPr>
            <w:tcW w:w="717" w:type="pct"/>
            <w:hideMark/>
          </w:tcPr>
          <w:p w14:paraId="6B424F07" w14:textId="77777777" w:rsidR="0080781D" w:rsidRPr="00FB0A3A" w:rsidRDefault="0080781D"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0,0</w:t>
            </w:r>
          </w:p>
        </w:tc>
        <w:tc>
          <w:tcPr>
            <w:tcW w:w="0" w:type="auto"/>
            <w:hideMark/>
          </w:tcPr>
          <w:p w14:paraId="69DEBF12" w14:textId="77777777" w:rsidR="0080781D" w:rsidRPr="00FB0A3A" w:rsidRDefault="0080781D"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23,30</w:t>
            </w:r>
          </w:p>
        </w:tc>
      </w:tr>
      <w:tr w:rsidR="00D20107" w:rsidRPr="00FB0A3A" w14:paraId="7A2CC935" w14:textId="77777777" w:rsidTr="00D20107">
        <w:tc>
          <w:tcPr>
            <w:cnfStyle w:val="001000000000" w:firstRow="0" w:lastRow="0" w:firstColumn="1" w:lastColumn="0" w:oddVBand="0" w:evenVBand="0" w:oddHBand="0" w:evenHBand="0" w:firstRowFirstColumn="0" w:firstRowLastColumn="0" w:lastRowFirstColumn="0" w:lastRowLastColumn="0"/>
            <w:tcW w:w="0" w:type="auto"/>
            <w:hideMark/>
          </w:tcPr>
          <w:p w14:paraId="53562390" w14:textId="77777777" w:rsidR="0080781D" w:rsidRPr="00FB0A3A" w:rsidRDefault="0080781D" w:rsidP="00D20107">
            <w:pPr>
              <w:tabs>
                <w:tab w:val="left" w:pos="1134"/>
              </w:tabs>
              <w:rPr>
                <w:rFonts w:eastAsia="Calibri" w:cs="Times New Roman"/>
                <w:szCs w:val="18"/>
              </w:rPr>
            </w:pPr>
            <w:r w:rsidRPr="00FB0A3A">
              <w:rPr>
                <w:rFonts w:eastAsia="Calibri" w:cs="Times New Roman"/>
                <w:szCs w:val="18"/>
              </w:rPr>
              <w:t>Плата за аренду имущества, всего</w:t>
            </w:r>
          </w:p>
        </w:tc>
        <w:tc>
          <w:tcPr>
            <w:tcW w:w="822" w:type="pct"/>
            <w:hideMark/>
          </w:tcPr>
          <w:p w14:paraId="2A9F344A" w14:textId="77777777" w:rsidR="0080781D" w:rsidRPr="00FB0A3A" w:rsidRDefault="0080781D"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7 980,23</w:t>
            </w:r>
          </w:p>
        </w:tc>
        <w:tc>
          <w:tcPr>
            <w:tcW w:w="822" w:type="pct"/>
            <w:hideMark/>
          </w:tcPr>
          <w:p w14:paraId="38A5C0B7" w14:textId="77777777" w:rsidR="0080781D" w:rsidRPr="00FB0A3A" w:rsidRDefault="0080781D"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6 993,51</w:t>
            </w:r>
          </w:p>
        </w:tc>
        <w:tc>
          <w:tcPr>
            <w:tcW w:w="748" w:type="pct"/>
            <w:hideMark/>
          </w:tcPr>
          <w:p w14:paraId="49DF1169" w14:textId="77777777" w:rsidR="0080781D" w:rsidRPr="00FB0A3A" w:rsidRDefault="0080781D"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2 191,56</w:t>
            </w:r>
          </w:p>
        </w:tc>
        <w:tc>
          <w:tcPr>
            <w:tcW w:w="717" w:type="pct"/>
            <w:hideMark/>
          </w:tcPr>
          <w:p w14:paraId="0DABB653" w14:textId="77777777" w:rsidR="0080781D" w:rsidRPr="00FB0A3A" w:rsidRDefault="0080781D"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-68,7</w:t>
            </w:r>
          </w:p>
        </w:tc>
        <w:tc>
          <w:tcPr>
            <w:tcW w:w="0" w:type="auto"/>
            <w:hideMark/>
          </w:tcPr>
          <w:p w14:paraId="0F7E4514" w14:textId="77777777" w:rsidR="0080781D" w:rsidRPr="00FB0A3A" w:rsidRDefault="0080781D"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-72,54</w:t>
            </w:r>
          </w:p>
        </w:tc>
      </w:tr>
      <w:tr w:rsidR="00D20107" w:rsidRPr="00FB0A3A" w14:paraId="6B536CB7" w14:textId="77777777" w:rsidTr="00D20107">
        <w:tc>
          <w:tcPr>
            <w:cnfStyle w:val="001000000000" w:firstRow="0" w:lastRow="0" w:firstColumn="1" w:lastColumn="0" w:oddVBand="0" w:evenVBand="0" w:oddHBand="0" w:evenHBand="0" w:firstRowFirstColumn="0" w:firstRowLastColumn="0" w:lastRowFirstColumn="0" w:lastRowLastColumn="0"/>
            <w:tcW w:w="0" w:type="auto"/>
            <w:hideMark/>
          </w:tcPr>
          <w:p w14:paraId="232FF842" w14:textId="77777777" w:rsidR="0080781D" w:rsidRPr="00FB0A3A" w:rsidRDefault="0080781D" w:rsidP="00D20107">
            <w:pPr>
              <w:tabs>
                <w:tab w:val="left" w:pos="1134"/>
              </w:tabs>
              <w:rPr>
                <w:rFonts w:eastAsia="Calibri" w:cs="Times New Roman"/>
                <w:szCs w:val="18"/>
              </w:rPr>
            </w:pPr>
            <w:r w:rsidRPr="00FB0A3A">
              <w:rPr>
                <w:rFonts w:eastAsia="Calibri" w:cs="Times New Roman"/>
                <w:szCs w:val="18"/>
              </w:rPr>
              <w:t>Плата за землю</w:t>
            </w:r>
          </w:p>
        </w:tc>
        <w:tc>
          <w:tcPr>
            <w:tcW w:w="822" w:type="pct"/>
            <w:hideMark/>
          </w:tcPr>
          <w:p w14:paraId="0253B527" w14:textId="77777777" w:rsidR="0080781D" w:rsidRPr="00FB0A3A" w:rsidRDefault="0080781D"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15 166,38</w:t>
            </w:r>
          </w:p>
        </w:tc>
        <w:tc>
          <w:tcPr>
            <w:tcW w:w="822" w:type="pct"/>
            <w:hideMark/>
          </w:tcPr>
          <w:p w14:paraId="60593CFB" w14:textId="77777777" w:rsidR="0080781D" w:rsidRPr="00FB0A3A" w:rsidRDefault="0080781D"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13 370,97</w:t>
            </w:r>
          </w:p>
        </w:tc>
        <w:tc>
          <w:tcPr>
            <w:tcW w:w="748" w:type="pct"/>
            <w:hideMark/>
          </w:tcPr>
          <w:p w14:paraId="5A8562A5" w14:textId="77777777" w:rsidR="0080781D" w:rsidRPr="00FB0A3A" w:rsidRDefault="0080781D"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13 370,97</w:t>
            </w:r>
          </w:p>
        </w:tc>
        <w:tc>
          <w:tcPr>
            <w:tcW w:w="717" w:type="pct"/>
            <w:hideMark/>
          </w:tcPr>
          <w:p w14:paraId="4A262F47" w14:textId="77777777" w:rsidR="0080781D" w:rsidRPr="00FB0A3A" w:rsidRDefault="0080781D"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0,0</w:t>
            </w:r>
          </w:p>
        </w:tc>
        <w:tc>
          <w:tcPr>
            <w:tcW w:w="0" w:type="auto"/>
            <w:hideMark/>
          </w:tcPr>
          <w:p w14:paraId="35F0A0BE" w14:textId="77777777" w:rsidR="0080781D" w:rsidRPr="00FB0A3A" w:rsidRDefault="0080781D"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-11,84</w:t>
            </w:r>
          </w:p>
        </w:tc>
      </w:tr>
      <w:tr w:rsidR="00D20107" w:rsidRPr="00FB0A3A" w14:paraId="37564036" w14:textId="77777777" w:rsidTr="00D20107">
        <w:tc>
          <w:tcPr>
            <w:cnfStyle w:val="001000000000" w:firstRow="0" w:lastRow="0" w:firstColumn="1" w:lastColumn="0" w:oddVBand="0" w:evenVBand="0" w:oddHBand="0" w:evenHBand="0" w:firstRowFirstColumn="0" w:firstRowLastColumn="0" w:lastRowFirstColumn="0" w:lastRowLastColumn="0"/>
            <w:tcW w:w="0" w:type="auto"/>
            <w:hideMark/>
          </w:tcPr>
          <w:p w14:paraId="7A7EA48F" w14:textId="77777777" w:rsidR="0080781D" w:rsidRPr="00FB0A3A" w:rsidRDefault="0080781D" w:rsidP="00D20107">
            <w:pPr>
              <w:tabs>
                <w:tab w:val="left" w:pos="1134"/>
              </w:tabs>
              <w:rPr>
                <w:rFonts w:eastAsia="Calibri" w:cs="Times New Roman"/>
                <w:szCs w:val="18"/>
              </w:rPr>
            </w:pPr>
            <w:r w:rsidRPr="00FB0A3A">
              <w:rPr>
                <w:rFonts w:eastAsia="Calibri" w:cs="Times New Roman"/>
                <w:szCs w:val="18"/>
              </w:rPr>
              <w:t>Налог на имущество</w:t>
            </w:r>
          </w:p>
        </w:tc>
        <w:tc>
          <w:tcPr>
            <w:tcW w:w="822" w:type="pct"/>
            <w:hideMark/>
          </w:tcPr>
          <w:p w14:paraId="677BFA5B" w14:textId="77777777" w:rsidR="0080781D" w:rsidRPr="00FB0A3A" w:rsidRDefault="0080781D"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41 023,02</w:t>
            </w:r>
          </w:p>
        </w:tc>
        <w:tc>
          <w:tcPr>
            <w:tcW w:w="822" w:type="pct"/>
            <w:hideMark/>
          </w:tcPr>
          <w:p w14:paraId="1A40715E" w14:textId="77777777" w:rsidR="0080781D" w:rsidRPr="00FB0A3A" w:rsidRDefault="0080781D"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88 835,57</w:t>
            </w:r>
          </w:p>
        </w:tc>
        <w:tc>
          <w:tcPr>
            <w:tcW w:w="748" w:type="pct"/>
            <w:hideMark/>
          </w:tcPr>
          <w:p w14:paraId="3549E3BD" w14:textId="77777777" w:rsidR="0080781D" w:rsidRPr="00FB0A3A" w:rsidRDefault="0080781D"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61 534,45</w:t>
            </w:r>
          </w:p>
        </w:tc>
        <w:tc>
          <w:tcPr>
            <w:tcW w:w="717" w:type="pct"/>
            <w:hideMark/>
          </w:tcPr>
          <w:p w14:paraId="6EB2932A" w14:textId="77777777" w:rsidR="0080781D" w:rsidRPr="00FB0A3A" w:rsidRDefault="0080781D"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-30,7</w:t>
            </w:r>
          </w:p>
        </w:tc>
        <w:tc>
          <w:tcPr>
            <w:tcW w:w="0" w:type="auto"/>
            <w:hideMark/>
          </w:tcPr>
          <w:p w14:paraId="53C4935D" w14:textId="77777777" w:rsidR="0080781D" w:rsidRPr="00FB0A3A" w:rsidRDefault="0080781D"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50,00</w:t>
            </w:r>
          </w:p>
        </w:tc>
      </w:tr>
      <w:tr w:rsidR="00D20107" w:rsidRPr="00FB0A3A" w14:paraId="65030149" w14:textId="77777777" w:rsidTr="00D20107">
        <w:tc>
          <w:tcPr>
            <w:cnfStyle w:val="001000000000" w:firstRow="0" w:lastRow="0" w:firstColumn="1" w:lastColumn="0" w:oddVBand="0" w:evenVBand="0" w:oddHBand="0" w:evenHBand="0" w:firstRowFirstColumn="0" w:firstRowLastColumn="0" w:lastRowFirstColumn="0" w:lastRowLastColumn="0"/>
            <w:tcW w:w="0" w:type="auto"/>
            <w:hideMark/>
          </w:tcPr>
          <w:p w14:paraId="02EA20E7" w14:textId="77777777" w:rsidR="0080781D" w:rsidRPr="00FB0A3A" w:rsidRDefault="0080781D" w:rsidP="00D20107">
            <w:pPr>
              <w:tabs>
                <w:tab w:val="left" w:pos="1134"/>
              </w:tabs>
              <w:rPr>
                <w:rFonts w:eastAsia="Calibri" w:cs="Times New Roman"/>
                <w:szCs w:val="18"/>
              </w:rPr>
            </w:pPr>
            <w:r w:rsidRPr="00FB0A3A">
              <w:rPr>
                <w:rFonts w:eastAsia="Calibri" w:cs="Times New Roman"/>
                <w:szCs w:val="18"/>
              </w:rPr>
              <w:t xml:space="preserve">Прочие налоги и сборы </w:t>
            </w:r>
          </w:p>
        </w:tc>
        <w:tc>
          <w:tcPr>
            <w:tcW w:w="822" w:type="pct"/>
            <w:hideMark/>
          </w:tcPr>
          <w:p w14:paraId="6AFCE3C1" w14:textId="77777777" w:rsidR="0080781D" w:rsidRPr="00FB0A3A" w:rsidRDefault="0080781D"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4 557,62</w:t>
            </w:r>
          </w:p>
        </w:tc>
        <w:tc>
          <w:tcPr>
            <w:tcW w:w="822" w:type="pct"/>
            <w:hideMark/>
          </w:tcPr>
          <w:p w14:paraId="02BA58E8" w14:textId="77777777" w:rsidR="0080781D" w:rsidRPr="00FB0A3A" w:rsidRDefault="0080781D"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5 431,48</w:t>
            </w:r>
          </w:p>
        </w:tc>
        <w:tc>
          <w:tcPr>
            <w:tcW w:w="748" w:type="pct"/>
            <w:hideMark/>
          </w:tcPr>
          <w:p w14:paraId="41F17527" w14:textId="77777777" w:rsidR="0080781D" w:rsidRPr="00FB0A3A" w:rsidRDefault="0080781D"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5 280,19</w:t>
            </w:r>
          </w:p>
        </w:tc>
        <w:tc>
          <w:tcPr>
            <w:tcW w:w="717" w:type="pct"/>
            <w:hideMark/>
          </w:tcPr>
          <w:p w14:paraId="67282DD6" w14:textId="77777777" w:rsidR="0080781D" w:rsidRPr="00FB0A3A" w:rsidRDefault="0080781D"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-2,8</w:t>
            </w:r>
          </w:p>
        </w:tc>
        <w:tc>
          <w:tcPr>
            <w:tcW w:w="0" w:type="auto"/>
            <w:hideMark/>
          </w:tcPr>
          <w:p w14:paraId="0B736554" w14:textId="77777777" w:rsidR="0080781D" w:rsidRPr="00FB0A3A" w:rsidRDefault="0080781D"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15,85</w:t>
            </w:r>
          </w:p>
        </w:tc>
      </w:tr>
      <w:tr w:rsidR="00D20107" w:rsidRPr="00FB0A3A" w14:paraId="4B0E4DAC" w14:textId="77777777" w:rsidTr="00D20107">
        <w:tc>
          <w:tcPr>
            <w:cnfStyle w:val="001000000000" w:firstRow="0" w:lastRow="0" w:firstColumn="1" w:lastColumn="0" w:oddVBand="0" w:evenVBand="0" w:oddHBand="0" w:evenHBand="0" w:firstRowFirstColumn="0" w:firstRowLastColumn="0" w:lastRowFirstColumn="0" w:lastRowLastColumn="0"/>
            <w:tcW w:w="0" w:type="auto"/>
            <w:hideMark/>
          </w:tcPr>
          <w:p w14:paraId="3F552915" w14:textId="77777777" w:rsidR="0080781D" w:rsidRPr="00FB0A3A" w:rsidRDefault="0080781D" w:rsidP="00D20107">
            <w:pPr>
              <w:tabs>
                <w:tab w:val="left" w:pos="1134"/>
              </w:tabs>
              <w:rPr>
                <w:rFonts w:eastAsia="Calibri" w:cs="Times New Roman"/>
                <w:szCs w:val="18"/>
              </w:rPr>
            </w:pPr>
            <w:r w:rsidRPr="00FB0A3A">
              <w:rPr>
                <w:rFonts w:eastAsia="Calibri" w:cs="Times New Roman"/>
                <w:szCs w:val="18"/>
              </w:rPr>
              <w:t>Отчисления на социальные нужды</w:t>
            </w:r>
          </w:p>
        </w:tc>
        <w:tc>
          <w:tcPr>
            <w:tcW w:w="822" w:type="pct"/>
            <w:hideMark/>
          </w:tcPr>
          <w:p w14:paraId="4115E31F" w14:textId="77777777" w:rsidR="0080781D" w:rsidRPr="00FB0A3A" w:rsidRDefault="0080781D"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252 948,52</w:t>
            </w:r>
          </w:p>
        </w:tc>
        <w:tc>
          <w:tcPr>
            <w:tcW w:w="822" w:type="pct"/>
            <w:hideMark/>
          </w:tcPr>
          <w:p w14:paraId="7FB6E397" w14:textId="77777777" w:rsidR="0080781D" w:rsidRPr="00FB0A3A" w:rsidRDefault="0080781D"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354 029,58</w:t>
            </w:r>
          </w:p>
        </w:tc>
        <w:tc>
          <w:tcPr>
            <w:tcW w:w="748" w:type="pct"/>
            <w:hideMark/>
          </w:tcPr>
          <w:p w14:paraId="26461510" w14:textId="77777777" w:rsidR="0080781D" w:rsidRPr="00FB0A3A" w:rsidRDefault="0080781D"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294 297,20</w:t>
            </w:r>
          </w:p>
        </w:tc>
        <w:tc>
          <w:tcPr>
            <w:tcW w:w="717" w:type="pct"/>
            <w:hideMark/>
          </w:tcPr>
          <w:p w14:paraId="69A2CE5E" w14:textId="77777777" w:rsidR="0080781D" w:rsidRPr="00FB0A3A" w:rsidRDefault="0080781D"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-16,9</w:t>
            </w:r>
          </w:p>
        </w:tc>
        <w:tc>
          <w:tcPr>
            <w:tcW w:w="0" w:type="auto"/>
            <w:hideMark/>
          </w:tcPr>
          <w:p w14:paraId="25D3D7E6" w14:textId="77777777" w:rsidR="0080781D" w:rsidRPr="00FB0A3A" w:rsidRDefault="0080781D"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16,35</w:t>
            </w:r>
          </w:p>
        </w:tc>
      </w:tr>
      <w:tr w:rsidR="00D20107" w:rsidRPr="00FB0A3A" w14:paraId="24982197" w14:textId="77777777" w:rsidTr="00D20107">
        <w:tc>
          <w:tcPr>
            <w:cnfStyle w:val="001000000000" w:firstRow="0" w:lastRow="0" w:firstColumn="1" w:lastColumn="0" w:oddVBand="0" w:evenVBand="0" w:oddHBand="0" w:evenHBand="0" w:firstRowFirstColumn="0" w:firstRowLastColumn="0" w:lastRowFirstColumn="0" w:lastRowLastColumn="0"/>
            <w:tcW w:w="0" w:type="auto"/>
            <w:hideMark/>
          </w:tcPr>
          <w:p w14:paraId="7EC6A562" w14:textId="77777777" w:rsidR="0080781D" w:rsidRPr="00FB0A3A" w:rsidRDefault="0080781D" w:rsidP="00D20107">
            <w:pPr>
              <w:tabs>
                <w:tab w:val="left" w:pos="1134"/>
              </w:tabs>
              <w:rPr>
                <w:rFonts w:eastAsia="Calibri" w:cs="Times New Roman"/>
                <w:szCs w:val="18"/>
              </w:rPr>
            </w:pPr>
            <w:r w:rsidRPr="00FB0A3A">
              <w:rPr>
                <w:rFonts w:eastAsia="Calibri" w:cs="Times New Roman"/>
                <w:szCs w:val="18"/>
              </w:rPr>
              <w:t>Налог на прибыль</w:t>
            </w:r>
          </w:p>
        </w:tc>
        <w:tc>
          <w:tcPr>
            <w:tcW w:w="822" w:type="pct"/>
            <w:hideMark/>
          </w:tcPr>
          <w:p w14:paraId="25C3A201" w14:textId="77777777" w:rsidR="0080781D" w:rsidRPr="00FB0A3A" w:rsidRDefault="0080781D"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30 220,15</w:t>
            </w:r>
          </w:p>
        </w:tc>
        <w:tc>
          <w:tcPr>
            <w:tcW w:w="822" w:type="pct"/>
            <w:hideMark/>
          </w:tcPr>
          <w:p w14:paraId="5D2ACE83" w14:textId="77777777" w:rsidR="0080781D" w:rsidRPr="00FB0A3A" w:rsidRDefault="0080781D"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37 038,73</w:t>
            </w:r>
          </w:p>
        </w:tc>
        <w:tc>
          <w:tcPr>
            <w:tcW w:w="748" w:type="pct"/>
            <w:hideMark/>
          </w:tcPr>
          <w:p w14:paraId="4E4162BD" w14:textId="77777777" w:rsidR="0080781D" w:rsidRPr="00FB0A3A" w:rsidRDefault="0080781D"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27 646,00</w:t>
            </w:r>
          </w:p>
        </w:tc>
        <w:tc>
          <w:tcPr>
            <w:tcW w:w="717" w:type="pct"/>
            <w:hideMark/>
          </w:tcPr>
          <w:p w14:paraId="3D75BCC2" w14:textId="77777777" w:rsidR="0080781D" w:rsidRPr="00FB0A3A" w:rsidRDefault="0080781D"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-25,4</w:t>
            </w:r>
          </w:p>
        </w:tc>
        <w:tc>
          <w:tcPr>
            <w:tcW w:w="0" w:type="auto"/>
            <w:hideMark/>
          </w:tcPr>
          <w:p w14:paraId="68D73EFB" w14:textId="77777777" w:rsidR="0080781D" w:rsidRPr="00FB0A3A" w:rsidRDefault="0080781D"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-8,52</w:t>
            </w:r>
          </w:p>
        </w:tc>
      </w:tr>
      <w:tr w:rsidR="00D20107" w:rsidRPr="00FB0A3A" w14:paraId="5702229C" w14:textId="77777777" w:rsidTr="00D20107">
        <w:tc>
          <w:tcPr>
            <w:cnfStyle w:val="001000000000" w:firstRow="0" w:lastRow="0" w:firstColumn="1" w:lastColumn="0" w:oddVBand="0" w:evenVBand="0" w:oddHBand="0" w:evenHBand="0" w:firstRowFirstColumn="0" w:firstRowLastColumn="0" w:lastRowFirstColumn="0" w:lastRowLastColumn="0"/>
            <w:tcW w:w="0" w:type="auto"/>
            <w:hideMark/>
          </w:tcPr>
          <w:p w14:paraId="7B4D61BD" w14:textId="77777777" w:rsidR="0080781D" w:rsidRPr="00FB0A3A" w:rsidRDefault="0080781D" w:rsidP="00D20107">
            <w:pPr>
              <w:tabs>
                <w:tab w:val="left" w:pos="1134"/>
              </w:tabs>
              <w:rPr>
                <w:rFonts w:eastAsia="Calibri" w:cs="Times New Roman"/>
                <w:szCs w:val="18"/>
              </w:rPr>
            </w:pPr>
            <w:r w:rsidRPr="00FB0A3A">
              <w:rPr>
                <w:rFonts w:eastAsia="Calibri" w:cs="Times New Roman"/>
                <w:szCs w:val="18"/>
              </w:rPr>
              <w:t xml:space="preserve">Выпадающие доходы от льготного ТП </w:t>
            </w:r>
          </w:p>
        </w:tc>
        <w:tc>
          <w:tcPr>
            <w:tcW w:w="822" w:type="pct"/>
            <w:hideMark/>
          </w:tcPr>
          <w:p w14:paraId="62AB7F3A" w14:textId="77777777" w:rsidR="0080781D" w:rsidRPr="00FB0A3A" w:rsidRDefault="0080781D"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0,00</w:t>
            </w:r>
          </w:p>
        </w:tc>
        <w:tc>
          <w:tcPr>
            <w:tcW w:w="822" w:type="pct"/>
            <w:hideMark/>
          </w:tcPr>
          <w:p w14:paraId="683CBFBD" w14:textId="42504CF6" w:rsidR="0080781D" w:rsidRPr="00FB0A3A" w:rsidRDefault="00A76CAA"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51 730,75</w:t>
            </w:r>
          </w:p>
        </w:tc>
        <w:tc>
          <w:tcPr>
            <w:tcW w:w="748" w:type="pct"/>
            <w:hideMark/>
          </w:tcPr>
          <w:p w14:paraId="7D94B689" w14:textId="77777777" w:rsidR="0080781D" w:rsidRPr="00FB0A3A" w:rsidRDefault="0080781D"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175 249,18</w:t>
            </w:r>
          </w:p>
        </w:tc>
        <w:tc>
          <w:tcPr>
            <w:tcW w:w="717" w:type="pct"/>
            <w:hideMark/>
          </w:tcPr>
          <w:p w14:paraId="4D2B8FCB" w14:textId="77777777" w:rsidR="0080781D" w:rsidRPr="00FB0A3A" w:rsidRDefault="0080781D"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17,8</w:t>
            </w:r>
          </w:p>
        </w:tc>
        <w:tc>
          <w:tcPr>
            <w:tcW w:w="0" w:type="auto"/>
            <w:hideMark/>
          </w:tcPr>
          <w:p w14:paraId="1B38397D" w14:textId="77777777" w:rsidR="0080781D" w:rsidRPr="00FB0A3A" w:rsidRDefault="0080781D"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0,00</w:t>
            </w:r>
          </w:p>
        </w:tc>
      </w:tr>
      <w:tr w:rsidR="00D20107" w:rsidRPr="00FB0A3A" w14:paraId="76A5B055" w14:textId="77777777" w:rsidTr="00D20107">
        <w:tc>
          <w:tcPr>
            <w:cnfStyle w:val="001000000000" w:firstRow="0" w:lastRow="0" w:firstColumn="1" w:lastColumn="0" w:oddVBand="0" w:evenVBand="0" w:oddHBand="0" w:evenHBand="0" w:firstRowFirstColumn="0" w:firstRowLastColumn="0" w:lastRowFirstColumn="0" w:lastRowLastColumn="0"/>
            <w:tcW w:w="0" w:type="auto"/>
            <w:hideMark/>
          </w:tcPr>
          <w:p w14:paraId="07F6AF57" w14:textId="77777777" w:rsidR="0080781D" w:rsidRPr="00FB0A3A" w:rsidRDefault="0080781D" w:rsidP="00D20107">
            <w:pPr>
              <w:tabs>
                <w:tab w:val="left" w:pos="1134"/>
              </w:tabs>
              <w:rPr>
                <w:rFonts w:eastAsia="Calibri" w:cs="Times New Roman"/>
                <w:szCs w:val="18"/>
              </w:rPr>
            </w:pPr>
            <w:r w:rsidRPr="00FB0A3A">
              <w:rPr>
                <w:rFonts w:eastAsia="Calibri" w:cs="Times New Roman"/>
                <w:szCs w:val="18"/>
              </w:rPr>
              <w:t>Амортизация ОС</w:t>
            </w:r>
          </w:p>
        </w:tc>
        <w:tc>
          <w:tcPr>
            <w:tcW w:w="822" w:type="pct"/>
            <w:hideMark/>
          </w:tcPr>
          <w:p w14:paraId="1DB148F7" w14:textId="77777777" w:rsidR="0080781D" w:rsidRPr="00FB0A3A" w:rsidRDefault="0080781D"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351 200,20</w:t>
            </w:r>
          </w:p>
        </w:tc>
        <w:tc>
          <w:tcPr>
            <w:tcW w:w="822" w:type="pct"/>
            <w:hideMark/>
          </w:tcPr>
          <w:p w14:paraId="3548F396" w14:textId="77777777" w:rsidR="0080781D" w:rsidRPr="00FB0A3A" w:rsidRDefault="0080781D"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396 082,34</w:t>
            </w:r>
          </w:p>
        </w:tc>
        <w:tc>
          <w:tcPr>
            <w:tcW w:w="748" w:type="pct"/>
            <w:hideMark/>
          </w:tcPr>
          <w:p w14:paraId="4AB5A2C0" w14:textId="77777777" w:rsidR="0080781D" w:rsidRPr="00FB0A3A" w:rsidRDefault="0080781D"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393 804,00</w:t>
            </w:r>
          </w:p>
        </w:tc>
        <w:tc>
          <w:tcPr>
            <w:tcW w:w="717" w:type="pct"/>
            <w:hideMark/>
          </w:tcPr>
          <w:p w14:paraId="353170C0" w14:textId="77777777" w:rsidR="0080781D" w:rsidRPr="00FB0A3A" w:rsidRDefault="0080781D"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-0,6</w:t>
            </w:r>
          </w:p>
        </w:tc>
        <w:tc>
          <w:tcPr>
            <w:tcW w:w="0" w:type="auto"/>
            <w:hideMark/>
          </w:tcPr>
          <w:p w14:paraId="44BF36CA" w14:textId="77777777" w:rsidR="0080781D" w:rsidRPr="00FB0A3A" w:rsidRDefault="0080781D"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12,13</w:t>
            </w:r>
          </w:p>
        </w:tc>
      </w:tr>
      <w:tr w:rsidR="00D20107" w:rsidRPr="00FB0A3A" w14:paraId="1AB1A120" w14:textId="77777777" w:rsidTr="00D20107">
        <w:tc>
          <w:tcPr>
            <w:cnfStyle w:val="001000000000" w:firstRow="0" w:lastRow="0" w:firstColumn="1" w:lastColumn="0" w:oddVBand="0" w:evenVBand="0" w:oddHBand="0" w:evenHBand="0" w:firstRowFirstColumn="0" w:firstRowLastColumn="0" w:lastRowFirstColumn="0" w:lastRowLastColumn="0"/>
            <w:tcW w:w="0" w:type="auto"/>
            <w:hideMark/>
          </w:tcPr>
          <w:p w14:paraId="4D6A9B9F" w14:textId="77777777" w:rsidR="0080781D" w:rsidRPr="00FB0A3A" w:rsidRDefault="0080781D" w:rsidP="00D20107">
            <w:pPr>
              <w:tabs>
                <w:tab w:val="left" w:pos="1134"/>
              </w:tabs>
              <w:rPr>
                <w:rFonts w:eastAsia="Calibri" w:cs="Times New Roman"/>
                <w:szCs w:val="18"/>
              </w:rPr>
            </w:pPr>
            <w:r w:rsidRPr="00FB0A3A">
              <w:rPr>
                <w:rFonts w:eastAsia="Calibri" w:cs="Times New Roman"/>
                <w:szCs w:val="18"/>
              </w:rPr>
              <w:t>Проценты за кредит</w:t>
            </w:r>
          </w:p>
        </w:tc>
        <w:tc>
          <w:tcPr>
            <w:tcW w:w="822" w:type="pct"/>
            <w:hideMark/>
          </w:tcPr>
          <w:p w14:paraId="0DE10E96" w14:textId="77777777" w:rsidR="0080781D" w:rsidRPr="00FB0A3A" w:rsidRDefault="0080781D"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170 624,38</w:t>
            </w:r>
          </w:p>
        </w:tc>
        <w:tc>
          <w:tcPr>
            <w:tcW w:w="822" w:type="pct"/>
            <w:hideMark/>
          </w:tcPr>
          <w:p w14:paraId="0DF95295" w14:textId="77777777" w:rsidR="0080781D" w:rsidRPr="00FB0A3A" w:rsidRDefault="0080781D"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218 573,27</w:t>
            </w:r>
          </w:p>
        </w:tc>
        <w:tc>
          <w:tcPr>
            <w:tcW w:w="748" w:type="pct"/>
            <w:hideMark/>
          </w:tcPr>
          <w:p w14:paraId="30E1D98C" w14:textId="77777777" w:rsidR="0080781D" w:rsidRPr="00FB0A3A" w:rsidRDefault="0080781D"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218 573,27</w:t>
            </w:r>
          </w:p>
        </w:tc>
        <w:tc>
          <w:tcPr>
            <w:tcW w:w="717" w:type="pct"/>
            <w:hideMark/>
          </w:tcPr>
          <w:p w14:paraId="6363AB45" w14:textId="77777777" w:rsidR="0080781D" w:rsidRPr="00FB0A3A" w:rsidRDefault="0080781D"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0,0</w:t>
            </w:r>
          </w:p>
        </w:tc>
        <w:tc>
          <w:tcPr>
            <w:tcW w:w="0" w:type="auto"/>
            <w:hideMark/>
          </w:tcPr>
          <w:p w14:paraId="01AE66FD" w14:textId="77777777" w:rsidR="0080781D" w:rsidRPr="00FB0A3A" w:rsidRDefault="0080781D"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28,10</w:t>
            </w:r>
          </w:p>
        </w:tc>
      </w:tr>
      <w:tr w:rsidR="00D20107" w:rsidRPr="00FB0A3A" w14:paraId="12257B58" w14:textId="77777777" w:rsidTr="00D20107">
        <w:tc>
          <w:tcPr>
            <w:cnfStyle w:val="001000000000" w:firstRow="0" w:lastRow="0" w:firstColumn="1" w:lastColumn="0" w:oddVBand="0" w:evenVBand="0" w:oddHBand="0" w:evenHBand="0" w:firstRowFirstColumn="0" w:firstRowLastColumn="0" w:lastRowFirstColumn="0" w:lastRowLastColumn="0"/>
            <w:tcW w:w="0" w:type="auto"/>
            <w:hideMark/>
          </w:tcPr>
          <w:p w14:paraId="2B7EF85C" w14:textId="77777777" w:rsidR="0080781D" w:rsidRPr="00FB0A3A" w:rsidRDefault="0080781D" w:rsidP="00D20107">
            <w:pPr>
              <w:tabs>
                <w:tab w:val="left" w:pos="1134"/>
              </w:tabs>
              <w:rPr>
                <w:rFonts w:eastAsia="Calibri" w:cs="Times New Roman"/>
                <w:szCs w:val="18"/>
              </w:rPr>
            </w:pPr>
            <w:r w:rsidRPr="00FB0A3A">
              <w:rPr>
                <w:rFonts w:eastAsia="Calibri" w:cs="Times New Roman"/>
                <w:szCs w:val="18"/>
              </w:rPr>
              <w:t>Создание резерва по сомнительным долгам</w:t>
            </w:r>
          </w:p>
        </w:tc>
        <w:tc>
          <w:tcPr>
            <w:tcW w:w="822" w:type="pct"/>
            <w:hideMark/>
          </w:tcPr>
          <w:p w14:paraId="410AA096" w14:textId="77777777" w:rsidR="0080781D" w:rsidRPr="00FB0A3A" w:rsidRDefault="0080781D"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92 722,37</w:t>
            </w:r>
          </w:p>
        </w:tc>
        <w:tc>
          <w:tcPr>
            <w:tcW w:w="822" w:type="pct"/>
            <w:hideMark/>
          </w:tcPr>
          <w:p w14:paraId="4FBF790D" w14:textId="1640CD26" w:rsidR="0080781D" w:rsidRPr="00FB0A3A" w:rsidRDefault="00A76CAA"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1 318 122,26</w:t>
            </w:r>
          </w:p>
        </w:tc>
        <w:tc>
          <w:tcPr>
            <w:tcW w:w="748" w:type="pct"/>
            <w:hideMark/>
          </w:tcPr>
          <w:p w14:paraId="7F93CA66" w14:textId="77777777" w:rsidR="0080781D" w:rsidRPr="00FB0A3A" w:rsidRDefault="0080781D"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772 263,34</w:t>
            </w:r>
          </w:p>
        </w:tc>
        <w:tc>
          <w:tcPr>
            <w:tcW w:w="717" w:type="pct"/>
            <w:hideMark/>
          </w:tcPr>
          <w:p w14:paraId="63C8B3B9" w14:textId="77777777" w:rsidR="0080781D" w:rsidRPr="00FB0A3A" w:rsidRDefault="0080781D"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-40,6</w:t>
            </w:r>
          </w:p>
        </w:tc>
        <w:tc>
          <w:tcPr>
            <w:tcW w:w="0" w:type="auto"/>
            <w:hideMark/>
          </w:tcPr>
          <w:p w14:paraId="25A3A609" w14:textId="77777777" w:rsidR="0080781D" w:rsidRPr="00FB0A3A" w:rsidRDefault="0080781D"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732,88</w:t>
            </w:r>
          </w:p>
        </w:tc>
      </w:tr>
      <w:tr w:rsidR="00D20107" w:rsidRPr="00FB0A3A" w14:paraId="6370B5D3" w14:textId="77777777" w:rsidTr="00D20107">
        <w:tc>
          <w:tcPr>
            <w:cnfStyle w:val="001000000000" w:firstRow="0" w:lastRow="0" w:firstColumn="1" w:lastColumn="0" w:oddVBand="0" w:evenVBand="0" w:oddHBand="0" w:evenHBand="0" w:firstRowFirstColumn="0" w:firstRowLastColumn="0" w:lastRowFirstColumn="0" w:lastRowLastColumn="0"/>
            <w:tcW w:w="0" w:type="auto"/>
            <w:hideMark/>
          </w:tcPr>
          <w:p w14:paraId="42F98ACD" w14:textId="77777777" w:rsidR="0080781D" w:rsidRPr="00FB0A3A" w:rsidRDefault="0080781D" w:rsidP="00D20107">
            <w:pPr>
              <w:tabs>
                <w:tab w:val="left" w:pos="1134"/>
              </w:tabs>
              <w:rPr>
                <w:rFonts w:eastAsia="Calibri" w:cs="Times New Roman"/>
                <w:szCs w:val="18"/>
              </w:rPr>
            </w:pPr>
            <w:r w:rsidRPr="00FB0A3A">
              <w:rPr>
                <w:rFonts w:eastAsia="Calibri" w:cs="Times New Roman"/>
                <w:szCs w:val="18"/>
              </w:rPr>
              <w:t>Прибыль на капитальные вложения</w:t>
            </w:r>
          </w:p>
        </w:tc>
        <w:tc>
          <w:tcPr>
            <w:tcW w:w="822" w:type="pct"/>
            <w:hideMark/>
          </w:tcPr>
          <w:p w14:paraId="7A4EBE46" w14:textId="77777777" w:rsidR="0080781D" w:rsidRPr="00FB0A3A" w:rsidRDefault="0080781D"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310 000,00</w:t>
            </w:r>
          </w:p>
        </w:tc>
        <w:tc>
          <w:tcPr>
            <w:tcW w:w="822" w:type="pct"/>
            <w:hideMark/>
          </w:tcPr>
          <w:p w14:paraId="39E68189" w14:textId="77777777" w:rsidR="0080781D" w:rsidRPr="00FB0A3A" w:rsidRDefault="0080781D"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0,00</w:t>
            </w:r>
          </w:p>
        </w:tc>
        <w:tc>
          <w:tcPr>
            <w:tcW w:w="748" w:type="pct"/>
            <w:hideMark/>
          </w:tcPr>
          <w:p w14:paraId="5B043338" w14:textId="77777777" w:rsidR="0080781D" w:rsidRPr="00FB0A3A" w:rsidRDefault="0080781D"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0,00</w:t>
            </w:r>
          </w:p>
        </w:tc>
        <w:tc>
          <w:tcPr>
            <w:tcW w:w="717" w:type="pct"/>
            <w:hideMark/>
          </w:tcPr>
          <w:p w14:paraId="4B2DCC00" w14:textId="6465B5E0" w:rsidR="0080781D" w:rsidRPr="00FB0A3A" w:rsidRDefault="0080781D"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0" w:type="auto"/>
            <w:hideMark/>
          </w:tcPr>
          <w:p w14:paraId="36F801FA" w14:textId="77777777" w:rsidR="0080781D" w:rsidRPr="00FB0A3A" w:rsidRDefault="0080781D"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-100,00</w:t>
            </w:r>
          </w:p>
        </w:tc>
      </w:tr>
      <w:tr w:rsidR="00D20107" w:rsidRPr="00FB0A3A" w14:paraId="338032D4" w14:textId="77777777" w:rsidTr="00D20107">
        <w:tc>
          <w:tcPr>
            <w:cnfStyle w:val="001000000000" w:firstRow="0" w:lastRow="0" w:firstColumn="1" w:lastColumn="0" w:oddVBand="0" w:evenVBand="0" w:oddHBand="0" w:evenHBand="0" w:firstRowFirstColumn="0" w:firstRowLastColumn="0" w:lastRowFirstColumn="0" w:lastRowLastColumn="0"/>
            <w:tcW w:w="0" w:type="auto"/>
            <w:hideMark/>
          </w:tcPr>
          <w:p w14:paraId="75FC4FF8" w14:textId="77777777" w:rsidR="0080781D" w:rsidRPr="00FB0A3A" w:rsidRDefault="0080781D" w:rsidP="00D20107">
            <w:pPr>
              <w:tabs>
                <w:tab w:val="left" w:pos="1134"/>
              </w:tabs>
              <w:rPr>
                <w:rFonts w:eastAsia="Calibri" w:cs="Times New Roman"/>
                <w:szCs w:val="18"/>
              </w:rPr>
            </w:pPr>
            <w:r w:rsidRPr="00FB0A3A">
              <w:rPr>
                <w:rFonts w:eastAsia="Calibri" w:cs="Times New Roman"/>
                <w:szCs w:val="18"/>
              </w:rPr>
              <w:t>Финансовый результат и прочие доходы из прибыли</w:t>
            </w:r>
          </w:p>
        </w:tc>
        <w:tc>
          <w:tcPr>
            <w:tcW w:w="822" w:type="pct"/>
            <w:hideMark/>
          </w:tcPr>
          <w:p w14:paraId="6B94C1A5" w14:textId="77777777" w:rsidR="0080781D" w:rsidRPr="00FB0A3A" w:rsidRDefault="0080781D"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-39 736,13</w:t>
            </w:r>
          </w:p>
        </w:tc>
        <w:tc>
          <w:tcPr>
            <w:tcW w:w="822" w:type="pct"/>
            <w:hideMark/>
          </w:tcPr>
          <w:p w14:paraId="44D5CE27" w14:textId="77777777" w:rsidR="0080781D" w:rsidRPr="00FB0A3A" w:rsidRDefault="0080781D"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0,00</w:t>
            </w:r>
          </w:p>
        </w:tc>
        <w:tc>
          <w:tcPr>
            <w:tcW w:w="748" w:type="pct"/>
            <w:hideMark/>
          </w:tcPr>
          <w:p w14:paraId="595287B5" w14:textId="77777777" w:rsidR="0080781D" w:rsidRPr="00FB0A3A" w:rsidRDefault="0080781D"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0,00</w:t>
            </w:r>
          </w:p>
        </w:tc>
        <w:tc>
          <w:tcPr>
            <w:tcW w:w="717" w:type="pct"/>
            <w:hideMark/>
          </w:tcPr>
          <w:p w14:paraId="4E2D06EA" w14:textId="2CFF4970" w:rsidR="0080781D" w:rsidRPr="00FB0A3A" w:rsidRDefault="0080781D"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0" w:type="auto"/>
            <w:hideMark/>
          </w:tcPr>
          <w:p w14:paraId="306F28E2" w14:textId="77777777" w:rsidR="0080781D" w:rsidRPr="00FB0A3A" w:rsidRDefault="0080781D"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-100,00</w:t>
            </w:r>
          </w:p>
        </w:tc>
      </w:tr>
      <w:tr w:rsidR="00D20107" w:rsidRPr="00FB0A3A" w14:paraId="6C45E5D5" w14:textId="77777777" w:rsidTr="00D20107">
        <w:tc>
          <w:tcPr>
            <w:cnfStyle w:val="001000000000" w:firstRow="0" w:lastRow="0" w:firstColumn="1" w:lastColumn="0" w:oddVBand="0" w:evenVBand="0" w:oddHBand="0" w:evenHBand="0" w:firstRowFirstColumn="0" w:firstRowLastColumn="0" w:lastRowFirstColumn="0" w:lastRowLastColumn="0"/>
            <w:tcW w:w="0" w:type="auto"/>
            <w:hideMark/>
          </w:tcPr>
          <w:p w14:paraId="582AC8DA" w14:textId="77777777" w:rsidR="0080781D" w:rsidRPr="00FB0A3A" w:rsidRDefault="0080781D" w:rsidP="00D20107">
            <w:pPr>
              <w:tabs>
                <w:tab w:val="left" w:pos="1134"/>
              </w:tabs>
              <w:rPr>
                <w:rFonts w:eastAsia="Calibri" w:cs="Times New Roman"/>
                <w:b/>
                <w:szCs w:val="18"/>
              </w:rPr>
            </w:pPr>
            <w:r w:rsidRPr="00FB0A3A">
              <w:rPr>
                <w:rFonts w:eastAsia="Calibri" w:cs="Times New Roman"/>
                <w:b/>
                <w:szCs w:val="18"/>
              </w:rPr>
              <w:t>ИТОГО Неподконтрольные расходы</w:t>
            </w:r>
          </w:p>
        </w:tc>
        <w:tc>
          <w:tcPr>
            <w:tcW w:w="822" w:type="pct"/>
            <w:hideMark/>
          </w:tcPr>
          <w:p w14:paraId="7C684B3A" w14:textId="77777777" w:rsidR="0080781D" w:rsidRPr="00FB0A3A" w:rsidRDefault="0080781D"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r w:rsidRPr="00FB0A3A">
              <w:rPr>
                <w:rFonts w:eastAsia="Calibri" w:cs="Times New Roman"/>
                <w:b/>
                <w:szCs w:val="18"/>
              </w:rPr>
              <w:t>1 252 229,55</w:t>
            </w:r>
          </w:p>
        </w:tc>
        <w:tc>
          <w:tcPr>
            <w:tcW w:w="822" w:type="pct"/>
            <w:hideMark/>
          </w:tcPr>
          <w:p w14:paraId="481AEFD3" w14:textId="4D3E9DDB" w:rsidR="0080781D" w:rsidRPr="00FB0A3A" w:rsidRDefault="00A76CAA"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r w:rsidRPr="00FB0A3A">
              <w:rPr>
                <w:rFonts w:eastAsia="Calibri" w:cs="Times New Roman"/>
                <w:b/>
                <w:szCs w:val="18"/>
              </w:rPr>
              <w:t>2 490 208,46</w:t>
            </w:r>
          </w:p>
        </w:tc>
        <w:tc>
          <w:tcPr>
            <w:tcW w:w="748" w:type="pct"/>
            <w:hideMark/>
          </w:tcPr>
          <w:p w14:paraId="4C6F3FF4" w14:textId="77777777" w:rsidR="0080781D" w:rsidRPr="00FB0A3A" w:rsidRDefault="0080781D"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r w:rsidRPr="00FB0A3A">
              <w:rPr>
                <w:rFonts w:eastAsia="Calibri" w:cs="Times New Roman"/>
                <w:b/>
                <w:szCs w:val="18"/>
              </w:rPr>
              <w:t>1 983 350,17</w:t>
            </w:r>
          </w:p>
        </w:tc>
        <w:tc>
          <w:tcPr>
            <w:tcW w:w="717" w:type="pct"/>
            <w:hideMark/>
          </w:tcPr>
          <w:p w14:paraId="62F5465C" w14:textId="77777777" w:rsidR="0080781D" w:rsidRPr="00FB0A3A" w:rsidRDefault="0080781D"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r w:rsidRPr="00FB0A3A">
              <w:rPr>
                <w:rFonts w:eastAsia="Calibri" w:cs="Times New Roman"/>
                <w:b/>
                <w:szCs w:val="18"/>
              </w:rPr>
              <w:t>-22,8</w:t>
            </w:r>
          </w:p>
        </w:tc>
        <w:tc>
          <w:tcPr>
            <w:tcW w:w="0" w:type="auto"/>
            <w:hideMark/>
          </w:tcPr>
          <w:p w14:paraId="769925A3" w14:textId="77777777" w:rsidR="0080781D" w:rsidRPr="00FB0A3A" w:rsidRDefault="0080781D"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r w:rsidRPr="00FB0A3A">
              <w:rPr>
                <w:rFonts w:eastAsia="Calibri" w:cs="Times New Roman"/>
                <w:b/>
                <w:szCs w:val="18"/>
              </w:rPr>
              <w:t>58,39</w:t>
            </w:r>
          </w:p>
        </w:tc>
      </w:tr>
    </w:tbl>
    <w:p w14:paraId="56CC45DE" w14:textId="24731141" w:rsidR="0080781D" w:rsidRPr="00FB0A3A" w:rsidRDefault="0080781D" w:rsidP="00A31747">
      <w:pPr>
        <w:tabs>
          <w:tab w:val="left" w:pos="1134"/>
        </w:tabs>
        <w:spacing w:after="0" w:line="360" w:lineRule="auto"/>
        <w:ind w:firstLine="567"/>
        <w:contextualSpacing/>
        <w:jc w:val="both"/>
        <w:rPr>
          <w:rFonts w:ascii="Myriad Pro" w:eastAsia="Calibri" w:hAnsi="Myriad Pro" w:cs="Times New Roman"/>
          <w:sz w:val="26"/>
          <w:szCs w:val="26"/>
        </w:rPr>
      </w:pPr>
    </w:p>
    <w:p w14:paraId="0C17E9B7" w14:textId="77777777" w:rsidR="002F115E" w:rsidRDefault="002F115E" w:rsidP="008E15A7">
      <w:pPr>
        <w:pStyle w:val="3"/>
        <w:numPr>
          <w:ilvl w:val="1"/>
          <w:numId w:val="67"/>
        </w:numPr>
        <w:spacing w:line="360" w:lineRule="auto"/>
        <w:jc w:val="both"/>
        <w:rPr>
          <w:rFonts w:ascii="Myriad Pro" w:hAnsi="Myriad Pro"/>
          <w:b/>
          <w:color w:val="4F6228" w:themeColor="accent3" w:themeShade="80"/>
          <w:sz w:val="28"/>
          <w:szCs w:val="28"/>
        </w:rPr>
        <w:sectPr w:rsidR="002F115E" w:rsidSect="00FB0A3A">
          <w:pgSz w:w="11906" w:h="16838"/>
          <w:pgMar w:top="1134" w:right="851" w:bottom="1134" w:left="1701" w:header="708" w:footer="708" w:gutter="0"/>
          <w:cols w:space="708"/>
          <w:docGrid w:linePitch="360"/>
        </w:sectPr>
      </w:pPr>
    </w:p>
    <w:p w14:paraId="6CB13825" w14:textId="4B04A417" w:rsidR="00457D12" w:rsidRPr="002D6C17" w:rsidRDefault="008E15A7" w:rsidP="008E15A7">
      <w:pPr>
        <w:pStyle w:val="3"/>
        <w:numPr>
          <w:ilvl w:val="1"/>
          <w:numId w:val="67"/>
        </w:numPr>
        <w:spacing w:line="360" w:lineRule="auto"/>
        <w:jc w:val="both"/>
        <w:rPr>
          <w:rFonts w:ascii="Myriad Pro" w:hAnsi="Myriad Pro"/>
          <w:b/>
          <w:color w:val="4F6228" w:themeColor="accent3" w:themeShade="80"/>
          <w:sz w:val="28"/>
          <w:szCs w:val="28"/>
        </w:rPr>
      </w:pPr>
      <w:r>
        <w:rPr>
          <w:rFonts w:ascii="Myriad Pro" w:hAnsi="Myriad Pro"/>
          <w:b/>
          <w:color w:val="4F6228" w:themeColor="accent3" w:themeShade="80"/>
          <w:sz w:val="28"/>
          <w:szCs w:val="28"/>
        </w:rPr>
        <w:lastRenderedPageBreak/>
        <w:t xml:space="preserve"> </w:t>
      </w:r>
      <w:bookmarkStart w:id="54" w:name="_Toc40797963"/>
      <w:r w:rsidR="007C5A6E" w:rsidRPr="002D6C17">
        <w:rPr>
          <w:rFonts w:ascii="Myriad Pro" w:hAnsi="Myriad Pro"/>
          <w:b/>
          <w:color w:val="4F6228" w:themeColor="accent3" w:themeShade="80"/>
          <w:sz w:val="28"/>
          <w:szCs w:val="28"/>
        </w:rPr>
        <w:t xml:space="preserve">Оплата услуг ПАО </w:t>
      </w:r>
      <w:r w:rsidR="00655FFA" w:rsidRPr="002D6C17">
        <w:rPr>
          <w:rFonts w:ascii="Myriad Pro" w:hAnsi="Myriad Pro"/>
          <w:b/>
          <w:color w:val="4F6228" w:themeColor="accent3" w:themeShade="80"/>
          <w:sz w:val="28"/>
          <w:szCs w:val="28"/>
        </w:rPr>
        <w:t>«</w:t>
      </w:r>
      <w:r w:rsidR="007C5A6E" w:rsidRPr="002D6C17">
        <w:rPr>
          <w:rFonts w:ascii="Myriad Pro" w:hAnsi="Myriad Pro"/>
          <w:b/>
          <w:color w:val="4F6228" w:themeColor="accent3" w:themeShade="80"/>
          <w:sz w:val="28"/>
          <w:szCs w:val="28"/>
        </w:rPr>
        <w:t>ФСК ЕЭС</w:t>
      </w:r>
      <w:r w:rsidR="00655FFA" w:rsidRPr="002D6C17">
        <w:rPr>
          <w:rFonts w:ascii="Myriad Pro" w:hAnsi="Myriad Pro"/>
          <w:b/>
          <w:color w:val="4F6228" w:themeColor="accent3" w:themeShade="80"/>
          <w:sz w:val="28"/>
          <w:szCs w:val="28"/>
        </w:rPr>
        <w:t>»</w:t>
      </w:r>
      <w:bookmarkEnd w:id="54"/>
    </w:p>
    <w:p w14:paraId="0D9D96F3" w14:textId="77777777" w:rsidR="001372A0" w:rsidRDefault="001372A0" w:rsidP="00D20107">
      <w:pPr>
        <w:tabs>
          <w:tab w:val="left" w:pos="1134"/>
        </w:tabs>
        <w:spacing w:after="0" w:line="360" w:lineRule="auto"/>
        <w:contextualSpacing/>
        <w:jc w:val="both"/>
        <w:rPr>
          <w:rFonts w:ascii="Myriad Pro" w:eastAsia="Calibri" w:hAnsi="Myriad Pro" w:cs="Times New Roman"/>
          <w:b/>
          <w:sz w:val="26"/>
          <w:szCs w:val="26"/>
        </w:rPr>
      </w:pPr>
    </w:p>
    <w:p w14:paraId="06C38580" w14:textId="46CEFBC5" w:rsidR="003B1FD2" w:rsidRPr="00FB0A3A" w:rsidRDefault="003B1FD2" w:rsidP="00D20107">
      <w:pPr>
        <w:tabs>
          <w:tab w:val="left" w:pos="1134"/>
        </w:tabs>
        <w:spacing w:after="0" w:line="360" w:lineRule="auto"/>
        <w:contextualSpacing/>
        <w:jc w:val="both"/>
        <w:rPr>
          <w:rFonts w:ascii="Myriad Pro" w:eastAsia="Calibri" w:hAnsi="Myriad Pro" w:cs="Times New Roman"/>
          <w:b/>
          <w:sz w:val="26"/>
          <w:szCs w:val="26"/>
        </w:rPr>
      </w:pPr>
      <w:r w:rsidRPr="00FB0A3A">
        <w:rPr>
          <w:rFonts w:ascii="Myriad Pro" w:eastAsia="Calibri" w:hAnsi="Myriad Pro" w:cs="Times New Roman"/>
          <w:b/>
          <w:sz w:val="26"/>
          <w:szCs w:val="26"/>
        </w:rPr>
        <w:t>ПОЗИЦИЯ ТЕРРИТОРИАЛЬНОЙ СЕТЕВОЙ ОРГАНИЗАЦИИ</w:t>
      </w:r>
    </w:p>
    <w:p w14:paraId="4F597E3E" w14:textId="2E7A7002" w:rsidR="00F0088B" w:rsidRPr="00FB0A3A" w:rsidRDefault="00F0088B" w:rsidP="00A31747">
      <w:pPr>
        <w:tabs>
          <w:tab w:val="left" w:pos="1134"/>
        </w:tabs>
        <w:spacing w:after="0" w:line="360" w:lineRule="auto"/>
        <w:ind w:firstLine="567"/>
        <w:jc w:val="both"/>
        <w:rPr>
          <w:rFonts w:ascii="Myriad Pro" w:eastAsia="Calibri" w:hAnsi="Myriad Pro" w:cs="Times New Roman"/>
          <w:sz w:val="26"/>
          <w:szCs w:val="26"/>
        </w:rPr>
      </w:pPr>
      <w:r w:rsidRPr="00FB0A3A">
        <w:rPr>
          <w:rFonts w:ascii="Myriad Pro" w:eastAsia="Calibri" w:hAnsi="Myriad Pro" w:cs="Times New Roman"/>
          <w:sz w:val="26"/>
          <w:szCs w:val="26"/>
        </w:rPr>
        <w:t xml:space="preserve">В составе предложения по установлению тарифов на 2019 год филиалом </w:t>
      </w:r>
      <w:r w:rsidR="00350B0A" w:rsidRPr="00FB0A3A">
        <w:rPr>
          <w:rFonts w:ascii="Myriad Pro" w:eastAsia="Calibri" w:hAnsi="Myriad Pro" w:cs="Times New Roman"/>
          <w:sz w:val="26"/>
          <w:szCs w:val="26"/>
        </w:rPr>
        <w:t>ПАО</w:t>
      </w:r>
      <w:r w:rsidR="009808E8">
        <w:rPr>
          <w:rFonts w:ascii="Myriad Pro" w:eastAsia="Calibri" w:hAnsi="Myriad Pro" w:cs="Times New Roman"/>
          <w:sz w:val="26"/>
          <w:szCs w:val="26"/>
        </w:rPr>
        <w:t> </w:t>
      </w:r>
      <w:r w:rsidR="00655FFA" w:rsidRPr="00FB0A3A">
        <w:rPr>
          <w:rFonts w:ascii="Myriad Pro" w:eastAsia="Calibri" w:hAnsi="Myriad Pro" w:cs="Times New Roman"/>
          <w:sz w:val="26"/>
          <w:szCs w:val="26"/>
        </w:rPr>
        <w:t>«</w:t>
      </w:r>
      <w:r w:rsidR="00350B0A" w:rsidRPr="00FB0A3A">
        <w:rPr>
          <w:rFonts w:ascii="Myriad Pro" w:eastAsia="Calibri" w:hAnsi="Myriad Pro" w:cs="Times New Roman"/>
          <w:sz w:val="26"/>
          <w:szCs w:val="26"/>
        </w:rPr>
        <w:t>МРСК Северо-Запада</w:t>
      </w:r>
      <w:r w:rsidR="00655FFA" w:rsidRPr="00FB0A3A">
        <w:rPr>
          <w:rFonts w:ascii="Myriad Pro" w:eastAsia="Calibri" w:hAnsi="Myriad Pro" w:cs="Times New Roman"/>
          <w:sz w:val="26"/>
          <w:szCs w:val="26"/>
        </w:rPr>
        <w:t>»</w:t>
      </w:r>
      <w:r w:rsidR="00350B0A" w:rsidRPr="00FB0A3A">
        <w:rPr>
          <w:rFonts w:ascii="Myriad Pro" w:eastAsia="Calibri" w:hAnsi="Myriad Pro" w:cs="Times New Roman"/>
          <w:sz w:val="26"/>
          <w:szCs w:val="26"/>
        </w:rPr>
        <w:t xml:space="preserve"> </w:t>
      </w:r>
      <w:r w:rsidR="00655FFA" w:rsidRPr="00FB0A3A">
        <w:rPr>
          <w:rFonts w:ascii="Myriad Pro" w:eastAsia="Calibri" w:hAnsi="Myriad Pro" w:cs="Times New Roman"/>
          <w:sz w:val="26"/>
          <w:szCs w:val="26"/>
        </w:rPr>
        <w:t>«</w:t>
      </w:r>
      <w:r w:rsidR="00350B0A" w:rsidRPr="00FB0A3A">
        <w:rPr>
          <w:rFonts w:ascii="Myriad Pro" w:eastAsia="Calibri" w:hAnsi="Myriad Pro" w:cs="Times New Roman"/>
          <w:sz w:val="26"/>
          <w:szCs w:val="26"/>
        </w:rPr>
        <w:t>Колэнерго</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 xml:space="preserve"> (28.04.2018) были заявлены расходы на оплату услуг ПАО </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ФСК ЕЭС</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 xml:space="preserve"> </w:t>
      </w:r>
      <w:r w:rsidR="00E663D3">
        <w:rPr>
          <w:rFonts w:ascii="Myriad Pro" w:eastAsia="Calibri" w:hAnsi="Myriad Pro" w:cs="Times New Roman"/>
          <w:sz w:val="26"/>
          <w:szCs w:val="26"/>
        </w:rPr>
        <w:t>в размере</w:t>
      </w:r>
      <w:r w:rsidRPr="00FB0A3A">
        <w:rPr>
          <w:rFonts w:ascii="Myriad Pro" w:eastAsia="Calibri" w:hAnsi="Myriad Pro" w:cs="Times New Roman"/>
          <w:sz w:val="26"/>
          <w:szCs w:val="26"/>
        </w:rPr>
        <w:t xml:space="preserve"> 2 507 399,48 тыс. руб. исходя из объема заявленной мощности 1023,12 МВт в 1-ом полугодии 2019 и 986,24 МВт во 2-ом полугодии 2019 г. и объема потерь в сетях ЕНЭС 127 565 МВт</w:t>
      </w:r>
      <w:r w:rsidR="00EF279D" w:rsidRPr="00FB0A3A">
        <w:rPr>
          <w:rFonts w:ascii="Myriad Pro" w:eastAsia="Calibri" w:hAnsi="Myriad Pro" w:cs="Times New Roman"/>
          <w:sz w:val="26"/>
          <w:szCs w:val="26"/>
        </w:rPr>
        <w:t>*</w:t>
      </w:r>
      <w:r w:rsidRPr="00FB0A3A">
        <w:rPr>
          <w:rFonts w:ascii="Myriad Pro" w:eastAsia="Calibri" w:hAnsi="Myriad Pro" w:cs="Times New Roman"/>
          <w:sz w:val="26"/>
          <w:szCs w:val="26"/>
        </w:rPr>
        <w:t>ч в 1-ом полугодии 2019 и 107 944 МВт</w:t>
      </w:r>
      <w:r w:rsidR="00EF279D" w:rsidRPr="00FB0A3A">
        <w:rPr>
          <w:rFonts w:ascii="Myriad Pro" w:eastAsia="Calibri" w:hAnsi="Myriad Pro" w:cs="Times New Roman"/>
          <w:sz w:val="26"/>
          <w:szCs w:val="26"/>
        </w:rPr>
        <w:t>*</w:t>
      </w:r>
      <w:r w:rsidRPr="00FB0A3A">
        <w:rPr>
          <w:rFonts w:ascii="Myriad Pro" w:eastAsia="Calibri" w:hAnsi="Myriad Pro" w:cs="Times New Roman"/>
          <w:sz w:val="26"/>
          <w:szCs w:val="26"/>
        </w:rPr>
        <w:t>ч во 2-ом полугодии 2019 г.</w:t>
      </w:r>
    </w:p>
    <w:p w14:paraId="374CFBAC" w14:textId="6A3BF136" w:rsidR="00F0088B" w:rsidRPr="00FB0A3A" w:rsidRDefault="00F0088B" w:rsidP="00A31747">
      <w:pPr>
        <w:tabs>
          <w:tab w:val="left" w:pos="1134"/>
        </w:tabs>
        <w:spacing w:after="0" w:line="360" w:lineRule="auto"/>
        <w:ind w:firstLine="567"/>
        <w:jc w:val="both"/>
        <w:rPr>
          <w:rFonts w:ascii="Myriad Pro" w:eastAsia="Calibri" w:hAnsi="Myriad Pro" w:cs="Times New Roman"/>
          <w:sz w:val="26"/>
          <w:szCs w:val="26"/>
        </w:rPr>
      </w:pPr>
      <w:r w:rsidRPr="00FB0A3A">
        <w:rPr>
          <w:rFonts w:ascii="Myriad Pro" w:eastAsia="Calibri" w:hAnsi="Myriad Pro" w:cs="Times New Roman"/>
          <w:sz w:val="26"/>
          <w:szCs w:val="26"/>
        </w:rPr>
        <w:t xml:space="preserve">При расчете платы услуг ФСК тарифы были приняты в соответствии с приказом ФАС России от 19.12.2017 г. № 1748/17 </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О внесении изменений в приложение № 1 и приложение № 2 к приказу ФСТ России № 297-э/3 от 9 декабря 2014 года</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w:t>
      </w:r>
    </w:p>
    <w:p w14:paraId="1F5FC596" w14:textId="6D0B9961" w:rsidR="00F0088B" w:rsidRPr="00FB0A3A" w:rsidRDefault="00F0088B" w:rsidP="00A31747">
      <w:pPr>
        <w:tabs>
          <w:tab w:val="left" w:pos="1134"/>
        </w:tabs>
        <w:spacing w:after="0" w:line="360" w:lineRule="auto"/>
        <w:ind w:firstLine="567"/>
        <w:jc w:val="both"/>
        <w:rPr>
          <w:rFonts w:ascii="Myriad Pro" w:eastAsia="Calibri" w:hAnsi="Myriad Pro" w:cs="Times New Roman"/>
          <w:sz w:val="26"/>
          <w:szCs w:val="26"/>
        </w:rPr>
      </w:pPr>
      <w:r w:rsidRPr="00FB0A3A">
        <w:rPr>
          <w:rFonts w:ascii="Myriad Pro" w:eastAsia="Calibri" w:hAnsi="Myriad Pro" w:cs="Times New Roman"/>
          <w:sz w:val="26"/>
          <w:szCs w:val="26"/>
        </w:rPr>
        <w:t>Ставки на услуги по передаче электрической энергии на содержание в 2019 г. – с 1 января по 30 июня 2019 г. – 173 164,15 руб./ МВт*в мес., с 1 июля 178 402,53 руб./ МВт*в мес., расчетная ставка на оплату нормативных технологических потерь на 2019 год – 1 650,54 руб./МВт</w:t>
      </w:r>
      <w:r w:rsidR="00EF279D" w:rsidRPr="00FB0A3A">
        <w:rPr>
          <w:rFonts w:ascii="Myriad Pro" w:eastAsia="Calibri" w:hAnsi="Myriad Pro" w:cs="Times New Roman"/>
          <w:sz w:val="26"/>
          <w:szCs w:val="26"/>
        </w:rPr>
        <w:t>*</w:t>
      </w:r>
      <w:r w:rsidRPr="00FB0A3A">
        <w:rPr>
          <w:rFonts w:ascii="Myriad Pro" w:eastAsia="Calibri" w:hAnsi="Myriad Pro" w:cs="Times New Roman"/>
          <w:sz w:val="26"/>
          <w:szCs w:val="26"/>
        </w:rPr>
        <w:t xml:space="preserve">ч. </w:t>
      </w:r>
    </w:p>
    <w:p w14:paraId="382BC5A3" w14:textId="6CC5C4B1" w:rsidR="00F0088B" w:rsidRPr="00FB0A3A" w:rsidRDefault="00F0088B" w:rsidP="00A31747">
      <w:pPr>
        <w:tabs>
          <w:tab w:val="left" w:pos="1134"/>
        </w:tabs>
        <w:spacing w:after="0" w:line="360" w:lineRule="auto"/>
        <w:ind w:firstLine="567"/>
        <w:jc w:val="both"/>
        <w:rPr>
          <w:rFonts w:ascii="Myriad Pro" w:eastAsia="Calibri" w:hAnsi="Myriad Pro" w:cs="Times New Roman"/>
          <w:sz w:val="26"/>
          <w:szCs w:val="26"/>
        </w:rPr>
      </w:pPr>
      <w:r w:rsidRPr="00FB0A3A">
        <w:rPr>
          <w:rFonts w:ascii="Myriad Pro" w:eastAsia="Calibri" w:hAnsi="Myriad Pro" w:cs="Times New Roman"/>
          <w:sz w:val="26"/>
          <w:szCs w:val="26"/>
        </w:rPr>
        <w:t xml:space="preserve">Заявленная мощность услуг ПАО </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ФСК ЕЭС</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 xml:space="preserve"> на 2019 год запланирована в соответствии с графиком на 2017-2023 гг. поэтапного снижения заявленной мощности дочерних обществ ПАО </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Россети</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 xml:space="preserve"> до уровня фактической мощности. </w:t>
      </w:r>
    </w:p>
    <w:p w14:paraId="65AD65DC" w14:textId="4ED142B9" w:rsidR="00F0088B" w:rsidRPr="00FB0A3A" w:rsidRDefault="00F0088B" w:rsidP="00A31747">
      <w:pPr>
        <w:tabs>
          <w:tab w:val="left" w:pos="1134"/>
        </w:tabs>
        <w:spacing w:after="0" w:line="360" w:lineRule="auto"/>
        <w:ind w:firstLine="567"/>
        <w:jc w:val="both"/>
        <w:rPr>
          <w:rFonts w:ascii="Myriad Pro" w:eastAsia="Calibri" w:hAnsi="Myriad Pro" w:cs="Times New Roman"/>
          <w:sz w:val="26"/>
          <w:szCs w:val="26"/>
        </w:rPr>
      </w:pPr>
      <w:r w:rsidRPr="00FB0A3A">
        <w:rPr>
          <w:rFonts w:ascii="Myriad Pro" w:eastAsia="Calibri" w:hAnsi="Myriad Pro" w:cs="Times New Roman"/>
          <w:sz w:val="26"/>
          <w:szCs w:val="26"/>
        </w:rPr>
        <w:t xml:space="preserve">Потери в сетях ЕНЭС - расчетная величина.  Объём потерь сформирован на основании утвержденных для ПАО </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ФСК ЕЭС</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 xml:space="preserve"> на 2018 г. нормативов потерь в сетях 330 кВ и выше и в сетях 220 кВ и ниже по Мурманской области, с учетом данных за 2017 г. по объему отпуска э/э из ЕНЭС в сетях 330 кВ и выше и в сетях 220 кВ и ниже, в соответствии с заявкой ФСК.</w:t>
      </w:r>
    </w:p>
    <w:p w14:paraId="4829987E" w14:textId="77777777" w:rsidR="00F0088B" w:rsidRPr="00FB0A3A" w:rsidRDefault="00F0088B" w:rsidP="00A31747">
      <w:pPr>
        <w:tabs>
          <w:tab w:val="left" w:pos="1134"/>
        </w:tabs>
        <w:spacing w:after="0" w:line="360" w:lineRule="auto"/>
        <w:ind w:firstLine="567"/>
        <w:jc w:val="both"/>
        <w:rPr>
          <w:rFonts w:ascii="Myriad Pro" w:eastAsia="Calibri" w:hAnsi="Myriad Pro" w:cs="Times New Roman"/>
          <w:sz w:val="26"/>
          <w:szCs w:val="26"/>
        </w:rPr>
      </w:pPr>
      <w:r w:rsidRPr="00FB0A3A">
        <w:rPr>
          <w:rFonts w:ascii="Myriad Pro" w:eastAsia="Calibri" w:hAnsi="Myriad Pro" w:cs="Times New Roman"/>
          <w:sz w:val="26"/>
          <w:szCs w:val="26"/>
        </w:rPr>
        <w:t>В обоснование заявленной суммы расходов были предоставлены следующие документы:</w:t>
      </w:r>
    </w:p>
    <w:p w14:paraId="7ECBF602" w14:textId="136EC623" w:rsidR="00F0088B" w:rsidRPr="00FB0A3A" w:rsidRDefault="00F0088B" w:rsidP="009B0BC1">
      <w:pPr>
        <w:pStyle w:val="a4"/>
        <w:numPr>
          <w:ilvl w:val="0"/>
          <w:numId w:val="9"/>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 xml:space="preserve">Расчет платы ПАО </w:t>
      </w:r>
      <w:r w:rsidR="00655FFA" w:rsidRPr="00FB0A3A">
        <w:rPr>
          <w:rFonts w:ascii="Myriad Pro" w:hAnsi="Myriad Pro"/>
          <w:sz w:val="26"/>
          <w:szCs w:val="26"/>
        </w:rPr>
        <w:t>«</w:t>
      </w:r>
      <w:r w:rsidR="00F50BAF" w:rsidRPr="00FB0A3A">
        <w:rPr>
          <w:rFonts w:ascii="Myriad Pro" w:hAnsi="Myriad Pro"/>
          <w:sz w:val="26"/>
          <w:szCs w:val="26"/>
        </w:rPr>
        <w:t>ФСК ЕЭС</w:t>
      </w:r>
      <w:r w:rsidR="00655FFA" w:rsidRPr="00FB0A3A">
        <w:rPr>
          <w:rFonts w:ascii="Myriad Pro" w:hAnsi="Myriad Pro"/>
          <w:sz w:val="26"/>
          <w:szCs w:val="26"/>
        </w:rPr>
        <w:t>»</w:t>
      </w:r>
      <w:r w:rsidRPr="00FB0A3A">
        <w:rPr>
          <w:rFonts w:ascii="Myriad Pro" w:hAnsi="Myriad Pro"/>
          <w:sz w:val="26"/>
          <w:szCs w:val="26"/>
        </w:rPr>
        <w:t xml:space="preserve"> с указанием фактических расходов за 2017 г., ожидаемые расходы в 2018 г. и плановые расходы на 2019-2023 гг.;</w:t>
      </w:r>
    </w:p>
    <w:p w14:paraId="71A99B91" w14:textId="3837C01E" w:rsidR="00F0088B" w:rsidRPr="00FB0A3A" w:rsidRDefault="00F0088B" w:rsidP="009B0BC1">
      <w:pPr>
        <w:pStyle w:val="a4"/>
        <w:numPr>
          <w:ilvl w:val="0"/>
          <w:numId w:val="9"/>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 xml:space="preserve">Договор от 25.01.20 12 №573/П оказания услуг по передаче электрической энергии по единой национальной (общероссийской) </w:t>
      </w:r>
      <w:r w:rsidRPr="00FB0A3A">
        <w:rPr>
          <w:rFonts w:ascii="Myriad Pro" w:hAnsi="Myriad Pro"/>
          <w:sz w:val="26"/>
          <w:szCs w:val="26"/>
        </w:rPr>
        <w:lastRenderedPageBreak/>
        <w:t xml:space="preserve">электрической сети, заключенный с ПАО </w:t>
      </w:r>
      <w:r w:rsidR="00655FFA" w:rsidRPr="00FB0A3A">
        <w:rPr>
          <w:rFonts w:ascii="Myriad Pro" w:hAnsi="Myriad Pro"/>
          <w:sz w:val="26"/>
          <w:szCs w:val="26"/>
        </w:rPr>
        <w:t>«</w:t>
      </w:r>
      <w:r w:rsidRPr="00FB0A3A">
        <w:rPr>
          <w:rFonts w:ascii="Myriad Pro" w:hAnsi="Myriad Pro"/>
          <w:sz w:val="26"/>
          <w:szCs w:val="26"/>
        </w:rPr>
        <w:t>ФСК ЕАС</w:t>
      </w:r>
      <w:r w:rsidR="00655FFA" w:rsidRPr="00FB0A3A">
        <w:rPr>
          <w:rFonts w:ascii="Myriad Pro" w:hAnsi="Myriad Pro"/>
          <w:sz w:val="26"/>
          <w:szCs w:val="26"/>
        </w:rPr>
        <w:t>»</w:t>
      </w:r>
      <w:r w:rsidRPr="00FB0A3A">
        <w:rPr>
          <w:rFonts w:ascii="Myriad Pro" w:hAnsi="Myriad Pro"/>
          <w:sz w:val="26"/>
          <w:szCs w:val="26"/>
        </w:rPr>
        <w:t xml:space="preserve"> с приложениями и дополнительными соглашениями;</w:t>
      </w:r>
    </w:p>
    <w:p w14:paraId="12C1F8CC" w14:textId="77777777" w:rsidR="00F0088B" w:rsidRPr="00FB0A3A" w:rsidRDefault="00F0088B" w:rsidP="009B0BC1">
      <w:pPr>
        <w:pStyle w:val="a4"/>
        <w:numPr>
          <w:ilvl w:val="0"/>
          <w:numId w:val="9"/>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Акты оказания услуг по передаче электрической энергии за период январь-декабрь 2017 (отдельно за каждый месяц);</w:t>
      </w:r>
    </w:p>
    <w:p w14:paraId="36726BF9" w14:textId="49DE310B" w:rsidR="00F0088B" w:rsidRPr="00FB0A3A" w:rsidRDefault="00F0088B" w:rsidP="009B0BC1">
      <w:pPr>
        <w:pStyle w:val="a4"/>
        <w:numPr>
          <w:ilvl w:val="0"/>
          <w:numId w:val="9"/>
        </w:numPr>
        <w:tabs>
          <w:tab w:val="left" w:pos="1134"/>
        </w:tabs>
        <w:spacing w:after="200" w:line="360" w:lineRule="auto"/>
        <w:ind w:left="0" w:firstLine="567"/>
        <w:contextualSpacing w:val="0"/>
        <w:jc w:val="both"/>
        <w:rPr>
          <w:rFonts w:ascii="Myriad Pro" w:hAnsi="Myriad Pro"/>
          <w:sz w:val="26"/>
          <w:szCs w:val="26"/>
        </w:rPr>
      </w:pPr>
      <w:r w:rsidRPr="00FB0A3A">
        <w:rPr>
          <w:rFonts w:ascii="Myriad Pro" w:hAnsi="Myriad Pro"/>
          <w:sz w:val="26"/>
          <w:szCs w:val="26"/>
        </w:rPr>
        <w:t xml:space="preserve">Анализ счета 20 </w:t>
      </w:r>
      <w:r w:rsidR="00655FFA" w:rsidRPr="00FB0A3A">
        <w:rPr>
          <w:rFonts w:ascii="Myriad Pro" w:hAnsi="Myriad Pro"/>
          <w:sz w:val="26"/>
          <w:szCs w:val="26"/>
        </w:rPr>
        <w:t>«</w:t>
      </w:r>
      <w:r w:rsidRPr="00FB0A3A">
        <w:rPr>
          <w:rFonts w:ascii="Myriad Pro" w:hAnsi="Myriad Pro"/>
          <w:sz w:val="26"/>
          <w:szCs w:val="26"/>
        </w:rPr>
        <w:t>Основное производство</w:t>
      </w:r>
      <w:r w:rsidR="00655FFA" w:rsidRPr="00FB0A3A">
        <w:rPr>
          <w:rFonts w:ascii="Myriad Pro" w:hAnsi="Myriad Pro"/>
          <w:sz w:val="26"/>
          <w:szCs w:val="26"/>
        </w:rPr>
        <w:t>»</w:t>
      </w:r>
      <w:r w:rsidRPr="00FB0A3A">
        <w:rPr>
          <w:rFonts w:ascii="Myriad Pro" w:hAnsi="Myriad Pro"/>
          <w:sz w:val="26"/>
          <w:szCs w:val="26"/>
        </w:rPr>
        <w:t xml:space="preserve"> за 2017 год</w:t>
      </w:r>
      <w:r w:rsidR="004F6496" w:rsidRPr="00FB0A3A">
        <w:rPr>
          <w:rFonts w:ascii="Myriad Pro" w:hAnsi="Myriad Pro"/>
          <w:sz w:val="26"/>
          <w:szCs w:val="26"/>
        </w:rPr>
        <w:t>.</w:t>
      </w:r>
    </w:p>
    <w:tbl>
      <w:tblPr>
        <w:tblStyle w:val="afff6"/>
        <w:tblW w:w="5000" w:type="pct"/>
        <w:tblLook w:val="04A0" w:firstRow="1" w:lastRow="0" w:firstColumn="1" w:lastColumn="0" w:noHBand="0" w:noVBand="1"/>
      </w:tblPr>
      <w:tblGrid>
        <w:gridCol w:w="2223"/>
        <w:gridCol w:w="1355"/>
        <w:gridCol w:w="2003"/>
        <w:gridCol w:w="1478"/>
        <w:gridCol w:w="1273"/>
        <w:gridCol w:w="1012"/>
      </w:tblGrid>
      <w:tr w:rsidR="00D20107" w:rsidRPr="00FB0A3A" w14:paraId="38F4D5F2" w14:textId="77777777" w:rsidTr="002267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5EA4FC55" w14:textId="2586AB1D" w:rsidR="00F0088B" w:rsidRPr="00FB0A3A" w:rsidRDefault="00F0088B" w:rsidP="00D20107">
            <w:pPr>
              <w:tabs>
                <w:tab w:val="left" w:pos="1134"/>
              </w:tabs>
              <w:jc w:val="center"/>
              <w:rPr>
                <w:rFonts w:eastAsia="Calibri" w:cs="Times New Roman"/>
                <w:sz w:val="20"/>
                <w:szCs w:val="20"/>
              </w:rPr>
            </w:pPr>
            <w:r w:rsidRPr="00FB0A3A">
              <w:rPr>
                <w:rFonts w:eastAsia="Calibri" w:cs="Times New Roman"/>
                <w:sz w:val="20"/>
                <w:szCs w:val="20"/>
              </w:rPr>
              <w:t>Наименование статьи</w:t>
            </w:r>
          </w:p>
        </w:tc>
        <w:tc>
          <w:tcPr>
            <w:tcW w:w="7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7A7130A7" w14:textId="390BA394" w:rsidR="00F0088B" w:rsidRPr="00FB0A3A" w:rsidRDefault="00D20107" w:rsidP="00D20107">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Факт за 2017,</w:t>
            </w:r>
            <w:r w:rsidRPr="00FB0A3A">
              <w:rPr>
                <w:rFonts w:eastAsia="Calibri" w:cs="Times New Roman"/>
                <w:sz w:val="20"/>
                <w:szCs w:val="20"/>
              </w:rPr>
              <w:br/>
            </w:r>
            <w:r w:rsidR="00F0088B" w:rsidRPr="00FB0A3A">
              <w:rPr>
                <w:rFonts w:eastAsia="Calibri" w:cs="Times New Roman"/>
                <w:sz w:val="20"/>
                <w:szCs w:val="20"/>
              </w:rPr>
              <w:t>тыс. руб.</w:t>
            </w:r>
          </w:p>
        </w:tc>
        <w:tc>
          <w:tcPr>
            <w:tcW w:w="10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3646676" w14:textId="23E70631" w:rsidR="00F0088B" w:rsidRPr="00FB0A3A" w:rsidRDefault="00F0088B" w:rsidP="00D20107">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 xml:space="preserve">Заявлено филиалом ПАО </w:t>
            </w:r>
            <w:r w:rsidR="00655FFA" w:rsidRPr="00FB0A3A">
              <w:rPr>
                <w:rFonts w:eastAsia="Calibri" w:cs="Times New Roman"/>
                <w:sz w:val="20"/>
                <w:szCs w:val="20"/>
              </w:rPr>
              <w:t>«</w:t>
            </w:r>
            <w:r w:rsidR="00F619B6" w:rsidRPr="00FB0A3A">
              <w:rPr>
                <w:rFonts w:eastAsia="Calibri" w:cs="Times New Roman"/>
                <w:sz w:val="20"/>
                <w:szCs w:val="20"/>
              </w:rPr>
              <w:t>МРСК Северо-Запада</w:t>
            </w:r>
            <w:r w:rsidR="00655FFA" w:rsidRPr="00FB0A3A">
              <w:rPr>
                <w:rFonts w:eastAsia="Calibri" w:cs="Times New Roman"/>
                <w:sz w:val="20"/>
                <w:szCs w:val="20"/>
              </w:rPr>
              <w:t>»</w:t>
            </w:r>
            <w:r w:rsidR="00F619B6" w:rsidRPr="00FB0A3A">
              <w:rPr>
                <w:rFonts w:eastAsia="Calibri" w:cs="Times New Roman"/>
                <w:sz w:val="20"/>
                <w:szCs w:val="20"/>
              </w:rPr>
              <w:t xml:space="preserve"> </w:t>
            </w:r>
            <w:r w:rsidR="00655FFA" w:rsidRPr="00FB0A3A">
              <w:rPr>
                <w:rFonts w:eastAsia="Calibri" w:cs="Times New Roman"/>
                <w:sz w:val="20"/>
                <w:szCs w:val="20"/>
              </w:rPr>
              <w:t>«</w:t>
            </w:r>
            <w:r w:rsidRPr="00FB0A3A">
              <w:rPr>
                <w:rFonts w:eastAsia="Calibri" w:cs="Times New Roman"/>
                <w:sz w:val="20"/>
                <w:szCs w:val="20"/>
              </w:rPr>
              <w:t>Колэнерго</w:t>
            </w:r>
            <w:r w:rsidR="00655FFA" w:rsidRPr="00FB0A3A">
              <w:rPr>
                <w:rFonts w:eastAsia="Calibri" w:cs="Times New Roman"/>
                <w:sz w:val="20"/>
                <w:szCs w:val="20"/>
              </w:rPr>
              <w:t>»</w:t>
            </w:r>
            <w:r w:rsidRPr="00FB0A3A">
              <w:rPr>
                <w:rFonts w:eastAsia="Calibri" w:cs="Times New Roman"/>
                <w:sz w:val="20"/>
                <w:szCs w:val="20"/>
              </w:rPr>
              <w:t xml:space="preserve"> на 2019, тыс. руб.</w:t>
            </w:r>
          </w:p>
        </w:tc>
        <w:tc>
          <w:tcPr>
            <w:tcW w:w="7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DBB9702" w14:textId="77777777" w:rsidR="00F0088B" w:rsidRPr="00FB0A3A" w:rsidRDefault="00F0088B" w:rsidP="00D20107">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ТБР на 2019, тыс. руб.</w:t>
            </w:r>
          </w:p>
        </w:tc>
        <w:tc>
          <w:tcPr>
            <w:tcW w:w="6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09CEEE9" w14:textId="77777777" w:rsidR="00F0088B" w:rsidRPr="00FB0A3A" w:rsidRDefault="00F0088B" w:rsidP="00D20107">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Отклонение ТБР на 2019/ заявка на 2019, %</w:t>
            </w:r>
          </w:p>
        </w:tc>
        <w:tc>
          <w:tcPr>
            <w:tcW w:w="5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F86298C" w14:textId="77777777" w:rsidR="00F0088B" w:rsidRPr="00FB0A3A" w:rsidRDefault="00F0088B" w:rsidP="00D20107">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ТБР на 2019 /факт за 2017, %</w:t>
            </w:r>
          </w:p>
        </w:tc>
      </w:tr>
      <w:tr w:rsidR="00D20107" w:rsidRPr="00FB0A3A" w14:paraId="78AAC032" w14:textId="77777777" w:rsidTr="002267D7">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tcBorders>
            <w:hideMark/>
          </w:tcPr>
          <w:p w14:paraId="59ABFFDB" w14:textId="5149EFE2" w:rsidR="00F0088B" w:rsidRPr="00FB0A3A" w:rsidRDefault="00F0088B" w:rsidP="00D20107">
            <w:pPr>
              <w:tabs>
                <w:tab w:val="left" w:pos="1134"/>
              </w:tabs>
              <w:rPr>
                <w:rFonts w:eastAsia="Calibri" w:cs="Times New Roman"/>
                <w:sz w:val="20"/>
                <w:szCs w:val="20"/>
              </w:rPr>
            </w:pPr>
            <w:r w:rsidRPr="00FB0A3A">
              <w:rPr>
                <w:rFonts w:eastAsia="Calibri" w:cs="Times New Roman"/>
                <w:sz w:val="20"/>
                <w:szCs w:val="20"/>
              </w:rPr>
              <w:t xml:space="preserve">Услуги по организации функционирования </w:t>
            </w:r>
            <w:r w:rsidR="00D7672B" w:rsidRPr="00FB0A3A">
              <w:rPr>
                <w:rFonts w:eastAsia="Calibri" w:cs="Times New Roman"/>
                <w:sz w:val="20"/>
                <w:szCs w:val="20"/>
              </w:rPr>
              <w:t>ОАО РАО «</w:t>
            </w:r>
            <w:r w:rsidRPr="00FB0A3A">
              <w:rPr>
                <w:rFonts w:eastAsia="Calibri" w:cs="Times New Roman"/>
                <w:sz w:val="20"/>
                <w:szCs w:val="20"/>
              </w:rPr>
              <w:t>ЕЭС России</w:t>
            </w:r>
            <w:r w:rsidR="00D7672B" w:rsidRPr="00FB0A3A">
              <w:rPr>
                <w:rFonts w:eastAsia="Calibri" w:cs="Times New Roman"/>
                <w:sz w:val="20"/>
                <w:szCs w:val="20"/>
              </w:rPr>
              <w:t>»</w:t>
            </w:r>
          </w:p>
        </w:tc>
        <w:tc>
          <w:tcPr>
            <w:tcW w:w="714" w:type="pct"/>
            <w:tcBorders>
              <w:top w:val="single" w:sz="4" w:space="0" w:color="FFFFFF" w:themeColor="background1"/>
            </w:tcBorders>
            <w:hideMark/>
          </w:tcPr>
          <w:p w14:paraId="3683482E" w14:textId="77777777" w:rsidR="00F0088B" w:rsidRPr="00FB0A3A" w:rsidRDefault="00F0088B"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2 256 810,05</w:t>
            </w:r>
          </w:p>
        </w:tc>
        <w:tc>
          <w:tcPr>
            <w:tcW w:w="1077" w:type="pct"/>
            <w:tcBorders>
              <w:top w:val="single" w:sz="4" w:space="0" w:color="FFFFFF" w:themeColor="background1"/>
            </w:tcBorders>
            <w:hideMark/>
          </w:tcPr>
          <w:p w14:paraId="6574DB75" w14:textId="77777777" w:rsidR="00F0088B" w:rsidRPr="00FB0A3A" w:rsidRDefault="00F0088B"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2 507 399,48</w:t>
            </w:r>
          </w:p>
        </w:tc>
        <w:tc>
          <w:tcPr>
            <w:tcW w:w="796" w:type="pct"/>
            <w:tcBorders>
              <w:top w:val="single" w:sz="4" w:space="0" w:color="FFFFFF" w:themeColor="background1"/>
            </w:tcBorders>
            <w:hideMark/>
          </w:tcPr>
          <w:p w14:paraId="4F141409" w14:textId="77777777" w:rsidR="00F0088B" w:rsidRPr="00FB0A3A" w:rsidRDefault="00F0088B"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2 550 894,70</w:t>
            </w:r>
          </w:p>
        </w:tc>
        <w:tc>
          <w:tcPr>
            <w:tcW w:w="671" w:type="pct"/>
            <w:tcBorders>
              <w:top w:val="single" w:sz="4" w:space="0" w:color="FFFFFF" w:themeColor="background1"/>
            </w:tcBorders>
            <w:hideMark/>
          </w:tcPr>
          <w:p w14:paraId="505172C3" w14:textId="77777777" w:rsidR="00F0088B" w:rsidRPr="00FB0A3A" w:rsidRDefault="00F0088B"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1,7</w:t>
            </w:r>
          </w:p>
        </w:tc>
        <w:tc>
          <w:tcPr>
            <w:tcW w:w="547" w:type="pct"/>
            <w:tcBorders>
              <w:top w:val="single" w:sz="4" w:space="0" w:color="FFFFFF" w:themeColor="background1"/>
            </w:tcBorders>
            <w:hideMark/>
          </w:tcPr>
          <w:p w14:paraId="5FAC8658" w14:textId="77777777" w:rsidR="00F0088B" w:rsidRPr="00FB0A3A" w:rsidRDefault="00F0088B"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13,03</w:t>
            </w:r>
          </w:p>
        </w:tc>
      </w:tr>
    </w:tbl>
    <w:p w14:paraId="499C4363" w14:textId="77777777" w:rsidR="00F0088B" w:rsidRPr="00FB0A3A" w:rsidRDefault="00F0088B" w:rsidP="00A31747">
      <w:pPr>
        <w:tabs>
          <w:tab w:val="left" w:pos="1134"/>
        </w:tabs>
        <w:spacing w:after="0" w:line="360" w:lineRule="auto"/>
        <w:ind w:firstLine="567"/>
        <w:jc w:val="both"/>
        <w:rPr>
          <w:rFonts w:ascii="Myriad Pro" w:eastAsia="Calibri" w:hAnsi="Myriad Pro" w:cs="Times New Roman"/>
          <w:sz w:val="26"/>
          <w:szCs w:val="26"/>
        </w:rPr>
      </w:pPr>
    </w:p>
    <w:tbl>
      <w:tblPr>
        <w:tblStyle w:val="afff6"/>
        <w:tblW w:w="5000" w:type="pct"/>
        <w:tblLook w:val="04A0" w:firstRow="1" w:lastRow="0" w:firstColumn="1" w:lastColumn="0" w:noHBand="0" w:noVBand="1"/>
      </w:tblPr>
      <w:tblGrid>
        <w:gridCol w:w="3093"/>
        <w:gridCol w:w="1630"/>
        <w:gridCol w:w="1603"/>
        <w:gridCol w:w="1579"/>
        <w:gridCol w:w="1439"/>
      </w:tblGrid>
      <w:tr w:rsidR="00F0088B" w:rsidRPr="00FB0A3A" w14:paraId="236C0992" w14:textId="77777777" w:rsidTr="002267D7">
        <w:trPr>
          <w:cnfStyle w:val="100000000000" w:firstRow="1" w:lastRow="0" w:firstColumn="0" w:lastColumn="0" w:oddVBand="0" w:evenVBand="0" w:oddHBand="0"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65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AD2054F" w14:textId="77777777" w:rsidR="00F0088B" w:rsidRPr="00FB0A3A" w:rsidRDefault="00F0088B" w:rsidP="00D20107">
            <w:pPr>
              <w:widowControl w:val="0"/>
              <w:tabs>
                <w:tab w:val="left" w:pos="1134"/>
              </w:tabs>
              <w:jc w:val="center"/>
              <w:rPr>
                <w:rFonts w:eastAsia="Calibri" w:cs="Times New Roman"/>
                <w:sz w:val="20"/>
                <w:szCs w:val="20"/>
              </w:rPr>
            </w:pPr>
            <w:r w:rsidRPr="00FB0A3A">
              <w:rPr>
                <w:rFonts w:eastAsia="Calibri" w:cs="Times New Roman"/>
                <w:sz w:val="20"/>
                <w:szCs w:val="20"/>
              </w:rPr>
              <w:t>Наименование показателя</w:t>
            </w:r>
          </w:p>
        </w:tc>
        <w:tc>
          <w:tcPr>
            <w:tcW w:w="87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6226118" w14:textId="77777777" w:rsidR="00F0088B" w:rsidRPr="00FB0A3A" w:rsidRDefault="00F0088B" w:rsidP="00D20107">
            <w:pPr>
              <w:widowControl w:val="0"/>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Ед. изм.</w:t>
            </w:r>
          </w:p>
        </w:tc>
        <w:tc>
          <w:tcPr>
            <w:tcW w:w="2473" w:type="pct"/>
            <w:gridSpan w:val="3"/>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FF3B4CD" w14:textId="61D81E38" w:rsidR="00F0088B" w:rsidRPr="00FB0A3A" w:rsidRDefault="00F0088B" w:rsidP="00D20107">
            <w:pPr>
              <w:widowControl w:val="0"/>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 xml:space="preserve">Предложение филиала </w:t>
            </w:r>
            <w:r w:rsidR="00350B0A" w:rsidRPr="00FB0A3A">
              <w:rPr>
                <w:rFonts w:eastAsia="Calibri" w:cs="Times New Roman"/>
                <w:sz w:val="20"/>
                <w:szCs w:val="20"/>
              </w:rPr>
              <w:t xml:space="preserve">ПАО </w:t>
            </w:r>
            <w:r w:rsidR="00655FFA" w:rsidRPr="00FB0A3A">
              <w:rPr>
                <w:rFonts w:eastAsia="Calibri" w:cs="Times New Roman"/>
                <w:sz w:val="20"/>
                <w:szCs w:val="20"/>
              </w:rPr>
              <w:t>«</w:t>
            </w:r>
            <w:r w:rsidR="00350B0A" w:rsidRPr="00FB0A3A">
              <w:rPr>
                <w:rFonts w:eastAsia="Calibri" w:cs="Times New Roman"/>
                <w:sz w:val="20"/>
                <w:szCs w:val="20"/>
              </w:rPr>
              <w:t>МРСК Северо-Запада</w:t>
            </w:r>
            <w:r w:rsidR="00655FFA" w:rsidRPr="00FB0A3A">
              <w:rPr>
                <w:rFonts w:eastAsia="Calibri" w:cs="Times New Roman"/>
                <w:sz w:val="20"/>
                <w:szCs w:val="20"/>
              </w:rPr>
              <w:t>»</w:t>
            </w:r>
            <w:r w:rsidR="00350B0A" w:rsidRPr="00FB0A3A">
              <w:rPr>
                <w:rFonts w:eastAsia="Calibri" w:cs="Times New Roman"/>
                <w:sz w:val="20"/>
                <w:szCs w:val="20"/>
              </w:rPr>
              <w:t xml:space="preserve"> </w:t>
            </w:r>
            <w:r w:rsidR="00655FFA" w:rsidRPr="00FB0A3A">
              <w:rPr>
                <w:rFonts w:eastAsia="Calibri" w:cs="Times New Roman"/>
                <w:sz w:val="20"/>
                <w:szCs w:val="20"/>
              </w:rPr>
              <w:t>«</w:t>
            </w:r>
            <w:r w:rsidR="00350B0A" w:rsidRPr="00FB0A3A">
              <w:rPr>
                <w:rFonts w:eastAsia="Calibri" w:cs="Times New Roman"/>
                <w:sz w:val="20"/>
                <w:szCs w:val="20"/>
              </w:rPr>
              <w:t>Колэнерго</w:t>
            </w:r>
            <w:r w:rsidR="00655FFA" w:rsidRPr="00FB0A3A">
              <w:rPr>
                <w:rFonts w:eastAsia="Calibri" w:cs="Times New Roman"/>
                <w:sz w:val="20"/>
                <w:szCs w:val="20"/>
              </w:rPr>
              <w:t>»</w:t>
            </w:r>
            <w:r w:rsidRPr="00FB0A3A">
              <w:rPr>
                <w:rFonts w:eastAsia="Calibri" w:cs="Times New Roman"/>
                <w:sz w:val="20"/>
                <w:szCs w:val="20"/>
              </w:rPr>
              <w:t xml:space="preserve"> на 2019 год</w:t>
            </w:r>
          </w:p>
        </w:tc>
      </w:tr>
      <w:tr w:rsidR="00F0088B" w:rsidRPr="00FB0A3A" w14:paraId="150AE2D9" w14:textId="77777777" w:rsidTr="002267D7">
        <w:trPr>
          <w:trHeight w:val="450"/>
        </w:trPr>
        <w:tc>
          <w:tcPr>
            <w:cnfStyle w:val="001000000000" w:firstRow="0" w:lastRow="0" w:firstColumn="1" w:lastColumn="0" w:oddVBand="0" w:evenVBand="0" w:oddHBand="0" w:evenHBand="0" w:firstRowFirstColumn="0" w:firstRowLastColumn="0" w:lastRowFirstColumn="0" w:lastRowLastColumn="0"/>
            <w:tcW w:w="165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2B7EB80" w14:textId="77777777" w:rsidR="00F0088B" w:rsidRPr="00FB0A3A" w:rsidRDefault="00F0088B" w:rsidP="00D20107">
            <w:pPr>
              <w:widowControl w:val="0"/>
              <w:tabs>
                <w:tab w:val="left" w:pos="1134"/>
              </w:tabs>
              <w:jc w:val="both"/>
              <w:rPr>
                <w:rFonts w:eastAsia="Calibri" w:cs="Times New Roman"/>
                <w:sz w:val="20"/>
                <w:szCs w:val="20"/>
              </w:rPr>
            </w:pPr>
          </w:p>
        </w:tc>
        <w:tc>
          <w:tcPr>
            <w:tcW w:w="87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4D24F96" w14:textId="77777777" w:rsidR="00F0088B" w:rsidRPr="00FB0A3A" w:rsidRDefault="00F0088B" w:rsidP="00D20107">
            <w:pPr>
              <w:widowControl w:val="0"/>
              <w:tabs>
                <w:tab w:val="left" w:pos="1134"/>
              </w:tabs>
              <w:jc w:val="both"/>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p>
        </w:tc>
        <w:tc>
          <w:tcPr>
            <w:tcW w:w="2473" w:type="pct"/>
            <w:gridSpan w:val="3"/>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3440F46" w14:textId="77777777" w:rsidR="00F0088B" w:rsidRPr="00FB0A3A" w:rsidRDefault="00F0088B" w:rsidP="00D20107">
            <w:pPr>
              <w:widowControl w:val="0"/>
              <w:tabs>
                <w:tab w:val="left" w:pos="1134"/>
              </w:tabs>
              <w:jc w:val="both"/>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p>
        </w:tc>
      </w:tr>
      <w:tr w:rsidR="00F0088B" w:rsidRPr="00FB0A3A" w14:paraId="0B0E4E8E" w14:textId="77777777" w:rsidTr="002267D7">
        <w:trPr>
          <w:trHeight w:val="20"/>
        </w:trPr>
        <w:tc>
          <w:tcPr>
            <w:cnfStyle w:val="001000000000" w:firstRow="0" w:lastRow="0" w:firstColumn="1" w:lastColumn="0" w:oddVBand="0" w:evenVBand="0" w:oddHBand="0" w:evenHBand="0" w:firstRowFirstColumn="0" w:firstRowLastColumn="0" w:lastRowFirstColumn="0" w:lastRowLastColumn="0"/>
            <w:tcW w:w="165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DAD6065" w14:textId="77777777" w:rsidR="00F0088B" w:rsidRPr="00FB0A3A" w:rsidRDefault="00F0088B" w:rsidP="00D20107">
            <w:pPr>
              <w:widowControl w:val="0"/>
              <w:tabs>
                <w:tab w:val="left" w:pos="1134"/>
              </w:tabs>
              <w:jc w:val="both"/>
              <w:rPr>
                <w:rFonts w:eastAsia="Calibri" w:cs="Times New Roman"/>
                <w:sz w:val="20"/>
                <w:szCs w:val="20"/>
              </w:rPr>
            </w:pPr>
          </w:p>
        </w:tc>
        <w:tc>
          <w:tcPr>
            <w:tcW w:w="87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F57DA0E" w14:textId="77777777" w:rsidR="00F0088B" w:rsidRPr="00FB0A3A" w:rsidRDefault="00F0088B" w:rsidP="00D20107">
            <w:pPr>
              <w:widowControl w:val="0"/>
              <w:tabs>
                <w:tab w:val="left" w:pos="1134"/>
              </w:tabs>
              <w:jc w:val="both"/>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p>
        </w:tc>
        <w:tc>
          <w:tcPr>
            <w:tcW w:w="8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48554358" w14:textId="77777777" w:rsidR="00F0088B" w:rsidRPr="00FB0A3A" w:rsidRDefault="00F0088B" w:rsidP="00D20107">
            <w:pPr>
              <w:widowControl w:val="0"/>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color w:val="FFFFFF" w:themeColor="background1"/>
                <w:sz w:val="20"/>
                <w:szCs w:val="20"/>
              </w:rPr>
            </w:pPr>
            <w:r w:rsidRPr="00FB0A3A">
              <w:rPr>
                <w:rFonts w:eastAsia="Calibri" w:cs="Times New Roman"/>
                <w:color w:val="FFFFFF" w:themeColor="background1"/>
                <w:sz w:val="20"/>
                <w:szCs w:val="20"/>
              </w:rPr>
              <w:t>1 полугодие</w:t>
            </w:r>
          </w:p>
        </w:tc>
        <w:tc>
          <w:tcPr>
            <w:tcW w:w="8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0A057544" w14:textId="77777777" w:rsidR="00F0088B" w:rsidRPr="00FB0A3A" w:rsidRDefault="00F0088B" w:rsidP="00D20107">
            <w:pPr>
              <w:widowControl w:val="0"/>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color w:val="FFFFFF" w:themeColor="background1"/>
                <w:sz w:val="20"/>
                <w:szCs w:val="20"/>
              </w:rPr>
            </w:pPr>
            <w:r w:rsidRPr="00FB0A3A">
              <w:rPr>
                <w:rFonts w:eastAsia="Calibri" w:cs="Times New Roman"/>
                <w:color w:val="FFFFFF" w:themeColor="background1"/>
                <w:sz w:val="20"/>
                <w:szCs w:val="20"/>
              </w:rPr>
              <w:t>2 полугодие</w:t>
            </w:r>
          </w:p>
        </w:tc>
        <w:tc>
          <w:tcPr>
            <w:tcW w:w="7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0E707392" w14:textId="0F911076" w:rsidR="00F0088B" w:rsidRPr="00FB0A3A" w:rsidRDefault="00F0088B" w:rsidP="00D20107">
            <w:pPr>
              <w:widowControl w:val="0"/>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color w:val="FFFFFF" w:themeColor="background1"/>
                <w:sz w:val="20"/>
                <w:szCs w:val="20"/>
              </w:rPr>
            </w:pPr>
            <w:r w:rsidRPr="00FB0A3A">
              <w:rPr>
                <w:rFonts w:eastAsia="Calibri" w:cs="Times New Roman"/>
                <w:color w:val="FFFFFF" w:themeColor="background1"/>
                <w:sz w:val="20"/>
                <w:szCs w:val="20"/>
              </w:rPr>
              <w:t>год</w:t>
            </w:r>
          </w:p>
        </w:tc>
      </w:tr>
      <w:tr w:rsidR="00907AB4" w:rsidRPr="00FB0A3A" w14:paraId="66E07861" w14:textId="77777777" w:rsidTr="002267D7">
        <w:trPr>
          <w:trHeight w:val="20"/>
        </w:trPr>
        <w:tc>
          <w:tcPr>
            <w:cnfStyle w:val="001000000000" w:firstRow="0" w:lastRow="0" w:firstColumn="1" w:lastColumn="0" w:oddVBand="0" w:evenVBand="0" w:oddHBand="0" w:evenHBand="0" w:firstRowFirstColumn="0" w:firstRowLastColumn="0" w:lastRowFirstColumn="0" w:lastRowLastColumn="0"/>
            <w:tcW w:w="1655" w:type="pct"/>
            <w:tcBorders>
              <w:top w:val="single" w:sz="4" w:space="0" w:color="FFFFFF" w:themeColor="background1"/>
            </w:tcBorders>
            <w:hideMark/>
          </w:tcPr>
          <w:p w14:paraId="600FDFD0" w14:textId="77777777" w:rsidR="00F0088B" w:rsidRPr="00FB0A3A" w:rsidRDefault="00F0088B" w:rsidP="00D20107">
            <w:pPr>
              <w:widowControl w:val="0"/>
              <w:tabs>
                <w:tab w:val="left" w:pos="1134"/>
              </w:tabs>
              <w:jc w:val="both"/>
              <w:rPr>
                <w:rFonts w:eastAsia="Calibri" w:cs="Times New Roman"/>
                <w:sz w:val="20"/>
                <w:szCs w:val="20"/>
              </w:rPr>
            </w:pPr>
            <w:r w:rsidRPr="00FB0A3A">
              <w:rPr>
                <w:rFonts w:eastAsia="Calibri" w:cs="Times New Roman"/>
                <w:sz w:val="20"/>
                <w:szCs w:val="20"/>
              </w:rPr>
              <w:t>1. Заявленная мощность</w:t>
            </w:r>
          </w:p>
        </w:tc>
        <w:tc>
          <w:tcPr>
            <w:tcW w:w="872" w:type="pct"/>
            <w:tcBorders>
              <w:top w:val="single" w:sz="4" w:space="0" w:color="FFFFFF" w:themeColor="background1"/>
            </w:tcBorders>
            <w:hideMark/>
          </w:tcPr>
          <w:p w14:paraId="5C0A1EA7" w14:textId="77777777" w:rsidR="00F0088B" w:rsidRPr="00FB0A3A" w:rsidRDefault="00F0088B" w:rsidP="00D20107">
            <w:pPr>
              <w:widowControl w:val="0"/>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МВт</w:t>
            </w:r>
          </w:p>
        </w:tc>
        <w:tc>
          <w:tcPr>
            <w:tcW w:w="858" w:type="pct"/>
            <w:tcBorders>
              <w:top w:val="single" w:sz="4" w:space="0" w:color="FFFFFF" w:themeColor="background1"/>
            </w:tcBorders>
            <w:hideMark/>
          </w:tcPr>
          <w:p w14:paraId="0B46E2AF" w14:textId="77777777" w:rsidR="00F0088B" w:rsidRPr="00FB0A3A" w:rsidRDefault="00F0088B" w:rsidP="00D20107">
            <w:pPr>
              <w:widowControl w:val="0"/>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1 023,12</w:t>
            </w:r>
          </w:p>
        </w:tc>
        <w:tc>
          <w:tcPr>
            <w:tcW w:w="845" w:type="pct"/>
            <w:tcBorders>
              <w:top w:val="single" w:sz="4" w:space="0" w:color="FFFFFF" w:themeColor="background1"/>
            </w:tcBorders>
            <w:hideMark/>
          </w:tcPr>
          <w:p w14:paraId="39730A46" w14:textId="77777777" w:rsidR="00F0088B" w:rsidRPr="00FB0A3A" w:rsidRDefault="00F0088B" w:rsidP="00D20107">
            <w:pPr>
              <w:widowControl w:val="0"/>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986,24</w:t>
            </w:r>
          </w:p>
        </w:tc>
        <w:tc>
          <w:tcPr>
            <w:tcW w:w="770" w:type="pct"/>
            <w:tcBorders>
              <w:top w:val="single" w:sz="4" w:space="0" w:color="FFFFFF" w:themeColor="background1"/>
            </w:tcBorders>
            <w:hideMark/>
          </w:tcPr>
          <w:p w14:paraId="0D5DE9D6" w14:textId="77777777" w:rsidR="00F0088B" w:rsidRPr="00FB0A3A" w:rsidRDefault="00F0088B" w:rsidP="00D20107">
            <w:pPr>
              <w:widowControl w:val="0"/>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1 004,68</w:t>
            </w:r>
          </w:p>
        </w:tc>
      </w:tr>
      <w:tr w:rsidR="00907AB4" w:rsidRPr="00FB0A3A" w14:paraId="3B74C4FB" w14:textId="77777777" w:rsidTr="00D20107">
        <w:trPr>
          <w:trHeight w:val="20"/>
        </w:trPr>
        <w:tc>
          <w:tcPr>
            <w:cnfStyle w:val="001000000000" w:firstRow="0" w:lastRow="0" w:firstColumn="1" w:lastColumn="0" w:oddVBand="0" w:evenVBand="0" w:oddHBand="0" w:evenHBand="0" w:firstRowFirstColumn="0" w:firstRowLastColumn="0" w:lastRowFirstColumn="0" w:lastRowLastColumn="0"/>
            <w:tcW w:w="1655" w:type="pct"/>
            <w:hideMark/>
          </w:tcPr>
          <w:p w14:paraId="4C76FF93" w14:textId="77777777" w:rsidR="00F0088B" w:rsidRPr="00FB0A3A" w:rsidRDefault="00F0088B" w:rsidP="00D20107">
            <w:pPr>
              <w:widowControl w:val="0"/>
              <w:tabs>
                <w:tab w:val="left" w:pos="1134"/>
              </w:tabs>
              <w:jc w:val="both"/>
              <w:rPr>
                <w:rFonts w:eastAsia="Calibri" w:cs="Times New Roman"/>
                <w:sz w:val="20"/>
                <w:szCs w:val="20"/>
              </w:rPr>
            </w:pPr>
            <w:r w:rsidRPr="00FB0A3A">
              <w:rPr>
                <w:rFonts w:eastAsia="Calibri" w:cs="Times New Roman"/>
                <w:sz w:val="20"/>
                <w:szCs w:val="20"/>
              </w:rPr>
              <w:t>2 Ставка на содержание сетей</w:t>
            </w:r>
          </w:p>
        </w:tc>
        <w:tc>
          <w:tcPr>
            <w:tcW w:w="872" w:type="pct"/>
            <w:hideMark/>
          </w:tcPr>
          <w:p w14:paraId="0C37782E" w14:textId="77777777" w:rsidR="00F0088B" w:rsidRPr="00FB0A3A" w:rsidRDefault="00F0088B" w:rsidP="00D20107">
            <w:pPr>
              <w:widowControl w:val="0"/>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Руб./МВт в мес.</w:t>
            </w:r>
          </w:p>
        </w:tc>
        <w:tc>
          <w:tcPr>
            <w:tcW w:w="858" w:type="pct"/>
            <w:hideMark/>
          </w:tcPr>
          <w:p w14:paraId="470A4504" w14:textId="77777777" w:rsidR="00F0088B" w:rsidRPr="00FB0A3A" w:rsidRDefault="00F0088B" w:rsidP="00D20107">
            <w:pPr>
              <w:widowControl w:val="0"/>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173 164,15</w:t>
            </w:r>
          </w:p>
        </w:tc>
        <w:tc>
          <w:tcPr>
            <w:tcW w:w="845" w:type="pct"/>
            <w:hideMark/>
          </w:tcPr>
          <w:p w14:paraId="70068F27" w14:textId="77777777" w:rsidR="00F0088B" w:rsidRPr="00FB0A3A" w:rsidRDefault="00F0088B" w:rsidP="00D20107">
            <w:pPr>
              <w:widowControl w:val="0"/>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178 402,53</w:t>
            </w:r>
          </w:p>
        </w:tc>
        <w:tc>
          <w:tcPr>
            <w:tcW w:w="770" w:type="pct"/>
            <w:hideMark/>
          </w:tcPr>
          <w:p w14:paraId="46AED02A" w14:textId="77777777" w:rsidR="00F0088B" w:rsidRPr="00FB0A3A" w:rsidRDefault="00F0088B" w:rsidP="00D20107">
            <w:pPr>
              <w:widowControl w:val="0"/>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175 735,27</w:t>
            </w:r>
          </w:p>
        </w:tc>
      </w:tr>
      <w:tr w:rsidR="00907AB4" w:rsidRPr="00FB0A3A" w14:paraId="3C89286F" w14:textId="77777777" w:rsidTr="00D20107">
        <w:trPr>
          <w:trHeight w:val="20"/>
        </w:trPr>
        <w:tc>
          <w:tcPr>
            <w:cnfStyle w:val="001000000000" w:firstRow="0" w:lastRow="0" w:firstColumn="1" w:lastColumn="0" w:oddVBand="0" w:evenVBand="0" w:oddHBand="0" w:evenHBand="0" w:firstRowFirstColumn="0" w:firstRowLastColumn="0" w:lastRowFirstColumn="0" w:lastRowLastColumn="0"/>
            <w:tcW w:w="1655" w:type="pct"/>
            <w:hideMark/>
          </w:tcPr>
          <w:p w14:paraId="09B5B657" w14:textId="77777777" w:rsidR="00F0088B" w:rsidRPr="00FB0A3A" w:rsidRDefault="00F0088B" w:rsidP="00D20107">
            <w:pPr>
              <w:widowControl w:val="0"/>
              <w:tabs>
                <w:tab w:val="left" w:pos="1134"/>
              </w:tabs>
              <w:jc w:val="both"/>
              <w:rPr>
                <w:rFonts w:eastAsia="Calibri" w:cs="Times New Roman"/>
                <w:sz w:val="20"/>
                <w:szCs w:val="20"/>
              </w:rPr>
            </w:pPr>
            <w:r w:rsidRPr="00FB0A3A">
              <w:rPr>
                <w:rFonts w:eastAsia="Calibri" w:cs="Times New Roman"/>
                <w:sz w:val="20"/>
                <w:szCs w:val="20"/>
              </w:rPr>
              <w:t xml:space="preserve">3. Плата за содержание </w:t>
            </w:r>
          </w:p>
        </w:tc>
        <w:tc>
          <w:tcPr>
            <w:tcW w:w="872" w:type="pct"/>
            <w:hideMark/>
          </w:tcPr>
          <w:p w14:paraId="1B20E353" w14:textId="77777777" w:rsidR="00F0088B" w:rsidRPr="00FB0A3A" w:rsidRDefault="00F0088B" w:rsidP="00D20107">
            <w:pPr>
              <w:widowControl w:val="0"/>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тыс. руб.</w:t>
            </w:r>
          </w:p>
        </w:tc>
        <w:tc>
          <w:tcPr>
            <w:tcW w:w="858" w:type="pct"/>
            <w:hideMark/>
          </w:tcPr>
          <w:p w14:paraId="57BDB813" w14:textId="77777777" w:rsidR="00F0088B" w:rsidRPr="00FB0A3A" w:rsidRDefault="00F0088B" w:rsidP="00D20107">
            <w:pPr>
              <w:widowControl w:val="0"/>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1 063 002,07</w:t>
            </w:r>
          </w:p>
        </w:tc>
        <w:tc>
          <w:tcPr>
            <w:tcW w:w="845" w:type="pct"/>
            <w:hideMark/>
          </w:tcPr>
          <w:p w14:paraId="244B9156" w14:textId="77777777" w:rsidR="00F0088B" w:rsidRPr="00FB0A3A" w:rsidRDefault="00F0088B" w:rsidP="00D20107">
            <w:pPr>
              <w:widowControl w:val="0"/>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1 055 680,92</w:t>
            </w:r>
          </w:p>
        </w:tc>
        <w:tc>
          <w:tcPr>
            <w:tcW w:w="770" w:type="pct"/>
            <w:hideMark/>
          </w:tcPr>
          <w:p w14:paraId="02136152" w14:textId="77777777" w:rsidR="00F0088B" w:rsidRPr="00FB0A3A" w:rsidRDefault="00F0088B" w:rsidP="00D20107">
            <w:pPr>
              <w:widowControl w:val="0"/>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2 118 682,99</w:t>
            </w:r>
          </w:p>
        </w:tc>
      </w:tr>
      <w:tr w:rsidR="00907AB4" w:rsidRPr="00FB0A3A" w14:paraId="045BA4B5" w14:textId="77777777" w:rsidTr="00D20107">
        <w:trPr>
          <w:trHeight w:val="20"/>
        </w:trPr>
        <w:tc>
          <w:tcPr>
            <w:cnfStyle w:val="001000000000" w:firstRow="0" w:lastRow="0" w:firstColumn="1" w:lastColumn="0" w:oddVBand="0" w:evenVBand="0" w:oddHBand="0" w:evenHBand="0" w:firstRowFirstColumn="0" w:firstRowLastColumn="0" w:lastRowFirstColumn="0" w:lastRowLastColumn="0"/>
            <w:tcW w:w="1655" w:type="pct"/>
            <w:hideMark/>
          </w:tcPr>
          <w:p w14:paraId="74E0F327" w14:textId="77777777" w:rsidR="00F0088B" w:rsidRPr="00FB0A3A" w:rsidRDefault="00F0088B" w:rsidP="00D20107">
            <w:pPr>
              <w:widowControl w:val="0"/>
              <w:tabs>
                <w:tab w:val="left" w:pos="1134"/>
              </w:tabs>
              <w:jc w:val="both"/>
              <w:rPr>
                <w:rFonts w:eastAsia="Calibri" w:cs="Times New Roman"/>
                <w:sz w:val="20"/>
                <w:szCs w:val="20"/>
              </w:rPr>
            </w:pPr>
            <w:r w:rsidRPr="00FB0A3A">
              <w:rPr>
                <w:rFonts w:eastAsia="Calibri" w:cs="Times New Roman"/>
                <w:sz w:val="20"/>
                <w:szCs w:val="20"/>
              </w:rPr>
              <w:t>Фактический объем отпуска э/э из ЕНЭС</w:t>
            </w:r>
          </w:p>
        </w:tc>
        <w:tc>
          <w:tcPr>
            <w:tcW w:w="872" w:type="pct"/>
            <w:hideMark/>
          </w:tcPr>
          <w:p w14:paraId="74DD2549" w14:textId="77777777" w:rsidR="00F0088B" w:rsidRPr="00FB0A3A" w:rsidRDefault="00F0088B" w:rsidP="00D20107">
            <w:pPr>
              <w:widowControl w:val="0"/>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МВт*ч</w:t>
            </w:r>
          </w:p>
        </w:tc>
        <w:tc>
          <w:tcPr>
            <w:tcW w:w="858" w:type="pct"/>
            <w:hideMark/>
          </w:tcPr>
          <w:p w14:paraId="62EC671D" w14:textId="77777777" w:rsidR="00F0088B" w:rsidRPr="00FB0A3A" w:rsidRDefault="00F0088B" w:rsidP="00D20107">
            <w:pPr>
              <w:widowControl w:val="0"/>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3 201 332,33</w:t>
            </w:r>
          </w:p>
        </w:tc>
        <w:tc>
          <w:tcPr>
            <w:tcW w:w="845" w:type="pct"/>
            <w:hideMark/>
          </w:tcPr>
          <w:p w14:paraId="223CBEA5" w14:textId="77777777" w:rsidR="00F0088B" w:rsidRPr="00FB0A3A" w:rsidRDefault="00F0088B" w:rsidP="00D20107">
            <w:pPr>
              <w:widowControl w:val="0"/>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2 767 827,89</w:t>
            </w:r>
          </w:p>
        </w:tc>
        <w:tc>
          <w:tcPr>
            <w:tcW w:w="770" w:type="pct"/>
            <w:hideMark/>
          </w:tcPr>
          <w:p w14:paraId="0F6A8421" w14:textId="77777777" w:rsidR="00F0088B" w:rsidRPr="00FB0A3A" w:rsidRDefault="00F0088B" w:rsidP="00D20107">
            <w:pPr>
              <w:widowControl w:val="0"/>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5 969 160,22</w:t>
            </w:r>
          </w:p>
        </w:tc>
      </w:tr>
      <w:tr w:rsidR="00907AB4" w:rsidRPr="00FB0A3A" w14:paraId="32742BFB" w14:textId="77777777" w:rsidTr="00D20107">
        <w:trPr>
          <w:trHeight w:val="20"/>
        </w:trPr>
        <w:tc>
          <w:tcPr>
            <w:cnfStyle w:val="001000000000" w:firstRow="0" w:lastRow="0" w:firstColumn="1" w:lastColumn="0" w:oddVBand="0" w:evenVBand="0" w:oddHBand="0" w:evenHBand="0" w:firstRowFirstColumn="0" w:firstRowLastColumn="0" w:lastRowFirstColumn="0" w:lastRowLastColumn="0"/>
            <w:tcW w:w="1655" w:type="pct"/>
            <w:hideMark/>
          </w:tcPr>
          <w:p w14:paraId="4ACA6881" w14:textId="77777777" w:rsidR="00F0088B" w:rsidRPr="00FB0A3A" w:rsidRDefault="00F0088B" w:rsidP="00D20107">
            <w:pPr>
              <w:widowControl w:val="0"/>
              <w:tabs>
                <w:tab w:val="left" w:pos="1134"/>
              </w:tabs>
              <w:jc w:val="both"/>
              <w:rPr>
                <w:rFonts w:eastAsia="Calibri" w:cs="Times New Roman"/>
                <w:sz w:val="20"/>
                <w:szCs w:val="20"/>
              </w:rPr>
            </w:pPr>
            <w:r w:rsidRPr="00FB0A3A">
              <w:rPr>
                <w:rFonts w:eastAsia="Calibri" w:cs="Times New Roman"/>
                <w:sz w:val="20"/>
                <w:szCs w:val="20"/>
              </w:rPr>
              <w:t>Фактический объем отпуска э/э из ЕНЭС по линиям 330 кВ и выше</w:t>
            </w:r>
          </w:p>
        </w:tc>
        <w:tc>
          <w:tcPr>
            <w:tcW w:w="872" w:type="pct"/>
            <w:hideMark/>
          </w:tcPr>
          <w:p w14:paraId="5217F1E8" w14:textId="77777777" w:rsidR="00F0088B" w:rsidRPr="00FB0A3A" w:rsidRDefault="00F0088B" w:rsidP="00D20107">
            <w:pPr>
              <w:widowControl w:val="0"/>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МВт*ч</w:t>
            </w:r>
          </w:p>
        </w:tc>
        <w:tc>
          <w:tcPr>
            <w:tcW w:w="858" w:type="pct"/>
            <w:hideMark/>
          </w:tcPr>
          <w:p w14:paraId="7BA83156" w14:textId="77777777" w:rsidR="00F0088B" w:rsidRPr="00FB0A3A" w:rsidRDefault="00F0088B" w:rsidP="00D20107">
            <w:pPr>
              <w:widowControl w:val="0"/>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3 049 913,09</w:t>
            </w:r>
          </w:p>
        </w:tc>
        <w:tc>
          <w:tcPr>
            <w:tcW w:w="845" w:type="pct"/>
            <w:hideMark/>
          </w:tcPr>
          <w:p w14:paraId="7E79AB32" w14:textId="77777777" w:rsidR="00F0088B" w:rsidRPr="00FB0A3A" w:rsidRDefault="00F0088B" w:rsidP="00D20107">
            <w:pPr>
              <w:widowControl w:val="0"/>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2 713 596,12</w:t>
            </w:r>
          </w:p>
        </w:tc>
        <w:tc>
          <w:tcPr>
            <w:tcW w:w="770" w:type="pct"/>
            <w:hideMark/>
          </w:tcPr>
          <w:p w14:paraId="1CA9A037" w14:textId="77777777" w:rsidR="00F0088B" w:rsidRPr="00FB0A3A" w:rsidRDefault="00F0088B" w:rsidP="00D20107">
            <w:pPr>
              <w:widowControl w:val="0"/>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5 763 509,22</w:t>
            </w:r>
          </w:p>
        </w:tc>
      </w:tr>
      <w:tr w:rsidR="00907AB4" w:rsidRPr="00FB0A3A" w14:paraId="44623700" w14:textId="77777777" w:rsidTr="00D20107">
        <w:trPr>
          <w:trHeight w:val="20"/>
        </w:trPr>
        <w:tc>
          <w:tcPr>
            <w:cnfStyle w:val="001000000000" w:firstRow="0" w:lastRow="0" w:firstColumn="1" w:lastColumn="0" w:oddVBand="0" w:evenVBand="0" w:oddHBand="0" w:evenHBand="0" w:firstRowFirstColumn="0" w:firstRowLastColumn="0" w:lastRowFirstColumn="0" w:lastRowLastColumn="0"/>
            <w:tcW w:w="1655" w:type="pct"/>
            <w:hideMark/>
          </w:tcPr>
          <w:p w14:paraId="2DC81965" w14:textId="77777777" w:rsidR="00F0088B" w:rsidRPr="00FB0A3A" w:rsidRDefault="00F0088B" w:rsidP="00D20107">
            <w:pPr>
              <w:widowControl w:val="0"/>
              <w:tabs>
                <w:tab w:val="left" w:pos="1134"/>
              </w:tabs>
              <w:jc w:val="both"/>
              <w:rPr>
                <w:rFonts w:eastAsia="Calibri" w:cs="Times New Roman"/>
                <w:sz w:val="20"/>
                <w:szCs w:val="20"/>
              </w:rPr>
            </w:pPr>
            <w:r w:rsidRPr="00FB0A3A">
              <w:rPr>
                <w:rFonts w:eastAsia="Calibri" w:cs="Times New Roman"/>
                <w:sz w:val="20"/>
                <w:szCs w:val="20"/>
              </w:rPr>
              <w:t>Фактический объем отпуска э/э из ЕНЭС по линиям 220 кВ и ниже</w:t>
            </w:r>
          </w:p>
        </w:tc>
        <w:tc>
          <w:tcPr>
            <w:tcW w:w="872" w:type="pct"/>
            <w:hideMark/>
          </w:tcPr>
          <w:p w14:paraId="70831007" w14:textId="77777777" w:rsidR="00F0088B" w:rsidRPr="00FB0A3A" w:rsidRDefault="00F0088B" w:rsidP="00D20107">
            <w:pPr>
              <w:widowControl w:val="0"/>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МВт*ч</w:t>
            </w:r>
          </w:p>
        </w:tc>
        <w:tc>
          <w:tcPr>
            <w:tcW w:w="858" w:type="pct"/>
            <w:hideMark/>
          </w:tcPr>
          <w:p w14:paraId="6F0AE2A9" w14:textId="77777777" w:rsidR="00F0088B" w:rsidRPr="00FB0A3A" w:rsidRDefault="00F0088B" w:rsidP="00D20107">
            <w:pPr>
              <w:widowControl w:val="0"/>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151 419,24</w:t>
            </w:r>
          </w:p>
        </w:tc>
        <w:tc>
          <w:tcPr>
            <w:tcW w:w="845" w:type="pct"/>
            <w:hideMark/>
          </w:tcPr>
          <w:p w14:paraId="0FA672FF" w14:textId="77777777" w:rsidR="00F0088B" w:rsidRPr="00FB0A3A" w:rsidRDefault="00F0088B" w:rsidP="00D20107">
            <w:pPr>
              <w:widowControl w:val="0"/>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54 231,77</w:t>
            </w:r>
          </w:p>
        </w:tc>
        <w:tc>
          <w:tcPr>
            <w:tcW w:w="770" w:type="pct"/>
            <w:hideMark/>
          </w:tcPr>
          <w:p w14:paraId="7F964F04" w14:textId="77777777" w:rsidR="00F0088B" w:rsidRPr="00FB0A3A" w:rsidRDefault="00F0088B" w:rsidP="00D20107">
            <w:pPr>
              <w:widowControl w:val="0"/>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205 651,00</w:t>
            </w:r>
          </w:p>
        </w:tc>
      </w:tr>
      <w:tr w:rsidR="00907AB4" w:rsidRPr="00FB0A3A" w14:paraId="095C9DD5" w14:textId="77777777" w:rsidTr="00D20107">
        <w:trPr>
          <w:trHeight w:val="20"/>
        </w:trPr>
        <w:tc>
          <w:tcPr>
            <w:cnfStyle w:val="001000000000" w:firstRow="0" w:lastRow="0" w:firstColumn="1" w:lastColumn="0" w:oddVBand="0" w:evenVBand="0" w:oddHBand="0" w:evenHBand="0" w:firstRowFirstColumn="0" w:firstRowLastColumn="0" w:lastRowFirstColumn="0" w:lastRowLastColumn="0"/>
            <w:tcW w:w="1655" w:type="pct"/>
            <w:hideMark/>
          </w:tcPr>
          <w:p w14:paraId="06E4E03B" w14:textId="77777777" w:rsidR="00F0088B" w:rsidRPr="00FB0A3A" w:rsidRDefault="00F0088B" w:rsidP="00D20107">
            <w:pPr>
              <w:widowControl w:val="0"/>
              <w:tabs>
                <w:tab w:val="left" w:pos="1134"/>
              </w:tabs>
              <w:jc w:val="both"/>
              <w:rPr>
                <w:rFonts w:eastAsia="Calibri" w:cs="Times New Roman"/>
                <w:sz w:val="20"/>
                <w:szCs w:val="20"/>
              </w:rPr>
            </w:pPr>
            <w:r w:rsidRPr="00FB0A3A">
              <w:rPr>
                <w:rFonts w:eastAsia="Calibri" w:cs="Times New Roman"/>
                <w:sz w:val="20"/>
                <w:szCs w:val="20"/>
              </w:rPr>
              <w:t>Норматив потерь э/э в ЕНЭС по линиям 330 кВ и выше</w:t>
            </w:r>
          </w:p>
        </w:tc>
        <w:tc>
          <w:tcPr>
            <w:tcW w:w="872" w:type="pct"/>
            <w:hideMark/>
          </w:tcPr>
          <w:p w14:paraId="157AFA1F" w14:textId="77777777" w:rsidR="00F0088B" w:rsidRPr="00FB0A3A" w:rsidRDefault="00F0088B" w:rsidP="00D20107">
            <w:pPr>
              <w:widowControl w:val="0"/>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w:t>
            </w:r>
          </w:p>
        </w:tc>
        <w:tc>
          <w:tcPr>
            <w:tcW w:w="858" w:type="pct"/>
            <w:hideMark/>
          </w:tcPr>
          <w:p w14:paraId="29DA4411" w14:textId="77777777" w:rsidR="00F0088B" w:rsidRPr="00FB0A3A" w:rsidRDefault="00F0088B" w:rsidP="00D20107">
            <w:pPr>
              <w:widowControl w:val="0"/>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3,84</w:t>
            </w:r>
          </w:p>
        </w:tc>
        <w:tc>
          <w:tcPr>
            <w:tcW w:w="845" w:type="pct"/>
            <w:hideMark/>
          </w:tcPr>
          <w:p w14:paraId="3571FA9F" w14:textId="77777777" w:rsidR="00F0088B" w:rsidRPr="00FB0A3A" w:rsidRDefault="00F0088B" w:rsidP="00D20107">
            <w:pPr>
              <w:widowControl w:val="0"/>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3,84</w:t>
            </w:r>
          </w:p>
        </w:tc>
        <w:tc>
          <w:tcPr>
            <w:tcW w:w="770" w:type="pct"/>
            <w:hideMark/>
          </w:tcPr>
          <w:p w14:paraId="70A8734F" w14:textId="77777777" w:rsidR="00F0088B" w:rsidRPr="00FB0A3A" w:rsidRDefault="00F0088B" w:rsidP="00D20107">
            <w:pPr>
              <w:widowControl w:val="0"/>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3,84</w:t>
            </w:r>
          </w:p>
        </w:tc>
      </w:tr>
      <w:tr w:rsidR="00907AB4" w:rsidRPr="00FB0A3A" w14:paraId="772B535A" w14:textId="77777777" w:rsidTr="00D20107">
        <w:trPr>
          <w:trHeight w:val="20"/>
        </w:trPr>
        <w:tc>
          <w:tcPr>
            <w:cnfStyle w:val="001000000000" w:firstRow="0" w:lastRow="0" w:firstColumn="1" w:lastColumn="0" w:oddVBand="0" w:evenVBand="0" w:oddHBand="0" w:evenHBand="0" w:firstRowFirstColumn="0" w:firstRowLastColumn="0" w:lastRowFirstColumn="0" w:lastRowLastColumn="0"/>
            <w:tcW w:w="1655" w:type="pct"/>
            <w:hideMark/>
          </w:tcPr>
          <w:p w14:paraId="411F98DF" w14:textId="77777777" w:rsidR="00F0088B" w:rsidRPr="00FB0A3A" w:rsidRDefault="00F0088B" w:rsidP="00D20107">
            <w:pPr>
              <w:widowControl w:val="0"/>
              <w:tabs>
                <w:tab w:val="left" w:pos="1134"/>
              </w:tabs>
              <w:jc w:val="both"/>
              <w:rPr>
                <w:rFonts w:eastAsia="Calibri" w:cs="Times New Roman"/>
                <w:sz w:val="20"/>
                <w:szCs w:val="20"/>
              </w:rPr>
            </w:pPr>
            <w:r w:rsidRPr="00FB0A3A">
              <w:rPr>
                <w:rFonts w:eastAsia="Calibri" w:cs="Times New Roman"/>
                <w:sz w:val="20"/>
                <w:szCs w:val="20"/>
              </w:rPr>
              <w:t>Норматив потерь э/э в ЕНЭС по линиям 220 кВ и выше</w:t>
            </w:r>
          </w:p>
        </w:tc>
        <w:tc>
          <w:tcPr>
            <w:tcW w:w="872" w:type="pct"/>
            <w:hideMark/>
          </w:tcPr>
          <w:p w14:paraId="74386818" w14:textId="77777777" w:rsidR="00F0088B" w:rsidRPr="00FB0A3A" w:rsidRDefault="00F0088B" w:rsidP="00D20107">
            <w:pPr>
              <w:widowControl w:val="0"/>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w:t>
            </w:r>
          </w:p>
        </w:tc>
        <w:tc>
          <w:tcPr>
            <w:tcW w:w="858" w:type="pct"/>
            <w:hideMark/>
          </w:tcPr>
          <w:p w14:paraId="32FE4CB1" w14:textId="77777777" w:rsidR="00F0088B" w:rsidRPr="00FB0A3A" w:rsidRDefault="00F0088B" w:rsidP="00D20107">
            <w:pPr>
              <w:widowControl w:val="0"/>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6,90</w:t>
            </w:r>
          </w:p>
        </w:tc>
        <w:tc>
          <w:tcPr>
            <w:tcW w:w="845" w:type="pct"/>
            <w:hideMark/>
          </w:tcPr>
          <w:p w14:paraId="60D0F266" w14:textId="77777777" w:rsidR="00F0088B" w:rsidRPr="00FB0A3A" w:rsidRDefault="00F0088B" w:rsidP="00D20107">
            <w:pPr>
              <w:widowControl w:val="0"/>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6,90</w:t>
            </w:r>
          </w:p>
        </w:tc>
        <w:tc>
          <w:tcPr>
            <w:tcW w:w="770" w:type="pct"/>
            <w:hideMark/>
          </w:tcPr>
          <w:p w14:paraId="4AF01390" w14:textId="77777777" w:rsidR="00F0088B" w:rsidRPr="00FB0A3A" w:rsidRDefault="00F0088B" w:rsidP="00D20107">
            <w:pPr>
              <w:widowControl w:val="0"/>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6,90</w:t>
            </w:r>
          </w:p>
        </w:tc>
      </w:tr>
      <w:tr w:rsidR="00907AB4" w:rsidRPr="00FB0A3A" w14:paraId="58D0B416" w14:textId="77777777" w:rsidTr="00D20107">
        <w:trPr>
          <w:trHeight w:val="20"/>
        </w:trPr>
        <w:tc>
          <w:tcPr>
            <w:cnfStyle w:val="001000000000" w:firstRow="0" w:lastRow="0" w:firstColumn="1" w:lastColumn="0" w:oddVBand="0" w:evenVBand="0" w:oddHBand="0" w:evenHBand="0" w:firstRowFirstColumn="0" w:firstRowLastColumn="0" w:lastRowFirstColumn="0" w:lastRowLastColumn="0"/>
            <w:tcW w:w="1655" w:type="pct"/>
            <w:hideMark/>
          </w:tcPr>
          <w:p w14:paraId="54298DF1" w14:textId="77777777" w:rsidR="00F0088B" w:rsidRPr="00FB0A3A" w:rsidRDefault="00F0088B" w:rsidP="00D20107">
            <w:pPr>
              <w:widowControl w:val="0"/>
              <w:tabs>
                <w:tab w:val="left" w:pos="1134"/>
              </w:tabs>
              <w:jc w:val="both"/>
              <w:rPr>
                <w:rFonts w:eastAsia="Calibri" w:cs="Times New Roman"/>
                <w:sz w:val="20"/>
                <w:szCs w:val="20"/>
              </w:rPr>
            </w:pPr>
            <w:r w:rsidRPr="00FB0A3A">
              <w:rPr>
                <w:rFonts w:eastAsia="Calibri" w:cs="Times New Roman"/>
                <w:sz w:val="20"/>
                <w:szCs w:val="20"/>
              </w:rPr>
              <w:t xml:space="preserve">4. Объем потерь э/э в ЕНЭС </w:t>
            </w:r>
          </w:p>
        </w:tc>
        <w:tc>
          <w:tcPr>
            <w:tcW w:w="872" w:type="pct"/>
            <w:hideMark/>
          </w:tcPr>
          <w:p w14:paraId="59374645" w14:textId="77777777" w:rsidR="00F0088B" w:rsidRPr="00FB0A3A" w:rsidRDefault="00F0088B" w:rsidP="00D20107">
            <w:pPr>
              <w:widowControl w:val="0"/>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МВт*ч</w:t>
            </w:r>
          </w:p>
        </w:tc>
        <w:tc>
          <w:tcPr>
            <w:tcW w:w="858" w:type="pct"/>
            <w:hideMark/>
          </w:tcPr>
          <w:p w14:paraId="388F983D" w14:textId="77777777" w:rsidR="00F0088B" w:rsidRPr="00FB0A3A" w:rsidRDefault="00F0088B" w:rsidP="00D20107">
            <w:pPr>
              <w:widowControl w:val="0"/>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127 564,59</w:t>
            </w:r>
          </w:p>
        </w:tc>
        <w:tc>
          <w:tcPr>
            <w:tcW w:w="845" w:type="pct"/>
            <w:hideMark/>
          </w:tcPr>
          <w:p w14:paraId="77D02776" w14:textId="77777777" w:rsidR="00F0088B" w:rsidRPr="00FB0A3A" w:rsidRDefault="00F0088B" w:rsidP="00D20107">
            <w:pPr>
              <w:widowControl w:val="0"/>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107 944,08</w:t>
            </w:r>
          </w:p>
        </w:tc>
        <w:tc>
          <w:tcPr>
            <w:tcW w:w="770" w:type="pct"/>
            <w:hideMark/>
          </w:tcPr>
          <w:p w14:paraId="0786C8C4" w14:textId="77777777" w:rsidR="00F0088B" w:rsidRPr="00FB0A3A" w:rsidRDefault="00F0088B" w:rsidP="00D20107">
            <w:pPr>
              <w:widowControl w:val="0"/>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235 508,67</w:t>
            </w:r>
          </w:p>
        </w:tc>
      </w:tr>
      <w:tr w:rsidR="00907AB4" w:rsidRPr="00FB0A3A" w14:paraId="452695A5" w14:textId="77777777" w:rsidTr="00D20107">
        <w:trPr>
          <w:trHeight w:val="20"/>
        </w:trPr>
        <w:tc>
          <w:tcPr>
            <w:cnfStyle w:val="001000000000" w:firstRow="0" w:lastRow="0" w:firstColumn="1" w:lastColumn="0" w:oddVBand="0" w:evenVBand="0" w:oddHBand="0" w:evenHBand="0" w:firstRowFirstColumn="0" w:firstRowLastColumn="0" w:lastRowFirstColumn="0" w:lastRowLastColumn="0"/>
            <w:tcW w:w="1655" w:type="pct"/>
            <w:hideMark/>
          </w:tcPr>
          <w:p w14:paraId="59998243" w14:textId="77777777" w:rsidR="00F0088B" w:rsidRPr="00FB0A3A" w:rsidRDefault="00F0088B" w:rsidP="00D20107">
            <w:pPr>
              <w:widowControl w:val="0"/>
              <w:tabs>
                <w:tab w:val="left" w:pos="1134"/>
              </w:tabs>
              <w:jc w:val="both"/>
              <w:rPr>
                <w:rFonts w:eastAsia="Calibri" w:cs="Times New Roman"/>
                <w:sz w:val="20"/>
                <w:szCs w:val="20"/>
              </w:rPr>
            </w:pPr>
            <w:r w:rsidRPr="00FB0A3A">
              <w:rPr>
                <w:rFonts w:eastAsia="Calibri" w:cs="Times New Roman"/>
                <w:sz w:val="20"/>
                <w:szCs w:val="20"/>
              </w:rPr>
              <w:t>Объем потерь э/э в ЕНЭС по линиям 330 кВ и выше</w:t>
            </w:r>
          </w:p>
        </w:tc>
        <w:tc>
          <w:tcPr>
            <w:tcW w:w="872" w:type="pct"/>
            <w:hideMark/>
          </w:tcPr>
          <w:p w14:paraId="71272F1C" w14:textId="77777777" w:rsidR="00F0088B" w:rsidRPr="00FB0A3A" w:rsidRDefault="00F0088B" w:rsidP="00D20107">
            <w:pPr>
              <w:widowControl w:val="0"/>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МВт*ч</w:t>
            </w:r>
          </w:p>
        </w:tc>
        <w:tc>
          <w:tcPr>
            <w:tcW w:w="858" w:type="pct"/>
            <w:hideMark/>
          </w:tcPr>
          <w:p w14:paraId="07473F29" w14:textId="77777777" w:rsidR="00F0088B" w:rsidRPr="00FB0A3A" w:rsidRDefault="00F0088B" w:rsidP="00D20107">
            <w:pPr>
              <w:widowControl w:val="0"/>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117 116,66</w:t>
            </w:r>
          </w:p>
        </w:tc>
        <w:tc>
          <w:tcPr>
            <w:tcW w:w="845" w:type="pct"/>
            <w:hideMark/>
          </w:tcPr>
          <w:p w14:paraId="534EB048" w14:textId="77777777" w:rsidR="00F0088B" w:rsidRPr="00FB0A3A" w:rsidRDefault="00F0088B" w:rsidP="00D20107">
            <w:pPr>
              <w:widowControl w:val="0"/>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104 202,09</w:t>
            </w:r>
          </w:p>
        </w:tc>
        <w:tc>
          <w:tcPr>
            <w:tcW w:w="770" w:type="pct"/>
            <w:hideMark/>
          </w:tcPr>
          <w:p w14:paraId="0CCD9054" w14:textId="77777777" w:rsidR="00F0088B" w:rsidRPr="00FB0A3A" w:rsidRDefault="00F0088B" w:rsidP="00D20107">
            <w:pPr>
              <w:widowControl w:val="0"/>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221 318,75</w:t>
            </w:r>
          </w:p>
        </w:tc>
      </w:tr>
      <w:tr w:rsidR="00907AB4" w:rsidRPr="00FB0A3A" w14:paraId="418E830E" w14:textId="77777777" w:rsidTr="00D20107">
        <w:trPr>
          <w:trHeight w:val="20"/>
        </w:trPr>
        <w:tc>
          <w:tcPr>
            <w:cnfStyle w:val="001000000000" w:firstRow="0" w:lastRow="0" w:firstColumn="1" w:lastColumn="0" w:oddVBand="0" w:evenVBand="0" w:oddHBand="0" w:evenHBand="0" w:firstRowFirstColumn="0" w:firstRowLastColumn="0" w:lastRowFirstColumn="0" w:lastRowLastColumn="0"/>
            <w:tcW w:w="1655" w:type="pct"/>
            <w:hideMark/>
          </w:tcPr>
          <w:p w14:paraId="7447BE71" w14:textId="77777777" w:rsidR="00F0088B" w:rsidRPr="00FB0A3A" w:rsidRDefault="00F0088B" w:rsidP="00D20107">
            <w:pPr>
              <w:widowControl w:val="0"/>
              <w:tabs>
                <w:tab w:val="left" w:pos="1134"/>
              </w:tabs>
              <w:jc w:val="both"/>
              <w:rPr>
                <w:rFonts w:eastAsia="Calibri" w:cs="Times New Roman"/>
                <w:sz w:val="20"/>
                <w:szCs w:val="20"/>
              </w:rPr>
            </w:pPr>
            <w:r w:rsidRPr="00FB0A3A">
              <w:rPr>
                <w:rFonts w:eastAsia="Calibri" w:cs="Times New Roman"/>
                <w:sz w:val="20"/>
                <w:szCs w:val="20"/>
              </w:rPr>
              <w:t>Объем потерь э/э в ЕНЭС по линиям 220 кВ и ниже</w:t>
            </w:r>
          </w:p>
        </w:tc>
        <w:tc>
          <w:tcPr>
            <w:tcW w:w="872" w:type="pct"/>
            <w:hideMark/>
          </w:tcPr>
          <w:p w14:paraId="7F61FDA4" w14:textId="77777777" w:rsidR="00F0088B" w:rsidRPr="00FB0A3A" w:rsidRDefault="00F0088B" w:rsidP="00D20107">
            <w:pPr>
              <w:widowControl w:val="0"/>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МВт*ч</w:t>
            </w:r>
          </w:p>
        </w:tc>
        <w:tc>
          <w:tcPr>
            <w:tcW w:w="858" w:type="pct"/>
            <w:hideMark/>
          </w:tcPr>
          <w:p w14:paraId="6D4C81E0" w14:textId="77777777" w:rsidR="00F0088B" w:rsidRPr="00FB0A3A" w:rsidRDefault="00F0088B" w:rsidP="00D20107">
            <w:pPr>
              <w:widowControl w:val="0"/>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10 447,93</w:t>
            </w:r>
          </w:p>
        </w:tc>
        <w:tc>
          <w:tcPr>
            <w:tcW w:w="845" w:type="pct"/>
            <w:hideMark/>
          </w:tcPr>
          <w:p w14:paraId="2B1F4D9C" w14:textId="77777777" w:rsidR="00F0088B" w:rsidRPr="00FB0A3A" w:rsidRDefault="00F0088B" w:rsidP="00D20107">
            <w:pPr>
              <w:widowControl w:val="0"/>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3 741,99</w:t>
            </w:r>
          </w:p>
        </w:tc>
        <w:tc>
          <w:tcPr>
            <w:tcW w:w="770" w:type="pct"/>
            <w:hideMark/>
          </w:tcPr>
          <w:p w14:paraId="6AF12E6A" w14:textId="77777777" w:rsidR="00F0088B" w:rsidRPr="00FB0A3A" w:rsidRDefault="00F0088B" w:rsidP="00D20107">
            <w:pPr>
              <w:widowControl w:val="0"/>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14 189,92</w:t>
            </w:r>
          </w:p>
        </w:tc>
      </w:tr>
      <w:tr w:rsidR="00907AB4" w:rsidRPr="00FB0A3A" w14:paraId="6BC16B31" w14:textId="77777777" w:rsidTr="00D20107">
        <w:trPr>
          <w:trHeight w:val="20"/>
        </w:trPr>
        <w:tc>
          <w:tcPr>
            <w:cnfStyle w:val="001000000000" w:firstRow="0" w:lastRow="0" w:firstColumn="1" w:lastColumn="0" w:oddVBand="0" w:evenVBand="0" w:oddHBand="0" w:evenHBand="0" w:firstRowFirstColumn="0" w:firstRowLastColumn="0" w:lastRowFirstColumn="0" w:lastRowLastColumn="0"/>
            <w:tcW w:w="1655" w:type="pct"/>
            <w:hideMark/>
          </w:tcPr>
          <w:p w14:paraId="13469551" w14:textId="77777777" w:rsidR="00F0088B" w:rsidRPr="00FB0A3A" w:rsidRDefault="00F0088B" w:rsidP="00D20107">
            <w:pPr>
              <w:widowControl w:val="0"/>
              <w:tabs>
                <w:tab w:val="left" w:pos="1134"/>
              </w:tabs>
              <w:jc w:val="both"/>
              <w:rPr>
                <w:rFonts w:eastAsia="Calibri" w:cs="Times New Roman"/>
                <w:sz w:val="20"/>
                <w:szCs w:val="20"/>
              </w:rPr>
            </w:pPr>
            <w:r w:rsidRPr="00FB0A3A">
              <w:rPr>
                <w:rFonts w:eastAsia="Calibri" w:cs="Times New Roman"/>
                <w:sz w:val="20"/>
                <w:szCs w:val="20"/>
              </w:rPr>
              <w:t>5. Ставка по оплате потерь</w:t>
            </w:r>
          </w:p>
        </w:tc>
        <w:tc>
          <w:tcPr>
            <w:tcW w:w="872" w:type="pct"/>
            <w:hideMark/>
          </w:tcPr>
          <w:p w14:paraId="15DB071D" w14:textId="77777777" w:rsidR="00F0088B" w:rsidRPr="00FB0A3A" w:rsidRDefault="00F0088B" w:rsidP="00D20107">
            <w:pPr>
              <w:widowControl w:val="0"/>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Руб./МВтч</w:t>
            </w:r>
          </w:p>
        </w:tc>
        <w:tc>
          <w:tcPr>
            <w:tcW w:w="858" w:type="pct"/>
            <w:hideMark/>
          </w:tcPr>
          <w:p w14:paraId="0EACB057" w14:textId="77777777" w:rsidR="00F0088B" w:rsidRPr="00FB0A3A" w:rsidRDefault="00F0088B" w:rsidP="00D20107">
            <w:pPr>
              <w:widowControl w:val="0"/>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1 650,54</w:t>
            </w:r>
          </w:p>
        </w:tc>
        <w:tc>
          <w:tcPr>
            <w:tcW w:w="845" w:type="pct"/>
            <w:hideMark/>
          </w:tcPr>
          <w:p w14:paraId="11F5B40D" w14:textId="77777777" w:rsidR="00F0088B" w:rsidRPr="00FB0A3A" w:rsidRDefault="00F0088B" w:rsidP="00D20107">
            <w:pPr>
              <w:widowControl w:val="0"/>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1 650,54</w:t>
            </w:r>
          </w:p>
        </w:tc>
        <w:tc>
          <w:tcPr>
            <w:tcW w:w="770" w:type="pct"/>
            <w:hideMark/>
          </w:tcPr>
          <w:p w14:paraId="1A092447" w14:textId="77777777" w:rsidR="00F0088B" w:rsidRPr="00FB0A3A" w:rsidRDefault="00F0088B" w:rsidP="00D20107">
            <w:pPr>
              <w:widowControl w:val="0"/>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1 650,54</w:t>
            </w:r>
          </w:p>
        </w:tc>
      </w:tr>
      <w:tr w:rsidR="00907AB4" w:rsidRPr="00FB0A3A" w14:paraId="1E8FF967" w14:textId="77777777" w:rsidTr="00D20107">
        <w:trPr>
          <w:trHeight w:val="20"/>
        </w:trPr>
        <w:tc>
          <w:tcPr>
            <w:cnfStyle w:val="001000000000" w:firstRow="0" w:lastRow="0" w:firstColumn="1" w:lastColumn="0" w:oddVBand="0" w:evenVBand="0" w:oddHBand="0" w:evenHBand="0" w:firstRowFirstColumn="0" w:firstRowLastColumn="0" w:lastRowFirstColumn="0" w:lastRowLastColumn="0"/>
            <w:tcW w:w="1655" w:type="pct"/>
            <w:hideMark/>
          </w:tcPr>
          <w:p w14:paraId="763A27DD" w14:textId="77777777" w:rsidR="00F0088B" w:rsidRPr="00FB0A3A" w:rsidRDefault="00F0088B" w:rsidP="00D20107">
            <w:pPr>
              <w:widowControl w:val="0"/>
              <w:tabs>
                <w:tab w:val="left" w:pos="1134"/>
              </w:tabs>
              <w:jc w:val="both"/>
              <w:rPr>
                <w:rFonts w:eastAsia="Calibri" w:cs="Times New Roman"/>
                <w:sz w:val="20"/>
                <w:szCs w:val="20"/>
              </w:rPr>
            </w:pPr>
            <w:r w:rsidRPr="00FB0A3A">
              <w:rPr>
                <w:rFonts w:eastAsia="Calibri" w:cs="Times New Roman"/>
                <w:sz w:val="20"/>
                <w:szCs w:val="20"/>
              </w:rPr>
              <w:t xml:space="preserve">6. Затраты на покупку потерь </w:t>
            </w:r>
          </w:p>
        </w:tc>
        <w:tc>
          <w:tcPr>
            <w:tcW w:w="872" w:type="pct"/>
            <w:hideMark/>
          </w:tcPr>
          <w:p w14:paraId="30184D3C" w14:textId="77777777" w:rsidR="00F0088B" w:rsidRPr="00FB0A3A" w:rsidRDefault="00F0088B" w:rsidP="00D20107">
            <w:pPr>
              <w:widowControl w:val="0"/>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тыс. руб.</w:t>
            </w:r>
          </w:p>
        </w:tc>
        <w:tc>
          <w:tcPr>
            <w:tcW w:w="858" w:type="pct"/>
            <w:hideMark/>
          </w:tcPr>
          <w:p w14:paraId="2F57CBB1" w14:textId="77777777" w:rsidR="00F0088B" w:rsidRPr="00FB0A3A" w:rsidRDefault="00F0088B" w:rsidP="00D20107">
            <w:pPr>
              <w:widowControl w:val="0"/>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210 550,46</w:t>
            </w:r>
          </w:p>
        </w:tc>
        <w:tc>
          <w:tcPr>
            <w:tcW w:w="845" w:type="pct"/>
            <w:hideMark/>
          </w:tcPr>
          <w:p w14:paraId="562E176C" w14:textId="77777777" w:rsidR="00F0088B" w:rsidRPr="00FB0A3A" w:rsidRDefault="00F0088B" w:rsidP="00D20107">
            <w:pPr>
              <w:widowControl w:val="0"/>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178 166,03</w:t>
            </w:r>
          </w:p>
        </w:tc>
        <w:tc>
          <w:tcPr>
            <w:tcW w:w="770" w:type="pct"/>
            <w:hideMark/>
          </w:tcPr>
          <w:p w14:paraId="41456712" w14:textId="77777777" w:rsidR="00F0088B" w:rsidRPr="00FB0A3A" w:rsidRDefault="00F0088B" w:rsidP="00D20107">
            <w:pPr>
              <w:widowControl w:val="0"/>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388 716,49</w:t>
            </w:r>
          </w:p>
        </w:tc>
      </w:tr>
      <w:tr w:rsidR="00907AB4" w:rsidRPr="00FB0A3A" w14:paraId="6D7644E3" w14:textId="77777777" w:rsidTr="00D20107">
        <w:trPr>
          <w:trHeight w:val="20"/>
        </w:trPr>
        <w:tc>
          <w:tcPr>
            <w:cnfStyle w:val="001000000000" w:firstRow="0" w:lastRow="0" w:firstColumn="1" w:lastColumn="0" w:oddVBand="0" w:evenVBand="0" w:oddHBand="0" w:evenHBand="0" w:firstRowFirstColumn="0" w:firstRowLastColumn="0" w:lastRowFirstColumn="0" w:lastRowLastColumn="0"/>
            <w:tcW w:w="1655" w:type="pct"/>
            <w:hideMark/>
          </w:tcPr>
          <w:p w14:paraId="145FB26C" w14:textId="605A84FA" w:rsidR="00F0088B" w:rsidRPr="00FB0A3A" w:rsidRDefault="00F0088B" w:rsidP="00D20107">
            <w:pPr>
              <w:widowControl w:val="0"/>
              <w:tabs>
                <w:tab w:val="left" w:pos="1134"/>
              </w:tabs>
              <w:jc w:val="both"/>
              <w:rPr>
                <w:rFonts w:eastAsia="Calibri" w:cs="Times New Roman"/>
                <w:sz w:val="20"/>
                <w:szCs w:val="20"/>
              </w:rPr>
            </w:pPr>
            <w:r w:rsidRPr="00FB0A3A">
              <w:rPr>
                <w:rFonts w:eastAsia="Calibri" w:cs="Times New Roman"/>
                <w:sz w:val="20"/>
                <w:szCs w:val="20"/>
              </w:rPr>
              <w:t xml:space="preserve">7. Услуги ПАО </w:t>
            </w:r>
            <w:r w:rsidR="00655FFA" w:rsidRPr="00FB0A3A">
              <w:rPr>
                <w:rFonts w:eastAsia="Calibri" w:cs="Times New Roman"/>
                <w:sz w:val="20"/>
                <w:szCs w:val="20"/>
              </w:rPr>
              <w:t>«</w:t>
            </w:r>
            <w:r w:rsidRPr="00FB0A3A">
              <w:rPr>
                <w:rFonts w:eastAsia="Calibri" w:cs="Times New Roman"/>
                <w:sz w:val="20"/>
                <w:szCs w:val="20"/>
              </w:rPr>
              <w:t>ФСК ЕЭС</w:t>
            </w:r>
            <w:r w:rsidR="00655FFA" w:rsidRPr="00FB0A3A">
              <w:rPr>
                <w:rFonts w:eastAsia="Calibri" w:cs="Times New Roman"/>
                <w:sz w:val="20"/>
                <w:szCs w:val="20"/>
              </w:rPr>
              <w:t>»</w:t>
            </w:r>
            <w:r w:rsidRPr="00FB0A3A">
              <w:rPr>
                <w:rFonts w:eastAsia="Calibri" w:cs="Times New Roman"/>
                <w:sz w:val="20"/>
                <w:szCs w:val="20"/>
              </w:rPr>
              <w:t xml:space="preserve"> - всего </w:t>
            </w:r>
          </w:p>
        </w:tc>
        <w:tc>
          <w:tcPr>
            <w:tcW w:w="872" w:type="pct"/>
            <w:hideMark/>
          </w:tcPr>
          <w:p w14:paraId="364C9015" w14:textId="77777777" w:rsidR="00F0088B" w:rsidRPr="00FB0A3A" w:rsidRDefault="00F0088B" w:rsidP="00D20107">
            <w:pPr>
              <w:widowControl w:val="0"/>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тыс. руб.</w:t>
            </w:r>
          </w:p>
        </w:tc>
        <w:tc>
          <w:tcPr>
            <w:tcW w:w="858" w:type="pct"/>
            <w:hideMark/>
          </w:tcPr>
          <w:p w14:paraId="32404DF8" w14:textId="77777777" w:rsidR="00F0088B" w:rsidRPr="00FB0A3A" w:rsidRDefault="00F0088B" w:rsidP="00D20107">
            <w:pPr>
              <w:widowControl w:val="0"/>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1 273 552,53</w:t>
            </w:r>
          </w:p>
        </w:tc>
        <w:tc>
          <w:tcPr>
            <w:tcW w:w="845" w:type="pct"/>
            <w:hideMark/>
          </w:tcPr>
          <w:p w14:paraId="67FC02DA" w14:textId="77777777" w:rsidR="00F0088B" w:rsidRPr="00FB0A3A" w:rsidRDefault="00F0088B" w:rsidP="00D20107">
            <w:pPr>
              <w:widowControl w:val="0"/>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1 233 846,94</w:t>
            </w:r>
          </w:p>
        </w:tc>
        <w:tc>
          <w:tcPr>
            <w:tcW w:w="770" w:type="pct"/>
            <w:hideMark/>
          </w:tcPr>
          <w:p w14:paraId="4A064447" w14:textId="77777777" w:rsidR="00F0088B" w:rsidRPr="00FB0A3A" w:rsidRDefault="00F0088B" w:rsidP="00D20107">
            <w:pPr>
              <w:widowControl w:val="0"/>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2 507 399,48</w:t>
            </w:r>
          </w:p>
        </w:tc>
      </w:tr>
    </w:tbl>
    <w:p w14:paraId="6D3DA449" w14:textId="77777777" w:rsidR="00F0088B" w:rsidRPr="00FB0A3A" w:rsidRDefault="00F0088B" w:rsidP="00A31747">
      <w:pPr>
        <w:tabs>
          <w:tab w:val="left" w:pos="1134"/>
        </w:tabs>
        <w:spacing w:after="0" w:line="360" w:lineRule="auto"/>
        <w:ind w:firstLine="567"/>
        <w:jc w:val="both"/>
        <w:rPr>
          <w:rFonts w:ascii="Myriad Pro" w:eastAsia="Calibri" w:hAnsi="Myriad Pro" w:cs="Times New Roman"/>
          <w:sz w:val="26"/>
          <w:szCs w:val="26"/>
        </w:rPr>
      </w:pPr>
    </w:p>
    <w:p w14:paraId="206827D3" w14:textId="77777777" w:rsidR="00F0088B" w:rsidRPr="00FB0A3A" w:rsidRDefault="00F0088B" w:rsidP="00D20107">
      <w:pPr>
        <w:tabs>
          <w:tab w:val="left" w:pos="1134"/>
        </w:tabs>
        <w:spacing w:after="0" w:line="360" w:lineRule="auto"/>
        <w:jc w:val="both"/>
        <w:rPr>
          <w:rFonts w:ascii="Myriad Pro" w:eastAsia="Calibri" w:hAnsi="Myriad Pro" w:cs="Times New Roman"/>
          <w:b/>
          <w:sz w:val="26"/>
          <w:szCs w:val="26"/>
        </w:rPr>
      </w:pPr>
      <w:r w:rsidRPr="00FB0A3A">
        <w:rPr>
          <w:rFonts w:ascii="Myriad Pro" w:eastAsia="Calibri" w:hAnsi="Myriad Pro" w:cs="Times New Roman"/>
          <w:b/>
          <w:sz w:val="26"/>
          <w:szCs w:val="26"/>
        </w:rPr>
        <w:lastRenderedPageBreak/>
        <w:t>ПОЗИЦИЯ ОРГАНА РЕГУЛИРОВАНИЯ</w:t>
      </w:r>
    </w:p>
    <w:p w14:paraId="56CC819F" w14:textId="77777777" w:rsidR="00F0088B" w:rsidRPr="00FB0A3A" w:rsidRDefault="00F0088B" w:rsidP="00A31747">
      <w:pPr>
        <w:tabs>
          <w:tab w:val="left" w:pos="1134"/>
        </w:tabs>
        <w:spacing w:after="0" w:line="360" w:lineRule="auto"/>
        <w:ind w:firstLine="567"/>
        <w:jc w:val="both"/>
        <w:rPr>
          <w:rFonts w:ascii="Myriad Pro" w:eastAsia="Calibri" w:hAnsi="Myriad Pro" w:cs="Times New Roman"/>
          <w:sz w:val="26"/>
          <w:szCs w:val="26"/>
        </w:rPr>
      </w:pPr>
      <w:r w:rsidRPr="00FB0A3A">
        <w:rPr>
          <w:rFonts w:ascii="Myriad Pro" w:eastAsia="Calibri" w:hAnsi="Myriad Pro" w:cs="Times New Roman"/>
          <w:sz w:val="26"/>
          <w:szCs w:val="26"/>
        </w:rPr>
        <w:t>Величина расходов, принятая регулирующим органом на 2019 год:</w:t>
      </w:r>
    </w:p>
    <w:p w14:paraId="7E95A4E6" w14:textId="393F85F4" w:rsidR="00F0088B" w:rsidRPr="00FB0A3A" w:rsidRDefault="00F0088B" w:rsidP="009B0BC1">
      <w:pPr>
        <w:pStyle w:val="a4"/>
        <w:numPr>
          <w:ilvl w:val="0"/>
          <w:numId w:val="58"/>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экономически обоснованный уровень – 2 550 894,70 тыс. руб.;</w:t>
      </w:r>
    </w:p>
    <w:p w14:paraId="4DE3FA39" w14:textId="77777777" w:rsidR="00F0088B" w:rsidRPr="00FB0A3A" w:rsidRDefault="00F0088B" w:rsidP="00A31747">
      <w:pPr>
        <w:tabs>
          <w:tab w:val="left" w:pos="1134"/>
        </w:tabs>
        <w:spacing w:after="0" w:line="360" w:lineRule="auto"/>
        <w:ind w:firstLine="567"/>
        <w:jc w:val="both"/>
        <w:rPr>
          <w:rFonts w:ascii="Myriad Pro" w:eastAsia="Calibri" w:hAnsi="Myriad Pro" w:cs="Times New Roman"/>
          <w:sz w:val="26"/>
          <w:szCs w:val="26"/>
        </w:rPr>
      </w:pPr>
      <w:r w:rsidRPr="00FB0A3A">
        <w:rPr>
          <w:rFonts w:ascii="Myriad Pro" w:eastAsia="Calibri" w:hAnsi="Myriad Pro" w:cs="Times New Roman"/>
          <w:sz w:val="26"/>
          <w:szCs w:val="26"/>
        </w:rPr>
        <w:t>Комитетом расчет платы скорректирован в соответствии с параметрами сводного прогнозного баланса на 2019 год и проектом приказа ФАС России об утверждении ставок на 2019 год.</w:t>
      </w:r>
    </w:p>
    <w:p w14:paraId="1DF417A7" w14:textId="77777777" w:rsidR="00F0088B" w:rsidRPr="00FB0A3A" w:rsidRDefault="00F0088B" w:rsidP="00D20107">
      <w:pPr>
        <w:tabs>
          <w:tab w:val="left" w:pos="1134"/>
        </w:tabs>
        <w:spacing w:after="0" w:line="360" w:lineRule="auto"/>
        <w:jc w:val="both"/>
        <w:rPr>
          <w:rFonts w:ascii="Myriad Pro" w:eastAsia="Calibri" w:hAnsi="Myriad Pro" w:cs="Times New Roman"/>
          <w:b/>
          <w:sz w:val="26"/>
          <w:szCs w:val="26"/>
        </w:rPr>
      </w:pPr>
      <w:r w:rsidRPr="00FB0A3A">
        <w:rPr>
          <w:rFonts w:ascii="Myriad Pro" w:eastAsia="Calibri" w:hAnsi="Myriad Pro" w:cs="Times New Roman"/>
          <w:b/>
          <w:sz w:val="26"/>
          <w:szCs w:val="26"/>
        </w:rPr>
        <w:t>ПОЗИЦИЯ ИСПОЛНИТЕЛЯ</w:t>
      </w:r>
    </w:p>
    <w:p w14:paraId="383C20D5" w14:textId="23DE2A69" w:rsidR="00F0088B" w:rsidRPr="00FB0A3A" w:rsidRDefault="00F0088B" w:rsidP="00A31747">
      <w:pPr>
        <w:tabs>
          <w:tab w:val="left" w:pos="1134"/>
        </w:tabs>
        <w:spacing w:after="0" w:line="360" w:lineRule="auto"/>
        <w:ind w:firstLine="567"/>
        <w:jc w:val="both"/>
        <w:rPr>
          <w:rFonts w:ascii="Myriad Pro" w:eastAsia="Calibri" w:hAnsi="Myriad Pro" w:cs="Times New Roman"/>
          <w:sz w:val="26"/>
          <w:szCs w:val="26"/>
        </w:rPr>
      </w:pPr>
      <w:r w:rsidRPr="00FB0A3A">
        <w:rPr>
          <w:rFonts w:ascii="Myriad Pro" w:eastAsia="Calibri" w:hAnsi="Myriad Pro" w:cs="Times New Roman"/>
          <w:sz w:val="26"/>
          <w:szCs w:val="26"/>
        </w:rPr>
        <w:t xml:space="preserve">Исполнитель соглашается с Комитетом с использованием при расчете расходов на услуги по организации функционирования </w:t>
      </w:r>
      <w:r w:rsidR="00D7672B" w:rsidRPr="00FB0A3A">
        <w:rPr>
          <w:rFonts w:ascii="Myriad Pro" w:eastAsia="Calibri" w:hAnsi="Myriad Pro" w:cs="Times New Roman"/>
          <w:sz w:val="26"/>
          <w:szCs w:val="26"/>
        </w:rPr>
        <w:t>ОАО РАО «</w:t>
      </w:r>
      <w:r w:rsidRPr="00FB0A3A">
        <w:rPr>
          <w:rFonts w:ascii="Myriad Pro" w:eastAsia="Calibri" w:hAnsi="Myriad Pro" w:cs="Times New Roman"/>
          <w:sz w:val="26"/>
          <w:szCs w:val="26"/>
        </w:rPr>
        <w:t>ЕЭС России</w:t>
      </w:r>
      <w:r w:rsidR="00D7672B" w:rsidRPr="00FB0A3A">
        <w:rPr>
          <w:rFonts w:ascii="Myriad Pro" w:eastAsia="Calibri" w:hAnsi="Myriad Pro" w:cs="Times New Roman"/>
          <w:sz w:val="26"/>
          <w:szCs w:val="26"/>
        </w:rPr>
        <w:t>»</w:t>
      </w:r>
      <w:r w:rsidRPr="00FB0A3A">
        <w:rPr>
          <w:rFonts w:ascii="Myriad Pro" w:eastAsia="Calibri" w:hAnsi="Myriad Pro" w:cs="Times New Roman"/>
          <w:sz w:val="26"/>
          <w:szCs w:val="26"/>
        </w:rPr>
        <w:t xml:space="preserve"> ставки тарифа на услуги по передаче электрической энергии на содержание объектов электросетевого хозяйства, входящих в единую национальную (общероссийскую) электрическую сеть в соответствии с приказом ФАС России от 06.12.2018 №1710/18 в размере с 1 января по 30 июня 2019 г. – 173 164,15 руб./ МВт*в мес., с 1 июля 182 697,68  руб./ МВт*в мес. Плата за содержание составила 2 144 042,5 тыс. руб.</w:t>
      </w:r>
    </w:p>
    <w:p w14:paraId="75C469EF" w14:textId="16ACDA10" w:rsidR="00F0088B" w:rsidRPr="00FB0A3A" w:rsidRDefault="00F0088B" w:rsidP="00A31747">
      <w:pPr>
        <w:tabs>
          <w:tab w:val="left" w:pos="1134"/>
        </w:tabs>
        <w:spacing w:after="0" w:line="360" w:lineRule="auto"/>
        <w:ind w:firstLine="567"/>
        <w:jc w:val="both"/>
        <w:rPr>
          <w:rFonts w:ascii="Myriad Pro" w:eastAsia="Calibri" w:hAnsi="Myriad Pro" w:cs="Times New Roman"/>
          <w:sz w:val="26"/>
          <w:szCs w:val="26"/>
        </w:rPr>
      </w:pPr>
      <w:r w:rsidRPr="00FB0A3A">
        <w:rPr>
          <w:rFonts w:ascii="Myriad Pro" w:eastAsia="Calibri" w:hAnsi="Myriad Pro" w:cs="Times New Roman"/>
          <w:sz w:val="26"/>
          <w:szCs w:val="26"/>
        </w:rPr>
        <w:t xml:space="preserve">По результатам анализа документов, предоставленных филиалом </w:t>
      </w:r>
      <w:r w:rsidR="00350B0A" w:rsidRPr="00FB0A3A">
        <w:rPr>
          <w:rFonts w:ascii="Myriad Pro" w:eastAsia="Calibri" w:hAnsi="Myriad Pro" w:cs="Times New Roman"/>
          <w:sz w:val="26"/>
          <w:szCs w:val="26"/>
        </w:rPr>
        <w:t xml:space="preserve">ПАО </w:t>
      </w:r>
      <w:r w:rsidR="00655FFA" w:rsidRPr="00FB0A3A">
        <w:rPr>
          <w:rFonts w:ascii="Myriad Pro" w:eastAsia="Calibri" w:hAnsi="Myriad Pro" w:cs="Times New Roman"/>
          <w:sz w:val="26"/>
          <w:szCs w:val="26"/>
        </w:rPr>
        <w:t>«</w:t>
      </w:r>
      <w:r w:rsidR="00350B0A" w:rsidRPr="00FB0A3A">
        <w:rPr>
          <w:rFonts w:ascii="Myriad Pro" w:eastAsia="Calibri" w:hAnsi="Myriad Pro" w:cs="Times New Roman"/>
          <w:sz w:val="26"/>
          <w:szCs w:val="26"/>
        </w:rPr>
        <w:t>МРСК Северо-Запада</w:t>
      </w:r>
      <w:r w:rsidR="00655FFA" w:rsidRPr="00FB0A3A">
        <w:rPr>
          <w:rFonts w:ascii="Myriad Pro" w:eastAsia="Calibri" w:hAnsi="Myriad Pro" w:cs="Times New Roman"/>
          <w:sz w:val="26"/>
          <w:szCs w:val="26"/>
        </w:rPr>
        <w:t>»</w:t>
      </w:r>
      <w:r w:rsidR="00350B0A" w:rsidRPr="00FB0A3A">
        <w:rPr>
          <w:rFonts w:ascii="Myriad Pro" w:eastAsia="Calibri" w:hAnsi="Myriad Pro" w:cs="Times New Roman"/>
          <w:sz w:val="26"/>
          <w:szCs w:val="26"/>
        </w:rPr>
        <w:t xml:space="preserve"> </w:t>
      </w:r>
      <w:r w:rsidR="00655FFA" w:rsidRPr="00FB0A3A">
        <w:rPr>
          <w:rFonts w:ascii="Myriad Pro" w:eastAsia="Calibri" w:hAnsi="Myriad Pro" w:cs="Times New Roman"/>
          <w:sz w:val="26"/>
          <w:szCs w:val="26"/>
        </w:rPr>
        <w:t>«</w:t>
      </w:r>
      <w:r w:rsidR="00350B0A" w:rsidRPr="0032232D">
        <w:rPr>
          <w:rFonts w:ascii="Myriad Pro" w:eastAsia="Calibri" w:hAnsi="Myriad Pro" w:cs="Times New Roman"/>
          <w:sz w:val="26"/>
          <w:szCs w:val="26"/>
        </w:rPr>
        <w:t>Колэнерго</w:t>
      </w:r>
      <w:r w:rsidR="00655FFA" w:rsidRPr="0032232D">
        <w:rPr>
          <w:rFonts w:ascii="Myriad Pro" w:eastAsia="Calibri" w:hAnsi="Myriad Pro" w:cs="Times New Roman"/>
          <w:sz w:val="26"/>
          <w:szCs w:val="26"/>
        </w:rPr>
        <w:t>»</w:t>
      </w:r>
      <w:r w:rsidRPr="0032232D">
        <w:rPr>
          <w:rFonts w:ascii="Myriad Pro" w:eastAsia="Calibri" w:hAnsi="Myriad Pro" w:cs="Times New Roman"/>
          <w:sz w:val="26"/>
          <w:szCs w:val="26"/>
        </w:rPr>
        <w:t xml:space="preserve"> в Комитет для обоснования заявляемых расходов по статье, Исполнитель отмечает следующее</w:t>
      </w:r>
      <w:r w:rsidRPr="00FB0A3A">
        <w:rPr>
          <w:rFonts w:ascii="Myriad Pro" w:eastAsia="Calibri" w:hAnsi="Myriad Pro" w:cs="Times New Roman"/>
          <w:sz w:val="26"/>
          <w:szCs w:val="26"/>
        </w:rPr>
        <w:t>.</w:t>
      </w:r>
    </w:p>
    <w:p w14:paraId="0B20FEDF" w14:textId="19C9D1E6" w:rsidR="00F0088B" w:rsidRPr="00FB0A3A" w:rsidRDefault="00F0088B" w:rsidP="00A31747">
      <w:pPr>
        <w:tabs>
          <w:tab w:val="left" w:pos="1134"/>
        </w:tabs>
        <w:spacing w:after="0" w:line="360" w:lineRule="auto"/>
        <w:ind w:firstLine="567"/>
        <w:jc w:val="both"/>
        <w:rPr>
          <w:rFonts w:ascii="Myriad Pro" w:eastAsia="Calibri" w:hAnsi="Myriad Pro" w:cs="Times New Roman"/>
          <w:sz w:val="26"/>
          <w:szCs w:val="26"/>
        </w:rPr>
      </w:pPr>
      <w:r w:rsidRPr="00FB0A3A">
        <w:rPr>
          <w:rFonts w:ascii="Myriad Pro" w:eastAsia="Calibri" w:hAnsi="Myriad Pro" w:cs="Times New Roman"/>
          <w:sz w:val="26"/>
          <w:szCs w:val="26"/>
        </w:rPr>
        <w:t xml:space="preserve">В материалах дела отсутствует информация из </w:t>
      </w:r>
      <w:r w:rsidR="0054216F" w:rsidRPr="00FB0A3A">
        <w:rPr>
          <w:rFonts w:ascii="Myriad Pro" w:eastAsia="Calibri" w:hAnsi="Myriad Pro" w:cs="Times New Roman"/>
          <w:sz w:val="26"/>
          <w:szCs w:val="26"/>
        </w:rPr>
        <w:t xml:space="preserve">утвержденного </w:t>
      </w:r>
      <w:r w:rsidRPr="00FB0A3A">
        <w:rPr>
          <w:rFonts w:ascii="Myriad Pro" w:eastAsia="Calibri" w:hAnsi="Myriad Pro" w:cs="Times New Roman"/>
          <w:sz w:val="26"/>
          <w:szCs w:val="26"/>
        </w:rPr>
        <w:t>Сводного прогнозного баланса электрической энергии (мощности), в связи с чем Исполнитель не может ни опровергнуть, ни подтвердить информацию по величине заявленной мощности (1004,68 МВт) и величине потерь электрической энергии в сетях ЕНЭС (240,32 МВт</w:t>
      </w:r>
      <w:r w:rsidR="003A770A" w:rsidRPr="00FB0A3A">
        <w:rPr>
          <w:rFonts w:ascii="Myriad Pro" w:eastAsia="Calibri" w:hAnsi="Myriad Pro" w:cs="Times New Roman"/>
          <w:sz w:val="26"/>
          <w:szCs w:val="26"/>
        </w:rPr>
        <w:t>*</w:t>
      </w:r>
      <w:r w:rsidRPr="00FB0A3A">
        <w:rPr>
          <w:rFonts w:ascii="Myriad Pro" w:eastAsia="Calibri" w:hAnsi="Myriad Pro" w:cs="Times New Roman"/>
          <w:sz w:val="26"/>
          <w:szCs w:val="26"/>
        </w:rPr>
        <w:t xml:space="preserve">ч), принятой в расчете затрат на 2019 год. </w:t>
      </w:r>
    </w:p>
    <w:p w14:paraId="0BDE6D08" w14:textId="3068F1FD" w:rsidR="00F0088B" w:rsidRPr="00FB0A3A" w:rsidRDefault="00F0088B" w:rsidP="00A31747">
      <w:pPr>
        <w:tabs>
          <w:tab w:val="left" w:pos="1134"/>
        </w:tabs>
        <w:spacing w:after="0" w:line="360" w:lineRule="auto"/>
        <w:ind w:firstLine="567"/>
        <w:jc w:val="both"/>
        <w:rPr>
          <w:rFonts w:ascii="Myriad Pro" w:eastAsia="Calibri" w:hAnsi="Myriad Pro" w:cs="Times New Roman"/>
          <w:sz w:val="26"/>
          <w:szCs w:val="26"/>
        </w:rPr>
      </w:pPr>
      <w:r w:rsidRPr="00FB0A3A">
        <w:rPr>
          <w:rFonts w:ascii="Myriad Pro" w:eastAsia="Calibri" w:hAnsi="Myriad Pro" w:cs="Times New Roman"/>
          <w:sz w:val="26"/>
          <w:szCs w:val="26"/>
        </w:rPr>
        <w:t>В связи с отсутствием информации по величине потерь электрической энергии в сетях ЕНЭС Исполнитель применяет объем потерь, учтенный Комитетом, который должен был при расчете расходов применить объем потерь, учтенный в прогнозном балансе электрической энергии (мощности), у</w:t>
      </w:r>
      <w:r w:rsidR="00732134" w:rsidRPr="00FB0A3A">
        <w:rPr>
          <w:rFonts w:ascii="Myriad Pro" w:eastAsia="Calibri" w:hAnsi="Myriad Pro" w:cs="Times New Roman"/>
          <w:sz w:val="26"/>
          <w:szCs w:val="26"/>
        </w:rPr>
        <w:t>твержденном приказом ФАС России.</w:t>
      </w:r>
    </w:p>
    <w:p w14:paraId="6F099256" w14:textId="3B9E7725" w:rsidR="00F0088B" w:rsidRPr="00FB0A3A" w:rsidRDefault="00F0088B" w:rsidP="00A31747">
      <w:pPr>
        <w:tabs>
          <w:tab w:val="left" w:pos="1134"/>
        </w:tabs>
        <w:spacing w:after="0" w:line="360" w:lineRule="auto"/>
        <w:ind w:firstLine="567"/>
        <w:jc w:val="both"/>
        <w:rPr>
          <w:rFonts w:ascii="Myriad Pro" w:eastAsia="Calibri" w:hAnsi="Myriad Pro" w:cs="Times New Roman"/>
          <w:sz w:val="26"/>
          <w:szCs w:val="26"/>
        </w:rPr>
      </w:pPr>
      <w:r w:rsidRPr="00FB0A3A">
        <w:rPr>
          <w:rFonts w:ascii="Myriad Pro" w:eastAsia="Calibri" w:hAnsi="Myriad Pro" w:cs="Times New Roman"/>
          <w:sz w:val="26"/>
          <w:szCs w:val="26"/>
        </w:rPr>
        <w:t xml:space="preserve">Ставка на оплату потерь в сетях ЕНЭС на 2019 год Исполнителем определена в соответствии с информацией опубликованной на официальном сайте Ассоциации </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НП Совет рынка</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 xml:space="preserve"> </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 xml:space="preserve">Прогнозные значения ставки тарифа на услуги по </w:t>
      </w:r>
      <w:r w:rsidRPr="00FB0A3A">
        <w:rPr>
          <w:rFonts w:ascii="Myriad Pro" w:eastAsia="Calibri" w:hAnsi="Myriad Pro" w:cs="Times New Roman"/>
          <w:sz w:val="26"/>
          <w:szCs w:val="26"/>
        </w:rPr>
        <w:lastRenderedPageBreak/>
        <w:t>передаче электрической энергии, используемой для целей определения расходов на оплату нормативных потерь электрической энергии при ее передаче по электрическим сетям единой национальной (общероссийской) электрической сети, на следующий период регулирования по субъектам Российской Федерации на 2019 год (актуальной по состоянию на 20.12.2018) в размере 1404 руб./МВт</w:t>
      </w:r>
      <w:r w:rsidR="00027871" w:rsidRPr="00FB0A3A">
        <w:rPr>
          <w:rFonts w:ascii="Myriad Pro" w:eastAsia="Calibri" w:hAnsi="Myriad Pro" w:cs="Times New Roman"/>
          <w:sz w:val="26"/>
          <w:szCs w:val="26"/>
        </w:rPr>
        <w:t>*</w:t>
      </w:r>
      <w:r w:rsidRPr="00FB0A3A">
        <w:rPr>
          <w:rFonts w:ascii="Myriad Pro" w:eastAsia="Calibri" w:hAnsi="Myriad Pro" w:cs="Times New Roman"/>
          <w:sz w:val="26"/>
          <w:szCs w:val="26"/>
        </w:rPr>
        <w:t>ч.</w:t>
      </w:r>
    </w:p>
    <w:p w14:paraId="65489504" w14:textId="68AA1288" w:rsidR="00732134" w:rsidRPr="00FB0A3A" w:rsidRDefault="00F0088B" w:rsidP="00A31747">
      <w:pPr>
        <w:tabs>
          <w:tab w:val="left" w:pos="1134"/>
        </w:tabs>
        <w:spacing w:after="0" w:line="360" w:lineRule="auto"/>
        <w:ind w:firstLine="567"/>
        <w:jc w:val="both"/>
        <w:rPr>
          <w:rFonts w:ascii="Myriad Pro" w:eastAsia="Calibri" w:hAnsi="Myriad Pro" w:cs="Times New Roman"/>
          <w:sz w:val="26"/>
          <w:szCs w:val="26"/>
        </w:rPr>
      </w:pPr>
      <w:r w:rsidRPr="00FB0A3A">
        <w:rPr>
          <w:rFonts w:ascii="Myriad Pro" w:eastAsia="Calibri" w:hAnsi="Myriad Pro" w:cs="Times New Roman"/>
          <w:sz w:val="26"/>
          <w:szCs w:val="26"/>
        </w:rPr>
        <w:t>Ставка на оплату потерь в сетях ЕНЭС на 2019 год в размере 1</w:t>
      </w:r>
      <w:r w:rsidR="00027871" w:rsidRPr="00FB0A3A">
        <w:rPr>
          <w:rFonts w:ascii="Myriad Pro" w:eastAsia="Calibri" w:hAnsi="Myriad Pro" w:cs="Times New Roman"/>
          <w:sz w:val="26"/>
          <w:szCs w:val="26"/>
        </w:rPr>
        <w:t> </w:t>
      </w:r>
      <w:r w:rsidRPr="00FB0A3A">
        <w:rPr>
          <w:rFonts w:ascii="Myriad Pro" w:eastAsia="Calibri" w:hAnsi="Myriad Pro" w:cs="Times New Roman"/>
          <w:sz w:val="26"/>
          <w:szCs w:val="26"/>
        </w:rPr>
        <w:t>692,96 руб./МВт</w:t>
      </w:r>
      <w:r w:rsidR="00027871" w:rsidRPr="00FB0A3A">
        <w:rPr>
          <w:rFonts w:ascii="Myriad Pro" w:eastAsia="Calibri" w:hAnsi="Myriad Pro" w:cs="Times New Roman"/>
          <w:sz w:val="26"/>
          <w:szCs w:val="26"/>
        </w:rPr>
        <w:t>*</w:t>
      </w:r>
      <w:r w:rsidRPr="00FB0A3A">
        <w:rPr>
          <w:rFonts w:ascii="Myriad Pro" w:eastAsia="Calibri" w:hAnsi="Myriad Pro" w:cs="Times New Roman"/>
          <w:sz w:val="26"/>
          <w:szCs w:val="26"/>
        </w:rPr>
        <w:t xml:space="preserve">ч, учтенная Комитетом при расчете </w:t>
      </w:r>
      <w:r w:rsidR="00027871" w:rsidRPr="00FB0A3A">
        <w:rPr>
          <w:rFonts w:ascii="Myriad Pro" w:eastAsia="Calibri" w:hAnsi="Myriad Pro" w:cs="Times New Roman"/>
          <w:sz w:val="26"/>
          <w:szCs w:val="26"/>
        </w:rPr>
        <w:t>расходов на оплату услуг ПАО </w:t>
      </w:r>
      <w:r w:rsidR="00655FFA" w:rsidRPr="00FB0A3A">
        <w:rPr>
          <w:rFonts w:ascii="Myriad Pro" w:eastAsia="Calibri" w:hAnsi="Myriad Pro" w:cs="Times New Roman"/>
          <w:sz w:val="26"/>
          <w:szCs w:val="26"/>
        </w:rPr>
        <w:t>«</w:t>
      </w:r>
      <w:r w:rsidR="00027871" w:rsidRPr="00FB0A3A">
        <w:rPr>
          <w:rFonts w:ascii="Myriad Pro" w:eastAsia="Calibri" w:hAnsi="Myriad Pro" w:cs="Times New Roman"/>
          <w:sz w:val="26"/>
          <w:szCs w:val="26"/>
        </w:rPr>
        <w:t>ФСК ЕЭС</w:t>
      </w:r>
      <w:r w:rsidR="00655FFA" w:rsidRPr="00FB0A3A">
        <w:rPr>
          <w:rFonts w:ascii="Myriad Pro" w:eastAsia="Calibri" w:hAnsi="Myriad Pro" w:cs="Times New Roman"/>
          <w:sz w:val="26"/>
          <w:szCs w:val="26"/>
        </w:rPr>
        <w:t xml:space="preserve">» </w:t>
      </w:r>
      <w:r w:rsidRPr="00FB0A3A">
        <w:rPr>
          <w:rFonts w:ascii="Myriad Pro" w:eastAsia="Calibri" w:hAnsi="Myriad Pro" w:cs="Times New Roman"/>
          <w:sz w:val="26"/>
          <w:szCs w:val="26"/>
        </w:rPr>
        <w:t>не соответствует:</w:t>
      </w:r>
    </w:p>
    <w:p w14:paraId="5D3FE38D" w14:textId="07B7CE8B" w:rsidR="00F0088B" w:rsidRPr="00FB0A3A" w:rsidRDefault="00F0088B" w:rsidP="009B0BC1">
      <w:pPr>
        <w:pStyle w:val="a4"/>
        <w:numPr>
          <w:ilvl w:val="0"/>
          <w:numId w:val="59"/>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ставке, опубликованной на официальном са</w:t>
      </w:r>
      <w:r w:rsidR="00732134" w:rsidRPr="00FB0A3A">
        <w:rPr>
          <w:rFonts w:ascii="Myriad Pro" w:hAnsi="Myriad Pro"/>
          <w:sz w:val="26"/>
          <w:szCs w:val="26"/>
        </w:rPr>
        <w:t xml:space="preserve">йте Ассоциации </w:t>
      </w:r>
      <w:r w:rsidR="00655FFA" w:rsidRPr="00FB0A3A">
        <w:rPr>
          <w:rFonts w:ascii="Myriad Pro" w:hAnsi="Myriad Pro"/>
          <w:sz w:val="26"/>
          <w:szCs w:val="26"/>
        </w:rPr>
        <w:t>«</w:t>
      </w:r>
      <w:r w:rsidR="00732134" w:rsidRPr="00FB0A3A">
        <w:rPr>
          <w:rFonts w:ascii="Myriad Pro" w:hAnsi="Myriad Pro"/>
          <w:sz w:val="26"/>
          <w:szCs w:val="26"/>
        </w:rPr>
        <w:t>НП Совет рынка</w:t>
      </w:r>
      <w:r w:rsidR="00655FFA" w:rsidRPr="00FB0A3A">
        <w:rPr>
          <w:rFonts w:ascii="Myriad Pro" w:hAnsi="Myriad Pro"/>
          <w:sz w:val="26"/>
          <w:szCs w:val="26"/>
        </w:rPr>
        <w:t>»</w:t>
      </w:r>
      <w:r w:rsidR="00732134" w:rsidRPr="00FB0A3A">
        <w:rPr>
          <w:rFonts w:ascii="Myriad Pro" w:hAnsi="Myriad Pro"/>
          <w:sz w:val="26"/>
          <w:szCs w:val="26"/>
        </w:rPr>
        <w:t>;</w:t>
      </w:r>
      <w:r w:rsidRPr="00FB0A3A">
        <w:rPr>
          <w:rFonts w:ascii="Myriad Pro" w:hAnsi="Myriad Pro"/>
          <w:sz w:val="26"/>
          <w:szCs w:val="26"/>
        </w:rPr>
        <w:t xml:space="preserve"> </w:t>
      </w:r>
    </w:p>
    <w:p w14:paraId="7709913B" w14:textId="09BE33D5" w:rsidR="00F0088B" w:rsidRPr="00FB0A3A" w:rsidRDefault="00F0088B" w:rsidP="009B0BC1">
      <w:pPr>
        <w:pStyle w:val="a4"/>
        <w:numPr>
          <w:ilvl w:val="0"/>
          <w:numId w:val="59"/>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ставке, определенной исходя из фактической средневзвешенной цены за 2017 год по актам ПАО </w:t>
      </w:r>
      <w:r w:rsidR="00655FFA" w:rsidRPr="00FB0A3A">
        <w:rPr>
          <w:rFonts w:ascii="Myriad Pro" w:hAnsi="Myriad Pro"/>
          <w:sz w:val="26"/>
          <w:szCs w:val="26"/>
        </w:rPr>
        <w:t>«</w:t>
      </w:r>
      <w:r w:rsidRPr="00FB0A3A">
        <w:rPr>
          <w:rFonts w:ascii="Myriad Pro" w:hAnsi="Myriad Pro"/>
          <w:sz w:val="26"/>
          <w:szCs w:val="26"/>
        </w:rPr>
        <w:t>ФСК ЕЭС</w:t>
      </w:r>
      <w:r w:rsidR="00655FFA" w:rsidRPr="00FB0A3A">
        <w:rPr>
          <w:rFonts w:ascii="Myriad Pro" w:hAnsi="Myriad Pro"/>
          <w:sz w:val="26"/>
          <w:szCs w:val="26"/>
        </w:rPr>
        <w:t>»</w:t>
      </w:r>
      <w:r w:rsidRPr="00FB0A3A">
        <w:rPr>
          <w:rFonts w:ascii="Myriad Pro" w:hAnsi="Myriad Pro"/>
          <w:sz w:val="26"/>
          <w:szCs w:val="26"/>
        </w:rPr>
        <w:t xml:space="preserve"> и прогнозных темпов роста нерегулируемых цен на оптовом рынке в соответствии с Прогнозом социально-экономического развития Российской Федерации на период до 2024 года 107 % на 2018 год и 111% на 2019 год. Прогнозная ставка на оплату потерь в сетях ЕНЭС на 2019 год по расчету Исполни</w:t>
      </w:r>
      <w:r w:rsidR="00732134" w:rsidRPr="00FB0A3A">
        <w:rPr>
          <w:rFonts w:ascii="Myriad Pro" w:hAnsi="Myriad Pro"/>
          <w:sz w:val="26"/>
          <w:szCs w:val="26"/>
        </w:rPr>
        <w:t xml:space="preserve">теля составила </w:t>
      </w:r>
      <w:r w:rsidRPr="00FB0A3A">
        <w:rPr>
          <w:rFonts w:ascii="Myriad Pro" w:hAnsi="Myriad Pro"/>
          <w:sz w:val="26"/>
          <w:szCs w:val="26"/>
        </w:rPr>
        <w:t>1</w:t>
      </w:r>
      <w:r w:rsidR="00027871" w:rsidRPr="00FB0A3A">
        <w:rPr>
          <w:rFonts w:ascii="Myriad Pro" w:hAnsi="Myriad Pro"/>
          <w:sz w:val="26"/>
          <w:szCs w:val="26"/>
        </w:rPr>
        <w:t> </w:t>
      </w:r>
      <w:r w:rsidRPr="00FB0A3A">
        <w:rPr>
          <w:rFonts w:ascii="Myriad Pro" w:hAnsi="Myriad Pro"/>
          <w:sz w:val="26"/>
          <w:szCs w:val="26"/>
        </w:rPr>
        <w:t>447,77*1,07*1,11 = 1719,52 руб./МВт</w:t>
      </w:r>
      <w:r w:rsidR="00027871" w:rsidRPr="00FB0A3A">
        <w:rPr>
          <w:rFonts w:ascii="Myriad Pro" w:hAnsi="Myriad Pro"/>
          <w:sz w:val="26"/>
          <w:szCs w:val="26"/>
        </w:rPr>
        <w:t>*</w:t>
      </w:r>
      <w:r w:rsidRPr="00FB0A3A">
        <w:rPr>
          <w:rFonts w:ascii="Myriad Pro" w:hAnsi="Myriad Pro"/>
          <w:sz w:val="26"/>
          <w:szCs w:val="26"/>
        </w:rPr>
        <w:t>ч.</w:t>
      </w:r>
    </w:p>
    <w:p w14:paraId="45156BAF" w14:textId="0EF410EA" w:rsidR="00F0088B" w:rsidRPr="00FB0A3A" w:rsidRDefault="00F0088B" w:rsidP="00D20107">
      <w:pPr>
        <w:pStyle w:val="afff4"/>
        <w:rPr>
          <w:lang w:val="ru-RU"/>
        </w:rPr>
      </w:pPr>
      <w:r w:rsidRPr="00FB0A3A">
        <w:rPr>
          <w:lang w:val="ru-RU"/>
        </w:rPr>
        <w:t>Расчет экономически обоснованной по мнению Исполнителя величины расходов на оплату услуг ПАО </w:t>
      </w:r>
      <w:r w:rsidR="00655FFA" w:rsidRPr="00FB0A3A">
        <w:rPr>
          <w:lang w:val="ru-RU"/>
        </w:rPr>
        <w:t>«</w:t>
      </w:r>
      <w:r w:rsidRPr="00FB0A3A">
        <w:rPr>
          <w:lang w:val="ru-RU"/>
        </w:rPr>
        <w:t>ФСК ЕЭС</w:t>
      </w:r>
      <w:r w:rsidR="00655FFA" w:rsidRPr="00FB0A3A">
        <w:rPr>
          <w:lang w:val="ru-RU"/>
        </w:rPr>
        <w:t>»</w:t>
      </w:r>
      <w:r w:rsidRPr="00FB0A3A">
        <w:rPr>
          <w:lang w:val="ru-RU"/>
        </w:rPr>
        <w:t xml:space="preserve"> на 2019 год представлен в следующей таблице.</w:t>
      </w:r>
    </w:p>
    <w:tbl>
      <w:tblPr>
        <w:tblStyle w:val="afff6"/>
        <w:tblW w:w="5000" w:type="pct"/>
        <w:tblLook w:val="04A0" w:firstRow="1" w:lastRow="0" w:firstColumn="1" w:lastColumn="0" w:noHBand="0" w:noVBand="1"/>
      </w:tblPr>
      <w:tblGrid>
        <w:gridCol w:w="3001"/>
        <w:gridCol w:w="1680"/>
        <w:gridCol w:w="1525"/>
        <w:gridCol w:w="1555"/>
        <w:gridCol w:w="1583"/>
      </w:tblGrid>
      <w:tr w:rsidR="00F0088B" w:rsidRPr="00A54C03" w14:paraId="4483A74D" w14:textId="77777777" w:rsidTr="002267D7">
        <w:trPr>
          <w:cnfStyle w:val="100000000000" w:firstRow="1" w:lastRow="0" w:firstColumn="0" w:lastColumn="0" w:oddVBand="0" w:evenVBand="0" w:oddHBand="0"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60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1D0FE1A" w14:textId="77777777" w:rsidR="00F0088B" w:rsidRPr="00A54C03" w:rsidRDefault="00F0088B" w:rsidP="00D20107">
            <w:pPr>
              <w:tabs>
                <w:tab w:val="left" w:pos="1134"/>
              </w:tabs>
              <w:jc w:val="center"/>
              <w:rPr>
                <w:rFonts w:eastAsia="Calibri" w:cs="Times New Roman"/>
                <w:sz w:val="20"/>
                <w:szCs w:val="20"/>
              </w:rPr>
            </w:pPr>
            <w:r w:rsidRPr="00A54C03">
              <w:rPr>
                <w:rFonts w:eastAsia="Calibri" w:cs="Times New Roman"/>
                <w:sz w:val="20"/>
                <w:szCs w:val="20"/>
              </w:rPr>
              <w:t>Наименование показателя</w:t>
            </w:r>
          </w:p>
        </w:tc>
        <w:tc>
          <w:tcPr>
            <w:tcW w:w="89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9B10A02" w14:textId="77777777" w:rsidR="00F0088B" w:rsidRPr="00A54C03" w:rsidRDefault="00F0088B" w:rsidP="00D20107">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 w:val="20"/>
                <w:szCs w:val="20"/>
              </w:rPr>
            </w:pPr>
            <w:r w:rsidRPr="00A54C03">
              <w:rPr>
                <w:rFonts w:eastAsia="Calibri" w:cs="Times New Roman"/>
                <w:sz w:val="20"/>
                <w:szCs w:val="20"/>
              </w:rPr>
              <w:t>Ед. изм.</w:t>
            </w:r>
          </w:p>
        </w:tc>
        <w:tc>
          <w:tcPr>
            <w:tcW w:w="2495" w:type="pct"/>
            <w:gridSpan w:val="3"/>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7D9AB0C" w14:textId="32AAE977" w:rsidR="00F0088B" w:rsidRPr="00A54C03" w:rsidRDefault="00EA6432" w:rsidP="00D20107">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 w:val="20"/>
                <w:szCs w:val="20"/>
              </w:rPr>
            </w:pPr>
            <w:r w:rsidRPr="00A54C03">
              <w:rPr>
                <w:rFonts w:eastAsia="Calibri" w:cs="Times New Roman"/>
                <w:sz w:val="20"/>
                <w:szCs w:val="20"/>
              </w:rPr>
              <w:t>Расчет Исполнителя</w:t>
            </w:r>
            <w:r w:rsidR="00F0088B" w:rsidRPr="00A54C03">
              <w:rPr>
                <w:rFonts w:eastAsia="Calibri" w:cs="Times New Roman"/>
                <w:sz w:val="20"/>
                <w:szCs w:val="20"/>
              </w:rPr>
              <w:t xml:space="preserve"> на 2019 год</w:t>
            </w:r>
          </w:p>
        </w:tc>
      </w:tr>
      <w:tr w:rsidR="00F0088B" w:rsidRPr="00A54C03" w14:paraId="4770261B" w14:textId="77777777" w:rsidTr="002267D7">
        <w:trPr>
          <w:trHeight w:val="450"/>
        </w:trPr>
        <w:tc>
          <w:tcPr>
            <w:cnfStyle w:val="001000000000" w:firstRow="0" w:lastRow="0" w:firstColumn="1" w:lastColumn="0" w:oddVBand="0" w:evenVBand="0" w:oddHBand="0" w:evenHBand="0" w:firstRowFirstColumn="0" w:firstRowLastColumn="0" w:lastRowFirstColumn="0" w:lastRowLastColumn="0"/>
            <w:tcW w:w="160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9B61ACE" w14:textId="77777777" w:rsidR="00F0088B" w:rsidRPr="00A54C03" w:rsidRDefault="00F0088B" w:rsidP="00D20107">
            <w:pPr>
              <w:tabs>
                <w:tab w:val="left" w:pos="1134"/>
              </w:tabs>
              <w:jc w:val="center"/>
              <w:rPr>
                <w:rFonts w:eastAsia="Calibri" w:cs="Times New Roman"/>
                <w:sz w:val="20"/>
                <w:szCs w:val="20"/>
              </w:rPr>
            </w:pPr>
          </w:p>
        </w:tc>
        <w:tc>
          <w:tcPr>
            <w:tcW w:w="89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A2EFE8B" w14:textId="77777777" w:rsidR="00F0088B" w:rsidRPr="00A54C03" w:rsidRDefault="00F0088B"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p>
        </w:tc>
        <w:tc>
          <w:tcPr>
            <w:tcW w:w="2495" w:type="pct"/>
            <w:gridSpan w:val="3"/>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7E7ECB1" w14:textId="77777777" w:rsidR="00F0088B" w:rsidRPr="00A54C03" w:rsidRDefault="00F0088B"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p>
        </w:tc>
      </w:tr>
      <w:tr w:rsidR="00F0088B" w:rsidRPr="00A54C03" w14:paraId="7D1EDC60" w14:textId="77777777" w:rsidTr="002267D7">
        <w:trPr>
          <w:trHeight w:val="20"/>
        </w:trPr>
        <w:tc>
          <w:tcPr>
            <w:cnfStyle w:val="001000000000" w:firstRow="0" w:lastRow="0" w:firstColumn="1" w:lastColumn="0" w:oddVBand="0" w:evenVBand="0" w:oddHBand="0" w:evenHBand="0" w:firstRowFirstColumn="0" w:firstRowLastColumn="0" w:lastRowFirstColumn="0" w:lastRowLastColumn="0"/>
            <w:tcW w:w="160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472B18D" w14:textId="77777777" w:rsidR="00F0088B" w:rsidRPr="00A54C03" w:rsidRDefault="00F0088B" w:rsidP="00D20107">
            <w:pPr>
              <w:tabs>
                <w:tab w:val="left" w:pos="1134"/>
              </w:tabs>
              <w:jc w:val="center"/>
              <w:rPr>
                <w:rFonts w:eastAsia="Calibri" w:cs="Times New Roman"/>
                <w:sz w:val="20"/>
                <w:szCs w:val="20"/>
              </w:rPr>
            </w:pPr>
          </w:p>
        </w:tc>
        <w:tc>
          <w:tcPr>
            <w:tcW w:w="89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F123C99" w14:textId="77777777" w:rsidR="00F0088B" w:rsidRPr="00A54C03" w:rsidRDefault="00F0088B"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p>
        </w:tc>
        <w:tc>
          <w:tcPr>
            <w:tcW w:w="8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69AB9345" w14:textId="77777777" w:rsidR="00F0088B" w:rsidRPr="00A54C03" w:rsidRDefault="00F0088B"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color w:val="FFFFFF" w:themeColor="background1"/>
                <w:sz w:val="20"/>
                <w:szCs w:val="20"/>
              </w:rPr>
            </w:pPr>
            <w:r w:rsidRPr="00A54C03">
              <w:rPr>
                <w:rFonts w:eastAsia="Calibri" w:cs="Times New Roman"/>
                <w:color w:val="FFFFFF" w:themeColor="background1"/>
                <w:sz w:val="20"/>
                <w:szCs w:val="20"/>
              </w:rPr>
              <w:t>1 полугодие</w:t>
            </w:r>
          </w:p>
        </w:tc>
        <w:tc>
          <w:tcPr>
            <w:tcW w:w="8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763DA829" w14:textId="77777777" w:rsidR="00F0088B" w:rsidRPr="00A54C03" w:rsidRDefault="00F0088B"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color w:val="FFFFFF" w:themeColor="background1"/>
                <w:sz w:val="20"/>
                <w:szCs w:val="20"/>
              </w:rPr>
            </w:pPr>
            <w:r w:rsidRPr="00A54C03">
              <w:rPr>
                <w:rFonts w:eastAsia="Calibri" w:cs="Times New Roman"/>
                <w:color w:val="FFFFFF" w:themeColor="background1"/>
                <w:sz w:val="20"/>
                <w:szCs w:val="20"/>
              </w:rPr>
              <w:t>2 полугодие</w:t>
            </w:r>
          </w:p>
        </w:tc>
        <w:tc>
          <w:tcPr>
            <w:tcW w:w="8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366934E4" w14:textId="00D1D42D" w:rsidR="00F0088B" w:rsidRPr="00A54C03" w:rsidRDefault="00F0088B"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color w:val="FFFFFF" w:themeColor="background1"/>
                <w:sz w:val="20"/>
                <w:szCs w:val="20"/>
              </w:rPr>
            </w:pPr>
            <w:r w:rsidRPr="00A54C03">
              <w:rPr>
                <w:rFonts w:eastAsia="Calibri" w:cs="Times New Roman"/>
                <w:color w:val="FFFFFF" w:themeColor="background1"/>
                <w:sz w:val="20"/>
                <w:szCs w:val="20"/>
              </w:rPr>
              <w:t>год</w:t>
            </w:r>
          </w:p>
        </w:tc>
      </w:tr>
      <w:tr w:rsidR="00907AB4" w:rsidRPr="00A54C03" w14:paraId="03E19E17" w14:textId="77777777" w:rsidTr="002267D7">
        <w:trPr>
          <w:trHeight w:val="20"/>
        </w:trPr>
        <w:tc>
          <w:tcPr>
            <w:cnfStyle w:val="001000000000" w:firstRow="0" w:lastRow="0" w:firstColumn="1" w:lastColumn="0" w:oddVBand="0" w:evenVBand="0" w:oddHBand="0" w:evenHBand="0" w:firstRowFirstColumn="0" w:firstRowLastColumn="0" w:lastRowFirstColumn="0" w:lastRowLastColumn="0"/>
            <w:tcW w:w="1606" w:type="pct"/>
            <w:tcBorders>
              <w:top w:val="single" w:sz="4" w:space="0" w:color="FFFFFF" w:themeColor="background1"/>
            </w:tcBorders>
            <w:hideMark/>
          </w:tcPr>
          <w:p w14:paraId="5A87C6DB" w14:textId="6462C8E5" w:rsidR="00F0088B" w:rsidRPr="00A54C03" w:rsidRDefault="00F0088B" w:rsidP="00D20107">
            <w:pPr>
              <w:tabs>
                <w:tab w:val="left" w:pos="1134"/>
              </w:tabs>
              <w:jc w:val="both"/>
              <w:rPr>
                <w:rFonts w:eastAsia="Calibri" w:cs="Times New Roman"/>
                <w:sz w:val="20"/>
                <w:szCs w:val="20"/>
              </w:rPr>
            </w:pPr>
            <w:r w:rsidRPr="00A54C03">
              <w:rPr>
                <w:rFonts w:eastAsia="Calibri" w:cs="Times New Roman"/>
                <w:sz w:val="20"/>
                <w:szCs w:val="20"/>
              </w:rPr>
              <w:t>Заявленная мощность</w:t>
            </w:r>
          </w:p>
        </w:tc>
        <w:tc>
          <w:tcPr>
            <w:tcW w:w="899" w:type="pct"/>
            <w:tcBorders>
              <w:top w:val="single" w:sz="4" w:space="0" w:color="FFFFFF" w:themeColor="background1"/>
            </w:tcBorders>
            <w:hideMark/>
          </w:tcPr>
          <w:p w14:paraId="25E4A96F" w14:textId="77777777" w:rsidR="00F0088B" w:rsidRPr="00A54C03" w:rsidRDefault="00F0088B"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A54C03">
              <w:rPr>
                <w:rFonts w:eastAsia="Calibri" w:cs="Times New Roman"/>
                <w:sz w:val="20"/>
                <w:szCs w:val="20"/>
              </w:rPr>
              <w:t>МВт</w:t>
            </w:r>
          </w:p>
        </w:tc>
        <w:tc>
          <w:tcPr>
            <w:tcW w:w="816" w:type="pct"/>
            <w:tcBorders>
              <w:top w:val="single" w:sz="4" w:space="0" w:color="FFFFFF" w:themeColor="background1"/>
            </w:tcBorders>
            <w:hideMark/>
          </w:tcPr>
          <w:p w14:paraId="5044D40D" w14:textId="77777777" w:rsidR="00F0088B" w:rsidRPr="00A54C03" w:rsidRDefault="00F0088B"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A54C03">
              <w:rPr>
                <w:rFonts w:eastAsia="Calibri" w:cs="Times New Roman"/>
                <w:sz w:val="20"/>
                <w:szCs w:val="20"/>
              </w:rPr>
              <w:t>1 023,12</w:t>
            </w:r>
          </w:p>
        </w:tc>
        <w:tc>
          <w:tcPr>
            <w:tcW w:w="832" w:type="pct"/>
            <w:tcBorders>
              <w:top w:val="single" w:sz="4" w:space="0" w:color="FFFFFF" w:themeColor="background1"/>
            </w:tcBorders>
            <w:hideMark/>
          </w:tcPr>
          <w:p w14:paraId="7B87D08F" w14:textId="77777777" w:rsidR="00F0088B" w:rsidRPr="00A54C03" w:rsidRDefault="00F0088B"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A54C03">
              <w:rPr>
                <w:rFonts w:eastAsia="Calibri" w:cs="Times New Roman"/>
                <w:sz w:val="20"/>
                <w:szCs w:val="20"/>
              </w:rPr>
              <w:t>986,24</w:t>
            </w:r>
          </w:p>
        </w:tc>
        <w:tc>
          <w:tcPr>
            <w:tcW w:w="847" w:type="pct"/>
            <w:tcBorders>
              <w:top w:val="single" w:sz="4" w:space="0" w:color="FFFFFF" w:themeColor="background1"/>
            </w:tcBorders>
            <w:hideMark/>
          </w:tcPr>
          <w:p w14:paraId="2458F5FD" w14:textId="77777777" w:rsidR="00F0088B" w:rsidRPr="00A54C03" w:rsidRDefault="00F0088B"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A54C03">
              <w:rPr>
                <w:rFonts w:eastAsia="Calibri" w:cs="Times New Roman"/>
                <w:sz w:val="20"/>
                <w:szCs w:val="20"/>
              </w:rPr>
              <w:t>1 004,68</w:t>
            </w:r>
          </w:p>
        </w:tc>
      </w:tr>
      <w:tr w:rsidR="00907AB4" w:rsidRPr="00A54C03" w14:paraId="06BD3892" w14:textId="77777777" w:rsidTr="00D20107">
        <w:trPr>
          <w:trHeight w:val="20"/>
        </w:trPr>
        <w:tc>
          <w:tcPr>
            <w:cnfStyle w:val="001000000000" w:firstRow="0" w:lastRow="0" w:firstColumn="1" w:lastColumn="0" w:oddVBand="0" w:evenVBand="0" w:oddHBand="0" w:evenHBand="0" w:firstRowFirstColumn="0" w:firstRowLastColumn="0" w:lastRowFirstColumn="0" w:lastRowLastColumn="0"/>
            <w:tcW w:w="1606" w:type="pct"/>
            <w:hideMark/>
          </w:tcPr>
          <w:p w14:paraId="017A8E28" w14:textId="271B082B" w:rsidR="00F0088B" w:rsidRPr="00A54C03" w:rsidRDefault="00F0088B" w:rsidP="00D20107">
            <w:pPr>
              <w:tabs>
                <w:tab w:val="left" w:pos="1134"/>
              </w:tabs>
              <w:jc w:val="both"/>
              <w:rPr>
                <w:rFonts w:eastAsia="Calibri" w:cs="Times New Roman"/>
                <w:sz w:val="20"/>
                <w:szCs w:val="20"/>
              </w:rPr>
            </w:pPr>
            <w:r w:rsidRPr="00A54C03">
              <w:rPr>
                <w:rFonts w:eastAsia="Calibri" w:cs="Times New Roman"/>
                <w:sz w:val="20"/>
                <w:szCs w:val="20"/>
              </w:rPr>
              <w:t>Ставка на содержание сетей</w:t>
            </w:r>
          </w:p>
        </w:tc>
        <w:tc>
          <w:tcPr>
            <w:tcW w:w="899" w:type="pct"/>
            <w:hideMark/>
          </w:tcPr>
          <w:p w14:paraId="55AC580A" w14:textId="77777777" w:rsidR="00F0088B" w:rsidRPr="00A54C03" w:rsidRDefault="00F0088B"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A54C03">
              <w:rPr>
                <w:rFonts w:eastAsia="Calibri" w:cs="Times New Roman"/>
                <w:sz w:val="20"/>
                <w:szCs w:val="20"/>
              </w:rPr>
              <w:t>Руб./МВт в мес.</w:t>
            </w:r>
          </w:p>
        </w:tc>
        <w:tc>
          <w:tcPr>
            <w:tcW w:w="816" w:type="pct"/>
            <w:hideMark/>
          </w:tcPr>
          <w:p w14:paraId="4FBA6AB9" w14:textId="77777777" w:rsidR="00F0088B" w:rsidRPr="00A54C03" w:rsidRDefault="00F0088B"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A54C03">
              <w:rPr>
                <w:rFonts w:eastAsia="Calibri" w:cs="Times New Roman"/>
                <w:sz w:val="20"/>
                <w:szCs w:val="20"/>
              </w:rPr>
              <w:t>173 164,15</w:t>
            </w:r>
          </w:p>
        </w:tc>
        <w:tc>
          <w:tcPr>
            <w:tcW w:w="832" w:type="pct"/>
            <w:hideMark/>
          </w:tcPr>
          <w:p w14:paraId="3D9D2083" w14:textId="77777777" w:rsidR="00F0088B" w:rsidRPr="00A54C03" w:rsidRDefault="00F0088B"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A54C03">
              <w:rPr>
                <w:rFonts w:eastAsia="Calibri" w:cs="Times New Roman"/>
                <w:sz w:val="20"/>
                <w:szCs w:val="20"/>
              </w:rPr>
              <w:t>182 697,68</w:t>
            </w:r>
          </w:p>
        </w:tc>
        <w:tc>
          <w:tcPr>
            <w:tcW w:w="847" w:type="pct"/>
            <w:hideMark/>
          </w:tcPr>
          <w:p w14:paraId="4FF50B3E" w14:textId="77777777" w:rsidR="00F0088B" w:rsidRPr="00A54C03" w:rsidRDefault="00F0088B"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A54C03">
              <w:rPr>
                <w:rFonts w:eastAsia="Calibri" w:cs="Times New Roman"/>
                <w:sz w:val="20"/>
                <w:szCs w:val="20"/>
              </w:rPr>
              <w:t>177 843,42</w:t>
            </w:r>
          </w:p>
        </w:tc>
      </w:tr>
      <w:tr w:rsidR="00907AB4" w:rsidRPr="00A54C03" w14:paraId="0C48780B" w14:textId="77777777" w:rsidTr="00D20107">
        <w:trPr>
          <w:trHeight w:val="20"/>
        </w:trPr>
        <w:tc>
          <w:tcPr>
            <w:cnfStyle w:val="001000000000" w:firstRow="0" w:lastRow="0" w:firstColumn="1" w:lastColumn="0" w:oddVBand="0" w:evenVBand="0" w:oddHBand="0" w:evenHBand="0" w:firstRowFirstColumn="0" w:firstRowLastColumn="0" w:lastRowFirstColumn="0" w:lastRowLastColumn="0"/>
            <w:tcW w:w="1606" w:type="pct"/>
            <w:hideMark/>
          </w:tcPr>
          <w:p w14:paraId="242FF3DC" w14:textId="312930F3" w:rsidR="00F0088B" w:rsidRPr="00A54C03" w:rsidRDefault="00F0088B" w:rsidP="00D20107">
            <w:pPr>
              <w:tabs>
                <w:tab w:val="left" w:pos="1134"/>
              </w:tabs>
              <w:jc w:val="both"/>
              <w:rPr>
                <w:rFonts w:eastAsia="Calibri" w:cs="Times New Roman"/>
                <w:sz w:val="20"/>
                <w:szCs w:val="20"/>
              </w:rPr>
            </w:pPr>
            <w:r w:rsidRPr="00A54C03">
              <w:rPr>
                <w:rFonts w:eastAsia="Calibri" w:cs="Times New Roman"/>
                <w:sz w:val="20"/>
                <w:szCs w:val="20"/>
              </w:rPr>
              <w:t xml:space="preserve">Плата за содержание </w:t>
            </w:r>
          </w:p>
        </w:tc>
        <w:tc>
          <w:tcPr>
            <w:tcW w:w="899" w:type="pct"/>
            <w:hideMark/>
          </w:tcPr>
          <w:p w14:paraId="5EAB08F3" w14:textId="77777777" w:rsidR="00F0088B" w:rsidRPr="00A54C03" w:rsidRDefault="00F0088B"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A54C03">
              <w:rPr>
                <w:rFonts w:eastAsia="Calibri" w:cs="Times New Roman"/>
                <w:sz w:val="20"/>
                <w:szCs w:val="20"/>
              </w:rPr>
              <w:t>тыс. руб.</w:t>
            </w:r>
          </w:p>
        </w:tc>
        <w:tc>
          <w:tcPr>
            <w:tcW w:w="816" w:type="pct"/>
            <w:hideMark/>
          </w:tcPr>
          <w:p w14:paraId="62833DCC" w14:textId="77777777" w:rsidR="00F0088B" w:rsidRPr="00A54C03" w:rsidRDefault="00F0088B"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A54C03">
              <w:rPr>
                <w:rFonts w:eastAsia="Calibri" w:cs="Times New Roman"/>
                <w:sz w:val="20"/>
                <w:szCs w:val="20"/>
              </w:rPr>
              <w:t>1 063 002,07</w:t>
            </w:r>
          </w:p>
        </w:tc>
        <w:tc>
          <w:tcPr>
            <w:tcW w:w="832" w:type="pct"/>
            <w:hideMark/>
          </w:tcPr>
          <w:p w14:paraId="5FE6AE0C" w14:textId="77777777" w:rsidR="00F0088B" w:rsidRPr="00A54C03" w:rsidRDefault="00F0088B"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A54C03">
              <w:rPr>
                <w:rFonts w:eastAsia="Calibri" w:cs="Times New Roman"/>
                <w:sz w:val="20"/>
                <w:szCs w:val="20"/>
              </w:rPr>
              <w:t>1 081 097,08</w:t>
            </w:r>
          </w:p>
        </w:tc>
        <w:tc>
          <w:tcPr>
            <w:tcW w:w="847" w:type="pct"/>
            <w:hideMark/>
          </w:tcPr>
          <w:p w14:paraId="2FAFF4A0" w14:textId="77777777" w:rsidR="00F0088B" w:rsidRPr="00A54C03" w:rsidRDefault="00F0088B"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A54C03">
              <w:rPr>
                <w:rFonts w:eastAsia="Calibri" w:cs="Times New Roman"/>
                <w:sz w:val="20"/>
                <w:szCs w:val="20"/>
              </w:rPr>
              <w:t>2 144 099,15</w:t>
            </w:r>
          </w:p>
        </w:tc>
      </w:tr>
      <w:tr w:rsidR="00907AB4" w:rsidRPr="00A54C03" w14:paraId="62C72F98" w14:textId="77777777" w:rsidTr="00D20107">
        <w:trPr>
          <w:trHeight w:val="20"/>
        </w:trPr>
        <w:tc>
          <w:tcPr>
            <w:cnfStyle w:val="001000000000" w:firstRow="0" w:lastRow="0" w:firstColumn="1" w:lastColumn="0" w:oddVBand="0" w:evenVBand="0" w:oddHBand="0" w:evenHBand="0" w:firstRowFirstColumn="0" w:firstRowLastColumn="0" w:lastRowFirstColumn="0" w:lastRowLastColumn="0"/>
            <w:tcW w:w="1606" w:type="pct"/>
            <w:hideMark/>
          </w:tcPr>
          <w:p w14:paraId="5331F046" w14:textId="050246C7" w:rsidR="00F0088B" w:rsidRPr="00A54C03" w:rsidRDefault="00F0088B" w:rsidP="00D20107">
            <w:pPr>
              <w:tabs>
                <w:tab w:val="left" w:pos="1134"/>
              </w:tabs>
              <w:jc w:val="both"/>
              <w:rPr>
                <w:rFonts w:eastAsia="Calibri" w:cs="Times New Roman"/>
                <w:sz w:val="20"/>
                <w:szCs w:val="20"/>
              </w:rPr>
            </w:pPr>
            <w:r w:rsidRPr="00A54C03">
              <w:rPr>
                <w:rFonts w:eastAsia="Calibri" w:cs="Times New Roman"/>
                <w:sz w:val="20"/>
                <w:szCs w:val="20"/>
              </w:rPr>
              <w:t xml:space="preserve">Объем потерь э/э в ЕНЭС </w:t>
            </w:r>
          </w:p>
        </w:tc>
        <w:tc>
          <w:tcPr>
            <w:tcW w:w="899" w:type="pct"/>
            <w:hideMark/>
          </w:tcPr>
          <w:p w14:paraId="3DDB82B3" w14:textId="77777777" w:rsidR="00F0088B" w:rsidRPr="00A54C03" w:rsidRDefault="00F0088B"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A54C03">
              <w:rPr>
                <w:rFonts w:eastAsia="Calibri" w:cs="Times New Roman"/>
                <w:sz w:val="20"/>
                <w:szCs w:val="20"/>
              </w:rPr>
              <w:t>МВт*ч</w:t>
            </w:r>
          </w:p>
        </w:tc>
        <w:tc>
          <w:tcPr>
            <w:tcW w:w="816" w:type="pct"/>
            <w:hideMark/>
          </w:tcPr>
          <w:p w14:paraId="2931DBA1" w14:textId="2A5F859D" w:rsidR="00F0088B" w:rsidRPr="00A54C03" w:rsidRDefault="00F0088B"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p>
        </w:tc>
        <w:tc>
          <w:tcPr>
            <w:tcW w:w="832" w:type="pct"/>
            <w:hideMark/>
          </w:tcPr>
          <w:p w14:paraId="78C377B7" w14:textId="2D95A3CA" w:rsidR="00F0088B" w:rsidRPr="00A54C03" w:rsidRDefault="00F0088B"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p>
        </w:tc>
        <w:tc>
          <w:tcPr>
            <w:tcW w:w="847" w:type="pct"/>
            <w:hideMark/>
          </w:tcPr>
          <w:p w14:paraId="7DD4AB93" w14:textId="77777777" w:rsidR="00F0088B" w:rsidRPr="00A54C03" w:rsidRDefault="00F0088B"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A54C03">
              <w:rPr>
                <w:rFonts w:eastAsia="Calibri" w:cs="Times New Roman"/>
                <w:sz w:val="20"/>
                <w:szCs w:val="20"/>
              </w:rPr>
              <w:t>240,32</w:t>
            </w:r>
          </w:p>
        </w:tc>
      </w:tr>
      <w:tr w:rsidR="00907AB4" w:rsidRPr="00A54C03" w14:paraId="1B917CB7" w14:textId="77777777" w:rsidTr="00D20107">
        <w:trPr>
          <w:trHeight w:val="20"/>
        </w:trPr>
        <w:tc>
          <w:tcPr>
            <w:cnfStyle w:val="001000000000" w:firstRow="0" w:lastRow="0" w:firstColumn="1" w:lastColumn="0" w:oddVBand="0" w:evenVBand="0" w:oddHBand="0" w:evenHBand="0" w:firstRowFirstColumn="0" w:firstRowLastColumn="0" w:lastRowFirstColumn="0" w:lastRowLastColumn="0"/>
            <w:tcW w:w="1606" w:type="pct"/>
            <w:hideMark/>
          </w:tcPr>
          <w:p w14:paraId="0E79CA8A" w14:textId="0133F4BF" w:rsidR="00F0088B" w:rsidRPr="00A54C03" w:rsidRDefault="00F0088B" w:rsidP="00D20107">
            <w:pPr>
              <w:tabs>
                <w:tab w:val="left" w:pos="1134"/>
              </w:tabs>
              <w:jc w:val="both"/>
              <w:rPr>
                <w:rFonts w:eastAsia="Calibri" w:cs="Times New Roman"/>
                <w:sz w:val="20"/>
                <w:szCs w:val="20"/>
              </w:rPr>
            </w:pPr>
            <w:r w:rsidRPr="00A54C03">
              <w:rPr>
                <w:rFonts w:eastAsia="Calibri" w:cs="Times New Roman"/>
                <w:sz w:val="20"/>
                <w:szCs w:val="20"/>
              </w:rPr>
              <w:t>Ставка по оплате потерь</w:t>
            </w:r>
          </w:p>
        </w:tc>
        <w:tc>
          <w:tcPr>
            <w:tcW w:w="899" w:type="pct"/>
            <w:hideMark/>
          </w:tcPr>
          <w:p w14:paraId="715BCE52" w14:textId="77777777" w:rsidR="00F0088B" w:rsidRPr="00A54C03" w:rsidRDefault="00F0088B"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A54C03">
              <w:rPr>
                <w:rFonts w:eastAsia="Calibri" w:cs="Times New Roman"/>
                <w:sz w:val="20"/>
                <w:szCs w:val="20"/>
              </w:rPr>
              <w:t>Руб./МВтч</w:t>
            </w:r>
          </w:p>
        </w:tc>
        <w:tc>
          <w:tcPr>
            <w:tcW w:w="816" w:type="pct"/>
            <w:hideMark/>
          </w:tcPr>
          <w:p w14:paraId="6A0716D9" w14:textId="77777777" w:rsidR="00F0088B" w:rsidRPr="00A54C03" w:rsidRDefault="00F0088B"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A54C03">
              <w:rPr>
                <w:rFonts w:eastAsia="Calibri" w:cs="Times New Roman"/>
                <w:sz w:val="20"/>
                <w:szCs w:val="20"/>
              </w:rPr>
              <w:t>1 404,00</w:t>
            </w:r>
          </w:p>
        </w:tc>
        <w:tc>
          <w:tcPr>
            <w:tcW w:w="832" w:type="pct"/>
            <w:hideMark/>
          </w:tcPr>
          <w:p w14:paraId="2D0474CD" w14:textId="77777777" w:rsidR="00F0088B" w:rsidRPr="00A54C03" w:rsidRDefault="00F0088B"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A54C03">
              <w:rPr>
                <w:rFonts w:eastAsia="Calibri" w:cs="Times New Roman"/>
                <w:sz w:val="20"/>
                <w:szCs w:val="20"/>
              </w:rPr>
              <w:t>1 404,00</w:t>
            </w:r>
          </w:p>
        </w:tc>
        <w:tc>
          <w:tcPr>
            <w:tcW w:w="847" w:type="pct"/>
            <w:hideMark/>
          </w:tcPr>
          <w:p w14:paraId="1F019A84" w14:textId="77777777" w:rsidR="00F0088B" w:rsidRPr="00A54C03" w:rsidRDefault="00F0088B"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A54C03">
              <w:rPr>
                <w:rFonts w:eastAsia="Calibri" w:cs="Times New Roman"/>
                <w:sz w:val="20"/>
                <w:szCs w:val="20"/>
              </w:rPr>
              <w:t>1 404,00</w:t>
            </w:r>
          </w:p>
        </w:tc>
      </w:tr>
      <w:tr w:rsidR="00907AB4" w:rsidRPr="00A54C03" w14:paraId="1CA2175F" w14:textId="77777777" w:rsidTr="00D20107">
        <w:trPr>
          <w:trHeight w:val="20"/>
        </w:trPr>
        <w:tc>
          <w:tcPr>
            <w:cnfStyle w:val="001000000000" w:firstRow="0" w:lastRow="0" w:firstColumn="1" w:lastColumn="0" w:oddVBand="0" w:evenVBand="0" w:oddHBand="0" w:evenHBand="0" w:firstRowFirstColumn="0" w:firstRowLastColumn="0" w:lastRowFirstColumn="0" w:lastRowLastColumn="0"/>
            <w:tcW w:w="1606" w:type="pct"/>
            <w:hideMark/>
          </w:tcPr>
          <w:p w14:paraId="376A4C40" w14:textId="59C25387" w:rsidR="00F0088B" w:rsidRPr="00A54C03" w:rsidRDefault="00F0088B" w:rsidP="00D20107">
            <w:pPr>
              <w:tabs>
                <w:tab w:val="left" w:pos="1134"/>
              </w:tabs>
              <w:jc w:val="both"/>
              <w:rPr>
                <w:rFonts w:eastAsia="Calibri" w:cs="Times New Roman"/>
                <w:sz w:val="20"/>
                <w:szCs w:val="20"/>
              </w:rPr>
            </w:pPr>
            <w:r w:rsidRPr="00A54C03">
              <w:rPr>
                <w:rFonts w:eastAsia="Calibri" w:cs="Times New Roman"/>
                <w:sz w:val="20"/>
                <w:szCs w:val="20"/>
              </w:rPr>
              <w:t xml:space="preserve">Затраты на покупку потерь </w:t>
            </w:r>
          </w:p>
        </w:tc>
        <w:tc>
          <w:tcPr>
            <w:tcW w:w="899" w:type="pct"/>
            <w:hideMark/>
          </w:tcPr>
          <w:p w14:paraId="03FC0FF1" w14:textId="77777777" w:rsidR="00F0088B" w:rsidRPr="00A54C03" w:rsidRDefault="00F0088B"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A54C03">
              <w:rPr>
                <w:rFonts w:eastAsia="Calibri" w:cs="Times New Roman"/>
                <w:sz w:val="20"/>
                <w:szCs w:val="20"/>
              </w:rPr>
              <w:t>тыс. руб.</w:t>
            </w:r>
          </w:p>
        </w:tc>
        <w:tc>
          <w:tcPr>
            <w:tcW w:w="816" w:type="pct"/>
            <w:hideMark/>
          </w:tcPr>
          <w:p w14:paraId="77FC381C" w14:textId="77777777" w:rsidR="00F0088B" w:rsidRPr="00A54C03" w:rsidRDefault="00F0088B"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A54C03">
              <w:rPr>
                <w:rFonts w:eastAsia="Calibri" w:cs="Times New Roman"/>
                <w:sz w:val="20"/>
                <w:szCs w:val="20"/>
              </w:rPr>
              <w:t>0,00</w:t>
            </w:r>
          </w:p>
        </w:tc>
        <w:tc>
          <w:tcPr>
            <w:tcW w:w="832" w:type="pct"/>
            <w:hideMark/>
          </w:tcPr>
          <w:p w14:paraId="220186C8" w14:textId="77777777" w:rsidR="00F0088B" w:rsidRPr="00A54C03" w:rsidRDefault="00F0088B"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A54C03">
              <w:rPr>
                <w:rFonts w:eastAsia="Calibri" w:cs="Times New Roman"/>
                <w:sz w:val="20"/>
                <w:szCs w:val="20"/>
              </w:rPr>
              <w:t>0,00</w:t>
            </w:r>
          </w:p>
        </w:tc>
        <w:tc>
          <w:tcPr>
            <w:tcW w:w="847" w:type="pct"/>
            <w:hideMark/>
          </w:tcPr>
          <w:p w14:paraId="2F9C5CD5" w14:textId="77777777" w:rsidR="00F0088B" w:rsidRPr="00A54C03" w:rsidRDefault="00F0088B"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A54C03">
              <w:rPr>
                <w:rFonts w:eastAsia="Calibri" w:cs="Times New Roman"/>
                <w:sz w:val="20"/>
                <w:szCs w:val="20"/>
              </w:rPr>
              <w:t>337 409,28</w:t>
            </w:r>
          </w:p>
        </w:tc>
      </w:tr>
      <w:tr w:rsidR="00907AB4" w:rsidRPr="00A54C03" w14:paraId="12C8616E" w14:textId="77777777" w:rsidTr="00D20107">
        <w:trPr>
          <w:trHeight w:val="20"/>
        </w:trPr>
        <w:tc>
          <w:tcPr>
            <w:cnfStyle w:val="001000000000" w:firstRow="0" w:lastRow="0" w:firstColumn="1" w:lastColumn="0" w:oddVBand="0" w:evenVBand="0" w:oddHBand="0" w:evenHBand="0" w:firstRowFirstColumn="0" w:firstRowLastColumn="0" w:lastRowFirstColumn="0" w:lastRowLastColumn="0"/>
            <w:tcW w:w="1606" w:type="pct"/>
            <w:hideMark/>
          </w:tcPr>
          <w:p w14:paraId="11674FA3" w14:textId="08C8A215" w:rsidR="00F0088B" w:rsidRPr="00A54C03" w:rsidRDefault="00F0088B" w:rsidP="00D20107">
            <w:pPr>
              <w:tabs>
                <w:tab w:val="left" w:pos="1134"/>
              </w:tabs>
              <w:jc w:val="both"/>
              <w:rPr>
                <w:rFonts w:eastAsia="Calibri" w:cs="Times New Roman"/>
                <w:b/>
                <w:sz w:val="20"/>
                <w:szCs w:val="20"/>
              </w:rPr>
            </w:pPr>
            <w:r w:rsidRPr="00A54C03">
              <w:rPr>
                <w:rFonts w:eastAsia="Calibri" w:cs="Times New Roman"/>
                <w:b/>
                <w:sz w:val="20"/>
                <w:szCs w:val="20"/>
              </w:rPr>
              <w:t xml:space="preserve">Услуги ПАО </w:t>
            </w:r>
            <w:r w:rsidR="00655FFA" w:rsidRPr="00A54C03">
              <w:rPr>
                <w:rFonts w:eastAsia="Calibri" w:cs="Times New Roman"/>
                <w:b/>
                <w:sz w:val="20"/>
                <w:szCs w:val="20"/>
              </w:rPr>
              <w:t>«</w:t>
            </w:r>
            <w:r w:rsidRPr="00A54C03">
              <w:rPr>
                <w:rFonts w:eastAsia="Calibri" w:cs="Times New Roman"/>
                <w:b/>
                <w:sz w:val="20"/>
                <w:szCs w:val="20"/>
              </w:rPr>
              <w:t>ФСК ЕЭС</w:t>
            </w:r>
            <w:r w:rsidR="00655FFA" w:rsidRPr="00A54C03">
              <w:rPr>
                <w:rFonts w:eastAsia="Calibri" w:cs="Times New Roman"/>
                <w:b/>
                <w:sz w:val="20"/>
                <w:szCs w:val="20"/>
              </w:rPr>
              <w:t>»</w:t>
            </w:r>
            <w:r w:rsidRPr="00A54C03">
              <w:rPr>
                <w:rFonts w:eastAsia="Calibri" w:cs="Times New Roman"/>
                <w:b/>
                <w:sz w:val="20"/>
                <w:szCs w:val="20"/>
              </w:rPr>
              <w:t xml:space="preserve"> - всего </w:t>
            </w:r>
          </w:p>
        </w:tc>
        <w:tc>
          <w:tcPr>
            <w:tcW w:w="899" w:type="pct"/>
            <w:hideMark/>
          </w:tcPr>
          <w:p w14:paraId="4366D590" w14:textId="77777777" w:rsidR="00F0088B" w:rsidRPr="00A54C03" w:rsidRDefault="00F0088B"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b/>
                <w:sz w:val="20"/>
                <w:szCs w:val="20"/>
              </w:rPr>
            </w:pPr>
            <w:r w:rsidRPr="00A54C03">
              <w:rPr>
                <w:rFonts w:eastAsia="Calibri" w:cs="Times New Roman"/>
                <w:b/>
                <w:sz w:val="20"/>
                <w:szCs w:val="20"/>
              </w:rPr>
              <w:t>тыс. руб.</w:t>
            </w:r>
          </w:p>
        </w:tc>
        <w:tc>
          <w:tcPr>
            <w:tcW w:w="816" w:type="pct"/>
            <w:hideMark/>
          </w:tcPr>
          <w:p w14:paraId="5B1BDBBD" w14:textId="77777777" w:rsidR="00F0088B" w:rsidRPr="00A54C03" w:rsidRDefault="00F0088B"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b/>
                <w:sz w:val="20"/>
                <w:szCs w:val="20"/>
              </w:rPr>
            </w:pPr>
            <w:r w:rsidRPr="00A54C03">
              <w:rPr>
                <w:rFonts w:eastAsia="Calibri" w:cs="Times New Roman"/>
                <w:b/>
                <w:sz w:val="20"/>
                <w:szCs w:val="20"/>
              </w:rPr>
              <w:t>1 063 002,07</w:t>
            </w:r>
          </w:p>
        </w:tc>
        <w:tc>
          <w:tcPr>
            <w:tcW w:w="832" w:type="pct"/>
            <w:hideMark/>
          </w:tcPr>
          <w:p w14:paraId="56C9C71D" w14:textId="77777777" w:rsidR="00F0088B" w:rsidRPr="00A54C03" w:rsidRDefault="00F0088B"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b/>
                <w:sz w:val="20"/>
                <w:szCs w:val="20"/>
              </w:rPr>
            </w:pPr>
            <w:r w:rsidRPr="00A54C03">
              <w:rPr>
                <w:rFonts w:eastAsia="Calibri" w:cs="Times New Roman"/>
                <w:b/>
                <w:sz w:val="20"/>
                <w:szCs w:val="20"/>
              </w:rPr>
              <w:t>1 081 097,08</w:t>
            </w:r>
          </w:p>
        </w:tc>
        <w:tc>
          <w:tcPr>
            <w:tcW w:w="847" w:type="pct"/>
            <w:hideMark/>
          </w:tcPr>
          <w:p w14:paraId="15E87B21" w14:textId="77777777" w:rsidR="00F0088B" w:rsidRPr="00A54C03" w:rsidRDefault="00F0088B"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b/>
                <w:sz w:val="20"/>
                <w:szCs w:val="20"/>
              </w:rPr>
            </w:pPr>
            <w:r w:rsidRPr="00A54C03">
              <w:rPr>
                <w:rFonts w:eastAsia="Calibri" w:cs="Times New Roman"/>
                <w:b/>
                <w:sz w:val="20"/>
                <w:szCs w:val="20"/>
              </w:rPr>
              <w:t>2 481 508,43</w:t>
            </w:r>
          </w:p>
        </w:tc>
      </w:tr>
    </w:tbl>
    <w:p w14:paraId="2C4E7488" w14:textId="77777777" w:rsidR="00F0088B" w:rsidRPr="00FB0A3A" w:rsidRDefault="00F0088B" w:rsidP="00A31747">
      <w:pPr>
        <w:tabs>
          <w:tab w:val="left" w:pos="1134"/>
        </w:tabs>
        <w:spacing w:after="0" w:line="360" w:lineRule="auto"/>
        <w:ind w:firstLine="567"/>
        <w:jc w:val="both"/>
        <w:rPr>
          <w:rFonts w:ascii="Myriad Pro" w:eastAsia="Calibri" w:hAnsi="Myriad Pro" w:cs="Times New Roman"/>
          <w:sz w:val="26"/>
          <w:szCs w:val="26"/>
        </w:rPr>
      </w:pPr>
    </w:p>
    <w:tbl>
      <w:tblPr>
        <w:tblStyle w:val="afff6"/>
        <w:tblW w:w="5000" w:type="pct"/>
        <w:tblLayout w:type="fixed"/>
        <w:tblLook w:val="04A0" w:firstRow="1" w:lastRow="0" w:firstColumn="1" w:lastColumn="0" w:noHBand="0" w:noVBand="1"/>
      </w:tblPr>
      <w:tblGrid>
        <w:gridCol w:w="2054"/>
        <w:gridCol w:w="1765"/>
        <w:gridCol w:w="1274"/>
        <w:gridCol w:w="1417"/>
        <w:gridCol w:w="1417"/>
        <w:gridCol w:w="1417"/>
      </w:tblGrid>
      <w:tr w:rsidR="00647DC8" w:rsidRPr="00A54C03" w14:paraId="1B646F40" w14:textId="77777777" w:rsidTr="00A54C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7C328871" w14:textId="77777777" w:rsidR="00647DC8" w:rsidRPr="00A54C03" w:rsidRDefault="00647DC8" w:rsidP="00D20107">
            <w:pPr>
              <w:tabs>
                <w:tab w:val="left" w:pos="1134"/>
              </w:tabs>
              <w:jc w:val="center"/>
              <w:rPr>
                <w:rFonts w:eastAsia="Calibri" w:cs="Times New Roman"/>
                <w:sz w:val="20"/>
                <w:szCs w:val="20"/>
              </w:rPr>
            </w:pPr>
            <w:r w:rsidRPr="00A54C03">
              <w:rPr>
                <w:rFonts w:eastAsia="Calibri" w:cs="Times New Roman"/>
                <w:sz w:val="20"/>
                <w:szCs w:val="20"/>
              </w:rPr>
              <w:lastRenderedPageBreak/>
              <w:t> Наименование статьи</w:t>
            </w:r>
          </w:p>
        </w:tc>
        <w:tc>
          <w:tcPr>
            <w:tcW w:w="17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39A95C33" w14:textId="77777777" w:rsidR="00647DC8" w:rsidRPr="00A54C03" w:rsidRDefault="00647DC8" w:rsidP="00D20107">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 w:val="20"/>
                <w:szCs w:val="20"/>
              </w:rPr>
            </w:pPr>
            <w:r w:rsidRPr="00A54C03">
              <w:rPr>
                <w:rFonts w:eastAsia="Calibri" w:cs="Times New Roman"/>
                <w:sz w:val="20"/>
                <w:szCs w:val="20"/>
              </w:rPr>
              <w:t>Заявлено Филиалом</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142E1D3" w14:textId="77777777" w:rsidR="00647DC8" w:rsidRPr="00A54C03" w:rsidRDefault="00647DC8" w:rsidP="00D20107">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 w:val="20"/>
                <w:szCs w:val="20"/>
              </w:rPr>
            </w:pPr>
            <w:r w:rsidRPr="00A54C03">
              <w:rPr>
                <w:rFonts w:eastAsia="Calibri" w:cs="Times New Roman"/>
                <w:sz w:val="20"/>
                <w:szCs w:val="20"/>
              </w:rPr>
              <w:t>Рассчитано Комитетом (ЭОУ)</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DDE3890" w14:textId="77777777" w:rsidR="00647DC8" w:rsidRPr="00A54C03" w:rsidRDefault="00647DC8" w:rsidP="00D20107">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 w:val="20"/>
                <w:szCs w:val="20"/>
              </w:rPr>
            </w:pPr>
            <w:r w:rsidRPr="00A54C03">
              <w:rPr>
                <w:rFonts w:eastAsia="Calibri" w:cs="Times New Roman"/>
                <w:sz w:val="20"/>
                <w:szCs w:val="20"/>
              </w:rPr>
              <w:t>Рассчитано Исполнителем (ЭОУ)</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12CCF26" w14:textId="77777777" w:rsidR="00647DC8" w:rsidRPr="00A54C03" w:rsidRDefault="00647DC8" w:rsidP="00D20107">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 w:val="20"/>
                <w:szCs w:val="20"/>
              </w:rPr>
            </w:pPr>
            <w:r w:rsidRPr="00A54C03">
              <w:rPr>
                <w:rFonts w:eastAsia="Calibri" w:cs="Times New Roman"/>
                <w:sz w:val="20"/>
                <w:szCs w:val="20"/>
              </w:rPr>
              <w:t>Отклонение  между Исполнителем и Комитетом</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F138866" w14:textId="77777777" w:rsidR="00647DC8" w:rsidRPr="00A54C03" w:rsidRDefault="00647DC8" w:rsidP="00D20107">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 w:val="20"/>
                <w:szCs w:val="20"/>
              </w:rPr>
            </w:pPr>
            <w:r w:rsidRPr="00A54C03">
              <w:rPr>
                <w:rFonts w:eastAsia="Calibri" w:cs="Times New Roman"/>
                <w:sz w:val="20"/>
                <w:szCs w:val="20"/>
              </w:rPr>
              <w:t>Отклонение  между Исполнителем и Филиалом</w:t>
            </w:r>
          </w:p>
        </w:tc>
      </w:tr>
      <w:tr w:rsidR="00647DC8" w:rsidRPr="00A54C03" w14:paraId="5FED6C3F" w14:textId="77777777" w:rsidTr="00A54C03">
        <w:tc>
          <w:tcPr>
            <w:cnfStyle w:val="001000000000" w:firstRow="0" w:lastRow="0" w:firstColumn="1" w:lastColumn="0" w:oddVBand="0" w:evenVBand="0" w:oddHBand="0" w:evenHBand="0" w:firstRowFirstColumn="0" w:firstRowLastColumn="0" w:lastRowFirstColumn="0" w:lastRowLastColumn="0"/>
            <w:tcW w:w="2056" w:type="dxa"/>
            <w:tcBorders>
              <w:top w:val="single" w:sz="4" w:space="0" w:color="FFFFFF" w:themeColor="background1"/>
            </w:tcBorders>
            <w:hideMark/>
          </w:tcPr>
          <w:p w14:paraId="770CA015" w14:textId="59981D28" w:rsidR="00647DC8" w:rsidRPr="00A54C03" w:rsidRDefault="00647DC8" w:rsidP="00D20107">
            <w:pPr>
              <w:tabs>
                <w:tab w:val="left" w:pos="1134"/>
              </w:tabs>
              <w:rPr>
                <w:rFonts w:eastAsia="Calibri" w:cs="Times New Roman"/>
                <w:sz w:val="20"/>
                <w:szCs w:val="20"/>
              </w:rPr>
            </w:pPr>
            <w:r w:rsidRPr="00A54C03">
              <w:rPr>
                <w:rFonts w:eastAsia="Calibri" w:cs="Times New Roman"/>
                <w:sz w:val="20"/>
                <w:szCs w:val="20"/>
              </w:rPr>
              <w:t xml:space="preserve">Расходы на оплату услуг, оказываемых ПАО </w:t>
            </w:r>
            <w:r w:rsidR="00655FFA" w:rsidRPr="00A54C03">
              <w:rPr>
                <w:rFonts w:eastAsia="Calibri" w:cs="Times New Roman"/>
                <w:sz w:val="20"/>
                <w:szCs w:val="20"/>
              </w:rPr>
              <w:t>«</w:t>
            </w:r>
            <w:r w:rsidRPr="00A54C03">
              <w:rPr>
                <w:rFonts w:eastAsia="Calibri" w:cs="Times New Roman"/>
                <w:sz w:val="20"/>
                <w:szCs w:val="20"/>
              </w:rPr>
              <w:t>ФСК ЕЭС</w:t>
            </w:r>
            <w:r w:rsidR="00655FFA" w:rsidRPr="00A54C03">
              <w:rPr>
                <w:rFonts w:eastAsia="Calibri" w:cs="Times New Roman"/>
                <w:sz w:val="20"/>
                <w:szCs w:val="20"/>
              </w:rPr>
              <w:t>»</w:t>
            </w:r>
          </w:p>
        </w:tc>
        <w:tc>
          <w:tcPr>
            <w:tcW w:w="1767" w:type="dxa"/>
            <w:tcBorders>
              <w:top w:val="single" w:sz="4" w:space="0" w:color="FFFFFF" w:themeColor="background1"/>
            </w:tcBorders>
            <w:hideMark/>
          </w:tcPr>
          <w:p w14:paraId="3A66462B" w14:textId="29FD3D69" w:rsidR="00647DC8" w:rsidRPr="00A54C03" w:rsidRDefault="00647DC8"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A54C03">
              <w:rPr>
                <w:rFonts w:eastAsia="Calibri" w:cs="Times New Roman"/>
                <w:sz w:val="20"/>
                <w:szCs w:val="20"/>
              </w:rPr>
              <w:t>2 507 399,4</w:t>
            </w:r>
          </w:p>
        </w:tc>
        <w:tc>
          <w:tcPr>
            <w:tcW w:w="1275" w:type="dxa"/>
            <w:tcBorders>
              <w:top w:val="single" w:sz="4" w:space="0" w:color="FFFFFF" w:themeColor="background1"/>
            </w:tcBorders>
            <w:hideMark/>
          </w:tcPr>
          <w:p w14:paraId="009EBD83" w14:textId="1D4CCDFC" w:rsidR="00647DC8" w:rsidRPr="00A54C03" w:rsidRDefault="00647DC8"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A54C03">
              <w:rPr>
                <w:rFonts w:eastAsia="Calibri" w:cs="Times New Roman"/>
                <w:sz w:val="20"/>
                <w:szCs w:val="20"/>
              </w:rPr>
              <w:t>2 550 894,7</w:t>
            </w:r>
          </w:p>
        </w:tc>
        <w:tc>
          <w:tcPr>
            <w:tcW w:w="1418" w:type="dxa"/>
            <w:tcBorders>
              <w:top w:val="single" w:sz="4" w:space="0" w:color="FFFFFF" w:themeColor="background1"/>
            </w:tcBorders>
            <w:hideMark/>
          </w:tcPr>
          <w:p w14:paraId="64D8EE8E" w14:textId="77777777" w:rsidR="00647DC8" w:rsidRPr="00A54C03" w:rsidRDefault="00647DC8"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A54C03">
              <w:rPr>
                <w:rFonts w:eastAsia="Calibri" w:cs="Times New Roman"/>
                <w:sz w:val="20"/>
                <w:szCs w:val="20"/>
              </w:rPr>
              <w:t>2 481 508,43</w:t>
            </w:r>
          </w:p>
        </w:tc>
        <w:tc>
          <w:tcPr>
            <w:tcW w:w="1418" w:type="dxa"/>
            <w:tcBorders>
              <w:top w:val="single" w:sz="4" w:space="0" w:color="FFFFFF" w:themeColor="background1"/>
            </w:tcBorders>
            <w:hideMark/>
          </w:tcPr>
          <w:p w14:paraId="71449E9E" w14:textId="77777777" w:rsidR="00647DC8" w:rsidRPr="00A54C03" w:rsidRDefault="00647DC8"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A54C03">
              <w:rPr>
                <w:rFonts w:eastAsia="Calibri" w:cs="Times New Roman"/>
                <w:sz w:val="20"/>
                <w:szCs w:val="20"/>
              </w:rPr>
              <w:t>-69 386,27</w:t>
            </w:r>
          </w:p>
        </w:tc>
        <w:tc>
          <w:tcPr>
            <w:tcW w:w="1418" w:type="dxa"/>
            <w:tcBorders>
              <w:top w:val="single" w:sz="4" w:space="0" w:color="FFFFFF" w:themeColor="background1"/>
            </w:tcBorders>
            <w:hideMark/>
          </w:tcPr>
          <w:p w14:paraId="70860151" w14:textId="77777777" w:rsidR="00647DC8" w:rsidRPr="00A54C03" w:rsidRDefault="00647DC8"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A54C03">
              <w:rPr>
                <w:rFonts w:eastAsia="Calibri" w:cs="Times New Roman"/>
                <w:sz w:val="20"/>
                <w:szCs w:val="20"/>
              </w:rPr>
              <w:t>-25 891,05</w:t>
            </w:r>
          </w:p>
        </w:tc>
      </w:tr>
    </w:tbl>
    <w:p w14:paraId="58D94864" w14:textId="634BD9BC" w:rsidR="00F0088B" w:rsidRPr="00FB0A3A" w:rsidRDefault="00F0088B" w:rsidP="00D20107">
      <w:pPr>
        <w:pStyle w:val="afff7"/>
      </w:pPr>
      <w:r w:rsidRPr="00FB0A3A">
        <w:t xml:space="preserve">На основании вышеизложенного Исполнитель отмечает, что при установлении тарифов на 2021 год будет произведена корректировка неподконтрольных расходов (в составе которых учитываются расходы на оплату услуг ПАО </w:t>
      </w:r>
      <w:r w:rsidR="00655FFA" w:rsidRPr="00FB0A3A">
        <w:t>«</w:t>
      </w:r>
      <w:r w:rsidRPr="00FB0A3A">
        <w:t>ФСК</w:t>
      </w:r>
      <w:r w:rsidR="00655FFA" w:rsidRPr="00FB0A3A">
        <w:t>»</w:t>
      </w:r>
      <w:r w:rsidRPr="00FB0A3A">
        <w:t xml:space="preserve">) по фактическим показателям за 2019 год и излишне учтенная сумма в НВВ 2019 года будет скорректирована в НВВ 2021 года. </w:t>
      </w:r>
    </w:p>
    <w:p w14:paraId="5B5EC3AD" w14:textId="2497B0D3" w:rsidR="004A1E04" w:rsidRPr="00FB0A3A" w:rsidRDefault="004A1E04" w:rsidP="00D20107">
      <w:pPr>
        <w:pStyle w:val="afff4"/>
        <w:rPr>
          <w:lang w:val="ru-RU"/>
        </w:rPr>
      </w:pPr>
      <w:r w:rsidRPr="00FB0A3A">
        <w:rPr>
          <w:lang w:val="ru-RU"/>
        </w:rPr>
        <w:t xml:space="preserve">Справочно: Исполнитель отмечает, что по данным филиала </w:t>
      </w:r>
      <w:r w:rsidR="00655FFA" w:rsidRPr="00FB0A3A">
        <w:rPr>
          <w:lang w:val="ru-RU"/>
        </w:rPr>
        <w:t xml:space="preserve">ПАО «МРСК </w:t>
      </w:r>
      <w:r w:rsidR="00D20107" w:rsidRPr="00FB0A3A">
        <w:rPr>
          <w:lang w:val="ru-RU"/>
        </w:rPr>
        <w:t>Северо-Запада» «Колэнерго</w:t>
      </w:r>
      <w:r w:rsidR="00655FFA" w:rsidRPr="00FB0A3A">
        <w:rPr>
          <w:lang w:val="ru-RU"/>
        </w:rPr>
        <w:t>»</w:t>
      </w:r>
      <w:r w:rsidRPr="00FB0A3A">
        <w:rPr>
          <w:lang w:val="ru-RU"/>
        </w:rPr>
        <w:t xml:space="preserve"> фактические расходы за 2019 год на услуги ПАО </w:t>
      </w:r>
      <w:r w:rsidR="00655FFA" w:rsidRPr="00FB0A3A">
        <w:rPr>
          <w:lang w:val="ru-RU"/>
        </w:rPr>
        <w:t>«</w:t>
      </w:r>
      <w:r w:rsidRPr="00FB0A3A">
        <w:rPr>
          <w:lang w:val="ru-RU"/>
        </w:rPr>
        <w:t>ФСК ЕЭС</w:t>
      </w:r>
      <w:r w:rsidR="00655FFA" w:rsidRPr="00FB0A3A">
        <w:rPr>
          <w:lang w:val="ru-RU"/>
        </w:rPr>
        <w:t>»</w:t>
      </w:r>
      <w:r w:rsidRPr="00FB0A3A">
        <w:rPr>
          <w:lang w:val="ru-RU"/>
        </w:rPr>
        <w:t xml:space="preserve"> составляют 2 503 600,37 тыс. руб.:</w:t>
      </w:r>
    </w:p>
    <w:tbl>
      <w:tblPr>
        <w:tblStyle w:val="afff6"/>
        <w:tblW w:w="5018" w:type="pct"/>
        <w:tblLayout w:type="fixed"/>
        <w:tblLook w:val="04A0" w:firstRow="1" w:lastRow="0" w:firstColumn="1" w:lastColumn="0" w:noHBand="0" w:noVBand="1"/>
      </w:tblPr>
      <w:tblGrid>
        <w:gridCol w:w="3501"/>
        <w:gridCol w:w="1710"/>
        <w:gridCol w:w="1306"/>
        <w:gridCol w:w="1397"/>
        <w:gridCol w:w="1464"/>
      </w:tblGrid>
      <w:tr w:rsidR="000B033E" w:rsidRPr="00A54C03" w14:paraId="176EE7D3" w14:textId="77777777" w:rsidTr="00A54C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6301B681" w14:textId="77777777" w:rsidR="000B033E" w:rsidRPr="00A54C03" w:rsidRDefault="000B033E" w:rsidP="00D20107">
            <w:pPr>
              <w:tabs>
                <w:tab w:val="left" w:pos="1134"/>
              </w:tabs>
              <w:jc w:val="center"/>
              <w:rPr>
                <w:rFonts w:eastAsia="Calibri" w:cs="Times New Roman"/>
                <w:sz w:val="20"/>
                <w:szCs w:val="20"/>
              </w:rPr>
            </w:pPr>
            <w:r w:rsidRPr="00A54C03">
              <w:rPr>
                <w:rFonts w:eastAsia="Calibri" w:cs="Times New Roman"/>
                <w:sz w:val="20"/>
                <w:szCs w:val="20"/>
              </w:rPr>
              <w:t>Наименование показателя</w:t>
            </w:r>
          </w:p>
        </w:tc>
        <w:tc>
          <w:tcPr>
            <w:tcW w:w="171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3C35D69" w14:textId="77777777" w:rsidR="000B033E" w:rsidRPr="00A54C03" w:rsidRDefault="000B033E" w:rsidP="00D20107">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 w:val="20"/>
                <w:szCs w:val="20"/>
              </w:rPr>
            </w:pPr>
            <w:r w:rsidRPr="00A54C03">
              <w:rPr>
                <w:rFonts w:eastAsia="Calibri" w:cs="Times New Roman"/>
                <w:sz w:val="20"/>
                <w:szCs w:val="20"/>
              </w:rPr>
              <w:t>Ед. изм.</w:t>
            </w:r>
          </w:p>
        </w:tc>
        <w:tc>
          <w:tcPr>
            <w:tcW w:w="4167"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8E36A3A" w14:textId="7BD62688" w:rsidR="000B033E" w:rsidRPr="00A54C03" w:rsidRDefault="000B033E" w:rsidP="00EB2242">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 w:val="20"/>
                <w:szCs w:val="20"/>
              </w:rPr>
            </w:pPr>
            <w:r w:rsidRPr="00A54C03">
              <w:rPr>
                <w:rFonts w:eastAsia="Calibri" w:cs="Times New Roman"/>
                <w:sz w:val="20"/>
                <w:szCs w:val="20"/>
              </w:rPr>
              <w:t xml:space="preserve">2019 год факт </w:t>
            </w:r>
            <w:r w:rsidR="00EB2242" w:rsidRPr="00A54C03">
              <w:rPr>
                <w:rFonts w:eastAsia="Calibri" w:cs="Times New Roman"/>
                <w:sz w:val="20"/>
                <w:szCs w:val="20"/>
              </w:rPr>
              <w:t>Ф</w:t>
            </w:r>
            <w:r w:rsidRPr="00A54C03">
              <w:rPr>
                <w:rFonts w:eastAsia="Calibri" w:cs="Times New Roman"/>
                <w:sz w:val="20"/>
                <w:szCs w:val="20"/>
              </w:rPr>
              <w:t>илиала</w:t>
            </w:r>
          </w:p>
        </w:tc>
      </w:tr>
      <w:tr w:rsidR="00907AB4" w:rsidRPr="00A54C03" w14:paraId="14160E8C" w14:textId="77777777" w:rsidTr="00A54C03">
        <w:tc>
          <w:tcPr>
            <w:cnfStyle w:val="001000000000" w:firstRow="0" w:lastRow="0" w:firstColumn="1" w:lastColumn="0" w:oddVBand="0" w:evenVBand="0" w:oddHBand="0" w:evenHBand="0" w:firstRowFirstColumn="0" w:firstRowLastColumn="0" w:lastRowFirstColumn="0" w:lastRowLastColumn="0"/>
            <w:tcW w:w="350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4C03856" w14:textId="77777777" w:rsidR="000B033E" w:rsidRPr="00A54C03" w:rsidRDefault="000B033E" w:rsidP="00D20107">
            <w:pPr>
              <w:tabs>
                <w:tab w:val="left" w:pos="1134"/>
              </w:tabs>
              <w:rPr>
                <w:rFonts w:eastAsia="Calibri" w:cs="Times New Roman"/>
                <w:sz w:val="20"/>
                <w:szCs w:val="20"/>
              </w:rPr>
            </w:pPr>
          </w:p>
        </w:tc>
        <w:tc>
          <w:tcPr>
            <w:tcW w:w="171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D3DF4F0" w14:textId="77777777" w:rsidR="000B033E" w:rsidRPr="00A54C03" w:rsidRDefault="000B033E"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p>
        </w:tc>
        <w:tc>
          <w:tcPr>
            <w:tcW w:w="13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3CEA6FC8" w14:textId="77777777" w:rsidR="000B033E" w:rsidRPr="00A54C03" w:rsidRDefault="000B033E"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color w:val="FFFFFF" w:themeColor="background1"/>
                <w:sz w:val="20"/>
                <w:szCs w:val="20"/>
              </w:rPr>
            </w:pPr>
            <w:r w:rsidRPr="00A54C03">
              <w:rPr>
                <w:rFonts w:eastAsia="Calibri" w:cs="Times New Roman"/>
                <w:color w:val="FFFFFF" w:themeColor="background1"/>
                <w:sz w:val="20"/>
                <w:szCs w:val="20"/>
              </w:rPr>
              <w:t>1 полугодие</w:t>
            </w:r>
          </w:p>
        </w:tc>
        <w:tc>
          <w:tcPr>
            <w:tcW w:w="13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08CF2845" w14:textId="77777777" w:rsidR="000B033E" w:rsidRPr="00A54C03" w:rsidRDefault="000B033E"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color w:val="FFFFFF" w:themeColor="background1"/>
                <w:sz w:val="20"/>
                <w:szCs w:val="20"/>
              </w:rPr>
            </w:pPr>
            <w:r w:rsidRPr="00A54C03">
              <w:rPr>
                <w:rFonts w:eastAsia="Calibri" w:cs="Times New Roman"/>
                <w:color w:val="FFFFFF" w:themeColor="background1"/>
                <w:sz w:val="20"/>
                <w:szCs w:val="20"/>
              </w:rPr>
              <w:t>2 полугодие</w:t>
            </w:r>
          </w:p>
        </w:tc>
        <w:tc>
          <w:tcPr>
            <w:tcW w:w="14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0E48A607" w14:textId="77777777" w:rsidR="000B033E" w:rsidRPr="00A54C03" w:rsidRDefault="000B033E"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color w:val="FFFFFF" w:themeColor="background1"/>
                <w:sz w:val="20"/>
                <w:szCs w:val="20"/>
              </w:rPr>
            </w:pPr>
            <w:r w:rsidRPr="00A54C03">
              <w:rPr>
                <w:rFonts w:eastAsia="Calibri" w:cs="Times New Roman"/>
                <w:color w:val="FFFFFF" w:themeColor="background1"/>
                <w:sz w:val="20"/>
                <w:szCs w:val="20"/>
              </w:rPr>
              <w:t>год</w:t>
            </w:r>
          </w:p>
        </w:tc>
      </w:tr>
      <w:tr w:rsidR="00907AB4" w:rsidRPr="00A54C03" w14:paraId="3D827D02" w14:textId="77777777" w:rsidTr="00A54C03">
        <w:tc>
          <w:tcPr>
            <w:cnfStyle w:val="001000000000" w:firstRow="0" w:lastRow="0" w:firstColumn="1" w:lastColumn="0" w:oddVBand="0" w:evenVBand="0" w:oddHBand="0" w:evenHBand="0" w:firstRowFirstColumn="0" w:firstRowLastColumn="0" w:lastRowFirstColumn="0" w:lastRowLastColumn="0"/>
            <w:tcW w:w="3500" w:type="dxa"/>
            <w:tcBorders>
              <w:top w:val="single" w:sz="4" w:space="0" w:color="FFFFFF" w:themeColor="background1"/>
            </w:tcBorders>
            <w:noWrap/>
            <w:hideMark/>
          </w:tcPr>
          <w:p w14:paraId="2E4CE98F" w14:textId="0997C169" w:rsidR="000B033E" w:rsidRPr="00A54C03" w:rsidRDefault="000B033E" w:rsidP="00D20107">
            <w:pPr>
              <w:tabs>
                <w:tab w:val="left" w:pos="1134"/>
              </w:tabs>
              <w:rPr>
                <w:rFonts w:eastAsia="Calibri" w:cs="Times New Roman"/>
                <w:sz w:val="20"/>
                <w:szCs w:val="20"/>
              </w:rPr>
            </w:pPr>
            <w:r w:rsidRPr="00A54C03">
              <w:rPr>
                <w:rFonts w:eastAsia="Calibri" w:cs="Times New Roman"/>
                <w:sz w:val="20"/>
                <w:szCs w:val="20"/>
              </w:rPr>
              <w:t xml:space="preserve">Расходы на оплату услуг, оказываемых ПАО </w:t>
            </w:r>
            <w:r w:rsidR="00655FFA" w:rsidRPr="00A54C03">
              <w:rPr>
                <w:rFonts w:eastAsia="Calibri" w:cs="Times New Roman"/>
                <w:sz w:val="20"/>
                <w:szCs w:val="20"/>
              </w:rPr>
              <w:t>«</w:t>
            </w:r>
            <w:r w:rsidRPr="00A54C03">
              <w:rPr>
                <w:rFonts w:eastAsia="Calibri" w:cs="Times New Roman"/>
                <w:sz w:val="20"/>
                <w:szCs w:val="20"/>
              </w:rPr>
              <w:t>ФСК ЕЭС</w:t>
            </w:r>
            <w:r w:rsidR="00655FFA" w:rsidRPr="00A54C03">
              <w:rPr>
                <w:rFonts w:eastAsia="Calibri" w:cs="Times New Roman"/>
                <w:sz w:val="20"/>
                <w:szCs w:val="20"/>
              </w:rPr>
              <w:t>»</w:t>
            </w:r>
            <w:r w:rsidRPr="00A54C03">
              <w:rPr>
                <w:rFonts w:eastAsia="Calibri" w:cs="Times New Roman"/>
                <w:sz w:val="20"/>
                <w:szCs w:val="20"/>
              </w:rPr>
              <w:t xml:space="preserve"> всего, в том числе:</w:t>
            </w:r>
          </w:p>
        </w:tc>
        <w:tc>
          <w:tcPr>
            <w:tcW w:w="1710" w:type="dxa"/>
            <w:tcBorders>
              <w:top w:val="single" w:sz="4" w:space="0" w:color="FFFFFF" w:themeColor="background1"/>
            </w:tcBorders>
            <w:noWrap/>
            <w:hideMark/>
          </w:tcPr>
          <w:p w14:paraId="57A8CD64" w14:textId="77777777" w:rsidR="000B033E" w:rsidRPr="00A54C03" w:rsidRDefault="000B033E"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A54C03">
              <w:rPr>
                <w:rFonts w:eastAsia="Calibri" w:cs="Times New Roman"/>
                <w:sz w:val="20"/>
                <w:szCs w:val="20"/>
              </w:rPr>
              <w:t>тыс. руб.</w:t>
            </w:r>
          </w:p>
        </w:tc>
        <w:tc>
          <w:tcPr>
            <w:tcW w:w="1306" w:type="dxa"/>
            <w:tcBorders>
              <w:top w:val="single" w:sz="4" w:space="0" w:color="FFFFFF" w:themeColor="background1"/>
            </w:tcBorders>
            <w:hideMark/>
          </w:tcPr>
          <w:p w14:paraId="01DC693F" w14:textId="77777777" w:rsidR="000B033E" w:rsidRPr="00A54C03" w:rsidRDefault="000B033E"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A54C03">
              <w:rPr>
                <w:rFonts w:eastAsia="Calibri" w:cs="Times New Roman"/>
                <w:sz w:val="20"/>
                <w:szCs w:val="20"/>
              </w:rPr>
              <w:t>1 283 158,15</w:t>
            </w:r>
          </w:p>
        </w:tc>
        <w:tc>
          <w:tcPr>
            <w:tcW w:w="1397" w:type="dxa"/>
            <w:tcBorders>
              <w:top w:val="single" w:sz="4" w:space="0" w:color="FFFFFF" w:themeColor="background1"/>
            </w:tcBorders>
            <w:hideMark/>
          </w:tcPr>
          <w:p w14:paraId="7FBE4949" w14:textId="77777777" w:rsidR="000B033E" w:rsidRPr="00A54C03" w:rsidRDefault="000B033E"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A54C03">
              <w:rPr>
                <w:rFonts w:eastAsia="Calibri" w:cs="Times New Roman"/>
                <w:sz w:val="20"/>
                <w:szCs w:val="20"/>
              </w:rPr>
              <w:t>1 220 442,23</w:t>
            </w:r>
          </w:p>
        </w:tc>
        <w:tc>
          <w:tcPr>
            <w:tcW w:w="1463" w:type="dxa"/>
            <w:tcBorders>
              <w:top w:val="single" w:sz="4" w:space="0" w:color="FFFFFF" w:themeColor="background1"/>
            </w:tcBorders>
            <w:hideMark/>
          </w:tcPr>
          <w:p w14:paraId="420E6697" w14:textId="77777777" w:rsidR="000B033E" w:rsidRPr="00A54C03" w:rsidRDefault="000B033E"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A54C03">
              <w:rPr>
                <w:rFonts w:eastAsia="Calibri" w:cs="Times New Roman"/>
                <w:sz w:val="20"/>
                <w:szCs w:val="20"/>
              </w:rPr>
              <w:t>2 503 600,37</w:t>
            </w:r>
          </w:p>
        </w:tc>
      </w:tr>
      <w:tr w:rsidR="00907AB4" w:rsidRPr="00A54C03" w14:paraId="1877E9B0" w14:textId="77777777" w:rsidTr="00A54C03">
        <w:tc>
          <w:tcPr>
            <w:cnfStyle w:val="001000000000" w:firstRow="0" w:lastRow="0" w:firstColumn="1" w:lastColumn="0" w:oddVBand="0" w:evenVBand="0" w:oddHBand="0" w:evenHBand="0" w:firstRowFirstColumn="0" w:firstRowLastColumn="0" w:lastRowFirstColumn="0" w:lastRowLastColumn="0"/>
            <w:tcW w:w="3500" w:type="dxa"/>
            <w:noWrap/>
            <w:hideMark/>
          </w:tcPr>
          <w:p w14:paraId="52027A83" w14:textId="77777777" w:rsidR="000B033E" w:rsidRPr="00A54C03" w:rsidRDefault="000B033E" w:rsidP="00D20107">
            <w:pPr>
              <w:tabs>
                <w:tab w:val="left" w:pos="1134"/>
              </w:tabs>
              <w:rPr>
                <w:rFonts w:eastAsia="Calibri" w:cs="Times New Roman"/>
                <w:sz w:val="20"/>
                <w:szCs w:val="20"/>
              </w:rPr>
            </w:pPr>
            <w:r w:rsidRPr="00A54C03">
              <w:rPr>
                <w:rFonts w:eastAsia="Calibri" w:cs="Times New Roman"/>
                <w:sz w:val="20"/>
                <w:szCs w:val="20"/>
              </w:rPr>
              <w:t>1.Расходы на содержание объектов, входящих в ЕНЭС</w:t>
            </w:r>
          </w:p>
        </w:tc>
        <w:tc>
          <w:tcPr>
            <w:tcW w:w="1710" w:type="dxa"/>
            <w:noWrap/>
            <w:hideMark/>
          </w:tcPr>
          <w:p w14:paraId="4422C3B0" w14:textId="77777777" w:rsidR="000B033E" w:rsidRPr="00A54C03" w:rsidRDefault="000B033E"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A54C03">
              <w:rPr>
                <w:rFonts w:eastAsia="Calibri" w:cs="Times New Roman"/>
                <w:sz w:val="20"/>
                <w:szCs w:val="20"/>
              </w:rPr>
              <w:t>тыс. руб.</w:t>
            </w:r>
          </w:p>
        </w:tc>
        <w:tc>
          <w:tcPr>
            <w:tcW w:w="1306" w:type="dxa"/>
            <w:hideMark/>
          </w:tcPr>
          <w:p w14:paraId="04BA1773" w14:textId="77777777" w:rsidR="000B033E" w:rsidRPr="00A54C03" w:rsidRDefault="000B033E"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A54C03">
              <w:rPr>
                <w:rFonts w:eastAsia="Calibri" w:cs="Times New Roman"/>
                <w:sz w:val="20"/>
                <w:szCs w:val="20"/>
              </w:rPr>
              <w:t>1 063 002,07</w:t>
            </w:r>
          </w:p>
        </w:tc>
        <w:tc>
          <w:tcPr>
            <w:tcW w:w="1397" w:type="dxa"/>
            <w:hideMark/>
          </w:tcPr>
          <w:p w14:paraId="72224874" w14:textId="77777777" w:rsidR="000B033E" w:rsidRPr="00A54C03" w:rsidRDefault="000B033E"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A54C03">
              <w:rPr>
                <w:rFonts w:eastAsia="Calibri" w:cs="Times New Roman"/>
                <w:sz w:val="20"/>
                <w:szCs w:val="20"/>
              </w:rPr>
              <w:t>1 081 097,08</w:t>
            </w:r>
          </w:p>
        </w:tc>
        <w:tc>
          <w:tcPr>
            <w:tcW w:w="1463" w:type="dxa"/>
            <w:hideMark/>
          </w:tcPr>
          <w:p w14:paraId="28427464" w14:textId="77777777" w:rsidR="000B033E" w:rsidRPr="00A54C03" w:rsidRDefault="000B033E"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A54C03">
              <w:rPr>
                <w:rFonts w:eastAsia="Calibri" w:cs="Times New Roman"/>
                <w:sz w:val="20"/>
                <w:szCs w:val="20"/>
              </w:rPr>
              <w:t>2 144 099,15</w:t>
            </w:r>
          </w:p>
        </w:tc>
      </w:tr>
      <w:tr w:rsidR="00907AB4" w:rsidRPr="00A54C03" w14:paraId="01522457" w14:textId="77777777" w:rsidTr="00A54C03">
        <w:tc>
          <w:tcPr>
            <w:cnfStyle w:val="001000000000" w:firstRow="0" w:lastRow="0" w:firstColumn="1" w:lastColumn="0" w:oddVBand="0" w:evenVBand="0" w:oddHBand="0" w:evenHBand="0" w:firstRowFirstColumn="0" w:firstRowLastColumn="0" w:lastRowFirstColumn="0" w:lastRowLastColumn="0"/>
            <w:tcW w:w="3500" w:type="dxa"/>
            <w:noWrap/>
            <w:hideMark/>
          </w:tcPr>
          <w:p w14:paraId="4B4CB1BF" w14:textId="20C8035C" w:rsidR="000B033E" w:rsidRPr="00A54C03" w:rsidRDefault="000B033E" w:rsidP="00D20107">
            <w:pPr>
              <w:tabs>
                <w:tab w:val="left" w:pos="1134"/>
              </w:tabs>
              <w:ind w:left="164"/>
              <w:rPr>
                <w:rFonts w:eastAsia="Calibri" w:cs="Times New Roman"/>
                <w:sz w:val="20"/>
                <w:szCs w:val="20"/>
              </w:rPr>
            </w:pPr>
            <w:r w:rsidRPr="00A54C03">
              <w:rPr>
                <w:rFonts w:eastAsia="Calibri" w:cs="Times New Roman"/>
                <w:sz w:val="20"/>
                <w:szCs w:val="20"/>
              </w:rPr>
              <w:t>заявленная мощность потребителей, присоединенных к ЕНЭС</w:t>
            </w:r>
          </w:p>
        </w:tc>
        <w:tc>
          <w:tcPr>
            <w:tcW w:w="1710" w:type="dxa"/>
            <w:noWrap/>
            <w:hideMark/>
          </w:tcPr>
          <w:p w14:paraId="584BB7B0" w14:textId="77777777" w:rsidR="000B033E" w:rsidRPr="00A54C03" w:rsidRDefault="000B033E"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A54C03">
              <w:rPr>
                <w:rFonts w:eastAsia="Calibri" w:cs="Times New Roman"/>
                <w:sz w:val="20"/>
                <w:szCs w:val="20"/>
              </w:rPr>
              <w:t>МВт</w:t>
            </w:r>
          </w:p>
        </w:tc>
        <w:tc>
          <w:tcPr>
            <w:tcW w:w="1306" w:type="dxa"/>
            <w:hideMark/>
          </w:tcPr>
          <w:p w14:paraId="6BD2C9D4" w14:textId="77777777" w:rsidR="000B033E" w:rsidRPr="00A54C03" w:rsidRDefault="000B033E"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A54C03">
              <w:rPr>
                <w:rFonts w:eastAsia="Calibri" w:cs="Times New Roman"/>
                <w:sz w:val="20"/>
                <w:szCs w:val="20"/>
              </w:rPr>
              <w:t>1 023,12</w:t>
            </w:r>
          </w:p>
        </w:tc>
        <w:tc>
          <w:tcPr>
            <w:tcW w:w="1397" w:type="dxa"/>
            <w:hideMark/>
          </w:tcPr>
          <w:p w14:paraId="1095C3A1" w14:textId="77777777" w:rsidR="000B033E" w:rsidRPr="00A54C03" w:rsidRDefault="000B033E"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A54C03">
              <w:rPr>
                <w:rFonts w:eastAsia="Calibri" w:cs="Times New Roman"/>
                <w:sz w:val="20"/>
                <w:szCs w:val="20"/>
              </w:rPr>
              <w:t>986,24</w:t>
            </w:r>
          </w:p>
        </w:tc>
        <w:tc>
          <w:tcPr>
            <w:tcW w:w="1463" w:type="dxa"/>
            <w:hideMark/>
          </w:tcPr>
          <w:p w14:paraId="5C7EA378" w14:textId="77777777" w:rsidR="000B033E" w:rsidRPr="00A54C03" w:rsidRDefault="000B033E"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A54C03">
              <w:rPr>
                <w:rFonts w:eastAsia="Calibri" w:cs="Times New Roman"/>
                <w:sz w:val="20"/>
                <w:szCs w:val="20"/>
              </w:rPr>
              <w:t>1 004,68</w:t>
            </w:r>
          </w:p>
        </w:tc>
      </w:tr>
      <w:tr w:rsidR="00907AB4" w:rsidRPr="00A54C03" w14:paraId="3812CF62" w14:textId="77777777" w:rsidTr="00A54C03">
        <w:tc>
          <w:tcPr>
            <w:cnfStyle w:val="001000000000" w:firstRow="0" w:lastRow="0" w:firstColumn="1" w:lastColumn="0" w:oddVBand="0" w:evenVBand="0" w:oddHBand="0" w:evenHBand="0" w:firstRowFirstColumn="0" w:firstRowLastColumn="0" w:lastRowFirstColumn="0" w:lastRowLastColumn="0"/>
            <w:tcW w:w="3500" w:type="dxa"/>
            <w:noWrap/>
            <w:hideMark/>
          </w:tcPr>
          <w:p w14:paraId="4748C6BE" w14:textId="672FAE61" w:rsidR="000B033E" w:rsidRPr="00A54C03" w:rsidRDefault="000B033E" w:rsidP="00D20107">
            <w:pPr>
              <w:tabs>
                <w:tab w:val="left" w:pos="1134"/>
              </w:tabs>
              <w:ind w:left="164"/>
              <w:rPr>
                <w:rFonts w:eastAsia="Calibri" w:cs="Times New Roman"/>
                <w:sz w:val="20"/>
                <w:szCs w:val="20"/>
              </w:rPr>
            </w:pPr>
            <w:r w:rsidRPr="00A54C03">
              <w:rPr>
                <w:rFonts w:eastAsia="Calibri" w:cs="Times New Roman"/>
                <w:sz w:val="20"/>
                <w:szCs w:val="20"/>
              </w:rPr>
              <w:t>ставка тарифа на услуги по передаче эл. энергии на содержание объектов, входящих в ЕНЭС</w:t>
            </w:r>
          </w:p>
        </w:tc>
        <w:tc>
          <w:tcPr>
            <w:tcW w:w="1710" w:type="dxa"/>
            <w:noWrap/>
            <w:hideMark/>
          </w:tcPr>
          <w:p w14:paraId="4DFD3626" w14:textId="77777777" w:rsidR="000B033E" w:rsidRPr="00A54C03" w:rsidRDefault="000B033E"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A54C03">
              <w:rPr>
                <w:rFonts w:eastAsia="Calibri" w:cs="Times New Roman"/>
                <w:sz w:val="20"/>
                <w:szCs w:val="20"/>
              </w:rPr>
              <w:t>руб./Мвт в месяц</w:t>
            </w:r>
          </w:p>
        </w:tc>
        <w:tc>
          <w:tcPr>
            <w:tcW w:w="1306" w:type="dxa"/>
            <w:hideMark/>
          </w:tcPr>
          <w:p w14:paraId="06132DEB" w14:textId="77777777" w:rsidR="000B033E" w:rsidRPr="00A54C03" w:rsidRDefault="000B033E"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A54C03">
              <w:rPr>
                <w:rFonts w:eastAsia="Calibri" w:cs="Times New Roman"/>
                <w:sz w:val="20"/>
                <w:szCs w:val="20"/>
              </w:rPr>
              <w:t>173 164,15</w:t>
            </w:r>
          </w:p>
        </w:tc>
        <w:tc>
          <w:tcPr>
            <w:tcW w:w="1397" w:type="dxa"/>
            <w:hideMark/>
          </w:tcPr>
          <w:p w14:paraId="28D5493E" w14:textId="77777777" w:rsidR="000B033E" w:rsidRPr="00A54C03" w:rsidRDefault="000B033E"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A54C03">
              <w:rPr>
                <w:rFonts w:eastAsia="Calibri" w:cs="Times New Roman"/>
                <w:sz w:val="20"/>
                <w:szCs w:val="20"/>
              </w:rPr>
              <w:t>182 697,68</w:t>
            </w:r>
          </w:p>
        </w:tc>
        <w:tc>
          <w:tcPr>
            <w:tcW w:w="1463" w:type="dxa"/>
            <w:hideMark/>
          </w:tcPr>
          <w:p w14:paraId="1967A432" w14:textId="77777777" w:rsidR="000B033E" w:rsidRPr="00A54C03" w:rsidRDefault="000B033E"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A54C03">
              <w:rPr>
                <w:rFonts w:eastAsia="Calibri" w:cs="Times New Roman"/>
                <w:sz w:val="20"/>
                <w:szCs w:val="20"/>
              </w:rPr>
              <w:t>177 843,42</w:t>
            </w:r>
          </w:p>
        </w:tc>
      </w:tr>
      <w:tr w:rsidR="00907AB4" w:rsidRPr="00A54C03" w14:paraId="44FB2957" w14:textId="77777777" w:rsidTr="00A54C03">
        <w:tc>
          <w:tcPr>
            <w:cnfStyle w:val="001000000000" w:firstRow="0" w:lastRow="0" w:firstColumn="1" w:lastColumn="0" w:oddVBand="0" w:evenVBand="0" w:oddHBand="0" w:evenHBand="0" w:firstRowFirstColumn="0" w:firstRowLastColumn="0" w:lastRowFirstColumn="0" w:lastRowLastColumn="0"/>
            <w:tcW w:w="3500" w:type="dxa"/>
            <w:noWrap/>
            <w:hideMark/>
          </w:tcPr>
          <w:p w14:paraId="44AAA570" w14:textId="77777777" w:rsidR="000B033E" w:rsidRPr="00A54C03" w:rsidRDefault="000B033E" w:rsidP="00D20107">
            <w:pPr>
              <w:tabs>
                <w:tab w:val="left" w:pos="1134"/>
              </w:tabs>
              <w:rPr>
                <w:rFonts w:eastAsia="Calibri" w:cs="Times New Roman"/>
                <w:sz w:val="20"/>
                <w:szCs w:val="20"/>
              </w:rPr>
            </w:pPr>
            <w:r w:rsidRPr="00A54C03">
              <w:rPr>
                <w:rFonts w:eastAsia="Calibri" w:cs="Times New Roman"/>
                <w:sz w:val="20"/>
                <w:szCs w:val="20"/>
              </w:rPr>
              <w:t>2.Расходы на оплату нормативных (технологических) потерь электрической энергии (мощности) в объектах ЕНЭС</w:t>
            </w:r>
          </w:p>
        </w:tc>
        <w:tc>
          <w:tcPr>
            <w:tcW w:w="1710" w:type="dxa"/>
            <w:noWrap/>
            <w:hideMark/>
          </w:tcPr>
          <w:p w14:paraId="6199946D" w14:textId="1910EB76" w:rsidR="000B033E" w:rsidRPr="00A54C03" w:rsidRDefault="000B033E"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A54C03">
              <w:rPr>
                <w:rFonts w:eastAsia="Calibri" w:cs="Times New Roman"/>
                <w:sz w:val="20"/>
                <w:szCs w:val="20"/>
              </w:rPr>
              <w:t>тыс.</w:t>
            </w:r>
            <w:r w:rsidR="004A1E04" w:rsidRPr="00A54C03">
              <w:rPr>
                <w:rFonts w:eastAsia="Calibri" w:cs="Times New Roman"/>
                <w:sz w:val="20"/>
                <w:szCs w:val="20"/>
              </w:rPr>
              <w:t xml:space="preserve"> </w:t>
            </w:r>
            <w:r w:rsidR="000C264C" w:rsidRPr="00A54C03">
              <w:rPr>
                <w:rFonts w:eastAsia="Calibri" w:cs="Times New Roman"/>
                <w:sz w:val="20"/>
                <w:szCs w:val="20"/>
              </w:rPr>
              <w:t>руб.</w:t>
            </w:r>
          </w:p>
        </w:tc>
        <w:tc>
          <w:tcPr>
            <w:tcW w:w="1306" w:type="dxa"/>
            <w:hideMark/>
          </w:tcPr>
          <w:p w14:paraId="5BDFF229" w14:textId="77777777" w:rsidR="000B033E" w:rsidRPr="00A54C03" w:rsidRDefault="000B033E"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A54C03">
              <w:rPr>
                <w:rFonts w:eastAsia="Calibri" w:cs="Times New Roman"/>
                <w:sz w:val="20"/>
                <w:szCs w:val="20"/>
              </w:rPr>
              <w:t>220 156,07</w:t>
            </w:r>
          </w:p>
        </w:tc>
        <w:tc>
          <w:tcPr>
            <w:tcW w:w="1397" w:type="dxa"/>
            <w:hideMark/>
          </w:tcPr>
          <w:p w14:paraId="395A038F" w14:textId="77777777" w:rsidR="000B033E" w:rsidRPr="00A54C03" w:rsidRDefault="000B033E"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A54C03">
              <w:rPr>
                <w:rFonts w:eastAsia="Calibri" w:cs="Times New Roman"/>
                <w:sz w:val="20"/>
                <w:szCs w:val="20"/>
              </w:rPr>
              <w:t>139 345,15</w:t>
            </w:r>
          </w:p>
        </w:tc>
        <w:tc>
          <w:tcPr>
            <w:tcW w:w="1463" w:type="dxa"/>
            <w:hideMark/>
          </w:tcPr>
          <w:p w14:paraId="4D4757AB" w14:textId="77777777" w:rsidR="000B033E" w:rsidRPr="00A54C03" w:rsidRDefault="000B033E"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A54C03">
              <w:rPr>
                <w:rFonts w:eastAsia="Calibri" w:cs="Times New Roman"/>
                <w:sz w:val="20"/>
                <w:szCs w:val="20"/>
              </w:rPr>
              <w:t>359 501,22</w:t>
            </w:r>
          </w:p>
        </w:tc>
      </w:tr>
      <w:tr w:rsidR="00907AB4" w:rsidRPr="00A54C03" w14:paraId="0CCCD861" w14:textId="77777777" w:rsidTr="00A54C03">
        <w:tc>
          <w:tcPr>
            <w:cnfStyle w:val="001000000000" w:firstRow="0" w:lastRow="0" w:firstColumn="1" w:lastColumn="0" w:oddVBand="0" w:evenVBand="0" w:oddHBand="0" w:evenHBand="0" w:firstRowFirstColumn="0" w:firstRowLastColumn="0" w:lastRowFirstColumn="0" w:lastRowLastColumn="0"/>
            <w:tcW w:w="3500" w:type="dxa"/>
            <w:noWrap/>
            <w:hideMark/>
          </w:tcPr>
          <w:p w14:paraId="726DCFDC" w14:textId="103F7FA1" w:rsidR="000B033E" w:rsidRPr="00A54C03" w:rsidRDefault="000B033E" w:rsidP="00D20107">
            <w:pPr>
              <w:tabs>
                <w:tab w:val="left" w:pos="1134"/>
              </w:tabs>
              <w:ind w:left="164"/>
              <w:rPr>
                <w:rFonts w:eastAsia="Calibri" w:cs="Times New Roman"/>
                <w:sz w:val="20"/>
                <w:szCs w:val="20"/>
              </w:rPr>
            </w:pPr>
            <w:r w:rsidRPr="00A54C03">
              <w:rPr>
                <w:rFonts w:eastAsia="Calibri" w:cs="Times New Roman"/>
                <w:sz w:val="20"/>
                <w:szCs w:val="20"/>
              </w:rPr>
              <w:t>величина потерь в сетях ЕНЭС</w:t>
            </w:r>
          </w:p>
        </w:tc>
        <w:tc>
          <w:tcPr>
            <w:tcW w:w="1710" w:type="dxa"/>
            <w:noWrap/>
            <w:hideMark/>
          </w:tcPr>
          <w:p w14:paraId="79CC2248" w14:textId="4C97BB26" w:rsidR="000B033E" w:rsidRPr="00A54C03" w:rsidRDefault="000B033E"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A54C03">
              <w:rPr>
                <w:rFonts w:eastAsia="Calibri" w:cs="Times New Roman"/>
                <w:sz w:val="20"/>
                <w:szCs w:val="20"/>
              </w:rPr>
              <w:t>тыс.</w:t>
            </w:r>
            <w:r w:rsidR="004A1E04" w:rsidRPr="00A54C03">
              <w:rPr>
                <w:rFonts w:eastAsia="Calibri" w:cs="Times New Roman"/>
                <w:sz w:val="20"/>
                <w:szCs w:val="20"/>
              </w:rPr>
              <w:t xml:space="preserve"> </w:t>
            </w:r>
            <w:r w:rsidRPr="00A54C03">
              <w:rPr>
                <w:rFonts w:eastAsia="Calibri" w:cs="Times New Roman"/>
                <w:sz w:val="20"/>
                <w:szCs w:val="20"/>
              </w:rPr>
              <w:t>кВт.ч</w:t>
            </w:r>
          </w:p>
        </w:tc>
        <w:tc>
          <w:tcPr>
            <w:tcW w:w="1306" w:type="dxa"/>
            <w:hideMark/>
          </w:tcPr>
          <w:p w14:paraId="274C0BA2" w14:textId="77777777" w:rsidR="000B033E" w:rsidRPr="00A54C03" w:rsidRDefault="000B033E"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A54C03">
              <w:rPr>
                <w:rFonts w:eastAsia="Calibri" w:cs="Times New Roman"/>
                <w:sz w:val="20"/>
                <w:szCs w:val="20"/>
              </w:rPr>
              <w:t>111 574,78</w:t>
            </w:r>
          </w:p>
        </w:tc>
        <w:tc>
          <w:tcPr>
            <w:tcW w:w="1397" w:type="dxa"/>
            <w:hideMark/>
          </w:tcPr>
          <w:p w14:paraId="2B6719D9" w14:textId="77777777" w:rsidR="000B033E" w:rsidRPr="00A54C03" w:rsidRDefault="000B033E"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A54C03">
              <w:rPr>
                <w:rFonts w:eastAsia="Calibri" w:cs="Times New Roman"/>
                <w:sz w:val="20"/>
                <w:szCs w:val="20"/>
              </w:rPr>
              <w:t>110 455,73</w:t>
            </w:r>
          </w:p>
        </w:tc>
        <w:tc>
          <w:tcPr>
            <w:tcW w:w="1463" w:type="dxa"/>
            <w:hideMark/>
          </w:tcPr>
          <w:p w14:paraId="2D576510" w14:textId="77777777" w:rsidR="000B033E" w:rsidRPr="00A54C03" w:rsidRDefault="000B033E"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A54C03">
              <w:rPr>
                <w:rFonts w:eastAsia="Calibri" w:cs="Times New Roman"/>
                <w:sz w:val="20"/>
                <w:szCs w:val="20"/>
              </w:rPr>
              <w:t>222 030,51</w:t>
            </w:r>
          </w:p>
        </w:tc>
      </w:tr>
      <w:tr w:rsidR="00907AB4" w:rsidRPr="00A54C03" w14:paraId="43DE0683" w14:textId="77777777" w:rsidTr="00A54C03">
        <w:tc>
          <w:tcPr>
            <w:cnfStyle w:val="001000000000" w:firstRow="0" w:lastRow="0" w:firstColumn="1" w:lastColumn="0" w:oddVBand="0" w:evenVBand="0" w:oddHBand="0" w:evenHBand="0" w:firstRowFirstColumn="0" w:firstRowLastColumn="0" w:lastRowFirstColumn="0" w:lastRowLastColumn="0"/>
            <w:tcW w:w="3500" w:type="dxa"/>
            <w:noWrap/>
            <w:hideMark/>
          </w:tcPr>
          <w:p w14:paraId="2995B23E" w14:textId="15D28912" w:rsidR="000B033E" w:rsidRPr="00A54C03" w:rsidRDefault="000B033E" w:rsidP="00D20107">
            <w:pPr>
              <w:tabs>
                <w:tab w:val="left" w:pos="1134"/>
              </w:tabs>
              <w:ind w:left="164"/>
              <w:rPr>
                <w:rFonts w:eastAsia="Calibri" w:cs="Times New Roman"/>
                <w:sz w:val="20"/>
                <w:szCs w:val="20"/>
              </w:rPr>
            </w:pPr>
            <w:r w:rsidRPr="00A54C03">
              <w:rPr>
                <w:rFonts w:eastAsia="Calibri" w:cs="Times New Roman"/>
                <w:sz w:val="20"/>
                <w:szCs w:val="20"/>
              </w:rPr>
              <w:t xml:space="preserve">ставка тарифа на оплату потерь электрической энергии </w:t>
            </w:r>
            <w:r w:rsidR="000C264C" w:rsidRPr="00A54C03">
              <w:rPr>
                <w:rFonts w:eastAsia="Calibri" w:cs="Times New Roman"/>
                <w:sz w:val="20"/>
                <w:szCs w:val="20"/>
              </w:rPr>
              <w:t>п</w:t>
            </w:r>
            <w:r w:rsidRPr="00A54C03">
              <w:rPr>
                <w:rFonts w:eastAsia="Calibri" w:cs="Times New Roman"/>
                <w:sz w:val="20"/>
                <w:szCs w:val="20"/>
              </w:rPr>
              <w:t>ри ее передаче по ЕНЭС</w:t>
            </w:r>
          </w:p>
        </w:tc>
        <w:tc>
          <w:tcPr>
            <w:tcW w:w="1710" w:type="dxa"/>
            <w:noWrap/>
            <w:hideMark/>
          </w:tcPr>
          <w:p w14:paraId="6EE3C66B" w14:textId="4F383FEE" w:rsidR="000B033E" w:rsidRPr="00A54C03" w:rsidRDefault="000C264C"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A54C03">
              <w:rPr>
                <w:rFonts w:eastAsia="Calibri" w:cs="Times New Roman"/>
                <w:sz w:val="20"/>
                <w:szCs w:val="20"/>
              </w:rPr>
              <w:t>руб.</w:t>
            </w:r>
            <w:r w:rsidR="000B033E" w:rsidRPr="00A54C03">
              <w:rPr>
                <w:rFonts w:eastAsia="Calibri" w:cs="Times New Roman"/>
                <w:sz w:val="20"/>
                <w:szCs w:val="20"/>
              </w:rPr>
              <w:t>/МВт.ч</w:t>
            </w:r>
          </w:p>
        </w:tc>
        <w:tc>
          <w:tcPr>
            <w:tcW w:w="1306" w:type="dxa"/>
            <w:hideMark/>
          </w:tcPr>
          <w:p w14:paraId="333FE52B" w14:textId="77777777" w:rsidR="000B033E" w:rsidRPr="00A54C03" w:rsidRDefault="000B033E"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A54C03">
              <w:rPr>
                <w:rFonts w:eastAsia="Calibri" w:cs="Times New Roman"/>
                <w:sz w:val="20"/>
                <w:szCs w:val="20"/>
              </w:rPr>
              <w:t>1 973,17</w:t>
            </w:r>
          </w:p>
        </w:tc>
        <w:tc>
          <w:tcPr>
            <w:tcW w:w="1397" w:type="dxa"/>
            <w:hideMark/>
          </w:tcPr>
          <w:p w14:paraId="3547647C" w14:textId="77777777" w:rsidR="000B033E" w:rsidRPr="00A54C03" w:rsidRDefault="000B033E"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A54C03">
              <w:rPr>
                <w:rFonts w:eastAsia="Calibri" w:cs="Times New Roman"/>
                <w:sz w:val="20"/>
                <w:szCs w:val="20"/>
              </w:rPr>
              <w:t>1 261,55</w:t>
            </w:r>
          </w:p>
        </w:tc>
        <w:tc>
          <w:tcPr>
            <w:tcW w:w="1463" w:type="dxa"/>
            <w:hideMark/>
          </w:tcPr>
          <w:p w14:paraId="0EE6B5ED" w14:textId="77777777" w:rsidR="000B033E" w:rsidRPr="00A54C03" w:rsidRDefault="000B033E" w:rsidP="00D2010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A54C03">
              <w:rPr>
                <w:rFonts w:eastAsia="Calibri" w:cs="Times New Roman"/>
                <w:sz w:val="20"/>
                <w:szCs w:val="20"/>
              </w:rPr>
              <w:t>1 619,15</w:t>
            </w:r>
          </w:p>
        </w:tc>
      </w:tr>
    </w:tbl>
    <w:p w14:paraId="23D70B5D" w14:textId="502F3727" w:rsidR="004A1E04" w:rsidRPr="00FB0A3A" w:rsidRDefault="004A1E04" w:rsidP="00A31747">
      <w:pPr>
        <w:tabs>
          <w:tab w:val="left" w:pos="1134"/>
        </w:tabs>
        <w:ind w:firstLine="567"/>
        <w:rPr>
          <w:rFonts w:ascii="Myriad Pro" w:hAnsi="Myriad Pro"/>
        </w:rPr>
      </w:pPr>
    </w:p>
    <w:p w14:paraId="65C3C9F1" w14:textId="7B4966C8" w:rsidR="00457D12" w:rsidRPr="002D6C17" w:rsidRDefault="008E15A7" w:rsidP="008E15A7">
      <w:pPr>
        <w:pStyle w:val="3"/>
        <w:numPr>
          <w:ilvl w:val="1"/>
          <w:numId w:val="67"/>
        </w:numPr>
        <w:spacing w:line="360" w:lineRule="auto"/>
        <w:jc w:val="both"/>
        <w:rPr>
          <w:rFonts w:ascii="Myriad Pro" w:hAnsi="Myriad Pro"/>
          <w:b/>
          <w:color w:val="4F6228" w:themeColor="accent3" w:themeShade="80"/>
          <w:sz w:val="28"/>
          <w:szCs w:val="28"/>
        </w:rPr>
      </w:pPr>
      <w:r>
        <w:rPr>
          <w:rFonts w:ascii="Myriad Pro" w:hAnsi="Myriad Pro"/>
          <w:b/>
          <w:color w:val="4F6228" w:themeColor="accent3" w:themeShade="80"/>
          <w:sz w:val="28"/>
          <w:szCs w:val="28"/>
        </w:rPr>
        <w:lastRenderedPageBreak/>
        <w:t xml:space="preserve"> </w:t>
      </w:r>
      <w:bookmarkStart w:id="55" w:name="_Toc40797964"/>
      <w:r w:rsidR="004C3029" w:rsidRPr="002D6C17">
        <w:rPr>
          <w:rFonts w:ascii="Myriad Pro" w:hAnsi="Myriad Pro"/>
          <w:b/>
          <w:color w:val="4F6228" w:themeColor="accent3" w:themeShade="80"/>
          <w:sz w:val="28"/>
          <w:szCs w:val="28"/>
        </w:rPr>
        <w:t>Тепловая энергия на хозяйственные нужды</w:t>
      </w:r>
      <w:bookmarkEnd w:id="55"/>
    </w:p>
    <w:p w14:paraId="106C5CB3" w14:textId="6597B293" w:rsidR="003307CF" w:rsidRPr="00FB0A3A" w:rsidRDefault="007E344B"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Согласно п. 22 Основ ценообразования расходы на покупку электрической и тепловой энергии (мощности) определяются в соответствии с пунктом 29 Основ ценообразования.</w:t>
      </w:r>
    </w:p>
    <w:p w14:paraId="3000344C" w14:textId="77777777" w:rsidR="007E344B" w:rsidRPr="00FB0A3A" w:rsidRDefault="007E344B" w:rsidP="00A31747">
      <w:pPr>
        <w:tabs>
          <w:tab w:val="left" w:pos="1134"/>
        </w:tabs>
        <w:spacing w:after="0" w:line="360" w:lineRule="auto"/>
        <w:ind w:firstLine="567"/>
        <w:contextualSpacing/>
        <w:jc w:val="both"/>
        <w:rPr>
          <w:rFonts w:ascii="Myriad Pro" w:eastAsia="Calibri" w:hAnsi="Myriad Pro" w:cs="Times New Roman"/>
          <w:sz w:val="26"/>
          <w:szCs w:val="26"/>
        </w:rPr>
      </w:pPr>
    </w:p>
    <w:p w14:paraId="60B7387E" w14:textId="77777777" w:rsidR="004C3029" w:rsidRPr="00FB0A3A" w:rsidRDefault="004C3029" w:rsidP="00D20107">
      <w:pPr>
        <w:tabs>
          <w:tab w:val="left" w:pos="1134"/>
        </w:tabs>
        <w:spacing w:after="0" w:line="360" w:lineRule="auto"/>
        <w:contextualSpacing/>
        <w:jc w:val="both"/>
        <w:rPr>
          <w:rFonts w:ascii="Myriad Pro" w:eastAsia="Calibri" w:hAnsi="Myriad Pro" w:cs="Times New Roman"/>
          <w:b/>
          <w:sz w:val="26"/>
          <w:szCs w:val="26"/>
        </w:rPr>
      </w:pPr>
      <w:r w:rsidRPr="00FB0A3A">
        <w:rPr>
          <w:rFonts w:ascii="Myriad Pro" w:eastAsia="Calibri" w:hAnsi="Myriad Pro" w:cs="Times New Roman"/>
          <w:b/>
          <w:sz w:val="26"/>
          <w:szCs w:val="26"/>
        </w:rPr>
        <w:t>ПОЗИЦИЯ ТЕРРИТОРИАЛЬНОЙ СЕТЕВОЙ ОРГАНИЗАЦИИ</w:t>
      </w:r>
    </w:p>
    <w:p w14:paraId="2FC66226" w14:textId="1C36FCFF" w:rsidR="004C3029" w:rsidRPr="00FB0A3A" w:rsidRDefault="00F2305A"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 xml:space="preserve">Филиалом </w:t>
      </w:r>
      <w:r w:rsidR="00350B0A" w:rsidRPr="00FB0A3A">
        <w:rPr>
          <w:rFonts w:ascii="Myriad Pro" w:eastAsia="Calibri" w:hAnsi="Myriad Pro" w:cs="Times New Roman"/>
          <w:sz w:val="26"/>
          <w:szCs w:val="26"/>
        </w:rPr>
        <w:t xml:space="preserve">ПАО </w:t>
      </w:r>
      <w:r w:rsidR="00655FFA" w:rsidRPr="00FB0A3A">
        <w:rPr>
          <w:rFonts w:ascii="Myriad Pro" w:eastAsia="Calibri" w:hAnsi="Myriad Pro" w:cs="Times New Roman"/>
          <w:sz w:val="26"/>
          <w:szCs w:val="26"/>
        </w:rPr>
        <w:t>«</w:t>
      </w:r>
      <w:r w:rsidR="00350B0A" w:rsidRPr="00FB0A3A">
        <w:rPr>
          <w:rFonts w:ascii="Myriad Pro" w:eastAsia="Calibri" w:hAnsi="Myriad Pro" w:cs="Times New Roman"/>
          <w:sz w:val="26"/>
          <w:szCs w:val="26"/>
        </w:rPr>
        <w:t>МРСК Северо-Запада</w:t>
      </w:r>
      <w:r w:rsidR="00655FFA" w:rsidRPr="00FB0A3A">
        <w:rPr>
          <w:rFonts w:ascii="Myriad Pro" w:eastAsia="Calibri" w:hAnsi="Myriad Pro" w:cs="Times New Roman"/>
          <w:sz w:val="26"/>
          <w:szCs w:val="26"/>
        </w:rPr>
        <w:t>»</w:t>
      </w:r>
      <w:r w:rsidR="00350B0A" w:rsidRPr="00FB0A3A">
        <w:rPr>
          <w:rFonts w:ascii="Myriad Pro" w:eastAsia="Calibri" w:hAnsi="Myriad Pro" w:cs="Times New Roman"/>
          <w:sz w:val="26"/>
          <w:szCs w:val="26"/>
        </w:rPr>
        <w:t xml:space="preserve"> </w:t>
      </w:r>
      <w:r w:rsidR="00655FFA" w:rsidRPr="00FB0A3A">
        <w:rPr>
          <w:rFonts w:ascii="Myriad Pro" w:eastAsia="Calibri" w:hAnsi="Myriad Pro" w:cs="Times New Roman"/>
          <w:sz w:val="26"/>
          <w:szCs w:val="26"/>
        </w:rPr>
        <w:t>«</w:t>
      </w:r>
      <w:r w:rsidR="00350B0A" w:rsidRPr="00FB0A3A">
        <w:rPr>
          <w:rFonts w:ascii="Myriad Pro" w:eastAsia="Calibri" w:hAnsi="Myriad Pro" w:cs="Times New Roman"/>
          <w:sz w:val="26"/>
          <w:szCs w:val="26"/>
        </w:rPr>
        <w:t>Колэнерго</w:t>
      </w:r>
      <w:r w:rsidR="00655FFA" w:rsidRPr="00FB0A3A">
        <w:rPr>
          <w:rFonts w:ascii="Myriad Pro" w:eastAsia="Calibri" w:hAnsi="Myriad Pro" w:cs="Times New Roman"/>
          <w:sz w:val="26"/>
          <w:szCs w:val="26"/>
        </w:rPr>
        <w:t>»</w:t>
      </w:r>
      <w:r w:rsidR="004C3029" w:rsidRPr="00FB0A3A">
        <w:rPr>
          <w:rFonts w:ascii="Myriad Pro" w:eastAsia="Calibri" w:hAnsi="Myriad Pro" w:cs="Times New Roman"/>
          <w:sz w:val="26"/>
          <w:szCs w:val="26"/>
        </w:rPr>
        <w:t xml:space="preserve"> по статье на 2019 год была заявлена</w:t>
      </w:r>
      <w:r w:rsidR="00A333D7" w:rsidRPr="00FB0A3A">
        <w:rPr>
          <w:rFonts w:ascii="Myriad Pro" w:eastAsia="Calibri" w:hAnsi="Myriad Pro" w:cs="Times New Roman"/>
          <w:sz w:val="26"/>
          <w:szCs w:val="26"/>
        </w:rPr>
        <w:t xml:space="preserve"> сумма расходов в размере 17 639,72</w:t>
      </w:r>
      <w:r w:rsidR="004C3029" w:rsidRPr="00FB0A3A">
        <w:rPr>
          <w:rFonts w:ascii="Myriad Pro" w:eastAsia="Calibri" w:hAnsi="Myriad Pro" w:cs="Times New Roman"/>
          <w:sz w:val="26"/>
          <w:szCs w:val="26"/>
        </w:rPr>
        <w:t xml:space="preserve"> тыс. руб.</w:t>
      </w:r>
    </w:p>
    <w:p w14:paraId="29720381" w14:textId="388E1EF0" w:rsidR="004C3029" w:rsidRPr="00FB0A3A" w:rsidRDefault="001F763E"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В обоснование заявленной</w:t>
      </w:r>
      <w:r w:rsidR="004C3029" w:rsidRPr="00FB0A3A">
        <w:rPr>
          <w:rFonts w:ascii="Myriad Pro" w:eastAsia="Calibri" w:hAnsi="Myriad Pro" w:cs="Times New Roman"/>
          <w:sz w:val="26"/>
          <w:szCs w:val="26"/>
        </w:rPr>
        <w:t xml:space="preserve"> сумм</w:t>
      </w:r>
      <w:r w:rsidRPr="00FB0A3A">
        <w:rPr>
          <w:rFonts w:ascii="Myriad Pro" w:eastAsia="Calibri" w:hAnsi="Myriad Pro" w:cs="Times New Roman"/>
          <w:sz w:val="26"/>
          <w:szCs w:val="26"/>
        </w:rPr>
        <w:t>ы</w:t>
      </w:r>
      <w:r w:rsidR="004C3029" w:rsidRPr="00FB0A3A">
        <w:rPr>
          <w:rFonts w:ascii="Myriad Pro" w:eastAsia="Calibri" w:hAnsi="Myriad Pro" w:cs="Times New Roman"/>
          <w:sz w:val="26"/>
          <w:szCs w:val="26"/>
        </w:rPr>
        <w:t xml:space="preserve"> расходов </w:t>
      </w:r>
      <w:r w:rsidR="00F2305A" w:rsidRPr="00FB0A3A">
        <w:rPr>
          <w:rFonts w:ascii="Myriad Pro" w:eastAsia="Calibri" w:hAnsi="Myriad Pro" w:cs="Times New Roman"/>
          <w:sz w:val="26"/>
          <w:szCs w:val="26"/>
        </w:rPr>
        <w:t xml:space="preserve">филиалом </w:t>
      </w:r>
      <w:r w:rsidR="00350B0A" w:rsidRPr="00FB0A3A">
        <w:rPr>
          <w:rFonts w:ascii="Myriad Pro" w:eastAsia="Calibri" w:hAnsi="Myriad Pro" w:cs="Times New Roman"/>
          <w:sz w:val="26"/>
          <w:szCs w:val="26"/>
        </w:rPr>
        <w:t xml:space="preserve">ПАО </w:t>
      </w:r>
      <w:r w:rsidR="00655FFA" w:rsidRPr="00FB0A3A">
        <w:rPr>
          <w:rFonts w:ascii="Myriad Pro" w:eastAsia="Calibri" w:hAnsi="Myriad Pro" w:cs="Times New Roman"/>
          <w:sz w:val="26"/>
          <w:szCs w:val="26"/>
        </w:rPr>
        <w:t>«</w:t>
      </w:r>
      <w:r w:rsidR="00350B0A" w:rsidRPr="00FB0A3A">
        <w:rPr>
          <w:rFonts w:ascii="Myriad Pro" w:eastAsia="Calibri" w:hAnsi="Myriad Pro" w:cs="Times New Roman"/>
          <w:sz w:val="26"/>
          <w:szCs w:val="26"/>
        </w:rPr>
        <w:t>МРСК Северо-Запада</w:t>
      </w:r>
      <w:r w:rsidR="00655FFA" w:rsidRPr="00FB0A3A">
        <w:rPr>
          <w:rFonts w:ascii="Myriad Pro" w:eastAsia="Calibri" w:hAnsi="Myriad Pro" w:cs="Times New Roman"/>
          <w:sz w:val="26"/>
          <w:szCs w:val="26"/>
        </w:rPr>
        <w:t>»</w:t>
      </w:r>
      <w:r w:rsidR="00350B0A" w:rsidRPr="00FB0A3A">
        <w:rPr>
          <w:rFonts w:ascii="Myriad Pro" w:eastAsia="Calibri" w:hAnsi="Myriad Pro" w:cs="Times New Roman"/>
          <w:sz w:val="26"/>
          <w:szCs w:val="26"/>
        </w:rPr>
        <w:t xml:space="preserve"> </w:t>
      </w:r>
      <w:r w:rsidR="00655FFA" w:rsidRPr="00FB0A3A">
        <w:rPr>
          <w:rFonts w:ascii="Myriad Pro" w:eastAsia="Calibri" w:hAnsi="Myriad Pro" w:cs="Times New Roman"/>
          <w:sz w:val="26"/>
          <w:szCs w:val="26"/>
        </w:rPr>
        <w:t>«</w:t>
      </w:r>
      <w:r w:rsidR="00350B0A" w:rsidRPr="00FB0A3A">
        <w:rPr>
          <w:rFonts w:ascii="Myriad Pro" w:eastAsia="Calibri" w:hAnsi="Myriad Pro" w:cs="Times New Roman"/>
          <w:sz w:val="26"/>
          <w:szCs w:val="26"/>
        </w:rPr>
        <w:t>Колэнерго</w:t>
      </w:r>
      <w:r w:rsidR="00655FFA" w:rsidRPr="00FB0A3A">
        <w:rPr>
          <w:rFonts w:ascii="Myriad Pro" w:eastAsia="Calibri" w:hAnsi="Myriad Pro" w:cs="Times New Roman"/>
          <w:sz w:val="26"/>
          <w:szCs w:val="26"/>
        </w:rPr>
        <w:t>»</w:t>
      </w:r>
      <w:r w:rsidR="004C3029" w:rsidRPr="00FB0A3A">
        <w:rPr>
          <w:rFonts w:ascii="Myriad Pro" w:eastAsia="Calibri" w:hAnsi="Myriad Pro" w:cs="Times New Roman"/>
          <w:sz w:val="26"/>
          <w:szCs w:val="26"/>
        </w:rPr>
        <w:t xml:space="preserve"> были предоставлены следующие документы:</w:t>
      </w:r>
    </w:p>
    <w:p w14:paraId="61EAE846" w14:textId="77777777" w:rsidR="00A333D7" w:rsidRPr="00FB0A3A" w:rsidRDefault="00A333D7" w:rsidP="009B0BC1">
      <w:pPr>
        <w:pStyle w:val="a4"/>
        <w:numPr>
          <w:ilvl w:val="0"/>
          <w:numId w:val="9"/>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Расчет стоимости тепловой энергии на теплоснабжение объектов на 2017-2019 гг. с указанием объема, стоимости, контрагента и договора;</w:t>
      </w:r>
    </w:p>
    <w:p w14:paraId="0BDDBB4C" w14:textId="1D153FE2" w:rsidR="00A333D7" w:rsidRPr="00FB0A3A" w:rsidRDefault="00A333D7" w:rsidP="009B0BC1">
      <w:pPr>
        <w:pStyle w:val="a4"/>
        <w:numPr>
          <w:ilvl w:val="0"/>
          <w:numId w:val="9"/>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 xml:space="preserve">Анализ счета 10.01.01 </w:t>
      </w:r>
      <w:r w:rsidR="00655FFA" w:rsidRPr="00FB0A3A">
        <w:rPr>
          <w:rFonts w:ascii="Myriad Pro" w:hAnsi="Myriad Pro"/>
          <w:sz w:val="26"/>
          <w:szCs w:val="26"/>
        </w:rPr>
        <w:t>«</w:t>
      </w:r>
      <w:r w:rsidRPr="00FB0A3A">
        <w:rPr>
          <w:rFonts w:ascii="Myriad Pro" w:hAnsi="Myriad Pro"/>
          <w:sz w:val="26"/>
          <w:szCs w:val="26"/>
        </w:rPr>
        <w:t>Теплоэнергия</w:t>
      </w:r>
      <w:r w:rsidR="00655FFA" w:rsidRPr="00FB0A3A">
        <w:rPr>
          <w:rFonts w:ascii="Myriad Pro" w:hAnsi="Myriad Pro"/>
          <w:sz w:val="26"/>
          <w:szCs w:val="26"/>
        </w:rPr>
        <w:t>»</w:t>
      </w:r>
      <w:r w:rsidRPr="00FB0A3A">
        <w:rPr>
          <w:rFonts w:ascii="Myriad Pro" w:hAnsi="Myriad Pro"/>
          <w:sz w:val="26"/>
          <w:szCs w:val="26"/>
        </w:rPr>
        <w:t xml:space="preserve"> за 2017 г.;</w:t>
      </w:r>
    </w:p>
    <w:p w14:paraId="5466FB5F" w14:textId="7B9B5C34" w:rsidR="00A333D7" w:rsidRPr="00FB0A3A" w:rsidRDefault="00A333D7" w:rsidP="009B0BC1">
      <w:pPr>
        <w:pStyle w:val="a4"/>
        <w:numPr>
          <w:ilvl w:val="0"/>
          <w:numId w:val="9"/>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 xml:space="preserve">Анализ счета 20 </w:t>
      </w:r>
      <w:r w:rsidR="00655FFA" w:rsidRPr="00FB0A3A">
        <w:rPr>
          <w:rFonts w:ascii="Myriad Pro" w:hAnsi="Myriad Pro"/>
          <w:sz w:val="26"/>
          <w:szCs w:val="26"/>
        </w:rPr>
        <w:t>«</w:t>
      </w:r>
      <w:r w:rsidRPr="00FB0A3A">
        <w:rPr>
          <w:rFonts w:ascii="Myriad Pro" w:hAnsi="Myriad Pro"/>
          <w:sz w:val="26"/>
          <w:szCs w:val="26"/>
        </w:rPr>
        <w:t>Основное производство</w:t>
      </w:r>
      <w:r w:rsidR="00655FFA" w:rsidRPr="00FB0A3A">
        <w:rPr>
          <w:rFonts w:ascii="Myriad Pro" w:hAnsi="Myriad Pro"/>
          <w:sz w:val="26"/>
          <w:szCs w:val="26"/>
        </w:rPr>
        <w:t>»</w:t>
      </w:r>
      <w:r w:rsidRPr="00FB0A3A">
        <w:rPr>
          <w:rFonts w:ascii="Myriad Pro" w:hAnsi="Myriad Pro"/>
          <w:sz w:val="26"/>
          <w:szCs w:val="26"/>
        </w:rPr>
        <w:t xml:space="preserve"> за 2017 год;</w:t>
      </w:r>
    </w:p>
    <w:p w14:paraId="0DC63E29" w14:textId="2A954BC4" w:rsidR="00A333D7" w:rsidRPr="00FB0A3A" w:rsidRDefault="00A333D7" w:rsidP="009B0BC1">
      <w:pPr>
        <w:pStyle w:val="a4"/>
        <w:numPr>
          <w:ilvl w:val="0"/>
          <w:numId w:val="9"/>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 xml:space="preserve">Анализ счета 23 </w:t>
      </w:r>
      <w:r w:rsidR="00655FFA" w:rsidRPr="00FB0A3A">
        <w:rPr>
          <w:rFonts w:ascii="Myriad Pro" w:hAnsi="Myriad Pro"/>
          <w:sz w:val="26"/>
          <w:szCs w:val="26"/>
        </w:rPr>
        <w:t>«</w:t>
      </w:r>
      <w:r w:rsidRPr="00FB0A3A">
        <w:rPr>
          <w:rFonts w:ascii="Myriad Pro" w:hAnsi="Myriad Pro"/>
          <w:sz w:val="26"/>
          <w:szCs w:val="26"/>
        </w:rPr>
        <w:t>Вспомогательное производство</w:t>
      </w:r>
      <w:r w:rsidR="00655FFA" w:rsidRPr="00FB0A3A">
        <w:rPr>
          <w:rFonts w:ascii="Myriad Pro" w:hAnsi="Myriad Pro"/>
          <w:sz w:val="26"/>
          <w:szCs w:val="26"/>
        </w:rPr>
        <w:t>»</w:t>
      </w:r>
      <w:r w:rsidRPr="00FB0A3A">
        <w:rPr>
          <w:rFonts w:ascii="Myriad Pro" w:hAnsi="Myriad Pro"/>
          <w:sz w:val="26"/>
          <w:szCs w:val="26"/>
        </w:rPr>
        <w:t xml:space="preserve"> за 2017 год;</w:t>
      </w:r>
    </w:p>
    <w:p w14:paraId="094B6BC9" w14:textId="319EAE32" w:rsidR="00A333D7" w:rsidRPr="00FB0A3A" w:rsidRDefault="00A333D7" w:rsidP="009B0BC1">
      <w:pPr>
        <w:pStyle w:val="a4"/>
        <w:numPr>
          <w:ilvl w:val="0"/>
          <w:numId w:val="9"/>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 xml:space="preserve">Анализ счета 23 </w:t>
      </w:r>
      <w:r w:rsidR="00655FFA" w:rsidRPr="00FB0A3A">
        <w:rPr>
          <w:rFonts w:ascii="Myriad Pro" w:hAnsi="Myriad Pro"/>
          <w:sz w:val="26"/>
          <w:szCs w:val="26"/>
        </w:rPr>
        <w:t>«</w:t>
      </w:r>
      <w:r w:rsidRPr="00FB0A3A">
        <w:rPr>
          <w:rFonts w:ascii="Myriad Pro" w:hAnsi="Myriad Pro"/>
          <w:sz w:val="26"/>
          <w:szCs w:val="26"/>
        </w:rPr>
        <w:t>Общепроизводственные расходы</w:t>
      </w:r>
      <w:r w:rsidR="00655FFA" w:rsidRPr="00FB0A3A">
        <w:rPr>
          <w:rFonts w:ascii="Myriad Pro" w:hAnsi="Myriad Pro"/>
          <w:sz w:val="26"/>
          <w:szCs w:val="26"/>
        </w:rPr>
        <w:t>»</w:t>
      </w:r>
      <w:r w:rsidRPr="00FB0A3A">
        <w:rPr>
          <w:rFonts w:ascii="Myriad Pro" w:hAnsi="Myriad Pro"/>
          <w:sz w:val="26"/>
          <w:szCs w:val="26"/>
        </w:rPr>
        <w:t xml:space="preserve"> за 2017 год;</w:t>
      </w:r>
    </w:p>
    <w:p w14:paraId="2D72BD09" w14:textId="4132BFD0" w:rsidR="00A333D7" w:rsidRPr="00FB0A3A" w:rsidRDefault="00A333D7" w:rsidP="009B0BC1">
      <w:pPr>
        <w:pStyle w:val="a4"/>
        <w:numPr>
          <w:ilvl w:val="0"/>
          <w:numId w:val="9"/>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 xml:space="preserve">ОСВ по счету 20 </w:t>
      </w:r>
      <w:r w:rsidR="00655FFA" w:rsidRPr="00FB0A3A">
        <w:rPr>
          <w:rFonts w:ascii="Myriad Pro" w:hAnsi="Myriad Pro"/>
          <w:sz w:val="26"/>
          <w:szCs w:val="26"/>
        </w:rPr>
        <w:t>«</w:t>
      </w:r>
      <w:r w:rsidRPr="00FB0A3A">
        <w:rPr>
          <w:rFonts w:ascii="Myriad Pro" w:hAnsi="Myriad Pro"/>
          <w:sz w:val="26"/>
          <w:szCs w:val="26"/>
        </w:rPr>
        <w:t>Основное производство</w:t>
      </w:r>
      <w:r w:rsidR="00655FFA" w:rsidRPr="00FB0A3A">
        <w:rPr>
          <w:rFonts w:ascii="Myriad Pro" w:hAnsi="Myriad Pro"/>
          <w:sz w:val="26"/>
          <w:szCs w:val="26"/>
        </w:rPr>
        <w:t>»</w:t>
      </w:r>
      <w:r w:rsidRPr="00FB0A3A">
        <w:rPr>
          <w:rFonts w:ascii="Myriad Pro" w:hAnsi="Myriad Pro"/>
          <w:sz w:val="26"/>
          <w:szCs w:val="26"/>
        </w:rPr>
        <w:t xml:space="preserve"> за 2017 год;</w:t>
      </w:r>
    </w:p>
    <w:p w14:paraId="25CAD2E5" w14:textId="77777777" w:rsidR="00A333D7" w:rsidRPr="00FB0A3A" w:rsidRDefault="00A333D7" w:rsidP="009B0BC1">
      <w:pPr>
        <w:pStyle w:val="a4"/>
        <w:numPr>
          <w:ilvl w:val="0"/>
          <w:numId w:val="9"/>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Договоры теплоснабжения;</w:t>
      </w:r>
    </w:p>
    <w:p w14:paraId="71095FC0" w14:textId="1413B47D" w:rsidR="00A333D7" w:rsidRPr="00FB0A3A" w:rsidRDefault="00A333D7" w:rsidP="009B0BC1">
      <w:pPr>
        <w:pStyle w:val="a4"/>
        <w:numPr>
          <w:ilvl w:val="0"/>
          <w:numId w:val="9"/>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Реестр выставленных счетов-фактур за 2017 год.</w:t>
      </w:r>
    </w:p>
    <w:p w14:paraId="0FAB2A4F" w14:textId="77777777" w:rsidR="00A333D7" w:rsidRPr="00FB0A3A" w:rsidRDefault="00A333D7" w:rsidP="00A31747">
      <w:pPr>
        <w:tabs>
          <w:tab w:val="left" w:pos="1134"/>
        </w:tabs>
        <w:spacing w:after="0"/>
        <w:ind w:firstLine="567"/>
        <w:jc w:val="both"/>
        <w:rPr>
          <w:rFonts w:ascii="Myriad Pro" w:hAnsi="Myriad Pro"/>
          <w:b/>
        </w:rPr>
      </w:pPr>
    </w:p>
    <w:p w14:paraId="4F61AD45" w14:textId="1E3470FD" w:rsidR="004C3029" w:rsidRPr="00FB0A3A" w:rsidRDefault="004C3029" w:rsidP="00A9617A">
      <w:pPr>
        <w:tabs>
          <w:tab w:val="left" w:pos="1134"/>
        </w:tabs>
        <w:spacing w:after="0" w:line="360" w:lineRule="auto"/>
        <w:jc w:val="both"/>
        <w:rPr>
          <w:rFonts w:ascii="Myriad Pro" w:hAnsi="Myriad Pro"/>
          <w:b/>
          <w:sz w:val="26"/>
          <w:szCs w:val="26"/>
        </w:rPr>
      </w:pPr>
      <w:r w:rsidRPr="00FB0A3A">
        <w:rPr>
          <w:rFonts w:ascii="Myriad Pro" w:hAnsi="Myriad Pro"/>
          <w:b/>
          <w:sz w:val="26"/>
          <w:szCs w:val="26"/>
        </w:rPr>
        <w:t>ПОЗИЦИЯ ОРГАНА РЕГУЛИРОВАНИЯ</w:t>
      </w:r>
    </w:p>
    <w:p w14:paraId="6FFF1D6D" w14:textId="55FA9A5E" w:rsidR="004C3029" w:rsidRPr="00FB0A3A" w:rsidRDefault="00A333D7"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 xml:space="preserve"> Комитет</w:t>
      </w:r>
      <w:r w:rsidR="005345E8" w:rsidRPr="00FB0A3A">
        <w:rPr>
          <w:rFonts w:ascii="Myriad Pro" w:eastAsia="Calibri" w:hAnsi="Myriad Pro" w:cs="Times New Roman"/>
          <w:sz w:val="26"/>
          <w:szCs w:val="26"/>
        </w:rPr>
        <w:t xml:space="preserve"> принял в расчет НВВ</w:t>
      </w:r>
      <w:r w:rsidRPr="00FB0A3A">
        <w:rPr>
          <w:rFonts w:ascii="Myriad Pro" w:eastAsia="Calibri" w:hAnsi="Myriad Pro" w:cs="Times New Roman"/>
          <w:sz w:val="26"/>
          <w:szCs w:val="26"/>
        </w:rPr>
        <w:t xml:space="preserve"> на 2019 год расходы </w:t>
      </w:r>
      <w:r w:rsidR="00E663D3">
        <w:rPr>
          <w:rFonts w:ascii="Myriad Pro" w:eastAsia="Calibri" w:hAnsi="Myriad Pro" w:cs="Times New Roman"/>
          <w:sz w:val="26"/>
          <w:szCs w:val="26"/>
        </w:rPr>
        <w:t>в размере</w:t>
      </w:r>
      <w:r w:rsidRPr="00FB0A3A">
        <w:rPr>
          <w:rFonts w:ascii="Myriad Pro" w:eastAsia="Calibri" w:hAnsi="Myriad Pro" w:cs="Times New Roman"/>
          <w:sz w:val="26"/>
          <w:szCs w:val="26"/>
        </w:rPr>
        <w:t xml:space="preserve"> 17 639,72</w:t>
      </w:r>
      <w:r w:rsidR="005345E8" w:rsidRPr="00FB0A3A">
        <w:rPr>
          <w:rFonts w:ascii="Myriad Pro" w:eastAsia="Calibri" w:hAnsi="Myriad Pro" w:cs="Times New Roman"/>
          <w:sz w:val="26"/>
          <w:szCs w:val="26"/>
        </w:rPr>
        <w:t xml:space="preserve"> тыс. руб., что соответствует предложению филиала </w:t>
      </w:r>
      <w:r w:rsidR="00350B0A" w:rsidRPr="00FB0A3A">
        <w:rPr>
          <w:rFonts w:ascii="Myriad Pro" w:eastAsia="Calibri" w:hAnsi="Myriad Pro" w:cs="Times New Roman"/>
          <w:sz w:val="26"/>
          <w:szCs w:val="26"/>
        </w:rPr>
        <w:t xml:space="preserve">ПАО </w:t>
      </w:r>
      <w:r w:rsidR="00655FFA" w:rsidRPr="00FB0A3A">
        <w:rPr>
          <w:rFonts w:ascii="Myriad Pro" w:eastAsia="Calibri" w:hAnsi="Myriad Pro" w:cs="Times New Roman"/>
          <w:sz w:val="26"/>
          <w:szCs w:val="26"/>
        </w:rPr>
        <w:t>«</w:t>
      </w:r>
      <w:r w:rsidR="00350B0A" w:rsidRPr="00FB0A3A">
        <w:rPr>
          <w:rFonts w:ascii="Myriad Pro" w:eastAsia="Calibri" w:hAnsi="Myriad Pro" w:cs="Times New Roman"/>
          <w:sz w:val="26"/>
          <w:szCs w:val="26"/>
        </w:rPr>
        <w:t>МРСК Северо-Запада</w:t>
      </w:r>
      <w:r w:rsidR="00655FFA" w:rsidRPr="00FB0A3A">
        <w:rPr>
          <w:rFonts w:ascii="Myriad Pro" w:eastAsia="Calibri" w:hAnsi="Myriad Pro" w:cs="Times New Roman"/>
          <w:sz w:val="26"/>
          <w:szCs w:val="26"/>
        </w:rPr>
        <w:t>»</w:t>
      </w:r>
      <w:r w:rsidR="00350B0A" w:rsidRPr="00FB0A3A">
        <w:rPr>
          <w:rFonts w:ascii="Myriad Pro" w:eastAsia="Calibri" w:hAnsi="Myriad Pro" w:cs="Times New Roman"/>
          <w:sz w:val="26"/>
          <w:szCs w:val="26"/>
        </w:rPr>
        <w:t xml:space="preserve"> </w:t>
      </w:r>
      <w:r w:rsidR="00655FFA" w:rsidRPr="00FB0A3A">
        <w:rPr>
          <w:rFonts w:ascii="Myriad Pro" w:eastAsia="Calibri" w:hAnsi="Myriad Pro" w:cs="Times New Roman"/>
          <w:sz w:val="26"/>
          <w:szCs w:val="26"/>
        </w:rPr>
        <w:t>«</w:t>
      </w:r>
      <w:r w:rsidR="00350B0A" w:rsidRPr="00FB0A3A">
        <w:rPr>
          <w:rFonts w:ascii="Myriad Pro" w:eastAsia="Calibri" w:hAnsi="Myriad Pro" w:cs="Times New Roman"/>
          <w:sz w:val="26"/>
          <w:szCs w:val="26"/>
        </w:rPr>
        <w:t>Колэнерго</w:t>
      </w:r>
      <w:r w:rsidR="00655FFA" w:rsidRPr="00FB0A3A">
        <w:rPr>
          <w:rFonts w:ascii="Myriad Pro" w:eastAsia="Calibri" w:hAnsi="Myriad Pro" w:cs="Times New Roman"/>
          <w:sz w:val="26"/>
          <w:szCs w:val="26"/>
        </w:rPr>
        <w:t>»</w:t>
      </w:r>
      <w:r w:rsidR="005345E8" w:rsidRPr="00FB0A3A">
        <w:rPr>
          <w:rFonts w:ascii="Myriad Pro" w:eastAsia="Calibri" w:hAnsi="Myriad Pro" w:cs="Times New Roman"/>
          <w:sz w:val="26"/>
          <w:szCs w:val="26"/>
        </w:rPr>
        <w:t>.</w:t>
      </w:r>
    </w:p>
    <w:p w14:paraId="2B4290A9" w14:textId="77777777" w:rsidR="000710FB" w:rsidRPr="00FB0A3A" w:rsidRDefault="000710FB" w:rsidP="00A31747">
      <w:pPr>
        <w:tabs>
          <w:tab w:val="left" w:pos="1134"/>
        </w:tabs>
        <w:spacing w:after="0" w:line="360" w:lineRule="auto"/>
        <w:ind w:firstLine="567"/>
        <w:contextualSpacing/>
        <w:jc w:val="both"/>
        <w:rPr>
          <w:rFonts w:ascii="Myriad Pro" w:eastAsia="Calibri" w:hAnsi="Myriad Pro" w:cs="Times New Roman"/>
          <w:b/>
          <w:sz w:val="26"/>
          <w:szCs w:val="26"/>
        </w:rPr>
      </w:pPr>
    </w:p>
    <w:p w14:paraId="162A9C79" w14:textId="201D9DFC" w:rsidR="001F763E" w:rsidRPr="00FB0A3A" w:rsidRDefault="001F763E" w:rsidP="00A9617A">
      <w:pPr>
        <w:tabs>
          <w:tab w:val="left" w:pos="1134"/>
        </w:tabs>
        <w:spacing w:after="0" w:line="360" w:lineRule="auto"/>
        <w:contextualSpacing/>
        <w:jc w:val="both"/>
        <w:rPr>
          <w:rFonts w:ascii="Myriad Pro" w:eastAsia="Calibri" w:hAnsi="Myriad Pro" w:cs="Times New Roman"/>
          <w:b/>
          <w:sz w:val="26"/>
          <w:szCs w:val="26"/>
        </w:rPr>
      </w:pPr>
      <w:r w:rsidRPr="00FB0A3A">
        <w:rPr>
          <w:rFonts w:ascii="Myriad Pro" w:eastAsia="Calibri" w:hAnsi="Myriad Pro" w:cs="Times New Roman"/>
          <w:b/>
          <w:sz w:val="26"/>
          <w:szCs w:val="26"/>
        </w:rPr>
        <w:t>ПОЗИЦИЯ ИСПОЛНИТЕЛЯ</w:t>
      </w:r>
    </w:p>
    <w:p w14:paraId="2918CEC4" w14:textId="2B931972" w:rsidR="004C3029" w:rsidRPr="00FB0A3A" w:rsidRDefault="00B90324"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 xml:space="preserve">По результатам анализа документов, предоставленных филиалом </w:t>
      </w:r>
      <w:r w:rsidR="00350B0A" w:rsidRPr="00FB0A3A">
        <w:rPr>
          <w:rFonts w:ascii="Myriad Pro" w:eastAsia="Calibri" w:hAnsi="Myriad Pro" w:cs="Times New Roman"/>
          <w:sz w:val="26"/>
          <w:szCs w:val="26"/>
        </w:rPr>
        <w:t xml:space="preserve">ПАО </w:t>
      </w:r>
      <w:r w:rsidR="00655FFA" w:rsidRPr="00FB0A3A">
        <w:rPr>
          <w:rFonts w:ascii="Myriad Pro" w:eastAsia="Calibri" w:hAnsi="Myriad Pro" w:cs="Times New Roman"/>
          <w:sz w:val="26"/>
          <w:szCs w:val="26"/>
        </w:rPr>
        <w:t>«</w:t>
      </w:r>
      <w:r w:rsidR="00350B0A" w:rsidRPr="00FB0A3A">
        <w:rPr>
          <w:rFonts w:ascii="Myriad Pro" w:eastAsia="Calibri" w:hAnsi="Myriad Pro" w:cs="Times New Roman"/>
          <w:sz w:val="26"/>
          <w:szCs w:val="26"/>
        </w:rPr>
        <w:t>МРСК Северо-Запада</w:t>
      </w:r>
      <w:r w:rsidR="00655FFA" w:rsidRPr="00FB0A3A">
        <w:rPr>
          <w:rFonts w:ascii="Myriad Pro" w:eastAsia="Calibri" w:hAnsi="Myriad Pro" w:cs="Times New Roman"/>
          <w:sz w:val="26"/>
          <w:szCs w:val="26"/>
        </w:rPr>
        <w:t>»</w:t>
      </w:r>
      <w:r w:rsidR="00350B0A" w:rsidRPr="00FB0A3A">
        <w:rPr>
          <w:rFonts w:ascii="Myriad Pro" w:eastAsia="Calibri" w:hAnsi="Myriad Pro" w:cs="Times New Roman"/>
          <w:sz w:val="26"/>
          <w:szCs w:val="26"/>
        </w:rPr>
        <w:t xml:space="preserve"> </w:t>
      </w:r>
      <w:r w:rsidR="00655FFA" w:rsidRPr="00FB0A3A">
        <w:rPr>
          <w:rFonts w:ascii="Myriad Pro" w:eastAsia="Calibri" w:hAnsi="Myriad Pro" w:cs="Times New Roman"/>
          <w:sz w:val="26"/>
          <w:szCs w:val="26"/>
        </w:rPr>
        <w:t>«</w:t>
      </w:r>
      <w:r w:rsidR="00350B0A" w:rsidRPr="00FB0A3A">
        <w:rPr>
          <w:rFonts w:ascii="Myriad Pro" w:eastAsia="Calibri" w:hAnsi="Myriad Pro" w:cs="Times New Roman"/>
          <w:sz w:val="26"/>
          <w:szCs w:val="26"/>
        </w:rPr>
        <w:t>Колэнерго</w:t>
      </w:r>
      <w:r w:rsidR="00655FFA" w:rsidRPr="00FB0A3A">
        <w:rPr>
          <w:rFonts w:ascii="Myriad Pro" w:eastAsia="Calibri" w:hAnsi="Myriad Pro" w:cs="Times New Roman"/>
          <w:sz w:val="26"/>
          <w:szCs w:val="26"/>
        </w:rPr>
        <w:t>»</w:t>
      </w:r>
      <w:r w:rsidR="00B47FCF" w:rsidRPr="00FB0A3A">
        <w:rPr>
          <w:rFonts w:ascii="Myriad Pro" w:eastAsia="Calibri" w:hAnsi="Myriad Pro" w:cs="Times New Roman"/>
          <w:sz w:val="26"/>
          <w:szCs w:val="26"/>
        </w:rPr>
        <w:t xml:space="preserve"> в Комитет</w:t>
      </w:r>
      <w:r w:rsidRPr="00FB0A3A">
        <w:rPr>
          <w:rFonts w:ascii="Myriad Pro" w:eastAsia="Calibri" w:hAnsi="Myriad Pro" w:cs="Times New Roman"/>
          <w:sz w:val="26"/>
          <w:szCs w:val="26"/>
        </w:rPr>
        <w:t xml:space="preserve"> для обоснования заявляемых расходов на тепловую энергию, Исполнитель отмечает следующее.</w:t>
      </w:r>
    </w:p>
    <w:p w14:paraId="312AE562" w14:textId="214AA09C" w:rsidR="00B90324" w:rsidRPr="00FB0A3A" w:rsidRDefault="00B90324" w:rsidP="00A31747">
      <w:pPr>
        <w:tabs>
          <w:tab w:val="left" w:pos="1134"/>
        </w:tabs>
        <w:spacing w:after="0" w:line="360" w:lineRule="auto"/>
        <w:ind w:firstLine="567"/>
        <w:jc w:val="both"/>
        <w:rPr>
          <w:rFonts w:ascii="Myriad Pro" w:hAnsi="Myriad Pro"/>
          <w:sz w:val="26"/>
          <w:szCs w:val="26"/>
        </w:rPr>
      </w:pPr>
      <w:r w:rsidRPr="00FB0A3A">
        <w:rPr>
          <w:rFonts w:ascii="Myriad Pro" w:hAnsi="Myriad Pro"/>
          <w:sz w:val="26"/>
          <w:szCs w:val="26"/>
        </w:rPr>
        <w:t xml:space="preserve">В Пояснительной записке к расчету расходов допущена техническая ошибка: указано, что </w:t>
      </w:r>
      <w:r w:rsidR="00C516AA" w:rsidRPr="00FB0A3A">
        <w:rPr>
          <w:rFonts w:ascii="Myriad Pro" w:hAnsi="Myriad Pro"/>
          <w:sz w:val="26"/>
          <w:szCs w:val="26"/>
        </w:rPr>
        <w:t xml:space="preserve">расход тепловой энергии на 2019 год принят в размере 9 749,63 тыс. </w:t>
      </w:r>
      <w:r w:rsidR="00C516AA" w:rsidRPr="00FB0A3A">
        <w:rPr>
          <w:rFonts w:ascii="Myriad Pro" w:hAnsi="Myriad Pro"/>
          <w:sz w:val="26"/>
          <w:szCs w:val="26"/>
        </w:rPr>
        <w:lastRenderedPageBreak/>
        <w:t>Гкал.</w:t>
      </w:r>
      <w:r w:rsidRPr="00FB0A3A">
        <w:rPr>
          <w:rFonts w:ascii="Myriad Pro" w:hAnsi="Myriad Pro"/>
          <w:sz w:val="26"/>
          <w:szCs w:val="26"/>
        </w:rPr>
        <w:t xml:space="preserve">, при этом в расчете расходов указана </w:t>
      </w:r>
      <w:r w:rsidR="00C516AA" w:rsidRPr="00FB0A3A">
        <w:rPr>
          <w:rFonts w:ascii="Myriad Pro" w:hAnsi="Myriad Pro"/>
          <w:sz w:val="26"/>
          <w:szCs w:val="26"/>
        </w:rPr>
        <w:t>размер 7044,63 тыс. Гкал. Дополнительно указан объем покупаемого теплоносителя в размере 2705 тыс. куб.</w:t>
      </w:r>
    </w:p>
    <w:p w14:paraId="4FF79212" w14:textId="7439990A" w:rsidR="00C516AA" w:rsidRPr="00FB0A3A" w:rsidRDefault="00C516AA" w:rsidP="00A31747">
      <w:pPr>
        <w:tabs>
          <w:tab w:val="left" w:pos="1134"/>
        </w:tabs>
        <w:spacing w:after="0" w:line="360" w:lineRule="auto"/>
        <w:ind w:firstLine="567"/>
        <w:jc w:val="both"/>
        <w:rPr>
          <w:rFonts w:ascii="Myriad Pro" w:hAnsi="Myriad Pro"/>
          <w:sz w:val="26"/>
          <w:szCs w:val="26"/>
        </w:rPr>
      </w:pPr>
      <w:r w:rsidRPr="00FB0A3A">
        <w:rPr>
          <w:rFonts w:ascii="Myriad Pro" w:hAnsi="Myriad Pro"/>
          <w:sz w:val="26"/>
          <w:szCs w:val="26"/>
        </w:rPr>
        <w:t>В Пояснительной записке указано, что расходы на тепловую энергию рассчитывались по тарифам, утвержденным по Мурманской области и скорректированы на темп роста ИПЦ в плановом периоде регулирования. Темп роста цен на энергию на 2019 принят в размере 4 %. Однако Исполнителем отмечается, что индекс роста тарифов</w:t>
      </w:r>
      <w:r w:rsidR="00027871" w:rsidRPr="00FB0A3A">
        <w:rPr>
          <w:rFonts w:ascii="Myriad Pro" w:hAnsi="Myriad Pro"/>
          <w:sz w:val="26"/>
          <w:szCs w:val="26"/>
        </w:rPr>
        <w:t>,</w:t>
      </w:r>
      <w:r w:rsidRPr="00FB0A3A">
        <w:rPr>
          <w:rFonts w:ascii="Myriad Pro" w:hAnsi="Myriad Pro"/>
          <w:sz w:val="26"/>
          <w:szCs w:val="26"/>
        </w:rPr>
        <w:t xml:space="preserve"> использованный в расчете расходов на тепловую энергию 2019/2018 и 2018/2017</w:t>
      </w:r>
      <w:r w:rsidR="00027871" w:rsidRPr="00FB0A3A">
        <w:rPr>
          <w:rFonts w:ascii="Myriad Pro" w:hAnsi="Myriad Pro"/>
          <w:sz w:val="26"/>
          <w:szCs w:val="26"/>
        </w:rPr>
        <w:t>,</w:t>
      </w:r>
      <w:r w:rsidRPr="00FB0A3A">
        <w:rPr>
          <w:rFonts w:ascii="Myriad Pro" w:hAnsi="Myriad Pro"/>
          <w:sz w:val="26"/>
          <w:szCs w:val="26"/>
        </w:rPr>
        <w:t xml:space="preserve"> превышает размер 4%.</w:t>
      </w:r>
    </w:p>
    <w:p w14:paraId="5CFA7BFE" w14:textId="60B10207" w:rsidR="007A1AF6" w:rsidRPr="00FB0A3A" w:rsidRDefault="007A1AF6" w:rsidP="00A31747">
      <w:pPr>
        <w:tabs>
          <w:tab w:val="left" w:pos="1134"/>
        </w:tabs>
        <w:spacing w:after="0" w:line="360" w:lineRule="auto"/>
        <w:ind w:firstLine="567"/>
        <w:jc w:val="both"/>
        <w:rPr>
          <w:rFonts w:ascii="Myriad Pro" w:hAnsi="Myriad Pro"/>
          <w:sz w:val="26"/>
          <w:szCs w:val="26"/>
        </w:rPr>
      </w:pPr>
      <w:r w:rsidRPr="00FB0A3A">
        <w:rPr>
          <w:rFonts w:ascii="Myriad Pro" w:hAnsi="Myriad Pro"/>
          <w:sz w:val="26"/>
          <w:szCs w:val="26"/>
        </w:rPr>
        <w:t>Исполнителем расчет расходов произведен исходя из тарифов на тепловую энергию, утвержденных на 2018 год с учетом индекса ИПЦ 104</w:t>
      </w:r>
      <w:r w:rsidR="00B853D7" w:rsidRPr="00FB0A3A">
        <w:rPr>
          <w:rFonts w:ascii="Myriad Pro" w:hAnsi="Myriad Pro"/>
          <w:sz w:val="26"/>
          <w:szCs w:val="26"/>
        </w:rPr>
        <w:t>,65%</w:t>
      </w:r>
      <w:r w:rsidR="00027871" w:rsidRPr="00FB0A3A">
        <w:rPr>
          <w:rFonts w:ascii="Myriad Pro" w:hAnsi="Myriad Pro"/>
          <w:sz w:val="26"/>
          <w:szCs w:val="26"/>
        </w:rPr>
        <w:t>,</w:t>
      </w:r>
      <w:r w:rsidR="00B853D7" w:rsidRPr="00FB0A3A">
        <w:rPr>
          <w:rFonts w:ascii="Myriad Pro" w:hAnsi="Myriad Pro"/>
          <w:sz w:val="26"/>
          <w:szCs w:val="26"/>
        </w:rPr>
        <w:t xml:space="preserve"> либо при установлении </w:t>
      </w:r>
      <w:r w:rsidR="007951A4" w:rsidRPr="00FB0A3A">
        <w:rPr>
          <w:rFonts w:ascii="Myriad Pro" w:hAnsi="Myriad Pro"/>
          <w:sz w:val="26"/>
          <w:szCs w:val="26"/>
        </w:rPr>
        <w:t xml:space="preserve">теплоснабжающей организации </w:t>
      </w:r>
      <w:r w:rsidR="00B853D7" w:rsidRPr="00FB0A3A">
        <w:rPr>
          <w:rFonts w:ascii="Myriad Pro" w:hAnsi="Myriad Pro"/>
          <w:sz w:val="26"/>
          <w:szCs w:val="26"/>
        </w:rPr>
        <w:t>тарифов на долгосрочный период</w:t>
      </w:r>
      <w:r w:rsidR="007951A4" w:rsidRPr="00FB0A3A">
        <w:rPr>
          <w:rFonts w:ascii="Myriad Pro" w:hAnsi="Myriad Pro"/>
          <w:sz w:val="26"/>
          <w:szCs w:val="26"/>
        </w:rPr>
        <w:t>, в который входит 2019 год, исходя из установленных тарифов.</w:t>
      </w:r>
    </w:p>
    <w:p w14:paraId="112485BB" w14:textId="445D19C6" w:rsidR="000B5C80" w:rsidRPr="00FB0A3A" w:rsidRDefault="000B5C80" w:rsidP="00A31747">
      <w:pPr>
        <w:tabs>
          <w:tab w:val="left" w:pos="1134"/>
        </w:tabs>
        <w:spacing w:after="0" w:line="360" w:lineRule="auto"/>
        <w:ind w:firstLine="567"/>
        <w:jc w:val="both"/>
        <w:rPr>
          <w:rFonts w:ascii="Myriad Pro" w:hAnsi="Myriad Pro"/>
          <w:sz w:val="26"/>
          <w:szCs w:val="26"/>
        </w:rPr>
      </w:pPr>
      <w:r w:rsidRPr="00FB0A3A">
        <w:rPr>
          <w:rFonts w:ascii="Myriad Pro" w:hAnsi="Myriad Pro"/>
          <w:sz w:val="26"/>
          <w:szCs w:val="26"/>
        </w:rPr>
        <w:t>Нормативные документы, используемые Исполнителем при расчете</w:t>
      </w:r>
      <w:r w:rsidR="00434E2D" w:rsidRPr="00FB0A3A">
        <w:rPr>
          <w:rFonts w:ascii="Myriad Pro" w:hAnsi="Myriad Pro"/>
          <w:sz w:val="26"/>
          <w:szCs w:val="26"/>
        </w:rPr>
        <w:t xml:space="preserve"> расходов на тепловую энергию</w:t>
      </w:r>
      <w:r w:rsidRPr="00FB0A3A">
        <w:rPr>
          <w:rFonts w:ascii="Myriad Pro" w:hAnsi="Myriad Pro"/>
          <w:sz w:val="26"/>
          <w:szCs w:val="26"/>
        </w:rPr>
        <w:t>:</w:t>
      </w:r>
    </w:p>
    <w:p w14:paraId="28C54956" w14:textId="3A698DFC" w:rsidR="000B5C80" w:rsidRPr="00FB0A3A" w:rsidRDefault="000B5C80" w:rsidP="009B0BC1">
      <w:pPr>
        <w:pStyle w:val="a4"/>
        <w:numPr>
          <w:ilvl w:val="0"/>
          <w:numId w:val="9"/>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Постановление Комитета по тарифному регулированию Мурманск</w:t>
      </w:r>
      <w:r w:rsidR="00CF087C" w:rsidRPr="00FB0A3A">
        <w:rPr>
          <w:rFonts w:ascii="Myriad Pro" w:hAnsi="Myriad Pro"/>
          <w:sz w:val="26"/>
          <w:szCs w:val="26"/>
        </w:rPr>
        <w:t>ой области от 15.12.2017 №55/11</w:t>
      </w:r>
      <w:r w:rsidRPr="00FB0A3A">
        <w:rPr>
          <w:rFonts w:ascii="Myriad Pro" w:hAnsi="Myriad Pro"/>
          <w:sz w:val="26"/>
          <w:szCs w:val="26"/>
        </w:rPr>
        <w:t>;</w:t>
      </w:r>
    </w:p>
    <w:p w14:paraId="7E78C85F" w14:textId="4FCEB63C" w:rsidR="00CF087C" w:rsidRPr="00FB0A3A" w:rsidRDefault="00CF087C" w:rsidP="009B0BC1">
      <w:pPr>
        <w:pStyle w:val="a4"/>
        <w:numPr>
          <w:ilvl w:val="0"/>
          <w:numId w:val="9"/>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Постановление Комитета по тарифному регулированию Мурманской области от 19.12.2017 %57/10;</w:t>
      </w:r>
    </w:p>
    <w:p w14:paraId="0CA2C39C" w14:textId="3D805378" w:rsidR="00CF087C" w:rsidRPr="00FB0A3A" w:rsidRDefault="00CF087C" w:rsidP="009B0BC1">
      <w:pPr>
        <w:pStyle w:val="a4"/>
        <w:numPr>
          <w:ilvl w:val="0"/>
          <w:numId w:val="9"/>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Постановление Комитета по тарифному регулированию Мурманской области от 19.12.20107 №57/7;</w:t>
      </w:r>
    </w:p>
    <w:p w14:paraId="40830014" w14:textId="70CAFD75" w:rsidR="00CF087C" w:rsidRPr="00FB0A3A" w:rsidRDefault="00CF087C" w:rsidP="009B0BC1">
      <w:pPr>
        <w:pStyle w:val="a4"/>
        <w:numPr>
          <w:ilvl w:val="0"/>
          <w:numId w:val="9"/>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Постановление Комитета по тарифному регулированию Мурманской области от 19.12.2017 №57/11;</w:t>
      </w:r>
    </w:p>
    <w:p w14:paraId="6AD19249" w14:textId="4FCDFC52" w:rsidR="00CF087C" w:rsidRPr="00FB0A3A" w:rsidRDefault="00CF087C" w:rsidP="009B0BC1">
      <w:pPr>
        <w:pStyle w:val="a4"/>
        <w:numPr>
          <w:ilvl w:val="0"/>
          <w:numId w:val="9"/>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Постановление Комитета по тарифному регулированию Мурманской области от 14.12.2017 №54/2;</w:t>
      </w:r>
    </w:p>
    <w:p w14:paraId="08D80959" w14:textId="6E7FE22B" w:rsidR="00CF087C" w:rsidRPr="00FB0A3A" w:rsidRDefault="00CF087C" w:rsidP="009B0BC1">
      <w:pPr>
        <w:pStyle w:val="a4"/>
        <w:numPr>
          <w:ilvl w:val="0"/>
          <w:numId w:val="9"/>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Постановление Комитета по тарифному регулированию Мурманской области от 15.12.2017 №55/8;</w:t>
      </w:r>
    </w:p>
    <w:p w14:paraId="589930FA" w14:textId="0943EBFB" w:rsidR="000B5C80" w:rsidRPr="00FB0A3A" w:rsidRDefault="00CF087C" w:rsidP="009B0BC1">
      <w:pPr>
        <w:pStyle w:val="a4"/>
        <w:numPr>
          <w:ilvl w:val="0"/>
          <w:numId w:val="9"/>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Постановление Комитета по тарифному регулированию Мурманской области от 15.12.2017 №55/7.</w:t>
      </w:r>
    </w:p>
    <w:p w14:paraId="1B19C4B4" w14:textId="5EA29BD0" w:rsidR="005D6513" w:rsidRPr="00FB0A3A" w:rsidRDefault="005D6513" w:rsidP="00A9617A">
      <w:pPr>
        <w:pStyle w:val="afff4"/>
        <w:rPr>
          <w:lang w:val="ru-RU"/>
        </w:rPr>
      </w:pPr>
      <w:r w:rsidRPr="00FB0A3A">
        <w:rPr>
          <w:lang w:val="ru-RU"/>
        </w:rPr>
        <w:t xml:space="preserve">Расходы на тепловую энергию Исполнителем рассчитаны </w:t>
      </w:r>
      <w:r w:rsidR="00E663D3">
        <w:rPr>
          <w:lang w:val="ru-RU"/>
        </w:rPr>
        <w:t>в размере</w:t>
      </w:r>
      <w:r w:rsidRPr="00FB0A3A">
        <w:rPr>
          <w:lang w:val="ru-RU"/>
        </w:rPr>
        <w:t xml:space="preserve"> 17 473,2 тыс. руб., что ниже 166,5 тыс. руб. учтенных Комитетом и заявленных Филиалом.</w:t>
      </w:r>
    </w:p>
    <w:tbl>
      <w:tblPr>
        <w:tblStyle w:val="afff6"/>
        <w:tblW w:w="5000" w:type="pct"/>
        <w:tblLayout w:type="fixed"/>
        <w:tblLook w:val="04A0" w:firstRow="1" w:lastRow="0" w:firstColumn="1" w:lastColumn="0" w:noHBand="0" w:noVBand="1"/>
      </w:tblPr>
      <w:tblGrid>
        <w:gridCol w:w="1809"/>
        <w:gridCol w:w="1367"/>
        <w:gridCol w:w="1516"/>
        <w:gridCol w:w="1516"/>
        <w:gridCol w:w="1568"/>
        <w:gridCol w:w="1568"/>
      </w:tblGrid>
      <w:tr w:rsidR="00647DC8" w:rsidRPr="00FB0A3A" w14:paraId="43842C3A" w14:textId="77777777" w:rsidTr="002267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0C9FE4D1" w14:textId="77777777" w:rsidR="00647DC8" w:rsidRPr="00FB0A3A" w:rsidRDefault="00647DC8" w:rsidP="00A9617A">
            <w:pPr>
              <w:tabs>
                <w:tab w:val="left" w:pos="1134"/>
              </w:tabs>
              <w:jc w:val="center"/>
              <w:rPr>
                <w:sz w:val="20"/>
                <w:szCs w:val="20"/>
              </w:rPr>
            </w:pPr>
            <w:r w:rsidRPr="00FB0A3A">
              <w:rPr>
                <w:sz w:val="20"/>
                <w:szCs w:val="20"/>
              </w:rPr>
              <w:lastRenderedPageBreak/>
              <w:t> Наименование статьи</w:t>
            </w:r>
          </w:p>
        </w:tc>
        <w:tc>
          <w:tcPr>
            <w:tcW w:w="13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6D19DDE5" w14:textId="77777777" w:rsidR="00647DC8" w:rsidRPr="00FB0A3A" w:rsidRDefault="00647DC8" w:rsidP="00A9617A">
            <w:pPr>
              <w:tabs>
                <w:tab w:val="left" w:pos="1134"/>
              </w:tabs>
              <w:cnfStyle w:val="100000000000" w:firstRow="1" w:lastRow="0" w:firstColumn="0" w:lastColumn="0" w:oddVBand="0" w:evenVBand="0" w:oddHBand="0" w:evenHBand="0" w:firstRowFirstColumn="0" w:firstRowLastColumn="0" w:lastRowFirstColumn="0" w:lastRowLastColumn="0"/>
              <w:rPr>
                <w:sz w:val="20"/>
                <w:szCs w:val="20"/>
              </w:rPr>
            </w:pPr>
            <w:r w:rsidRPr="00FB0A3A">
              <w:rPr>
                <w:sz w:val="20"/>
                <w:szCs w:val="20"/>
              </w:rPr>
              <w:t>Заявлено Филиалом</w:t>
            </w:r>
          </w:p>
        </w:tc>
        <w:tc>
          <w:tcPr>
            <w:tcW w:w="15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4628E55" w14:textId="77777777" w:rsidR="00647DC8" w:rsidRPr="00FB0A3A" w:rsidRDefault="00647DC8" w:rsidP="00A9617A">
            <w:pPr>
              <w:tabs>
                <w:tab w:val="left" w:pos="1134"/>
              </w:tabs>
              <w:cnfStyle w:val="100000000000" w:firstRow="1" w:lastRow="0" w:firstColumn="0" w:lastColumn="0" w:oddVBand="0" w:evenVBand="0" w:oddHBand="0" w:evenHBand="0" w:firstRowFirstColumn="0" w:firstRowLastColumn="0" w:lastRowFirstColumn="0" w:lastRowLastColumn="0"/>
              <w:rPr>
                <w:sz w:val="20"/>
                <w:szCs w:val="20"/>
              </w:rPr>
            </w:pPr>
            <w:r w:rsidRPr="00FB0A3A">
              <w:rPr>
                <w:sz w:val="20"/>
                <w:szCs w:val="20"/>
              </w:rPr>
              <w:t>Рассчитано Комитетом (ЭОУ)</w:t>
            </w:r>
          </w:p>
        </w:tc>
        <w:tc>
          <w:tcPr>
            <w:tcW w:w="15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3FB1B56" w14:textId="77777777" w:rsidR="00647DC8" w:rsidRPr="00FB0A3A" w:rsidRDefault="00647DC8" w:rsidP="00A9617A">
            <w:pPr>
              <w:tabs>
                <w:tab w:val="left" w:pos="1134"/>
              </w:tabs>
              <w:cnfStyle w:val="100000000000" w:firstRow="1" w:lastRow="0" w:firstColumn="0" w:lastColumn="0" w:oddVBand="0" w:evenVBand="0" w:oddHBand="0" w:evenHBand="0" w:firstRowFirstColumn="0" w:firstRowLastColumn="0" w:lastRowFirstColumn="0" w:lastRowLastColumn="0"/>
              <w:rPr>
                <w:sz w:val="20"/>
                <w:szCs w:val="20"/>
              </w:rPr>
            </w:pPr>
            <w:r w:rsidRPr="00FB0A3A">
              <w:rPr>
                <w:sz w:val="20"/>
                <w:szCs w:val="20"/>
              </w:rPr>
              <w:t>Рассчитано Исполнителем (ЭОУ)</w:t>
            </w:r>
          </w:p>
        </w:tc>
        <w:tc>
          <w:tcPr>
            <w:tcW w:w="15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3547E84" w14:textId="77777777" w:rsidR="00647DC8" w:rsidRPr="00FB0A3A" w:rsidRDefault="00647DC8" w:rsidP="00A9617A">
            <w:pPr>
              <w:tabs>
                <w:tab w:val="left" w:pos="1134"/>
              </w:tabs>
              <w:cnfStyle w:val="100000000000" w:firstRow="1" w:lastRow="0" w:firstColumn="0" w:lastColumn="0" w:oddVBand="0" w:evenVBand="0" w:oddHBand="0" w:evenHBand="0" w:firstRowFirstColumn="0" w:firstRowLastColumn="0" w:lastRowFirstColumn="0" w:lastRowLastColumn="0"/>
              <w:rPr>
                <w:sz w:val="20"/>
                <w:szCs w:val="20"/>
              </w:rPr>
            </w:pPr>
            <w:r w:rsidRPr="00FB0A3A">
              <w:rPr>
                <w:sz w:val="20"/>
                <w:szCs w:val="20"/>
              </w:rPr>
              <w:t>Отклонение  между Исполнителем и Комитетом</w:t>
            </w:r>
          </w:p>
        </w:tc>
        <w:tc>
          <w:tcPr>
            <w:tcW w:w="15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B868AB6" w14:textId="77777777" w:rsidR="00647DC8" w:rsidRPr="00FB0A3A" w:rsidRDefault="00647DC8" w:rsidP="00A9617A">
            <w:pPr>
              <w:tabs>
                <w:tab w:val="left" w:pos="1134"/>
              </w:tabs>
              <w:cnfStyle w:val="100000000000" w:firstRow="1" w:lastRow="0" w:firstColumn="0" w:lastColumn="0" w:oddVBand="0" w:evenVBand="0" w:oddHBand="0" w:evenHBand="0" w:firstRowFirstColumn="0" w:firstRowLastColumn="0" w:lastRowFirstColumn="0" w:lastRowLastColumn="0"/>
              <w:rPr>
                <w:sz w:val="20"/>
                <w:szCs w:val="20"/>
              </w:rPr>
            </w:pPr>
            <w:r w:rsidRPr="00FB0A3A">
              <w:rPr>
                <w:sz w:val="20"/>
                <w:szCs w:val="20"/>
              </w:rPr>
              <w:t>Отклонение  между Исполнителем и Филиалом</w:t>
            </w:r>
          </w:p>
        </w:tc>
      </w:tr>
      <w:tr w:rsidR="00647DC8" w:rsidRPr="00FB0A3A" w14:paraId="63E24DCD" w14:textId="77777777" w:rsidTr="002267D7">
        <w:tc>
          <w:tcPr>
            <w:cnfStyle w:val="001000000000" w:firstRow="0" w:lastRow="0" w:firstColumn="1" w:lastColumn="0" w:oddVBand="0" w:evenVBand="0" w:oddHBand="0" w:evenHBand="0" w:firstRowFirstColumn="0" w:firstRowLastColumn="0" w:lastRowFirstColumn="0" w:lastRowLastColumn="0"/>
            <w:tcW w:w="1837" w:type="dxa"/>
            <w:tcBorders>
              <w:top w:val="single" w:sz="4" w:space="0" w:color="FFFFFF" w:themeColor="background1"/>
            </w:tcBorders>
            <w:hideMark/>
          </w:tcPr>
          <w:p w14:paraId="40A18B2E" w14:textId="77777777" w:rsidR="00647DC8" w:rsidRPr="00FB0A3A" w:rsidRDefault="00647DC8" w:rsidP="00A9617A">
            <w:pPr>
              <w:tabs>
                <w:tab w:val="left" w:pos="1134"/>
              </w:tabs>
              <w:rPr>
                <w:sz w:val="20"/>
                <w:szCs w:val="20"/>
              </w:rPr>
            </w:pPr>
            <w:r w:rsidRPr="00FB0A3A">
              <w:rPr>
                <w:sz w:val="20"/>
                <w:szCs w:val="20"/>
              </w:rPr>
              <w:t>Расходы на тепловую энергию</w:t>
            </w:r>
          </w:p>
        </w:tc>
        <w:tc>
          <w:tcPr>
            <w:tcW w:w="1387" w:type="dxa"/>
            <w:tcBorders>
              <w:top w:val="single" w:sz="4" w:space="0" w:color="FFFFFF" w:themeColor="background1"/>
            </w:tcBorders>
            <w:hideMark/>
          </w:tcPr>
          <w:p w14:paraId="106542F3" w14:textId="77777777" w:rsidR="00647DC8" w:rsidRPr="00FB0A3A" w:rsidRDefault="00647DC8" w:rsidP="00A9617A">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FB0A3A">
              <w:rPr>
                <w:sz w:val="20"/>
                <w:szCs w:val="20"/>
              </w:rPr>
              <w:t>17 639,72</w:t>
            </w:r>
          </w:p>
        </w:tc>
        <w:tc>
          <w:tcPr>
            <w:tcW w:w="1539" w:type="dxa"/>
            <w:tcBorders>
              <w:top w:val="single" w:sz="4" w:space="0" w:color="FFFFFF" w:themeColor="background1"/>
            </w:tcBorders>
            <w:hideMark/>
          </w:tcPr>
          <w:p w14:paraId="17C61296" w14:textId="77777777" w:rsidR="00647DC8" w:rsidRPr="00FB0A3A" w:rsidRDefault="00647DC8" w:rsidP="00A9617A">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FB0A3A">
              <w:rPr>
                <w:sz w:val="20"/>
                <w:szCs w:val="20"/>
              </w:rPr>
              <w:t>17 639,72</w:t>
            </w:r>
          </w:p>
        </w:tc>
        <w:tc>
          <w:tcPr>
            <w:tcW w:w="1539" w:type="dxa"/>
            <w:tcBorders>
              <w:top w:val="single" w:sz="4" w:space="0" w:color="FFFFFF" w:themeColor="background1"/>
            </w:tcBorders>
            <w:hideMark/>
          </w:tcPr>
          <w:p w14:paraId="24C3C1B6" w14:textId="77777777" w:rsidR="00647DC8" w:rsidRPr="00FB0A3A" w:rsidRDefault="00647DC8" w:rsidP="00A9617A">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FB0A3A">
              <w:rPr>
                <w:sz w:val="20"/>
                <w:szCs w:val="20"/>
              </w:rPr>
              <w:t>17 473,19</w:t>
            </w:r>
          </w:p>
        </w:tc>
        <w:tc>
          <w:tcPr>
            <w:tcW w:w="1592" w:type="dxa"/>
            <w:tcBorders>
              <w:top w:val="single" w:sz="4" w:space="0" w:color="FFFFFF" w:themeColor="background1"/>
            </w:tcBorders>
            <w:hideMark/>
          </w:tcPr>
          <w:p w14:paraId="04EB25F5" w14:textId="14A1AECC" w:rsidR="00647DC8" w:rsidRPr="00FB0A3A" w:rsidRDefault="006724D8" w:rsidP="00A9617A">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FB0A3A">
              <w:rPr>
                <w:sz w:val="20"/>
                <w:szCs w:val="20"/>
              </w:rPr>
              <w:t>-166,5</w:t>
            </w:r>
          </w:p>
        </w:tc>
        <w:tc>
          <w:tcPr>
            <w:tcW w:w="1592" w:type="dxa"/>
            <w:tcBorders>
              <w:top w:val="single" w:sz="4" w:space="0" w:color="FFFFFF" w:themeColor="background1"/>
            </w:tcBorders>
            <w:hideMark/>
          </w:tcPr>
          <w:p w14:paraId="4C1BDC61" w14:textId="460E6AA9" w:rsidR="00647DC8" w:rsidRPr="00FB0A3A" w:rsidRDefault="006724D8" w:rsidP="00A9617A">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FB0A3A">
              <w:rPr>
                <w:sz w:val="20"/>
                <w:szCs w:val="20"/>
              </w:rPr>
              <w:t>-166,5</w:t>
            </w:r>
          </w:p>
        </w:tc>
      </w:tr>
    </w:tbl>
    <w:p w14:paraId="19B96A87" w14:textId="1ABAFB04" w:rsidR="00B3219E" w:rsidRPr="00FB0A3A" w:rsidRDefault="00B3219E" w:rsidP="00A31747">
      <w:pPr>
        <w:pStyle w:val="a4"/>
        <w:tabs>
          <w:tab w:val="left" w:pos="1134"/>
        </w:tabs>
        <w:spacing w:after="0" w:line="360" w:lineRule="auto"/>
        <w:ind w:left="0" w:firstLine="567"/>
        <w:jc w:val="both"/>
        <w:rPr>
          <w:rFonts w:ascii="Myriad Pro" w:hAnsi="Myriad Pro"/>
          <w:sz w:val="26"/>
          <w:szCs w:val="26"/>
        </w:rPr>
      </w:pPr>
    </w:p>
    <w:p w14:paraId="6955063E" w14:textId="77777777" w:rsidR="002F115E" w:rsidRDefault="002F115E" w:rsidP="002D6C17">
      <w:pPr>
        <w:pStyle w:val="3"/>
        <w:numPr>
          <w:ilvl w:val="1"/>
          <w:numId w:val="67"/>
        </w:numPr>
        <w:spacing w:line="360" w:lineRule="auto"/>
        <w:rPr>
          <w:rFonts w:ascii="Myriad Pro" w:hAnsi="Myriad Pro"/>
          <w:b/>
          <w:color w:val="4F6228" w:themeColor="accent3" w:themeShade="80"/>
          <w:sz w:val="28"/>
          <w:szCs w:val="28"/>
        </w:rPr>
        <w:sectPr w:rsidR="002F115E" w:rsidSect="00FB0A3A">
          <w:pgSz w:w="11906" w:h="16838"/>
          <w:pgMar w:top="1134" w:right="851" w:bottom="1134" w:left="1701" w:header="708" w:footer="708" w:gutter="0"/>
          <w:cols w:space="708"/>
          <w:docGrid w:linePitch="360"/>
        </w:sectPr>
      </w:pPr>
    </w:p>
    <w:p w14:paraId="7BC19AFB" w14:textId="0C6DBF6A" w:rsidR="001F763E" w:rsidRPr="002D6C17" w:rsidRDefault="008E15A7" w:rsidP="002D6C17">
      <w:pPr>
        <w:pStyle w:val="3"/>
        <w:numPr>
          <w:ilvl w:val="1"/>
          <w:numId w:val="67"/>
        </w:numPr>
        <w:spacing w:line="360" w:lineRule="auto"/>
        <w:rPr>
          <w:rFonts w:ascii="Myriad Pro" w:hAnsi="Myriad Pro"/>
          <w:b/>
          <w:color w:val="4F6228" w:themeColor="accent3" w:themeShade="80"/>
          <w:sz w:val="28"/>
          <w:szCs w:val="28"/>
        </w:rPr>
      </w:pPr>
      <w:r>
        <w:rPr>
          <w:rFonts w:ascii="Myriad Pro" w:hAnsi="Myriad Pro"/>
          <w:b/>
          <w:color w:val="4F6228" w:themeColor="accent3" w:themeShade="80"/>
          <w:sz w:val="28"/>
          <w:szCs w:val="28"/>
        </w:rPr>
        <w:lastRenderedPageBreak/>
        <w:t xml:space="preserve"> </w:t>
      </w:r>
      <w:bookmarkStart w:id="56" w:name="_Toc40797965"/>
      <w:r w:rsidR="00DF1929" w:rsidRPr="002D6C17">
        <w:rPr>
          <w:rFonts w:ascii="Myriad Pro" w:hAnsi="Myriad Pro"/>
          <w:b/>
          <w:color w:val="4F6228" w:themeColor="accent3" w:themeShade="80"/>
          <w:sz w:val="28"/>
          <w:szCs w:val="28"/>
        </w:rPr>
        <w:t>О</w:t>
      </w:r>
      <w:r w:rsidR="001F763E" w:rsidRPr="002D6C17">
        <w:rPr>
          <w:rFonts w:ascii="Myriad Pro" w:hAnsi="Myriad Pro"/>
          <w:b/>
          <w:color w:val="4F6228" w:themeColor="accent3" w:themeShade="80"/>
          <w:sz w:val="28"/>
          <w:szCs w:val="28"/>
        </w:rPr>
        <w:t>тчисления на социальные нужды</w:t>
      </w:r>
      <w:bookmarkEnd w:id="56"/>
    </w:p>
    <w:p w14:paraId="7B9E5E91" w14:textId="77777777" w:rsidR="009C44E4" w:rsidRPr="00FB0A3A" w:rsidRDefault="009C44E4"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В соответствии со статьей 425 Налогового кодекса Российской Федерации применяются следующие тарифы страховых взносов:</w:t>
      </w:r>
    </w:p>
    <w:p w14:paraId="059EE108" w14:textId="7209A82A" w:rsidR="009C44E4" w:rsidRPr="00FB0A3A" w:rsidRDefault="00CD5B36"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1</w:t>
      </w:r>
      <w:r w:rsidR="009C44E4" w:rsidRPr="00FB0A3A">
        <w:rPr>
          <w:rFonts w:ascii="Myriad Pro" w:eastAsia="Calibri" w:hAnsi="Myriad Pro" w:cs="Times New Roman"/>
          <w:sz w:val="26"/>
          <w:szCs w:val="26"/>
        </w:rPr>
        <w:t>)</w:t>
      </w:r>
      <w:r w:rsidR="009C44E4" w:rsidRPr="00FB0A3A">
        <w:rPr>
          <w:rFonts w:ascii="Myriad Pro" w:eastAsia="Calibri" w:hAnsi="Myriad Pro" w:cs="Times New Roman"/>
          <w:sz w:val="26"/>
          <w:szCs w:val="26"/>
        </w:rPr>
        <w:tab/>
        <w:t>на обязательное пенсионное страхование:</w:t>
      </w:r>
    </w:p>
    <w:p w14:paraId="3B2BA93A" w14:textId="77777777" w:rsidR="009C44E4" w:rsidRPr="00FB0A3A" w:rsidRDefault="009C44E4"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в пределах установленной предельной величины базы для исчисления страховых взносов на обязательное пенсионное страхование – 22 процента</w:t>
      </w:r>
    </w:p>
    <w:p w14:paraId="1507EE30" w14:textId="77777777" w:rsidR="009C44E4" w:rsidRPr="00FB0A3A" w:rsidRDefault="009C44E4"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свыше установленной предельной величины базы для исчисления страховых взносов на обязательное пенсионное страхование – 10 процентов;</w:t>
      </w:r>
    </w:p>
    <w:p w14:paraId="6C49724A" w14:textId="77777777" w:rsidR="009C44E4" w:rsidRPr="00FB0A3A" w:rsidRDefault="009C44E4"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2) на обязательное социальное страхование на случай временной нетрудоспособности и в связи с материнством в пределах установленной предельной величины базы для исчисления страховых взносов по данному виду страхования – 2,9 процента;</w:t>
      </w:r>
    </w:p>
    <w:p w14:paraId="58B26C54" w14:textId="77777777" w:rsidR="009C44E4" w:rsidRPr="00FB0A3A" w:rsidRDefault="009C44E4"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3) на обязательное медицинское страхование – 5,1 процента.</w:t>
      </w:r>
    </w:p>
    <w:p w14:paraId="7A6772FB" w14:textId="4FF2BEA3" w:rsidR="009C44E4" w:rsidRPr="00FB0A3A" w:rsidRDefault="009C44E4"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Согласно Федеральному закону от 24.07.1998 № 125-ФЗ тариф на обязательное социальное страхование от несчастных случаев на производстве и профессиональных заболеваний определяется в зависимости от вида деятельности (код ОКВЭД).</w:t>
      </w:r>
    </w:p>
    <w:p w14:paraId="0C06502B" w14:textId="0081932E" w:rsidR="009C44E4" w:rsidRPr="00FB0A3A" w:rsidRDefault="009C44E4"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 xml:space="preserve">Поскольку статья расходов </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Отчисления на социальные нужды</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 xml:space="preserve"> является расчетной, расходы по ней принимаются в зависимости от принятого размера фонда оплаты труда. </w:t>
      </w:r>
    </w:p>
    <w:p w14:paraId="0F9774E1" w14:textId="77777777" w:rsidR="002E320E" w:rsidRPr="00FB0A3A" w:rsidRDefault="002E320E" w:rsidP="003B78FD">
      <w:pPr>
        <w:tabs>
          <w:tab w:val="left" w:pos="1134"/>
        </w:tabs>
        <w:spacing w:after="0" w:line="360" w:lineRule="auto"/>
        <w:ind w:firstLine="567"/>
        <w:contextualSpacing/>
        <w:jc w:val="both"/>
        <w:rPr>
          <w:rFonts w:ascii="Myriad Pro" w:eastAsia="Calibri" w:hAnsi="Myriad Pro" w:cs="Times New Roman"/>
          <w:sz w:val="26"/>
          <w:szCs w:val="26"/>
        </w:rPr>
      </w:pPr>
    </w:p>
    <w:p w14:paraId="31F91BF4" w14:textId="77777777" w:rsidR="001F763E" w:rsidRPr="00FB0A3A" w:rsidRDefault="001F763E" w:rsidP="003B78FD">
      <w:pPr>
        <w:tabs>
          <w:tab w:val="left" w:pos="1134"/>
        </w:tabs>
        <w:spacing w:after="0" w:line="360" w:lineRule="auto"/>
        <w:contextualSpacing/>
        <w:jc w:val="both"/>
        <w:rPr>
          <w:rFonts w:ascii="Myriad Pro" w:eastAsia="Calibri" w:hAnsi="Myriad Pro" w:cs="Times New Roman"/>
          <w:b/>
          <w:sz w:val="26"/>
          <w:szCs w:val="26"/>
        </w:rPr>
      </w:pPr>
      <w:r w:rsidRPr="00FB0A3A">
        <w:rPr>
          <w:rFonts w:ascii="Myriad Pro" w:eastAsia="Calibri" w:hAnsi="Myriad Pro" w:cs="Times New Roman"/>
          <w:b/>
          <w:sz w:val="26"/>
          <w:szCs w:val="26"/>
        </w:rPr>
        <w:t>ПОЗИЦИЯ ТЕРРИТОРИАЛЬНОЙ СЕТЕВОЙ ОРГАНИЗАЦИИ</w:t>
      </w:r>
    </w:p>
    <w:p w14:paraId="4D6384E5" w14:textId="3EFA5244" w:rsidR="001F763E" w:rsidRPr="00FB0A3A" w:rsidRDefault="00F2305A"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 xml:space="preserve">Филиалом </w:t>
      </w:r>
      <w:r w:rsidR="00350B0A" w:rsidRPr="00FB0A3A">
        <w:rPr>
          <w:rFonts w:ascii="Myriad Pro" w:eastAsia="Calibri" w:hAnsi="Myriad Pro" w:cs="Times New Roman"/>
          <w:sz w:val="26"/>
          <w:szCs w:val="26"/>
        </w:rPr>
        <w:t xml:space="preserve">ПАО </w:t>
      </w:r>
      <w:r w:rsidR="00655FFA" w:rsidRPr="00FB0A3A">
        <w:rPr>
          <w:rFonts w:ascii="Myriad Pro" w:eastAsia="Calibri" w:hAnsi="Myriad Pro" w:cs="Times New Roman"/>
          <w:sz w:val="26"/>
          <w:szCs w:val="26"/>
        </w:rPr>
        <w:t>«</w:t>
      </w:r>
      <w:r w:rsidR="00350B0A" w:rsidRPr="00FB0A3A">
        <w:rPr>
          <w:rFonts w:ascii="Myriad Pro" w:eastAsia="Calibri" w:hAnsi="Myriad Pro" w:cs="Times New Roman"/>
          <w:sz w:val="26"/>
          <w:szCs w:val="26"/>
        </w:rPr>
        <w:t>МРСК Северо-Запада</w:t>
      </w:r>
      <w:r w:rsidR="00655FFA" w:rsidRPr="00FB0A3A">
        <w:rPr>
          <w:rFonts w:ascii="Myriad Pro" w:eastAsia="Calibri" w:hAnsi="Myriad Pro" w:cs="Times New Roman"/>
          <w:sz w:val="26"/>
          <w:szCs w:val="26"/>
        </w:rPr>
        <w:t>»</w:t>
      </w:r>
      <w:r w:rsidR="00350B0A" w:rsidRPr="00FB0A3A">
        <w:rPr>
          <w:rFonts w:ascii="Myriad Pro" w:eastAsia="Calibri" w:hAnsi="Myriad Pro" w:cs="Times New Roman"/>
          <w:sz w:val="26"/>
          <w:szCs w:val="26"/>
        </w:rPr>
        <w:t xml:space="preserve"> </w:t>
      </w:r>
      <w:r w:rsidR="00655FFA" w:rsidRPr="00FB0A3A">
        <w:rPr>
          <w:rFonts w:ascii="Myriad Pro" w:eastAsia="Calibri" w:hAnsi="Myriad Pro" w:cs="Times New Roman"/>
          <w:sz w:val="26"/>
          <w:szCs w:val="26"/>
        </w:rPr>
        <w:t>«</w:t>
      </w:r>
      <w:r w:rsidR="00350B0A" w:rsidRPr="00FB0A3A">
        <w:rPr>
          <w:rFonts w:ascii="Myriad Pro" w:eastAsia="Calibri" w:hAnsi="Myriad Pro" w:cs="Times New Roman"/>
          <w:sz w:val="26"/>
          <w:szCs w:val="26"/>
        </w:rPr>
        <w:t>Колэнерго</w:t>
      </w:r>
      <w:r w:rsidR="00655FFA" w:rsidRPr="00FB0A3A">
        <w:rPr>
          <w:rFonts w:ascii="Myriad Pro" w:eastAsia="Calibri" w:hAnsi="Myriad Pro" w:cs="Times New Roman"/>
          <w:sz w:val="26"/>
          <w:szCs w:val="26"/>
        </w:rPr>
        <w:t>»</w:t>
      </w:r>
      <w:r w:rsidR="001F763E" w:rsidRPr="00FB0A3A">
        <w:rPr>
          <w:rFonts w:ascii="Myriad Pro" w:eastAsia="Calibri" w:hAnsi="Myriad Pro" w:cs="Times New Roman"/>
          <w:sz w:val="26"/>
          <w:szCs w:val="26"/>
        </w:rPr>
        <w:t xml:space="preserve"> по статье на 2019 год была заявлена</w:t>
      </w:r>
      <w:r w:rsidR="00DF1929" w:rsidRPr="00FB0A3A">
        <w:rPr>
          <w:rFonts w:ascii="Myriad Pro" w:eastAsia="Calibri" w:hAnsi="Myriad Pro" w:cs="Times New Roman"/>
          <w:sz w:val="26"/>
          <w:szCs w:val="26"/>
        </w:rPr>
        <w:t xml:space="preserve"> сумма расходов в размере 354 029,58</w:t>
      </w:r>
      <w:r w:rsidR="001F763E" w:rsidRPr="00FB0A3A">
        <w:rPr>
          <w:rFonts w:ascii="Myriad Pro" w:eastAsia="Calibri" w:hAnsi="Myriad Pro" w:cs="Times New Roman"/>
          <w:sz w:val="26"/>
          <w:szCs w:val="26"/>
        </w:rPr>
        <w:t xml:space="preserve"> тыс. руб.</w:t>
      </w:r>
    </w:p>
    <w:p w14:paraId="3A95F439" w14:textId="3B2D50A7" w:rsidR="001F763E" w:rsidRPr="00FB0A3A" w:rsidRDefault="001C7C18"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В обоснование заявленной</w:t>
      </w:r>
      <w:r w:rsidR="001F763E" w:rsidRPr="00FB0A3A">
        <w:rPr>
          <w:rFonts w:ascii="Myriad Pro" w:eastAsia="Calibri" w:hAnsi="Myriad Pro" w:cs="Times New Roman"/>
          <w:sz w:val="26"/>
          <w:szCs w:val="26"/>
        </w:rPr>
        <w:t xml:space="preserve"> сумм</w:t>
      </w:r>
      <w:r w:rsidRPr="00FB0A3A">
        <w:rPr>
          <w:rFonts w:ascii="Myriad Pro" w:eastAsia="Calibri" w:hAnsi="Myriad Pro" w:cs="Times New Roman"/>
          <w:sz w:val="26"/>
          <w:szCs w:val="26"/>
        </w:rPr>
        <w:t>ы</w:t>
      </w:r>
      <w:r w:rsidR="001F763E" w:rsidRPr="00FB0A3A">
        <w:rPr>
          <w:rFonts w:ascii="Myriad Pro" w:eastAsia="Calibri" w:hAnsi="Myriad Pro" w:cs="Times New Roman"/>
          <w:sz w:val="26"/>
          <w:szCs w:val="26"/>
        </w:rPr>
        <w:t xml:space="preserve"> расходов </w:t>
      </w:r>
      <w:r w:rsidR="00F2305A" w:rsidRPr="00FB0A3A">
        <w:rPr>
          <w:rFonts w:ascii="Myriad Pro" w:eastAsia="Calibri" w:hAnsi="Myriad Pro" w:cs="Times New Roman"/>
          <w:sz w:val="26"/>
          <w:szCs w:val="26"/>
        </w:rPr>
        <w:t xml:space="preserve">филиалом </w:t>
      </w:r>
      <w:r w:rsidR="00350B0A" w:rsidRPr="00FB0A3A">
        <w:rPr>
          <w:rFonts w:ascii="Myriad Pro" w:eastAsia="Calibri" w:hAnsi="Myriad Pro" w:cs="Times New Roman"/>
          <w:sz w:val="26"/>
          <w:szCs w:val="26"/>
        </w:rPr>
        <w:t xml:space="preserve">ПАО </w:t>
      </w:r>
      <w:r w:rsidR="00655FFA" w:rsidRPr="00FB0A3A">
        <w:rPr>
          <w:rFonts w:ascii="Myriad Pro" w:eastAsia="Calibri" w:hAnsi="Myriad Pro" w:cs="Times New Roman"/>
          <w:sz w:val="26"/>
          <w:szCs w:val="26"/>
        </w:rPr>
        <w:t>«</w:t>
      </w:r>
      <w:r w:rsidR="00350B0A" w:rsidRPr="00FB0A3A">
        <w:rPr>
          <w:rFonts w:ascii="Myriad Pro" w:eastAsia="Calibri" w:hAnsi="Myriad Pro" w:cs="Times New Roman"/>
          <w:sz w:val="26"/>
          <w:szCs w:val="26"/>
        </w:rPr>
        <w:t>МРСК Северо-Запада</w:t>
      </w:r>
      <w:r w:rsidR="00655FFA" w:rsidRPr="00FB0A3A">
        <w:rPr>
          <w:rFonts w:ascii="Myriad Pro" w:eastAsia="Calibri" w:hAnsi="Myriad Pro" w:cs="Times New Roman"/>
          <w:sz w:val="26"/>
          <w:szCs w:val="26"/>
        </w:rPr>
        <w:t>»</w:t>
      </w:r>
      <w:r w:rsidR="00350B0A" w:rsidRPr="00FB0A3A">
        <w:rPr>
          <w:rFonts w:ascii="Myriad Pro" w:eastAsia="Calibri" w:hAnsi="Myriad Pro" w:cs="Times New Roman"/>
          <w:sz w:val="26"/>
          <w:szCs w:val="26"/>
        </w:rPr>
        <w:t xml:space="preserve"> </w:t>
      </w:r>
      <w:r w:rsidR="00655FFA" w:rsidRPr="00FB0A3A">
        <w:rPr>
          <w:rFonts w:ascii="Myriad Pro" w:eastAsia="Calibri" w:hAnsi="Myriad Pro" w:cs="Times New Roman"/>
          <w:sz w:val="26"/>
          <w:szCs w:val="26"/>
        </w:rPr>
        <w:t>«</w:t>
      </w:r>
      <w:r w:rsidR="00350B0A" w:rsidRPr="00FB0A3A">
        <w:rPr>
          <w:rFonts w:ascii="Myriad Pro" w:eastAsia="Calibri" w:hAnsi="Myriad Pro" w:cs="Times New Roman"/>
          <w:sz w:val="26"/>
          <w:szCs w:val="26"/>
        </w:rPr>
        <w:t>Колэнерго</w:t>
      </w:r>
      <w:r w:rsidR="00655FFA" w:rsidRPr="00FB0A3A">
        <w:rPr>
          <w:rFonts w:ascii="Myriad Pro" w:eastAsia="Calibri" w:hAnsi="Myriad Pro" w:cs="Times New Roman"/>
          <w:sz w:val="26"/>
          <w:szCs w:val="26"/>
        </w:rPr>
        <w:t>»</w:t>
      </w:r>
      <w:r w:rsidR="001F763E" w:rsidRPr="00FB0A3A">
        <w:rPr>
          <w:rFonts w:ascii="Myriad Pro" w:eastAsia="Calibri" w:hAnsi="Myriad Pro" w:cs="Times New Roman"/>
          <w:sz w:val="26"/>
          <w:szCs w:val="26"/>
        </w:rPr>
        <w:t xml:space="preserve"> были предоставлены следующие документы:</w:t>
      </w:r>
    </w:p>
    <w:p w14:paraId="479F052A" w14:textId="660D19BF" w:rsidR="001F763E" w:rsidRPr="00FB0A3A" w:rsidRDefault="001F763E" w:rsidP="009B0BC1">
      <w:pPr>
        <w:pStyle w:val="a4"/>
        <w:numPr>
          <w:ilvl w:val="0"/>
          <w:numId w:val="10"/>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Пояснительная записка</w:t>
      </w:r>
      <w:r w:rsidR="00BB360A" w:rsidRPr="00FB0A3A">
        <w:rPr>
          <w:rFonts w:ascii="Myriad Pro" w:hAnsi="Myriad Pro"/>
          <w:sz w:val="26"/>
          <w:szCs w:val="26"/>
        </w:rPr>
        <w:t>;</w:t>
      </w:r>
    </w:p>
    <w:p w14:paraId="66765E50" w14:textId="362C422E" w:rsidR="00BB360A" w:rsidRPr="00FB0A3A" w:rsidRDefault="00BB360A" w:rsidP="009B0BC1">
      <w:pPr>
        <w:pStyle w:val="a4"/>
        <w:numPr>
          <w:ilvl w:val="0"/>
          <w:numId w:val="10"/>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Расчет страховых взносов на 2019 год;</w:t>
      </w:r>
    </w:p>
    <w:p w14:paraId="17FBE927" w14:textId="527118E3" w:rsidR="00BB360A" w:rsidRPr="00FB0A3A" w:rsidRDefault="00BB360A" w:rsidP="009B0BC1">
      <w:pPr>
        <w:pStyle w:val="a4"/>
        <w:numPr>
          <w:ilvl w:val="0"/>
          <w:numId w:val="10"/>
        </w:numPr>
        <w:tabs>
          <w:tab w:val="left" w:pos="1134"/>
        </w:tabs>
        <w:spacing w:after="200" w:line="360" w:lineRule="auto"/>
        <w:ind w:left="0" w:firstLine="567"/>
        <w:contextualSpacing w:val="0"/>
        <w:jc w:val="both"/>
        <w:rPr>
          <w:rFonts w:ascii="Myriad Pro" w:hAnsi="Myriad Pro"/>
          <w:sz w:val="26"/>
          <w:szCs w:val="26"/>
        </w:rPr>
      </w:pPr>
      <w:r w:rsidRPr="00FB0A3A">
        <w:rPr>
          <w:rFonts w:ascii="Myriad Pro" w:hAnsi="Myriad Pro"/>
          <w:sz w:val="26"/>
          <w:szCs w:val="26"/>
        </w:rPr>
        <w:t xml:space="preserve">Данные бухгалтерского учета – обороты счета 20 по статье </w:t>
      </w:r>
      <w:r w:rsidR="00655FFA" w:rsidRPr="00FB0A3A">
        <w:rPr>
          <w:rFonts w:ascii="Myriad Pro" w:hAnsi="Myriad Pro"/>
          <w:sz w:val="26"/>
          <w:szCs w:val="26"/>
        </w:rPr>
        <w:t>«</w:t>
      </w:r>
      <w:r w:rsidRPr="00FB0A3A">
        <w:rPr>
          <w:rFonts w:ascii="Myriad Pro" w:hAnsi="Myriad Pro"/>
          <w:sz w:val="26"/>
          <w:szCs w:val="26"/>
        </w:rPr>
        <w:t>Страховые взносы</w:t>
      </w:r>
      <w:r w:rsidR="00655FFA" w:rsidRPr="00FB0A3A">
        <w:rPr>
          <w:rFonts w:ascii="Myriad Pro" w:hAnsi="Myriad Pro"/>
          <w:sz w:val="26"/>
          <w:szCs w:val="26"/>
        </w:rPr>
        <w:t>»</w:t>
      </w:r>
      <w:r w:rsidRPr="00FB0A3A">
        <w:rPr>
          <w:rFonts w:ascii="Myriad Pro" w:hAnsi="Myriad Pro"/>
          <w:sz w:val="26"/>
          <w:szCs w:val="26"/>
        </w:rPr>
        <w:t xml:space="preserve"> за 2017 год.</w:t>
      </w:r>
    </w:p>
    <w:tbl>
      <w:tblPr>
        <w:tblStyle w:val="afff6"/>
        <w:tblW w:w="5000" w:type="pct"/>
        <w:tblLayout w:type="fixed"/>
        <w:tblLook w:val="04A0" w:firstRow="1" w:lastRow="0" w:firstColumn="1" w:lastColumn="0" w:noHBand="0" w:noVBand="1"/>
      </w:tblPr>
      <w:tblGrid>
        <w:gridCol w:w="2288"/>
        <w:gridCol w:w="1389"/>
        <w:gridCol w:w="1523"/>
        <w:gridCol w:w="1251"/>
        <w:gridCol w:w="1726"/>
        <w:gridCol w:w="1167"/>
      </w:tblGrid>
      <w:tr w:rsidR="00793EFF" w:rsidRPr="00FB0A3A" w14:paraId="0B3C9176" w14:textId="77777777" w:rsidTr="002267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380C4C5C" w14:textId="77777777" w:rsidR="00793EFF" w:rsidRPr="00FB0A3A" w:rsidRDefault="00793EFF" w:rsidP="003B78FD">
            <w:pPr>
              <w:tabs>
                <w:tab w:val="left" w:pos="1134"/>
              </w:tabs>
              <w:jc w:val="center"/>
              <w:rPr>
                <w:rFonts w:eastAsia="Calibri" w:cs="Times New Roman"/>
                <w:sz w:val="20"/>
                <w:szCs w:val="20"/>
              </w:rPr>
            </w:pPr>
            <w:r w:rsidRPr="00FB0A3A">
              <w:rPr>
                <w:rFonts w:eastAsia="Calibri" w:cs="Times New Roman"/>
                <w:sz w:val="20"/>
                <w:szCs w:val="20"/>
              </w:rPr>
              <w:lastRenderedPageBreak/>
              <w:t> Наименование статьи</w:t>
            </w:r>
          </w:p>
        </w:tc>
        <w:tc>
          <w:tcPr>
            <w:tcW w:w="1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4ADA3AEA" w14:textId="77777777" w:rsidR="00793EFF" w:rsidRPr="00FB0A3A" w:rsidRDefault="00793EFF" w:rsidP="003B78FD">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Факт за 2017, тыс. руб.</w:t>
            </w:r>
          </w:p>
        </w:tc>
        <w:tc>
          <w:tcPr>
            <w:tcW w:w="15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1130684" w14:textId="3488DEE1" w:rsidR="00793EFF" w:rsidRPr="00FB0A3A" w:rsidRDefault="00793EFF" w:rsidP="003B78FD">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 xml:space="preserve">Заявлено филиалом ПАО </w:t>
            </w:r>
            <w:r w:rsidR="00655FFA" w:rsidRPr="00FB0A3A">
              <w:rPr>
                <w:rFonts w:eastAsia="Calibri" w:cs="Times New Roman"/>
                <w:sz w:val="20"/>
                <w:szCs w:val="20"/>
              </w:rPr>
              <w:t>«</w:t>
            </w:r>
            <w:r w:rsidR="00F619B6" w:rsidRPr="00FB0A3A">
              <w:rPr>
                <w:rFonts w:eastAsia="Calibri" w:cs="Times New Roman"/>
                <w:sz w:val="20"/>
                <w:szCs w:val="20"/>
              </w:rPr>
              <w:t>МРСК Северо-Запада</w:t>
            </w:r>
            <w:r w:rsidR="00655FFA" w:rsidRPr="00FB0A3A">
              <w:rPr>
                <w:rFonts w:eastAsia="Calibri" w:cs="Times New Roman"/>
                <w:sz w:val="20"/>
                <w:szCs w:val="20"/>
              </w:rPr>
              <w:t>»</w:t>
            </w:r>
            <w:r w:rsidR="00F619B6" w:rsidRPr="00FB0A3A">
              <w:rPr>
                <w:rFonts w:eastAsia="Calibri" w:cs="Times New Roman"/>
                <w:sz w:val="20"/>
                <w:szCs w:val="20"/>
              </w:rPr>
              <w:t xml:space="preserve"> </w:t>
            </w:r>
            <w:r w:rsidR="00655FFA" w:rsidRPr="00FB0A3A">
              <w:rPr>
                <w:rFonts w:eastAsia="Calibri" w:cs="Times New Roman"/>
                <w:sz w:val="20"/>
                <w:szCs w:val="20"/>
              </w:rPr>
              <w:t>«</w:t>
            </w:r>
            <w:r w:rsidRPr="00FB0A3A">
              <w:rPr>
                <w:rFonts w:eastAsia="Calibri" w:cs="Times New Roman"/>
                <w:sz w:val="20"/>
                <w:szCs w:val="20"/>
              </w:rPr>
              <w:t>Колэнерго</w:t>
            </w:r>
            <w:r w:rsidR="00655FFA" w:rsidRPr="00FB0A3A">
              <w:rPr>
                <w:rFonts w:eastAsia="Calibri" w:cs="Times New Roman"/>
                <w:sz w:val="20"/>
                <w:szCs w:val="20"/>
              </w:rPr>
              <w:t>»</w:t>
            </w:r>
            <w:r w:rsidRPr="00FB0A3A">
              <w:rPr>
                <w:rFonts w:eastAsia="Calibri" w:cs="Times New Roman"/>
                <w:sz w:val="20"/>
                <w:szCs w:val="20"/>
              </w:rPr>
              <w:t xml:space="preserve"> на 2019, тыс. руб.</w:t>
            </w:r>
          </w:p>
        </w:tc>
        <w:tc>
          <w:tcPr>
            <w:tcW w:w="12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1EDB1D2" w14:textId="77777777" w:rsidR="00793EFF" w:rsidRPr="00FB0A3A" w:rsidRDefault="00793EFF" w:rsidP="003B78FD">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ТБР на 2019, тыс. руб.</w:t>
            </w:r>
          </w:p>
        </w:tc>
        <w:tc>
          <w:tcPr>
            <w:tcW w:w="17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6CBA426" w14:textId="77777777" w:rsidR="00793EFF" w:rsidRPr="00FB0A3A" w:rsidRDefault="00793EFF" w:rsidP="003B78FD">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Отклонение ТБР на 2019/ заявка на 2019, %</w:t>
            </w:r>
          </w:p>
        </w:tc>
        <w:tc>
          <w:tcPr>
            <w:tcW w:w="11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D651DFE" w14:textId="77777777" w:rsidR="00793EFF" w:rsidRPr="00FB0A3A" w:rsidRDefault="00793EFF" w:rsidP="003B78FD">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ТБР на 2019 /факт за 2017, %</w:t>
            </w:r>
          </w:p>
        </w:tc>
      </w:tr>
      <w:tr w:rsidR="00793EFF" w:rsidRPr="00FB0A3A" w14:paraId="2148C3E5" w14:textId="77777777" w:rsidTr="002267D7">
        <w:tc>
          <w:tcPr>
            <w:cnfStyle w:val="001000000000" w:firstRow="0" w:lastRow="0" w:firstColumn="1" w:lastColumn="0" w:oddVBand="0" w:evenVBand="0" w:oddHBand="0" w:evenHBand="0" w:firstRowFirstColumn="0" w:firstRowLastColumn="0" w:lastRowFirstColumn="0" w:lastRowLastColumn="0"/>
            <w:tcW w:w="2324" w:type="dxa"/>
            <w:tcBorders>
              <w:top w:val="single" w:sz="4" w:space="0" w:color="FFFFFF" w:themeColor="background1"/>
            </w:tcBorders>
            <w:hideMark/>
          </w:tcPr>
          <w:p w14:paraId="133C2DC9" w14:textId="77777777" w:rsidR="00793EFF" w:rsidRPr="00FB0A3A" w:rsidRDefault="00793EFF" w:rsidP="003B78FD">
            <w:pPr>
              <w:tabs>
                <w:tab w:val="left" w:pos="1134"/>
              </w:tabs>
              <w:rPr>
                <w:rFonts w:eastAsia="Calibri" w:cs="Times New Roman"/>
                <w:sz w:val="20"/>
                <w:szCs w:val="20"/>
              </w:rPr>
            </w:pPr>
            <w:r w:rsidRPr="00FB0A3A">
              <w:rPr>
                <w:rFonts w:eastAsia="Calibri" w:cs="Times New Roman"/>
                <w:sz w:val="20"/>
                <w:szCs w:val="20"/>
              </w:rPr>
              <w:t>Отчисления на социальные нужды</w:t>
            </w:r>
          </w:p>
        </w:tc>
        <w:tc>
          <w:tcPr>
            <w:tcW w:w="1410" w:type="dxa"/>
            <w:tcBorders>
              <w:top w:val="single" w:sz="4" w:space="0" w:color="FFFFFF" w:themeColor="background1"/>
            </w:tcBorders>
            <w:hideMark/>
          </w:tcPr>
          <w:p w14:paraId="06B53E62" w14:textId="77777777" w:rsidR="00793EFF" w:rsidRPr="00FB0A3A" w:rsidRDefault="00793EFF" w:rsidP="003B78FD">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252 948,52</w:t>
            </w:r>
          </w:p>
        </w:tc>
        <w:tc>
          <w:tcPr>
            <w:tcW w:w="1546" w:type="dxa"/>
            <w:tcBorders>
              <w:top w:val="single" w:sz="4" w:space="0" w:color="FFFFFF" w:themeColor="background1"/>
            </w:tcBorders>
            <w:hideMark/>
          </w:tcPr>
          <w:p w14:paraId="7226D837" w14:textId="77777777" w:rsidR="00793EFF" w:rsidRPr="00FB0A3A" w:rsidRDefault="00793EFF" w:rsidP="003B78FD">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354 029,58</w:t>
            </w:r>
          </w:p>
        </w:tc>
        <w:tc>
          <w:tcPr>
            <w:tcW w:w="1269" w:type="dxa"/>
            <w:tcBorders>
              <w:top w:val="single" w:sz="4" w:space="0" w:color="FFFFFF" w:themeColor="background1"/>
            </w:tcBorders>
            <w:hideMark/>
          </w:tcPr>
          <w:p w14:paraId="5741B309" w14:textId="77777777" w:rsidR="00793EFF" w:rsidRPr="00FB0A3A" w:rsidRDefault="00793EFF" w:rsidP="003B78FD">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294 297,20</w:t>
            </w:r>
          </w:p>
        </w:tc>
        <w:tc>
          <w:tcPr>
            <w:tcW w:w="1753" w:type="dxa"/>
            <w:tcBorders>
              <w:top w:val="single" w:sz="4" w:space="0" w:color="FFFFFF" w:themeColor="background1"/>
            </w:tcBorders>
            <w:hideMark/>
          </w:tcPr>
          <w:p w14:paraId="0E7E4042" w14:textId="77777777" w:rsidR="00793EFF" w:rsidRPr="00FB0A3A" w:rsidRDefault="00793EFF" w:rsidP="003B78FD">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-16,9</w:t>
            </w:r>
          </w:p>
        </w:tc>
        <w:tc>
          <w:tcPr>
            <w:tcW w:w="1184" w:type="dxa"/>
            <w:tcBorders>
              <w:top w:val="single" w:sz="4" w:space="0" w:color="FFFFFF" w:themeColor="background1"/>
            </w:tcBorders>
            <w:hideMark/>
          </w:tcPr>
          <w:p w14:paraId="1C73CB3E" w14:textId="77777777" w:rsidR="00793EFF" w:rsidRPr="00FB0A3A" w:rsidRDefault="00793EFF" w:rsidP="003B78FD">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16,35</w:t>
            </w:r>
          </w:p>
        </w:tc>
      </w:tr>
    </w:tbl>
    <w:p w14:paraId="718CA719" w14:textId="60255EE9" w:rsidR="001F763E" w:rsidRPr="00FB0A3A" w:rsidRDefault="001F763E" w:rsidP="00A31747">
      <w:pPr>
        <w:tabs>
          <w:tab w:val="left" w:pos="1134"/>
        </w:tabs>
        <w:spacing w:after="0" w:line="360" w:lineRule="auto"/>
        <w:ind w:firstLine="567"/>
        <w:contextualSpacing/>
        <w:jc w:val="both"/>
        <w:rPr>
          <w:rFonts w:ascii="Myriad Pro" w:eastAsia="Calibri" w:hAnsi="Myriad Pro" w:cs="Times New Roman"/>
          <w:sz w:val="26"/>
          <w:szCs w:val="26"/>
        </w:rPr>
      </w:pPr>
    </w:p>
    <w:p w14:paraId="49D6497D" w14:textId="77777777" w:rsidR="001F763E" w:rsidRPr="00FB0A3A" w:rsidRDefault="001F763E" w:rsidP="003B78FD">
      <w:pPr>
        <w:tabs>
          <w:tab w:val="left" w:pos="1134"/>
        </w:tabs>
        <w:spacing w:after="0" w:line="360" w:lineRule="auto"/>
        <w:contextualSpacing/>
        <w:jc w:val="both"/>
        <w:rPr>
          <w:rFonts w:ascii="Myriad Pro" w:eastAsia="Calibri" w:hAnsi="Myriad Pro" w:cs="Times New Roman"/>
          <w:b/>
          <w:sz w:val="26"/>
          <w:szCs w:val="26"/>
        </w:rPr>
      </w:pPr>
      <w:r w:rsidRPr="00FB0A3A">
        <w:rPr>
          <w:rFonts w:ascii="Myriad Pro" w:eastAsia="Calibri" w:hAnsi="Myriad Pro" w:cs="Times New Roman"/>
          <w:b/>
          <w:sz w:val="26"/>
          <w:szCs w:val="26"/>
        </w:rPr>
        <w:t>ПОЗИЦИЯ ОРГАНА РЕГУЛИРОВАНИЯ</w:t>
      </w:r>
    </w:p>
    <w:p w14:paraId="42B822C8" w14:textId="05D2787A" w:rsidR="00DF15F8" w:rsidRPr="00FB0A3A" w:rsidRDefault="00DF15F8"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 xml:space="preserve">Комитет принял в расчет НВВ на 2019 год расходы на социальные отчисления </w:t>
      </w:r>
      <w:r w:rsidR="00E663D3">
        <w:rPr>
          <w:rFonts w:ascii="Myriad Pro" w:eastAsia="Calibri" w:hAnsi="Myriad Pro" w:cs="Times New Roman"/>
          <w:sz w:val="26"/>
          <w:szCs w:val="26"/>
        </w:rPr>
        <w:t>в размере</w:t>
      </w:r>
      <w:r w:rsidRPr="00FB0A3A">
        <w:rPr>
          <w:rFonts w:ascii="Myriad Pro" w:eastAsia="Calibri" w:hAnsi="Myriad Pro" w:cs="Times New Roman"/>
          <w:sz w:val="26"/>
          <w:szCs w:val="26"/>
        </w:rPr>
        <w:t xml:space="preserve"> 294 297,20 тыс. руб.</w:t>
      </w:r>
    </w:p>
    <w:p w14:paraId="4E770D7B" w14:textId="787E7659" w:rsidR="00793EFF" w:rsidRPr="00FB0A3A" w:rsidRDefault="00793EFF"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Комитет считает экономически обоснованным принять размер отчислений во внебюджетные фонды в размере процента фактических отчислений за 2017 год к утвержденному на 2019 год ФОТ</w:t>
      </w:r>
      <w:r w:rsidR="00F35034" w:rsidRPr="00FB0A3A">
        <w:rPr>
          <w:rFonts w:ascii="Myriad Pro" w:eastAsia="Calibri" w:hAnsi="Myriad Pro" w:cs="Times New Roman"/>
          <w:sz w:val="26"/>
          <w:szCs w:val="26"/>
        </w:rPr>
        <w:t xml:space="preserve"> (28,54%)</w:t>
      </w:r>
      <w:r w:rsidRPr="00FB0A3A">
        <w:rPr>
          <w:rFonts w:ascii="Myriad Pro" w:eastAsia="Calibri" w:hAnsi="Myriad Pro" w:cs="Times New Roman"/>
          <w:sz w:val="26"/>
          <w:szCs w:val="26"/>
        </w:rPr>
        <w:t>.</w:t>
      </w:r>
      <w:r w:rsidR="00B85351" w:rsidRPr="00FB0A3A">
        <w:rPr>
          <w:rFonts w:ascii="Myriad Pro" w:eastAsia="Calibri" w:hAnsi="Myriad Pro" w:cs="Times New Roman"/>
          <w:sz w:val="26"/>
          <w:szCs w:val="26"/>
        </w:rPr>
        <w:t xml:space="preserve"> </w:t>
      </w:r>
    </w:p>
    <w:p w14:paraId="00A19ECE" w14:textId="28B06801" w:rsidR="001F763E" w:rsidRPr="00FB0A3A" w:rsidRDefault="001F763E"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 xml:space="preserve"> </w:t>
      </w:r>
    </w:p>
    <w:p w14:paraId="1B5DF5C9" w14:textId="77777777" w:rsidR="001F763E" w:rsidRPr="00FB0A3A" w:rsidRDefault="001F763E" w:rsidP="003B78FD">
      <w:pPr>
        <w:tabs>
          <w:tab w:val="left" w:pos="1134"/>
        </w:tabs>
        <w:spacing w:after="0" w:line="360" w:lineRule="auto"/>
        <w:contextualSpacing/>
        <w:jc w:val="both"/>
        <w:rPr>
          <w:rFonts w:ascii="Myriad Pro" w:eastAsia="Calibri" w:hAnsi="Myriad Pro" w:cs="Times New Roman"/>
          <w:b/>
          <w:sz w:val="26"/>
          <w:szCs w:val="26"/>
        </w:rPr>
      </w:pPr>
      <w:r w:rsidRPr="00FB0A3A">
        <w:rPr>
          <w:rFonts w:ascii="Myriad Pro" w:eastAsia="Calibri" w:hAnsi="Myriad Pro" w:cs="Times New Roman"/>
          <w:b/>
          <w:sz w:val="26"/>
          <w:szCs w:val="26"/>
        </w:rPr>
        <w:t>ПОЗИЦИЯ ИСПОЛНИТЕЛЯ</w:t>
      </w:r>
    </w:p>
    <w:p w14:paraId="288EA3D8" w14:textId="08F52E92" w:rsidR="000A3D03" w:rsidRPr="00FB0A3A" w:rsidRDefault="00793EFF" w:rsidP="00A31747">
      <w:pPr>
        <w:tabs>
          <w:tab w:val="left" w:pos="1134"/>
        </w:tabs>
        <w:spacing w:after="0" w:line="360" w:lineRule="auto"/>
        <w:ind w:firstLine="567"/>
        <w:contextualSpacing/>
        <w:jc w:val="both"/>
        <w:rPr>
          <w:rFonts w:ascii="Myriad Pro" w:eastAsia="Calibri" w:hAnsi="Myriad Pro" w:cs="Times New Roman"/>
          <w:sz w:val="26"/>
          <w:szCs w:val="26"/>
        </w:rPr>
      </w:pPr>
      <w:r w:rsidRPr="0032232D">
        <w:rPr>
          <w:rFonts w:ascii="Myriad Pro" w:eastAsia="Calibri" w:hAnsi="Myriad Pro" w:cs="Times New Roman"/>
          <w:sz w:val="26"/>
          <w:szCs w:val="26"/>
        </w:rPr>
        <w:t xml:space="preserve">Исполнитель согласен с позицией Комитета и Филиала </w:t>
      </w:r>
      <w:r w:rsidR="00D40BC6" w:rsidRPr="0032232D">
        <w:rPr>
          <w:rFonts w:ascii="Myriad Pro" w:eastAsia="Calibri" w:hAnsi="Myriad Pro" w:cs="Times New Roman"/>
          <w:sz w:val="26"/>
          <w:szCs w:val="26"/>
        </w:rPr>
        <w:t>в отношении принципов расчета</w:t>
      </w:r>
      <w:r w:rsidRPr="0032232D">
        <w:rPr>
          <w:rFonts w:ascii="Myriad Pro" w:eastAsia="Calibri" w:hAnsi="Myriad Pro" w:cs="Times New Roman"/>
          <w:sz w:val="26"/>
          <w:szCs w:val="26"/>
        </w:rPr>
        <w:t xml:space="preserve"> расходов на социальные нужды исходя из фактического процента отчислений</w:t>
      </w:r>
      <w:r w:rsidRPr="00FB0A3A">
        <w:rPr>
          <w:rFonts w:ascii="Myriad Pro" w:eastAsia="Calibri" w:hAnsi="Myriad Pro" w:cs="Times New Roman"/>
          <w:sz w:val="26"/>
          <w:szCs w:val="26"/>
        </w:rPr>
        <w:t xml:space="preserve"> за 2017 год</w:t>
      </w:r>
      <w:r w:rsidR="005108C4" w:rsidRPr="00FB0A3A">
        <w:rPr>
          <w:rFonts w:ascii="Myriad Pro" w:eastAsia="Calibri" w:hAnsi="Myriad Pro" w:cs="Times New Roman"/>
          <w:sz w:val="26"/>
          <w:szCs w:val="26"/>
        </w:rPr>
        <w:t xml:space="preserve"> в размере 28,54%</w:t>
      </w:r>
      <w:r w:rsidRPr="00FB0A3A">
        <w:rPr>
          <w:rFonts w:ascii="Myriad Pro" w:eastAsia="Calibri" w:hAnsi="Myriad Pro" w:cs="Times New Roman"/>
          <w:sz w:val="26"/>
          <w:szCs w:val="26"/>
        </w:rPr>
        <w:t xml:space="preserve"> и плановых расходов на оплату труда.</w:t>
      </w:r>
    </w:p>
    <w:p w14:paraId="72B90F3B" w14:textId="0B1C6F92" w:rsidR="005108C4" w:rsidRPr="00FB0A3A" w:rsidRDefault="005108C4" w:rsidP="003B78FD">
      <w:pPr>
        <w:pStyle w:val="afff4"/>
        <w:rPr>
          <w:lang w:val="ru-RU"/>
        </w:rPr>
      </w:pPr>
      <w:r w:rsidRPr="00FB0A3A">
        <w:rPr>
          <w:lang w:val="ru-RU"/>
        </w:rPr>
        <w:t>Расходы на отчисления на социальные нужды Исполнител</w:t>
      </w:r>
      <w:r w:rsidR="007B513E" w:rsidRPr="00FB0A3A">
        <w:rPr>
          <w:lang w:val="ru-RU"/>
        </w:rPr>
        <w:t xml:space="preserve">ем рассчитаны </w:t>
      </w:r>
      <w:r w:rsidR="00E663D3">
        <w:rPr>
          <w:lang w:val="ru-RU"/>
        </w:rPr>
        <w:t>в размере</w:t>
      </w:r>
      <w:r w:rsidR="007B513E" w:rsidRPr="00FB0A3A">
        <w:rPr>
          <w:lang w:val="ru-RU"/>
        </w:rPr>
        <w:t xml:space="preserve"> </w:t>
      </w:r>
      <w:r w:rsidR="00EE684B" w:rsidRPr="00FB0A3A">
        <w:rPr>
          <w:lang w:val="ru-RU"/>
        </w:rPr>
        <w:t>300 835,55</w:t>
      </w:r>
      <w:r w:rsidRPr="00FB0A3A">
        <w:rPr>
          <w:lang w:val="ru-RU"/>
        </w:rPr>
        <w:t xml:space="preserve"> тыс. руб.</w:t>
      </w:r>
      <w:r w:rsidR="00D40BC6" w:rsidRPr="00FB0A3A">
        <w:rPr>
          <w:lang w:val="ru-RU"/>
        </w:rPr>
        <w:t xml:space="preserve"> от плановой суммы ФОТ, рассчитанной Испо</w:t>
      </w:r>
      <w:r w:rsidR="007B513E" w:rsidRPr="00FB0A3A">
        <w:rPr>
          <w:lang w:val="ru-RU"/>
        </w:rPr>
        <w:t>лнителем в размере 1</w:t>
      </w:r>
      <w:r w:rsidR="00EE684B" w:rsidRPr="00FB0A3A">
        <w:rPr>
          <w:lang w:val="ru-RU"/>
        </w:rPr>
        <w:t> </w:t>
      </w:r>
      <w:r w:rsidR="007B513E" w:rsidRPr="00FB0A3A">
        <w:rPr>
          <w:lang w:val="ru-RU"/>
        </w:rPr>
        <w:t>0</w:t>
      </w:r>
      <w:r w:rsidR="00EE684B" w:rsidRPr="00FB0A3A">
        <w:rPr>
          <w:lang w:val="ru-RU"/>
        </w:rPr>
        <w:t>54 083,93</w:t>
      </w:r>
      <w:r w:rsidR="005370BF" w:rsidRPr="00FB0A3A">
        <w:rPr>
          <w:lang w:val="ru-RU"/>
        </w:rPr>
        <w:t xml:space="preserve"> тыс. руб. (МЭОР), </w:t>
      </w:r>
      <w:r w:rsidRPr="00FB0A3A">
        <w:rPr>
          <w:lang w:val="ru-RU"/>
        </w:rPr>
        <w:t xml:space="preserve">что </w:t>
      </w:r>
      <w:r w:rsidR="00985DDA" w:rsidRPr="00FB0A3A">
        <w:rPr>
          <w:lang w:val="ru-RU"/>
        </w:rPr>
        <w:t>выше на 6 58,35</w:t>
      </w:r>
      <w:r w:rsidRPr="00FB0A3A">
        <w:rPr>
          <w:lang w:val="ru-RU"/>
        </w:rPr>
        <w:t xml:space="preserve"> тыс. руб. учтен</w:t>
      </w:r>
      <w:r w:rsidR="007B513E" w:rsidRPr="00FB0A3A">
        <w:rPr>
          <w:lang w:val="ru-RU"/>
        </w:rPr>
        <w:t xml:space="preserve">ных Комитетом и ниже на </w:t>
      </w:r>
      <w:r w:rsidR="00985DDA" w:rsidRPr="00FB0A3A">
        <w:rPr>
          <w:lang w:val="ru-RU"/>
        </w:rPr>
        <w:t>53 194,03</w:t>
      </w:r>
      <w:r w:rsidRPr="00FB0A3A">
        <w:rPr>
          <w:lang w:val="ru-RU"/>
        </w:rPr>
        <w:t xml:space="preserve"> тыс. руб.</w:t>
      </w:r>
      <w:r w:rsidR="003B78FD" w:rsidRPr="00FB0A3A">
        <w:rPr>
          <w:lang w:val="ru-RU"/>
        </w:rPr>
        <w:t>,</w:t>
      </w:r>
      <w:r w:rsidRPr="00FB0A3A">
        <w:rPr>
          <w:lang w:val="ru-RU"/>
        </w:rPr>
        <w:t xml:space="preserve"> заявленных Филиалом.</w:t>
      </w:r>
    </w:p>
    <w:tbl>
      <w:tblPr>
        <w:tblStyle w:val="afff6"/>
        <w:tblW w:w="5000" w:type="pct"/>
        <w:tblLayout w:type="fixed"/>
        <w:tblLook w:val="04A0" w:firstRow="1" w:lastRow="0" w:firstColumn="1" w:lastColumn="0" w:noHBand="0" w:noVBand="1"/>
      </w:tblPr>
      <w:tblGrid>
        <w:gridCol w:w="1815"/>
        <w:gridCol w:w="1361"/>
        <w:gridCol w:w="1514"/>
        <w:gridCol w:w="1514"/>
        <w:gridCol w:w="1570"/>
        <w:gridCol w:w="1570"/>
      </w:tblGrid>
      <w:tr w:rsidR="00985DDA" w:rsidRPr="00A54C03" w14:paraId="63BE4DF9" w14:textId="77777777" w:rsidTr="002267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3E46A040" w14:textId="77777777" w:rsidR="00985DDA" w:rsidRPr="00A54C03" w:rsidRDefault="00985DDA" w:rsidP="003B78FD">
            <w:pPr>
              <w:tabs>
                <w:tab w:val="left" w:pos="1134"/>
              </w:tabs>
              <w:jc w:val="center"/>
              <w:rPr>
                <w:rFonts w:eastAsia="Calibri" w:cs="Times New Roman"/>
                <w:sz w:val="20"/>
                <w:szCs w:val="20"/>
              </w:rPr>
            </w:pPr>
            <w:r w:rsidRPr="00A54C03">
              <w:rPr>
                <w:rFonts w:eastAsia="Calibri" w:cs="Times New Roman"/>
                <w:sz w:val="20"/>
                <w:szCs w:val="20"/>
              </w:rPr>
              <w:t> Наименование статьи</w:t>
            </w:r>
          </w:p>
        </w:tc>
        <w:tc>
          <w:tcPr>
            <w:tcW w:w="13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367E9057" w14:textId="77777777" w:rsidR="00985DDA" w:rsidRPr="00A54C03" w:rsidRDefault="00985DDA" w:rsidP="003B78FD">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 w:val="20"/>
                <w:szCs w:val="20"/>
              </w:rPr>
            </w:pPr>
            <w:r w:rsidRPr="00A54C03">
              <w:rPr>
                <w:rFonts w:eastAsia="Calibri" w:cs="Times New Roman"/>
                <w:sz w:val="20"/>
                <w:szCs w:val="20"/>
              </w:rPr>
              <w:t>Заявлено Филиалом</w:t>
            </w:r>
          </w:p>
        </w:tc>
        <w:tc>
          <w:tcPr>
            <w:tcW w:w="15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0743252" w14:textId="77777777" w:rsidR="00985DDA" w:rsidRPr="00A54C03" w:rsidRDefault="00985DDA" w:rsidP="003B78FD">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 w:val="20"/>
                <w:szCs w:val="20"/>
              </w:rPr>
            </w:pPr>
            <w:r w:rsidRPr="00A54C03">
              <w:rPr>
                <w:rFonts w:eastAsia="Calibri" w:cs="Times New Roman"/>
                <w:sz w:val="20"/>
                <w:szCs w:val="20"/>
              </w:rPr>
              <w:t>Рассчитано Комитетом (ЭОУ)</w:t>
            </w:r>
          </w:p>
        </w:tc>
        <w:tc>
          <w:tcPr>
            <w:tcW w:w="15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4BB5006" w14:textId="77777777" w:rsidR="00985DDA" w:rsidRPr="00A54C03" w:rsidRDefault="00985DDA" w:rsidP="003B78FD">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 w:val="20"/>
                <w:szCs w:val="20"/>
              </w:rPr>
            </w:pPr>
            <w:r w:rsidRPr="00A54C03">
              <w:rPr>
                <w:rFonts w:eastAsia="Calibri" w:cs="Times New Roman"/>
                <w:sz w:val="20"/>
                <w:szCs w:val="20"/>
              </w:rPr>
              <w:t>Рассчитано Исполнителем (ЭОУ)</w:t>
            </w:r>
          </w:p>
        </w:tc>
        <w:tc>
          <w:tcPr>
            <w:tcW w:w="15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0F9E705" w14:textId="77777777" w:rsidR="00985DDA" w:rsidRPr="00A54C03" w:rsidRDefault="00985DDA" w:rsidP="003B78FD">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 w:val="20"/>
                <w:szCs w:val="20"/>
              </w:rPr>
            </w:pPr>
            <w:r w:rsidRPr="00A54C03">
              <w:rPr>
                <w:rFonts w:eastAsia="Calibri" w:cs="Times New Roman"/>
                <w:sz w:val="20"/>
                <w:szCs w:val="20"/>
              </w:rPr>
              <w:t>Отклонение  между Исполнителем и Комитетом</w:t>
            </w:r>
          </w:p>
        </w:tc>
        <w:tc>
          <w:tcPr>
            <w:tcW w:w="15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E2099F0" w14:textId="77777777" w:rsidR="00985DDA" w:rsidRPr="00A54C03" w:rsidRDefault="00985DDA" w:rsidP="003B78FD">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 w:val="20"/>
                <w:szCs w:val="20"/>
              </w:rPr>
            </w:pPr>
            <w:r w:rsidRPr="00A54C03">
              <w:rPr>
                <w:rFonts w:eastAsia="Calibri" w:cs="Times New Roman"/>
                <w:sz w:val="20"/>
                <w:szCs w:val="20"/>
              </w:rPr>
              <w:t>Отклонение  между Исполнителем и Филиалом</w:t>
            </w:r>
          </w:p>
        </w:tc>
      </w:tr>
      <w:tr w:rsidR="00985DDA" w:rsidRPr="00A54C03" w14:paraId="4DE2E0AA" w14:textId="77777777" w:rsidTr="002267D7">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FFFFFF" w:themeColor="background1"/>
            </w:tcBorders>
            <w:hideMark/>
          </w:tcPr>
          <w:p w14:paraId="16C235BB" w14:textId="77777777" w:rsidR="00985DDA" w:rsidRPr="00A54C03" w:rsidRDefault="00985DDA" w:rsidP="003B78FD">
            <w:pPr>
              <w:tabs>
                <w:tab w:val="left" w:pos="1134"/>
              </w:tabs>
              <w:rPr>
                <w:rFonts w:eastAsia="Calibri" w:cs="Times New Roman"/>
                <w:sz w:val="20"/>
                <w:szCs w:val="20"/>
              </w:rPr>
            </w:pPr>
            <w:r w:rsidRPr="00A54C03">
              <w:rPr>
                <w:rFonts w:eastAsia="Calibri" w:cs="Times New Roman"/>
                <w:sz w:val="20"/>
                <w:szCs w:val="20"/>
              </w:rPr>
              <w:t>Отчисления на социальные нужды</w:t>
            </w:r>
          </w:p>
        </w:tc>
        <w:tc>
          <w:tcPr>
            <w:tcW w:w="1381" w:type="dxa"/>
            <w:tcBorders>
              <w:top w:val="single" w:sz="4" w:space="0" w:color="FFFFFF" w:themeColor="background1"/>
            </w:tcBorders>
            <w:hideMark/>
          </w:tcPr>
          <w:p w14:paraId="33940C78" w14:textId="77777777" w:rsidR="00985DDA" w:rsidRPr="00A54C03" w:rsidRDefault="00985DDA" w:rsidP="003B78FD">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A54C03">
              <w:rPr>
                <w:rFonts w:eastAsia="Calibri" w:cs="Times New Roman"/>
                <w:sz w:val="20"/>
                <w:szCs w:val="20"/>
              </w:rPr>
              <w:t>354 029,58</w:t>
            </w:r>
          </w:p>
        </w:tc>
        <w:tc>
          <w:tcPr>
            <w:tcW w:w="1537" w:type="dxa"/>
            <w:tcBorders>
              <w:top w:val="single" w:sz="4" w:space="0" w:color="FFFFFF" w:themeColor="background1"/>
            </w:tcBorders>
            <w:hideMark/>
          </w:tcPr>
          <w:p w14:paraId="51AF20A6" w14:textId="77777777" w:rsidR="00985DDA" w:rsidRPr="00A54C03" w:rsidRDefault="00985DDA" w:rsidP="003B78FD">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A54C03">
              <w:rPr>
                <w:rFonts w:eastAsia="Calibri" w:cs="Times New Roman"/>
                <w:sz w:val="20"/>
                <w:szCs w:val="20"/>
              </w:rPr>
              <w:t>294 297,20</w:t>
            </w:r>
          </w:p>
        </w:tc>
        <w:tc>
          <w:tcPr>
            <w:tcW w:w="1537" w:type="dxa"/>
            <w:tcBorders>
              <w:top w:val="single" w:sz="4" w:space="0" w:color="FFFFFF" w:themeColor="background1"/>
            </w:tcBorders>
            <w:hideMark/>
          </w:tcPr>
          <w:p w14:paraId="46845DF7" w14:textId="77777777" w:rsidR="00985DDA" w:rsidRPr="00A54C03" w:rsidRDefault="00985DDA" w:rsidP="003B78FD">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A54C03">
              <w:rPr>
                <w:rFonts w:eastAsia="Calibri" w:cs="Times New Roman"/>
                <w:sz w:val="20"/>
                <w:szCs w:val="20"/>
              </w:rPr>
              <w:t>300 835,55</w:t>
            </w:r>
          </w:p>
        </w:tc>
        <w:tc>
          <w:tcPr>
            <w:tcW w:w="1594" w:type="dxa"/>
            <w:tcBorders>
              <w:top w:val="single" w:sz="4" w:space="0" w:color="FFFFFF" w:themeColor="background1"/>
            </w:tcBorders>
            <w:hideMark/>
          </w:tcPr>
          <w:p w14:paraId="5F15A884" w14:textId="77777777" w:rsidR="00985DDA" w:rsidRPr="00A54C03" w:rsidRDefault="00985DDA" w:rsidP="003B78FD">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A54C03">
              <w:rPr>
                <w:rFonts w:eastAsia="Calibri" w:cs="Times New Roman"/>
                <w:sz w:val="20"/>
                <w:szCs w:val="20"/>
              </w:rPr>
              <w:t>6 538,35</w:t>
            </w:r>
          </w:p>
        </w:tc>
        <w:tc>
          <w:tcPr>
            <w:tcW w:w="1594" w:type="dxa"/>
            <w:tcBorders>
              <w:top w:val="single" w:sz="4" w:space="0" w:color="FFFFFF" w:themeColor="background1"/>
            </w:tcBorders>
            <w:hideMark/>
          </w:tcPr>
          <w:p w14:paraId="5CEEBD59" w14:textId="77777777" w:rsidR="00985DDA" w:rsidRPr="00A54C03" w:rsidRDefault="00985DDA" w:rsidP="003B78FD">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A54C03">
              <w:rPr>
                <w:rFonts w:eastAsia="Calibri" w:cs="Times New Roman"/>
                <w:sz w:val="20"/>
                <w:szCs w:val="20"/>
              </w:rPr>
              <w:t>-53 194,03</w:t>
            </w:r>
          </w:p>
        </w:tc>
      </w:tr>
    </w:tbl>
    <w:p w14:paraId="1A686B79" w14:textId="74CE6FA1" w:rsidR="002E320E" w:rsidRPr="00FB0A3A" w:rsidRDefault="002E320E" w:rsidP="00A31747">
      <w:pPr>
        <w:tabs>
          <w:tab w:val="left" w:pos="1134"/>
        </w:tabs>
        <w:spacing w:after="0" w:line="360" w:lineRule="auto"/>
        <w:ind w:firstLine="567"/>
        <w:contextualSpacing/>
        <w:jc w:val="both"/>
        <w:rPr>
          <w:rFonts w:ascii="Myriad Pro" w:eastAsia="Calibri" w:hAnsi="Myriad Pro" w:cs="Times New Roman"/>
          <w:sz w:val="26"/>
          <w:szCs w:val="26"/>
        </w:rPr>
      </w:pPr>
    </w:p>
    <w:p w14:paraId="7EAACDF2" w14:textId="72D0A8EC" w:rsidR="001F763E" w:rsidRPr="002D6C17" w:rsidRDefault="008E15A7" w:rsidP="002D6C17">
      <w:pPr>
        <w:pStyle w:val="3"/>
        <w:numPr>
          <w:ilvl w:val="1"/>
          <w:numId w:val="67"/>
        </w:numPr>
        <w:spacing w:line="360" w:lineRule="auto"/>
        <w:rPr>
          <w:rFonts w:ascii="Myriad Pro" w:hAnsi="Myriad Pro"/>
          <w:b/>
          <w:color w:val="4F6228" w:themeColor="accent3" w:themeShade="80"/>
          <w:sz w:val="28"/>
          <w:szCs w:val="28"/>
        </w:rPr>
      </w:pPr>
      <w:r>
        <w:rPr>
          <w:rFonts w:ascii="Myriad Pro" w:hAnsi="Myriad Pro"/>
          <w:b/>
          <w:color w:val="4F6228" w:themeColor="accent3" w:themeShade="80"/>
          <w:sz w:val="28"/>
          <w:szCs w:val="28"/>
        </w:rPr>
        <w:lastRenderedPageBreak/>
        <w:t xml:space="preserve"> </w:t>
      </w:r>
      <w:bookmarkStart w:id="57" w:name="_Toc40797966"/>
      <w:r w:rsidR="001F763E" w:rsidRPr="002D6C17">
        <w:rPr>
          <w:rFonts w:ascii="Myriad Pro" w:hAnsi="Myriad Pro"/>
          <w:b/>
          <w:color w:val="4F6228" w:themeColor="accent3" w:themeShade="80"/>
          <w:sz w:val="28"/>
          <w:szCs w:val="28"/>
        </w:rPr>
        <w:t>Арендная плата</w:t>
      </w:r>
      <w:bookmarkEnd w:id="57"/>
    </w:p>
    <w:p w14:paraId="7DDE9C7C" w14:textId="745A1E82" w:rsidR="00B41C16" w:rsidRPr="00FB0A3A" w:rsidRDefault="00FA4DF7" w:rsidP="003B78FD">
      <w:pPr>
        <w:pStyle w:val="afff4"/>
        <w:rPr>
          <w:lang w:val="ru-RU"/>
        </w:rPr>
      </w:pPr>
      <w:r w:rsidRPr="00FB0A3A">
        <w:rPr>
          <w:lang w:val="ru-RU"/>
        </w:rPr>
        <w:t xml:space="preserve">В соответствии с п. 28 Основ ценообразования в состав прочих расходов, которые учитываются при определении необходимой валовой выручки, включается плата за владение и (или) пользование имуществом, в том числе платежи в федеральный бюджет за пользование имуществом, находящимся в федеральной собственности, за исключением затрат, связанных с арендой объектов электросетевого хозяйства, не относящихся к единой национальной (общероссийской) электрической сети, в случае, если собственник объектов электросетевого хозяйства является единственным потребителем услуг по передаче электрической энергии, оказываемых с использованием указанных объектов электросетевого хозяйства. Расходы на аренду помещений, аренду транспорта и аренду земельных участков определяются регулирующим органом в соответствии с пунктом 29 Основ ценообразования, а расходы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 исходя из величины амортизации, налога на имущество и других установленных законодательством Российской Федерации обязательных платежей, связанных с владением имуществом, переданным в аренду. Расходы на аренду (лизинг) в отношении объектов инженерно-технического обеспечения, выкупленных (предназначенных к выкупу) специализированными обществами проектного финансирования в соответствии с основными условиями и мерами реализации программы </w:t>
      </w:r>
      <w:r w:rsidR="00655FFA" w:rsidRPr="00FB0A3A">
        <w:rPr>
          <w:lang w:val="ru-RU"/>
        </w:rPr>
        <w:t>«</w:t>
      </w:r>
      <w:r w:rsidRPr="00FB0A3A">
        <w:rPr>
          <w:lang w:val="ru-RU"/>
        </w:rPr>
        <w:t>Жилье для российской семьи</w:t>
      </w:r>
      <w:r w:rsidR="00655FFA" w:rsidRPr="00FB0A3A">
        <w:rPr>
          <w:lang w:val="ru-RU"/>
        </w:rPr>
        <w:t>»</w:t>
      </w:r>
      <w:r w:rsidRPr="00FB0A3A">
        <w:rPr>
          <w:lang w:val="ru-RU"/>
        </w:rPr>
        <w:t xml:space="preserve"> в рамках государственной программы Российской Федерации </w:t>
      </w:r>
      <w:r w:rsidR="00655FFA" w:rsidRPr="00FB0A3A">
        <w:rPr>
          <w:lang w:val="ru-RU"/>
        </w:rPr>
        <w:t>«</w:t>
      </w:r>
      <w:r w:rsidRPr="00FB0A3A">
        <w:rPr>
          <w:lang w:val="ru-RU"/>
        </w:rPr>
        <w:t>Обеспечение доступным и комфортным жильем и коммунальными услугами граждан Российской Федерации</w:t>
      </w:r>
      <w:r w:rsidR="00655FFA" w:rsidRPr="00FB0A3A">
        <w:rPr>
          <w:lang w:val="ru-RU"/>
        </w:rPr>
        <w:t>»</w:t>
      </w:r>
      <w:r w:rsidRPr="00FB0A3A">
        <w:rPr>
          <w:lang w:val="ru-RU"/>
        </w:rPr>
        <w:t xml:space="preserve">, утвержденными постановлением Правительства Российской Федерации от 5 мая 2014 г. № 404 </w:t>
      </w:r>
      <w:r w:rsidR="00655FFA" w:rsidRPr="00FB0A3A">
        <w:rPr>
          <w:lang w:val="ru-RU"/>
        </w:rPr>
        <w:t>«</w:t>
      </w:r>
      <w:r w:rsidRPr="00FB0A3A">
        <w:rPr>
          <w:lang w:val="ru-RU"/>
        </w:rPr>
        <w:t xml:space="preserve">О некоторых вопросах реализации программы </w:t>
      </w:r>
      <w:r w:rsidR="00655FFA" w:rsidRPr="00FB0A3A">
        <w:rPr>
          <w:lang w:val="ru-RU"/>
        </w:rPr>
        <w:t>«</w:t>
      </w:r>
      <w:r w:rsidRPr="00FB0A3A">
        <w:rPr>
          <w:lang w:val="ru-RU"/>
        </w:rPr>
        <w:t>Жилье для российской семьи</w:t>
      </w:r>
      <w:r w:rsidR="00655FFA" w:rsidRPr="00FB0A3A">
        <w:rPr>
          <w:lang w:val="ru-RU"/>
        </w:rPr>
        <w:t>»</w:t>
      </w:r>
      <w:r w:rsidRPr="00FB0A3A">
        <w:rPr>
          <w:lang w:val="ru-RU"/>
        </w:rPr>
        <w:t xml:space="preserve"> в рамках государственной программы Российской Федерации </w:t>
      </w:r>
      <w:r w:rsidR="00655FFA" w:rsidRPr="00FB0A3A">
        <w:rPr>
          <w:lang w:val="ru-RU"/>
        </w:rPr>
        <w:t>«</w:t>
      </w:r>
      <w:r w:rsidRPr="00FB0A3A">
        <w:rPr>
          <w:lang w:val="ru-RU"/>
        </w:rPr>
        <w:t>Обеспечение доступным и комфортным жильем и коммунальными услугами граждан Российской Федерации</w:t>
      </w:r>
      <w:r w:rsidR="00655FFA" w:rsidRPr="00FB0A3A">
        <w:rPr>
          <w:lang w:val="ru-RU"/>
        </w:rPr>
        <w:t>»</w:t>
      </w:r>
      <w:r w:rsidRPr="00FB0A3A">
        <w:rPr>
          <w:lang w:val="ru-RU"/>
        </w:rPr>
        <w:t xml:space="preserve">, учитываются при установлении тарифов в размере, определенном в договоре аренды (лизинга). При этом лизинговые платежи могут рассматриваться регулирующими органами только в качестве </w:t>
      </w:r>
      <w:r w:rsidRPr="00FB0A3A">
        <w:rPr>
          <w:lang w:val="ru-RU"/>
        </w:rPr>
        <w:lastRenderedPageBreak/>
        <w:t xml:space="preserve">источника финансирования инвестиционных программ в соответствии с пунктами 34 и 38 </w:t>
      </w:r>
      <w:r w:rsidR="00351243" w:rsidRPr="00FB0A3A">
        <w:rPr>
          <w:lang w:val="ru-RU"/>
        </w:rPr>
        <w:t>Основ ценообразования.</w:t>
      </w:r>
    </w:p>
    <w:tbl>
      <w:tblPr>
        <w:tblStyle w:val="afff6"/>
        <w:tblW w:w="5000" w:type="pct"/>
        <w:tblLayout w:type="fixed"/>
        <w:tblLook w:val="04A0" w:firstRow="1" w:lastRow="0" w:firstColumn="1" w:lastColumn="0" w:noHBand="0" w:noVBand="1"/>
      </w:tblPr>
      <w:tblGrid>
        <w:gridCol w:w="2043"/>
        <w:gridCol w:w="1303"/>
        <w:gridCol w:w="2166"/>
        <w:gridCol w:w="1047"/>
        <w:gridCol w:w="1754"/>
        <w:gridCol w:w="1031"/>
      </w:tblGrid>
      <w:tr w:rsidR="003B78FD" w:rsidRPr="00FB0A3A" w14:paraId="5BE5B66D" w14:textId="77777777" w:rsidTr="002267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283D8A2D" w14:textId="7CAFB516" w:rsidR="00E13D44" w:rsidRPr="00FB0A3A" w:rsidRDefault="00E13D44" w:rsidP="003B78FD">
            <w:pPr>
              <w:tabs>
                <w:tab w:val="left" w:pos="1134"/>
              </w:tabs>
              <w:jc w:val="center"/>
              <w:rPr>
                <w:rFonts w:eastAsia="Calibri" w:cs="Times New Roman"/>
                <w:szCs w:val="18"/>
              </w:rPr>
            </w:pPr>
            <w:r w:rsidRPr="00FB0A3A">
              <w:rPr>
                <w:rFonts w:eastAsia="Calibri" w:cs="Times New Roman"/>
                <w:szCs w:val="18"/>
              </w:rPr>
              <w:t>Наименование статьи</w:t>
            </w:r>
          </w:p>
        </w:tc>
        <w:tc>
          <w:tcPr>
            <w:tcW w:w="13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5BEAB2D8" w14:textId="2FC36B55" w:rsidR="00E13D44" w:rsidRPr="00FB0A3A" w:rsidRDefault="003B78FD" w:rsidP="003B78FD">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Факт за 2017,</w:t>
            </w:r>
            <w:r w:rsidRPr="00FB0A3A">
              <w:rPr>
                <w:rFonts w:eastAsia="Calibri" w:cs="Times New Roman"/>
                <w:szCs w:val="18"/>
              </w:rPr>
              <w:br/>
            </w:r>
            <w:r w:rsidR="00E13D44" w:rsidRPr="00FB0A3A">
              <w:rPr>
                <w:rFonts w:eastAsia="Calibri" w:cs="Times New Roman"/>
                <w:szCs w:val="18"/>
              </w:rPr>
              <w:t>тыс. руб.</w:t>
            </w:r>
          </w:p>
        </w:tc>
        <w:tc>
          <w:tcPr>
            <w:tcW w:w="22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5DBE1C8" w14:textId="132AFD1F" w:rsidR="00E13D44" w:rsidRPr="00FB0A3A" w:rsidRDefault="00E13D44" w:rsidP="003B78FD">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 xml:space="preserve">Заявлено филиалом ПАО </w:t>
            </w:r>
            <w:r w:rsidR="00655FFA" w:rsidRPr="00FB0A3A">
              <w:rPr>
                <w:rFonts w:eastAsia="Calibri" w:cs="Times New Roman"/>
                <w:szCs w:val="18"/>
              </w:rPr>
              <w:t>«</w:t>
            </w:r>
            <w:r w:rsidR="00597FD5" w:rsidRPr="00FB0A3A">
              <w:rPr>
                <w:rFonts w:eastAsia="Calibri" w:cs="Times New Roman"/>
                <w:szCs w:val="18"/>
              </w:rPr>
              <w:t>МРСК Северо-Запада</w:t>
            </w:r>
            <w:r w:rsidR="00655FFA" w:rsidRPr="00FB0A3A">
              <w:rPr>
                <w:rFonts w:eastAsia="Calibri" w:cs="Times New Roman"/>
                <w:szCs w:val="18"/>
              </w:rPr>
              <w:t>»</w:t>
            </w:r>
            <w:r w:rsidRPr="00FB0A3A">
              <w:rPr>
                <w:rFonts w:eastAsia="Calibri" w:cs="Times New Roman"/>
                <w:szCs w:val="18"/>
              </w:rPr>
              <w:t xml:space="preserve"> </w:t>
            </w:r>
            <w:r w:rsidR="00655FFA" w:rsidRPr="00FB0A3A">
              <w:rPr>
                <w:rFonts w:eastAsia="Calibri" w:cs="Times New Roman"/>
                <w:szCs w:val="18"/>
              </w:rPr>
              <w:t>«</w:t>
            </w:r>
            <w:r w:rsidRPr="00FB0A3A">
              <w:rPr>
                <w:rFonts w:eastAsia="Calibri" w:cs="Times New Roman"/>
                <w:szCs w:val="18"/>
              </w:rPr>
              <w:t>Колэнерго</w:t>
            </w:r>
            <w:r w:rsidR="00655FFA" w:rsidRPr="00FB0A3A">
              <w:rPr>
                <w:rFonts w:eastAsia="Calibri" w:cs="Times New Roman"/>
                <w:szCs w:val="18"/>
              </w:rPr>
              <w:t>»</w:t>
            </w:r>
            <w:r w:rsidRPr="00FB0A3A">
              <w:rPr>
                <w:rFonts w:eastAsia="Calibri" w:cs="Times New Roman"/>
                <w:szCs w:val="18"/>
              </w:rPr>
              <w:t xml:space="preserve"> на 2019, тыс. руб.</w:t>
            </w:r>
          </w:p>
        </w:tc>
        <w:tc>
          <w:tcPr>
            <w:tcW w:w="10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F71A346" w14:textId="77777777" w:rsidR="00E13D44" w:rsidRPr="00FB0A3A" w:rsidRDefault="00E13D44" w:rsidP="003B78FD">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ТБР на 2019, тыс. руб.</w:t>
            </w:r>
          </w:p>
        </w:tc>
        <w:tc>
          <w:tcPr>
            <w:tcW w:w="17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591AAAA" w14:textId="77777777" w:rsidR="00E13D44" w:rsidRPr="00FB0A3A" w:rsidRDefault="00E13D44" w:rsidP="003B78FD">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Отклонение ТБР на 2019/ заявка на 2019, %</w:t>
            </w:r>
          </w:p>
        </w:tc>
        <w:tc>
          <w:tcPr>
            <w:tcW w:w="10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04D2DDF" w14:textId="77777777" w:rsidR="00E13D44" w:rsidRPr="00FB0A3A" w:rsidRDefault="00E13D44" w:rsidP="003B78FD">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ТБР на 2019 /факт за 2017, %</w:t>
            </w:r>
          </w:p>
        </w:tc>
      </w:tr>
      <w:tr w:rsidR="003B78FD" w:rsidRPr="00FB0A3A" w14:paraId="3984D4D4" w14:textId="77777777" w:rsidTr="002267D7">
        <w:tc>
          <w:tcPr>
            <w:cnfStyle w:val="001000000000" w:firstRow="0" w:lastRow="0" w:firstColumn="1" w:lastColumn="0" w:oddVBand="0" w:evenVBand="0" w:oddHBand="0" w:evenHBand="0" w:firstRowFirstColumn="0" w:firstRowLastColumn="0" w:lastRowFirstColumn="0" w:lastRowLastColumn="0"/>
            <w:tcW w:w="2075" w:type="dxa"/>
            <w:tcBorders>
              <w:top w:val="single" w:sz="4" w:space="0" w:color="FFFFFF" w:themeColor="background1"/>
            </w:tcBorders>
            <w:hideMark/>
          </w:tcPr>
          <w:p w14:paraId="3F88D4E1" w14:textId="77777777" w:rsidR="00E13D44" w:rsidRPr="00FB0A3A" w:rsidRDefault="00E13D44" w:rsidP="003B78FD">
            <w:pPr>
              <w:tabs>
                <w:tab w:val="left" w:pos="1134"/>
              </w:tabs>
              <w:rPr>
                <w:rFonts w:eastAsia="Calibri" w:cs="Times New Roman"/>
                <w:szCs w:val="18"/>
              </w:rPr>
            </w:pPr>
            <w:r w:rsidRPr="00FB0A3A">
              <w:rPr>
                <w:rFonts w:eastAsia="Calibri" w:cs="Times New Roman"/>
                <w:szCs w:val="18"/>
              </w:rPr>
              <w:t>Плата за аренду имущества</w:t>
            </w:r>
          </w:p>
        </w:tc>
        <w:tc>
          <w:tcPr>
            <w:tcW w:w="1322" w:type="dxa"/>
            <w:tcBorders>
              <w:top w:val="single" w:sz="4" w:space="0" w:color="FFFFFF" w:themeColor="background1"/>
            </w:tcBorders>
            <w:hideMark/>
          </w:tcPr>
          <w:p w14:paraId="7F5B8DA2" w14:textId="77777777" w:rsidR="00E13D44" w:rsidRPr="00FB0A3A" w:rsidRDefault="00E13D44" w:rsidP="003B78FD">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7 980,23</w:t>
            </w:r>
          </w:p>
        </w:tc>
        <w:tc>
          <w:tcPr>
            <w:tcW w:w="2201" w:type="dxa"/>
            <w:tcBorders>
              <w:top w:val="single" w:sz="4" w:space="0" w:color="FFFFFF" w:themeColor="background1"/>
            </w:tcBorders>
            <w:hideMark/>
          </w:tcPr>
          <w:p w14:paraId="76556E25" w14:textId="77777777" w:rsidR="00E13D44" w:rsidRPr="00FB0A3A" w:rsidRDefault="00E13D44" w:rsidP="003B78FD">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6 993,51</w:t>
            </w:r>
          </w:p>
        </w:tc>
        <w:tc>
          <w:tcPr>
            <w:tcW w:w="1062" w:type="dxa"/>
            <w:tcBorders>
              <w:top w:val="single" w:sz="4" w:space="0" w:color="FFFFFF" w:themeColor="background1"/>
            </w:tcBorders>
            <w:hideMark/>
          </w:tcPr>
          <w:p w14:paraId="466F69AB" w14:textId="77777777" w:rsidR="00E13D44" w:rsidRPr="00FB0A3A" w:rsidRDefault="00E13D44" w:rsidP="003B78FD">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2 191,56</w:t>
            </w:r>
          </w:p>
        </w:tc>
        <w:tc>
          <w:tcPr>
            <w:tcW w:w="1781" w:type="dxa"/>
            <w:tcBorders>
              <w:top w:val="single" w:sz="4" w:space="0" w:color="FFFFFF" w:themeColor="background1"/>
            </w:tcBorders>
            <w:hideMark/>
          </w:tcPr>
          <w:p w14:paraId="3B359213" w14:textId="77777777" w:rsidR="00E13D44" w:rsidRPr="00FB0A3A" w:rsidRDefault="00E13D44" w:rsidP="003B78FD">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-68,7</w:t>
            </w:r>
          </w:p>
        </w:tc>
        <w:tc>
          <w:tcPr>
            <w:tcW w:w="1045" w:type="dxa"/>
            <w:tcBorders>
              <w:top w:val="single" w:sz="4" w:space="0" w:color="FFFFFF" w:themeColor="background1"/>
            </w:tcBorders>
            <w:hideMark/>
          </w:tcPr>
          <w:p w14:paraId="1131AB49" w14:textId="77777777" w:rsidR="00E13D44" w:rsidRPr="00FB0A3A" w:rsidRDefault="00E13D44" w:rsidP="003B78FD">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-72,54</w:t>
            </w:r>
          </w:p>
        </w:tc>
      </w:tr>
    </w:tbl>
    <w:p w14:paraId="3F94A8ED" w14:textId="77777777" w:rsidR="00435FD7" w:rsidRPr="00FB0A3A" w:rsidRDefault="00435FD7" w:rsidP="00A31747">
      <w:pPr>
        <w:tabs>
          <w:tab w:val="left" w:pos="1134"/>
        </w:tabs>
        <w:spacing w:after="0" w:line="360" w:lineRule="auto"/>
        <w:ind w:firstLine="567"/>
        <w:contextualSpacing/>
        <w:jc w:val="both"/>
        <w:rPr>
          <w:rFonts w:ascii="Myriad Pro" w:eastAsia="Calibri" w:hAnsi="Myriad Pro" w:cs="Times New Roman"/>
          <w:b/>
          <w:sz w:val="26"/>
          <w:szCs w:val="26"/>
        </w:rPr>
      </w:pPr>
    </w:p>
    <w:p w14:paraId="7285940E" w14:textId="77777777" w:rsidR="00850262" w:rsidRPr="00FB0A3A" w:rsidRDefault="00850262" w:rsidP="003B78FD">
      <w:pPr>
        <w:tabs>
          <w:tab w:val="left" w:pos="1134"/>
        </w:tabs>
        <w:spacing w:after="0" w:line="360" w:lineRule="auto"/>
        <w:contextualSpacing/>
        <w:jc w:val="both"/>
        <w:rPr>
          <w:rFonts w:ascii="Myriad Pro" w:eastAsia="Calibri" w:hAnsi="Myriad Pro" w:cs="Times New Roman"/>
          <w:b/>
          <w:sz w:val="26"/>
          <w:szCs w:val="26"/>
        </w:rPr>
      </w:pPr>
    </w:p>
    <w:p w14:paraId="19E6D639" w14:textId="54AFACD0" w:rsidR="001F763E" w:rsidRPr="00FB0A3A" w:rsidRDefault="001F763E" w:rsidP="003B78FD">
      <w:pPr>
        <w:tabs>
          <w:tab w:val="left" w:pos="1134"/>
        </w:tabs>
        <w:spacing w:after="0" w:line="360" w:lineRule="auto"/>
        <w:contextualSpacing/>
        <w:jc w:val="both"/>
        <w:rPr>
          <w:rFonts w:ascii="Myriad Pro" w:eastAsia="Calibri" w:hAnsi="Myriad Pro" w:cs="Times New Roman"/>
          <w:b/>
          <w:sz w:val="26"/>
          <w:szCs w:val="26"/>
        </w:rPr>
      </w:pPr>
      <w:r w:rsidRPr="00FB0A3A">
        <w:rPr>
          <w:rFonts w:ascii="Myriad Pro" w:eastAsia="Calibri" w:hAnsi="Myriad Pro" w:cs="Times New Roman"/>
          <w:b/>
          <w:sz w:val="26"/>
          <w:szCs w:val="26"/>
        </w:rPr>
        <w:t>ПОЗИЦИЯ ТЕРРИТОРИАЛЬНОЙ СЕТЕВОЙ ОРГАНИЗАЦИИ</w:t>
      </w:r>
    </w:p>
    <w:p w14:paraId="022EC0A0" w14:textId="07BB3C43" w:rsidR="00E13D44" w:rsidRPr="00FB0A3A" w:rsidRDefault="00E13D44"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Основанием для определения платы за операционную аренду имущества в плановом периоде регулирования являются договоры, заключенные в базовом периоде (2017г.), действующие на 2018 г. Расходы планового периода, определены путем индексации фактических расходов по договорам на прогнозный ИПЦ (на 2018 год 4 %, 2019-2023 гг. – 4,0%). Все планируемые расходы подтверждены соответствующими договорами. Расчет представлен в приложении 1.12.6.</w:t>
      </w:r>
    </w:p>
    <w:p w14:paraId="0F759AA9" w14:textId="304AFFB1" w:rsidR="00F30062" w:rsidRPr="00FB0A3A" w:rsidRDefault="00F30062"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 xml:space="preserve">Филиалом </w:t>
      </w:r>
      <w:r w:rsidR="00350B0A" w:rsidRPr="00FB0A3A">
        <w:rPr>
          <w:rFonts w:ascii="Myriad Pro" w:eastAsia="Calibri" w:hAnsi="Myriad Pro" w:cs="Times New Roman"/>
          <w:sz w:val="26"/>
          <w:szCs w:val="26"/>
        </w:rPr>
        <w:t xml:space="preserve">ПАО </w:t>
      </w:r>
      <w:r w:rsidR="00655FFA" w:rsidRPr="00FB0A3A">
        <w:rPr>
          <w:rFonts w:ascii="Myriad Pro" w:eastAsia="Calibri" w:hAnsi="Myriad Pro" w:cs="Times New Roman"/>
          <w:sz w:val="26"/>
          <w:szCs w:val="26"/>
        </w:rPr>
        <w:t>«</w:t>
      </w:r>
      <w:r w:rsidR="00350B0A" w:rsidRPr="00FB0A3A">
        <w:rPr>
          <w:rFonts w:ascii="Myriad Pro" w:eastAsia="Calibri" w:hAnsi="Myriad Pro" w:cs="Times New Roman"/>
          <w:sz w:val="26"/>
          <w:szCs w:val="26"/>
        </w:rPr>
        <w:t>МРСК Северо-Запада</w:t>
      </w:r>
      <w:r w:rsidR="00655FFA" w:rsidRPr="00FB0A3A">
        <w:rPr>
          <w:rFonts w:ascii="Myriad Pro" w:eastAsia="Calibri" w:hAnsi="Myriad Pro" w:cs="Times New Roman"/>
          <w:sz w:val="26"/>
          <w:szCs w:val="26"/>
        </w:rPr>
        <w:t>»</w:t>
      </w:r>
      <w:r w:rsidR="00350B0A" w:rsidRPr="00FB0A3A">
        <w:rPr>
          <w:rFonts w:ascii="Myriad Pro" w:eastAsia="Calibri" w:hAnsi="Myriad Pro" w:cs="Times New Roman"/>
          <w:sz w:val="26"/>
          <w:szCs w:val="26"/>
        </w:rPr>
        <w:t xml:space="preserve"> </w:t>
      </w:r>
      <w:r w:rsidR="00655FFA" w:rsidRPr="00FB0A3A">
        <w:rPr>
          <w:rFonts w:ascii="Myriad Pro" w:eastAsia="Calibri" w:hAnsi="Myriad Pro" w:cs="Times New Roman"/>
          <w:sz w:val="26"/>
          <w:szCs w:val="26"/>
        </w:rPr>
        <w:t>«</w:t>
      </w:r>
      <w:r w:rsidR="00350B0A" w:rsidRPr="00FB0A3A">
        <w:rPr>
          <w:rFonts w:ascii="Myriad Pro" w:eastAsia="Calibri" w:hAnsi="Myriad Pro" w:cs="Times New Roman"/>
          <w:sz w:val="26"/>
          <w:szCs w:val="26"/>
        </w:rPr>
        <w:t>Колэнерго</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 xml:space="preserve"> по статье на 2019 год была заявлена сумма расходов в размере </w:t>
      </w:r>
      <w:r w:rsidR="00E13D44" w:rsidRPr="00FB0A3A">
        <w:rPr>
          <w:rFonts w:ascii="Myriad Pro" w:eastAsia="Calibri" w:hAnsi="Myriad Pro" w:cs="Times New Roman"/>
          <w:sz w:val="26"/>
          <w:szCs w:val="26"/>
        </w:rPr>
        <w:t xml:space="preserve">6 993,51 </w:t>
      </w:r>
      <w:r w:rsidRPr="00FB0A3A">
        <w:rPr>
          <w:rFonts w:ascii="Myriad Pro" w:eastAsia="Calibri" w:hAnsi="Myriad Pro" w:cs="Times New Roman"/>
          <w:sz w:val="26"/>
          <w:szCs w:val="26"/>
        </w:rPr>
        <w:t>тыс. руб.</w:t>
      </w:r>
    </w:p>
    <w:p w14:paraId="2DBAFC05" w14:textId="5995A0B2" w:rsidR="00F30062" w:rsidRPr="00FB0A3A" w:rsidRDefault="00F30062"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 xml:space="preserve">В обоснование заявленной суммы расходов филиалом </w:t>
      </w:r>
      <w:r w:rsidR="00350B0A" w:rsidRPr="00FB0A3A">
        <w:rPr>
          <w:rFonts w:ascii="Myriad Pro" w:eastAsia="Calibri" w:hAnsi="Myriad Pro" w:cs="Times New Roman"/>
          <w:sz w:val="26"/>
          <w:szCs w:val="26"/>
        </w:rPr>
        <w:t xml:space="preserve">ПАО </w:t>
      </w:r>
      <w:r w:rsidR="00655FFA" w:rsidRPr="00FB0A3A">
        <w:rPr>
          <w:rFonts w:ascii="Myriad Pro" w:eastAsia="Calibri" w:hAnsi="Myriad Pro" w:cs="Times New Roman"/>
          <w:sz w:val="26"/>
          <w:szCs w:val="26"/>
        </w:rPr>
        <w:t>«</w:t>
      </w:r>
      <w:r w:rsidR="00350B0A" w:rsidRPr="00FB0A3A">
        <w:rPr>
          <w:rFonts w:ascii="Myriad Pro" w:eastAsia="Calibri" w:hAnsi="Myriad Pro" w:cs="Times New Roman"/>
          <w:sz w:val="26"/>
          <w:szCs w:val="26"/>
        </w:rPr>
        <w:t>МРСК Северо-Запада</w:t>
      </w:r>
      <w:r w:rsidR="00655FFA" w:rsidRPr="00FB0A3A">
        <w:rPr>
          <w:rFonts w:ascii="Myriad Pro" w:eastAsia="Calibri" w:hAnsi="Myriad Pro" w:cs="Times New Roman"/>
          <w:sz w:val="26"/>
          <w:szCs w:val="26"/>
        </w:rPr>
        <w:t>»</w:t>
      </w:r>
      <w:r w:rsidR="00350B0A" w:rsidRPr="00FB0A3A">
        <w:rPr>
          <w:rFonts w:ascii="Myriad Pro" w:eastAsia="Calibri" w:hAnsi="Myriad Pro" w:cs="Times New Roman"/>
          <w:sz w:val="26"/>
          <w:szCs w:val="26"/>
        </w:rPr>
        <w:t xml:space="preserve"> </w:t>
      </w:r>
      <w:r w:rsidR="00655FFA" w:rsidRPr="00FB0A3A">
        <w:rPr>
          <w:rFonts w:ascii="Myriad Pro" w:eastAsia="Calibri" w:hAnsi="Myriad Pro" w:cs="Times New Roman"/>
          <w:sz w:val="26"/>
          <w:szCs w:val="26"/>
        </w:rPr>
        <w:t>«</w:t>
      </w:r>
      <w:r w:rsidR="00350B0A" w:rsidRPr="00FB0A3A">
        <w:rPr>
          <w:rFonts w:ascii="Myriad Pro" w:eastAsia="Calibri" w:hAnsi="Myriad Pro" w:cs="Times New Roman"/>
          <w:sz w:val="26"/>
          <w:szCs w:val="26"/>
        </w:rPr>
        <w:t>Колэнерго</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 xml:space="preserve"> были предоставлены следующие документы:</w:t>
      </w:r>
    </w:p>
    <w:p w14:paraId="79630F40" w14:textId="77777777" w:rsidR="00F30062" w:rsidRPr="00FB0A3A" w:rsidRDefault="00F30062" w:rsidP="009B0BC1">
      <w:pPr>
        <w:pStyle w:val="a4"/>
        <w:numPr>
          <w:ilvl w:val="0"/>
          <w:numId w:val="10"/>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Пояснительная записка;</w:t>
      </w:r>
    </w:p>
    <w:p w14:paraId="53289146" w14:textId="1C8BAAA2" w:rsidR="00CF57CD" w:rsidRPr="00FB0A3A" w:rsidRDefault="00CF57CD" w:rsidP="009B0BC1">
      <w:pPr>
        <w:pStyle w:val="a4"/>
        <w:numPr>
          <w:ilvl w:val="0"/>
          <w:numId w:val="10"/>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 xml:space="preserve">Реестр договоров по статье </w:t>
      </w:r>
      <w:r w:rsidR="00655FFA" w:rsidRPr="00FB0A3A">
        <w:rPr>
          <w:rFonts w:ascii="Myriad Pro" w:hAnsi="Myriad Pro"/>
          <w:sz w:val="26"/>
          <w:szCs w:val="26"/>
        </w:rPr>
        <w:t>«</w:t>
      </w:r>
      <w:r w:rsidRPr="00FB0A3A">
        <w:rPr>
          <w:rFonts w:ascii="Myriad Pro" w:hAnsi="Myriad Pro"/>
          <w:sz w:val="26"/>
          <w:szCs w:val="26"/>
        </w:rPr>
        <w:t>Арендная плата</w:t>
      </w:r>
      <w:r w:rsidR="00655FFA" w:rsidRPr="00FB0A3A">
        <w:rPr>
          <w:rFonts w:ascii="Myriad Pro" w:hAnsi="Myriad Pro"/>
          <w:sz w:val="26"/>
          <w:szCs w:val="26"/>
        </w:rPr>
        <w:t>»</w:t>
      </w:r>
      <w:r w:rsidRPr="00FB0A3A">
        <w:rPr>
          <w:rFonts w:ascii="Myriad Pro" w:hAnsi="Myriad Pro"/>
          <w:sz w:val="26"/>
          <w:szCs w:val="26"/>
        </w:rPr>
        <w:t>;</w:t>
      </w:r>
    </w:p>
    <w:p w14:paraId="209FB076" w14:textId="08BC03C3" w:rsidR="00E13D44" w:rsidRPr="00FB0A3A" w:rsidRDefault="00CF57CD" w:rsidP="009B0BC1">
      <w:pPr>
        <w:pStyle w:val="a4"/>
        <w:numPr>
          <w:ilvl w:val="0"/>
          <w:numId w:val="10"/>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Расчет арендной платы</w:t>
      </w:r>
      <w:r w:rsidR="00A40B9D" w:rsidRPr="00FB0A3A">
        <w:rPr>
          <w:rFonts w:ascii="Myriad Pro" w:hAnsi="Myriad Pro"/>
          <w:sz w:val="26"/>
          <w:szCs w:val="26"/>
        </w:rPr>
        <w:t xml:space="preserve"> с указанием реквизитов договор</w:t>
      </w:r>
      <w:r w:rsidR="0098681A" w:rsidRPr="00FB0A3A">
        <w:rPr>
          <w:rFonts w:ascii="Myriad Pro" w:hAnsi="Myriad Pro"/>
          <w:sz w:val="26"/>
          <w:szCs w:val="26"/>
        </w:rPr>
        <w:t>ов</w:t>
      </w:r>
      <w:r w:rsidR="00A40B9D" w:rsidRPr="00FB0A3A">
        <w:rPr>
          <w:rFonts w:ascii="Myriad Pro" w:hAnsi="Myriad Pro"/>
          <w:sz w:val="26"/>
          <w:szCs w:val="26"/>
        </w:rPr>
        <w:t xml:space="preserve"> аренды, </w:t>
      </w:r>
      <w:r w:rsidRPr="00FB0A3A">
        <w:rPr>
          <w:rFonts w:ascii="Myriad Pro" w:hAnsi="Myriad Pro"/>
          <w:sz w:val="26"/>
          <w:szCs w:val="26"/>
        </w:rPr>
        <w:t>срока действия договор</w:t>
      </w:r>
      <w:r w:rsidR="0098681A" w:rsidRPr="00FB0A3A">
        <w:rPr>
          <w:rFonts w:ascii="Myriad Pro" w:hAnsi="Myriad Pro"/>
          <w:sz w:val="26"/>
          <w:szCs w:val="26"/>
        </w:rPr>
        <w:t>ов</w:t>
      </w:r>
      <w:r w:rsidR="00A40B9D" w:rsidRPr="00FB0A3A">
        <w:rPr>
          <w:rFonts w:ascii="Myriad Pro" w:hAnsi="Myriad Pro"/>
          <w:sz w:val="26"/>
          <w:szCs w:val="26"/>
        </w:rPr>
        <w:t xml:space="preserve"> аренды, </w:t>
      </w:r>
      <w:r w:rsidRPr="00FB0A3A">
        <w:rPr>
          <w:rFonts w:ascii="Myriad Pro" w:hAnsi="Myriad Pro"/>
          <w:sz w:val="26"/>
          <w:szCs w:val="26"/>
        </w:rPr>
        <w:t>фактических расходов за 2017 год, ожидаемых расходов за 2018 год и плановых на 2019 год;</w:t>
      </w:r>
    </w:p>
    <w:p w14:paraId="2CC1A126" w14:textId="25C8BCDF" w:rsidR="00A40B9D" w:rsidRPr="00FB0A3A" w:rsidRDefault="000259A8" w:rsidP="009B0BC1">
      <w:pPr>
        <w:pStyle w:val="a4"/>
        <w:numPr>
          <w:ilvl w:val="0"/>
          <w:numId w:val="10"/>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Копии договоров аренды.</w:t>
      </w:r>
    </w:p>
    <w:p w14:paraId="2823B305" w14:textId="77777777" w:rsidR="00A40B9D" w:rsidRPr="00FB0A3A" w:rsidRDefault="00A40B9D" w:rsidP="00A31747">
      <w:pPr>
        <w:pStyle w:val="a4"/>
        <w:tabs>
          <w:tab w:val="left" w:pos="1134"/>
        </w:tabs>
        <w:spacing w:after="0" w:line="360" w:lineRule="auto"/>
        <w:ind w:left="0" w:firstLine="567"/>
        <w:jc w:val="both"/>
        <w:rPr>
          <w:rFonts w:ascii="Myriad Pro" w:hAnsi="Myriad Pro"/>
          <w:sz w:val="26"/>
          <w:szCs w:val="26"/>
        </w:rPr>
      </w:pPr>
    </w:p>
    <w:p w14:paraId="47B50C4B" w14:textId="77777777" w:rsidR="001F763E" w:rsidRPr="00FB0A3A" w:rsidRDefault="001F763E" w:rsidP="003B78FD">
      <w:pPr>
        <w:tabs>
          <w:tab w:val="left" w:pos="1134"/>
        </w:tabs>
        <w:spacing w:after="0" w:line="360" w:lineRule="auto"/>
        <w:contextualSpacing/>
        <w:jc w:val="both"/>
        <w:rPr>
          <w:rFonts w:ascii="Myriad Pro" w:eastAsia="Calibri" w:hAnsi="Myriad Pro" w:cs="Times New Roman"/>
          <w:b/>
          <w:sz w:val="26"/>
          <w:szCs w:val="26"/>
        </w:rPr>
      </w:pPr>
      <w:r w:rsidRPr="00FB0A3A">
        <w:rPr>
          <w:rFonts w:ascii="Myriad Pro" w:eastAsia="Calibri" w:hAnsi="Myriad Pro" w:cs="Times New Roman"/>
          <w:b/>
          <w:sz w:val="26"/>
          <w:szCs w:val="26"/>
        </w:rPr>
        <w:t>ПОЗИЦИЯ ОРГАНА РЕГУЛИРОВАНИЯ</w:t>
      </w:r>
    </w:p>
    <w:p w14:paraId="758F3C1C" w14:textId="1FADE137" w:rsidR="001F763E" w:rsidRPr="00FB0A3A" w:rsidRDefault="00CF57CD"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 xml:space="preserve">Комитетом на основании проведенного анализа </w:t>
      </w:r>
      <w:r w:rsidR="006472B7" w:rsidRPr="00FB0A3A">
        <w:rPr>
          <w:rFonts w:ascii="Myriad Pro" w:eastAsia="Calibri" w:hAnsi="Myriad Pro" w:cs="Times New Roman"/>
          <w:sz w:val="26"/>
          <w:szCs w:val="26"/>
        </w:rPr>
        <w:t>представленных материалов приняты затраты на аренду имущества в размере 2 191,56 тыс. руб. Из расчета исключены расх</w:t>
      </w:r>
      <w:r w:rsidR="000259A8" w:rsidRPr="00FB0A3A">
        <w:rPr>
          <w:rFonts w:ascii="Myriad Pro" w:eastAsia="Calibri" w:hAnsi="Myriad Pro" w:cs="Times New Roman"/>
          <w:sz w:val="26"/>
          <w:szCs w:val="26"/>
        </w:rPr>
        <w:t>оды по договорам, противоречащим</w:t>
      </w:r>
      <w:r w:rsidR="006472B7" w:rsidRPr="00FB0A3A">
        <w:rPr>
          <w:rFonts w:ascii="Myriad Pro" w:eastAsia="Calibri" w:hAnsi="Myriad Pro" w:cs="Times New Roman"/>
          <w:sz w:val="26"/>
          <w:szCs w:val="26"/>
        </w:rPr>
        <w:t xml:space="preserve"> пункту 28 (пп.5), пункту 29 Основ ценообразования.</w:t>
      </w:r>
    </w:p>
    <w:p w14:paraId="5FCE53DD" w14:textId="07A56CF2" w:rsidR="001F763E" w:rsidRPr="00FB0A3A" w:rsidRDefault="001F763E" w:rsidP="003B78FD">
      <w:pPr>
        <w:tabs>
          <w:tab w:val="left" w:pos="1134"/>
        </w:tabs>
        <w:spacing w:after="0" w:line="360" w:lineRule="auto"/>
        <w:contextualSpacing/>
        <w:jc w:val="both"/>
        <w:rPr>
          <w:rFonts w:ascii="Myriad Pro" w:eastAsia="Calibri" w:hAnsi="Myriad Pro" w:cs="Times New Roman"/>
          <w:b/>
          <w:sz w:val="26"/>
          <w:szCs w:val="26"/>
        </w:rPr>
      </w:pPr>
      <w:r w:rsidRPr="00FB0A3A">
        <w:rPr>
          <w:rFonts w:ascii="Myriad Pro" w:eastAsia="Calibri" w:hAnsi="Myriad Pro" w:cs="Times New Roman"/>
          <w:b/>
          <w:sz w:val="26"/>
          <w:szCs w:val="26"/>
        </w:rPr>
        <w:lastRenderedPageBreak/>
        <w:t>ПОЗИЦИЯ ИСПОЛНИТЕЛЯ</w:t>
      </w:r>
    </w:p>
    <w:p w14:paraId="18F3E7D0" w14:textId="4EDF85F1" w:rsidR="002E320E" w:rsidRPr="00FB0A3A" w:rsidRDefault="002E320E" w:rsidP="00A31747">
      <w:pPr>
        <w:tabs>
          <w:tab w:val="left" w:pos="1134"/>
        </w:tabs>
        <w:spacing w:after="0" w:line="360" w:lineRule="auto"/>
        <w:ind w:firstLine="567"/>
        <w:contextualSpacing/>
        <w:jc w:val="both"/>
        <w:rPr>
          <w:rFonts w:ascii="Myriad Pro" w:eastAsia="Calibri" w:hAnsi="Myriad Pro" w:cs="Times New Roman"/>
          <w:b/>
          <w:sz w:val="26"/>
          <w:szCs w:val="26"/>
        </w:rPr>
      </w:pPr>
    </w:p>
    <w:p w14:paraId="1CF4CFB5" w14:textId="54E6E0D6" w:rsidR="000638AF" w:rsidRPr="00FB0A3A" w:rsidRDefault="00830D79"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 xml:space="preserve">Исполнителем проанализированы договоры аренды, заключенные Филиалом. Необходимо отметить, что только в договоре № 43/21-2016/1 от 28.12.2016, заключенном с ООО </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Учебный пункт Вираж</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 xml:space="preserve"> в расходах по арендной плате отдельно указаны расходы в части амортизации и аренды земли. В остальных договорах указана арендная плата в целом, без разбивки на обязательные платежи в части амортизации, налога на имущество и других установленных законодательством Российской Федерации обязательных платежей, связанных с владением имуществом, переданным в аренду.</w:t>
      </w:r>
    </w:p>
    <w:p w14:paraId="77F388D8" w14:textId="4E6EB7ED" w:rsidR="00CA0CE5" w:rsidRPr="00FB0A3A" w:rsidRDefault="00CA0CE5"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На осн</w:t>
      </w:r>
      <w:r w:rsidR="00E31702" w:rsidRPr="00FB0A3A">
        <w:rPr>
          <w:rFonts w:ascii="Myriad Pro" w:eastAsia="Calibri" w:hAnsi="Myriad Pro" w:cs="Times New Roman"/>
          <w:sz w:val="26"/>
          <w:szCs w:val="26"/>
        </w:rPr>
        <w:t>овании представленных договоров</w:t>
      </w:r>
      <w:r w:rsidRPr="00FB0A3A">
        <w:rPr>
          <w:rFonts w:ascii="Myriad Pro" w:eastAsia="Calibri" w:hAnsi="Myriad Pro" w:cs="Times New Roman"/>
          <w:sz w:val="26"/>
          <w:szCs w:val="26"/>
        </w:rPr>
        <w:t xml:space="preserve"> не представляется возможным определить экономически обоснованную величину амортизационных отчислений ввиду отсутствия информации о дате ввода ОС в эксплуатацию и постановке на бухгалтерский учет, о первоначальной стоимости основных средств, амортизационной группе, сроке полезного использования.</w:t>
      </w:r>
    </w:p>
    <w:p w14:paraId="5AC6A2DA" w14:textId="2649408E" w:rsidR="00830D79" w:rsidRPr="00FB0A3A" w:rsidRDefault="00830D79"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 xml:space="preserve">В расчете плановых расходов по арендной плате (таблица Приложение 1.12.6) </w:t>
      </w:r>
      <w:r w:rsidR="00623BC5" w:rsidRPr="00FB0A3A">
        <w:rPr>
          <w:rFonts w:ascii="Myriad Pro" w:eastAsia="Calibri" w:hAnsi="Myriad Pro" w:cs="Times New Roman"/>
          <w:sz w:val="26"/>
          <w:szCs w:val="26"/>
        </w:rPr>
        <w:t xml:space="preserve">ожидаемые </w:t>
      </w:r>
      <w:r w:rsidRPr="00FB0A3A">
        <w:rPr>
          <w:rFonts w:ascii="Myriad Pro" w:eastAsia="Calibri" w:hAnsi="Myriad Pro" w:cs="Times New Roman"/>
          <w:sz w:val="26"/>
          <w:szCs w:val="26"/>
        </w:rPr>
        <w:t>расходы</w:t>
      </w:r>
      <w:r w:rsidR="00623BC5" w:rsidRPr="00FB0A3A">
        <w:rPr>
          <w:rFonts w:ascii="Myriad Pro" w:eastAsia="Calibri" w:hAnsi="Myriad Pro" w:cs="Times New Roman"/>
          <w:sz w:val="26"/>
          <w:szCs w:val="26"/>
        </w:rPr>
        <w:t xml:space="preserve"> на 2018 год</w:t>
      </w:r>
      <w:r w:rsidRPr="00FB0A3A">
        <w:rPr>
          <w:rFonts w:ascii="Myriad Pro" w:eastAsia="Calibri" w:hAnsi="Myriad Pro" w:cs="Times New Roman"/>
          <w:sz w:val="26"/>
          <w:szCs w:val="26"/>
        </w:rPr>
        <w:t xml:space="preserve"> по договору № 10/УНИ-2014 от 18.02.2014 ошибочно включены с учетом НДС</w:t>
      </w:r>
      <w:r w:rsidR="00623BC5" w:rsidRPr="00FB0A3A">
        <w:rPr>
          <w:rFonts w:ascii="Myriad Pro" w:eastAsia="Calibri" w:hAnsi="Myriad Pro" w:cs="Times New Roman"/>
          <w:sz w:val="26"/>
          <w:szCs w:val="26"/>
        </w:rPr>
        <w:t xml:space="preserve"> в размере 331,64 тыс. руб. вместо 281,052 тыс. руб. </w:t>
      </w:r>
      <w:r w:rsidRPr="00FB0A3A">
        <w:rPr>
          <w:rFonts w:ascii="Myriad Pro" w:eastAsia="Calibri" w:hAnsi="Myriad Pro" w:cs="Times New Roman"/>
          <w:sz w:val="26"/>
          <w:szCs w:val="26"/>
        </w:rPr>
        <w:t xml:space="preserve">(письмо </w:t>
      </w:r>
      <w:r w:rsidR="00623BC5" w:rsidRPr="00FB0A3A">
        <w:rPr>
          <w:rFonts w:ascii="Myriad Pro" w:eastAsia="Calibri" w:hAnsi="Myriad Pro" w:cs="Times New Roman"/>
          <w:sz w:val="26"/>
          <w:szCs w:val="26"/>
        </w:rPr>
        <w:t>Ф</w:t>
      </w:r>
      <w:r w:rsidRPr="00FB0A3A">
        <w:rPr>
          <w:rFonts w:ascii="Myriad Pro" w:eastAsia="Calibri" w:hAnsi="Myriad Pro" w:cs="Times New Roman"/>
          <w:sz w:val="26"/>
          <w:szCs w:val="26"/>
        </w:rPr>
        <w:t xml:space="preserve">илиала </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Кольский</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 xml:space="preserve"> ПАО </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ТГК №1</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 xml:space="preserve"> от 15.12.2016 №212-04/30</w:t>
      </w:r>
      <w:r w:rsidR="00623BC5" w:rsidRPr="00FB0A3A">
        <w:rPr>
          <w:rFonts w:ascii="Myriad Pro" w:eastAsia="Calibri" w:hAnsi="Myriad Pro" w:cs="Times New Roman"/>
          <w:sz w:val="26"/>
          <w:szCs w:val="26"/>
        </w:rPr>
        <w:t>).</w:t>
      </w:r>
    </w:p>
    <w:p w14:paraId="6EDCE626" w14:textId="20BAC6F4" w:rsidR="00AE7B8B" w:rsidRPr="00FB0A3A" w:rsidRDefault="00623BC5" w:rsidP="003B78FD">
      <w:pPr>
        <w:pStyle w:val="afff4"/>
        <w:rPr>
          <w:lang w:val="ru-RU"/>
        </w:rPr>
      </w:pPr>
      <w:r w:rsidRPr="00FB0A3A">
        <w:rPr>
          <w:lang w:val="ru-RU"/>
        </w:rPr>
        <w:t xml:space="preserve">На основании вышеизложенного </w:t>
      </w:r>
      <w:r w:rsidR="00D45F91" w:rsidRPr="00FB0A3A">
        <w:rPr>
          <w:lang w:val="ru-RU"/>
        </w:rPr>
        <w:t xml:space="preserve">документально подтвержденные </w:t>
      </w:r>
      <w:r w:rsidR="00AE7B8B" w:rsidRPr="00FB0A3A">
        <w:rPr>
          <w:lang w:val="ru-RU"/>
        </w:rPr>
        <w:t xml:space="preserve">расходы на арендную плату Исполнителем рассчитаны </w:t>
      </w:r>
      <w:r w:rsidR="00E663D3">
        <w:rPr>
          <w:lang w:val="ru-RU"/>
        </w:rPr>
        <w:t>в размере</w:t>
      </w:r>
      <w:r w:rsidR="00AE7B8B" w:rsidRPr="00FB0A3A">
        <w:rPr>
          <w:lang w:val="ru-RU"/>
        </w:rPr>
        <w:t xml:space="preserve"> 1</w:t>
      </w:r>
      <w:r w:rsidR="000259A8" w:rsidRPr="00FB0A3A">
        <w:rPr>
          <w:lang w:val="ru-RU"/>
        </w:rPr>
        <w:t xml:space="preserve"> </w:t>
      </w:r>
      <w:r w:rsidR="00AE7B8B" w:rsidRPr="00FB0A3A">
        <w:rPr>
          <w:lang w:val="ru-RU"/>
        </w:rPr>
        <w:t xml:space="preserve">988,5 тыс. руб., что ниже </w:t>
      </w:r>
      <w:r w:rsidR="0098681A" w:rsidRPr="00FB0A3A">
        <w:rPr>
          <w:lang w:val="ru-RU"/>
        </w:rPr>
        <w:t xml:space="preserve">на </w:t>
      </w:r>
      <w:r w:rsidR="00AE7B8B" w:rsidRPr="00FB0A3A">
        <w:rPr>
          <w:lang w:val="ru-RU"/>
        </w:rPr>
        <w:t>203</w:t>
      </w:r>
      <w:r w:rsidR="000E108D" w:rsidRPr="00FB0A3A">
        <w:rPr>
          <w:lang w:val="ru-RU"/>
        </w:rPr>
        <w:t>,06</w:t>
      </w:r>
      <w:r w:rsidR="00AE7B8B" w:rsidRPr="00FB0A3A">
        <w:rPr>
          <w:lang w:val="ru-RU"/>
        </w:rPr>
        <w:t xml:space="preserve"> тыс. руб. учтенных Комитетом и ниже 5</w:t>
      </w:r>
      <w:r w:rsidR="000E108D" w:rsidRPr="00FB0A3A">
        <w:rPr>
          <w:lang w:val="ru-RU"/>
        </w:rPr>
        <w:t> </w:t>
      </w:r>
      <w:r w:rsidR="00AE7B8B" w:rsidRPr="00FB0A3A">
        <w:rPr>
          <w:lang w:val="ru-RU"/>
        </w:rPr>
        <w:t>005</w:t>
      </w:r>
      <w:r w:rsidR="000E108D" w:rsidRPr="00FB0A3A">
        <w:rPr>
          <w:lang w:val="ru-RU"/>
        </w:rPr>
        <w:t>,01</w:t>
      </w:r>
      <w:r w:rsidR="00AE7B8B" w:rsidRPr="00FB0A3A">
        <w:rPr>
          <w:lang w:val="ru-RU"/>
        </w:rPr>
        <w:t xml:space="preserve"> тыс. руб.</w:t>
      </w:r>
      <w:r w:rsidR="003B78FD" w:rsidRPr="00FB0A3A">
        <w:rPr>
          <w:lang w:val="ru-RU"/>
        </w:rPr>
        <w:t>,</w:t>
      </w:r>
      <w:r w:rsidR="00AE7B8B" w:rsidRPr="00FB0A3A">
        <w:rPr>
          <w:lang w:val="ru-RU"/>
        </w:rPr>
        <w:t xml:space="preserve"> заявленных Филиалом.</w:t>
      </w:r>
    </w:p>
    <w:tbl>
      <w:tblPr>
        <w:tblStyle w:val="afff6"/>
        <w:tblW w:w="5000" w:type="pct"/>
        <w:tblLayout w:type="fixed"/>
        <w:tblLook w:val="04A0" w:firstRow="1" w:lastRow="0" w:firstColumn="1" w:lastColumn="0" w:noHBand="0" w:noVBand="1"/>
      </w:tblPr>
      <w:tblGrid>
        <w:gridCol w:w="1809"/>
        <w:gridCol w:w="1367"/>
        <w:gridCol w:w="1516"/>
        <w:gridCol w:w="1516"/>
        <w:gridCol w:w="1568"/>
        <w:gridCol w:w="1568"/>
      </w:tblGrid>
      <w:tr w:rsidR="000E108D" w:rsidRPr="00FB0A3A" w14:paraId="6147860C" w14:textId="77777777" w:rsidTr="002267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22AAED22" w14:textId="77777777" w:rsidR="000E108D" w:rsidRPr="00FB0A3A" w:rsidRDefault="000E108D" w:rsidP="003B78FD">
            <w:pPr>
              <w:tabs>
                <w:tab w:val="left" w:pos="1134"/>
              </w:tabs>
              <w:jc w:val="center"/>
              <w:rPr>
                <w:sz w:val="20"/>
                <w:szCs w:val="20"/>
              </w:rPr>
            </w:pPr>
            <w:r w:rsidRPr="00FB0A3A">
              <w:rPr>
                <w:sz w:val="20"/>
                <w:szCs w:val="20"/>
              </w:rPr>
              <w:t> Наименование статьи</w:t>
            </w:r>
          </w:p>
        </w:tc>
        <w:tc>
          <w:tcPr>
            <w:tcW w:w="13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1257E368" w14:textId="77777777" w:rsidR="000E108D" w:rsidRPr="00FB0A3A" w:rsidRDefault="000E108D" w:rsidP="003B78FD">
            <w:pPr>
              <w:tabs>
                <w:tab w:val="left" w:pos="1134"/>
              </w:tabs>
              <w:cnfStyle w:val="100000000000" w:firstRow="1" w:lastRow="0" w:firstColumn="0" w:lastColumn="0" w:oddVBand="0" w:evenVBand="0" w:oddHBand="0" w:evenHBand="0" w:firstRowFirstColumn="0" w:firstRowLastColumn="0" w:lastRowFirstColumn="0" w:lastRowLastColumn="0"/>
              <w:rPr>
                <w:sz w:val="20"/>
                <w:szCs w:val="20"/>
              </w:rPr>
            </w:pPr>
            <w:r w:rsidRPr="00FB0A3A">
              <w:rPr>
                <w:sz w:val="20"/>
                <w:szCs w:val="20"/>
              </w:rPr>
              <w:t>Заявлено Филиалом</w:t>
            </w:r>
          </w:p>
        </w:tc>
        <w:tc>
          <w:tcPr>
            <w:tcW w:w="15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0BBCD25" w14:textId="77777777" w:rsidR="000E108D" w:rsidRPr="00FB0A3A" w:rsidRDefault="000E108D" w:rsidP="003B78FD">
            <w:pPr>
              <w:tabs>
                <w:tab w:val="left" w:pos="1134"/>
              </w:tabs>
              <w:cnfStyle w:val="100000000000" w:firstRow="1" w:lastRow="0" w:firstColumn="0" w:lastColumn="0" w:oddVBand="0" w:evenVBand="0" w:oddHBand="0" w:evenHBand="0" w:firstRowFirstColumn="0" w:firstRowLastColumn="0" w:lastRowFirstColumn="0" w:lastRowLastColumn="0"/>
              <w:rPr>
                <w:sz w:val="20"/>
                <w:szCs w:val="20"/>
              </w:rPr>
            </w:pPr>
            <w:r w:rsidRPr="00FB0A3A">
              <w:rPr>
                <w:sz w:val="20"/>
                <w:szCs w:val="20"/>
              </w:rPr>
              <w:t>Рассчитано Комитетом (ЭОУ)</w:t>
            </w:r>
          </w:p>
        </w:tc>
        <w:tc>
          <w:tcPr>
            <w:tcW w:w="15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FB9DF67" w14:textId="77777777" w:rsidR="000E108D" w:rsidRPr="00FB0A3A" w:rsidRDefault="000E108D" w:rsidP="003B78FD">
            <w:pPr>
              <w:tabs>
                <w:tab w:val="left" w:pos="1134"/>
              </w:tabs>
              <w:cnfStyle w:val="100000000000" w:firstRow="1" w:lastRow="0" w:firstColumn="0" w:lastColumn="0" w:oddVBand="0" w:evenVBand="0" w:oddHBand="0" w:evenHBand="0" w:firstRowFirstColumn="0" w:firstRowLastColumn="0" w:lastRowFirstColumn="0" w:lastRowLastColumn="0"/>
              <w:rPr>
                <w:sz w:val="20"/>
                <w:szCs w:val="20"/>
              </w:rPr>
            </w:pPr>
            <w:r w:rsidRPr="00FB0A3A">
              <w:rPr>
                <w:sz w:val="20"/>
                <w:szCs w:val="20"/>
              </w:rPr>
              <w:t>Рассчитано Исполнителем (ЭОУ)</w:t>
            </w:r>
          </w:p>
        </w:tc>
        <w:tc>
          <w:tcPr>
            <w:tcW w:w="15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8BC5FE4" w14:textId="77777777" w:rsidR="000E108D" w:rsidRPr="00FB0A3A" w:rsidRDefault="000E108D" w:rsidP="003B78FD">
            <w:pPr>
              <w:tabs>
                <w:tab w:val="left" w:pos="1134"/>
              </w:tabs>
              <w:cnfStyle w:val="100000000000" w:firstRow="1" w:lastRow="0" w:firstColumn="0" w:lastColumn="0" w:oddVBand="0" w:evenVBand="0" w:oddHBand="0" w:evenHBand="0" w:firstRowFirstColumn="0" w:firstRowLastColumn="0" w:lastRowFirstColumn="0" w:lastRowLastColumn="0"/>
              <w:rPr>
                <w:sz w:val="20"/>
                <w:szCs w:val="20"/>
              </w:rPr>
            </w:pPr>
            <w:r w:rsidRPr="00FB0A3A">
              <w:rPr>
                <w:sz w:val="20"/>
                <w:szCs w:val="20"/>
              </w:rPr>
              <w:t>Отклонение  между Исполнителем и Комитетом</w:t>
            </w:r>
          </w:p>
        </w:tc>
        <w:tc>
          <w:tcPr>
            <w:tcW w:w="15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DB76FC3" w14:textId="77777777" w:rsidR="000E108D" w:rsidRPr="00FB0A3A" w:rsidRDefault="000E108D" w:rsidP="003B78FD">
            <w:pPr>
              <w:tabs>
                <w:tab w:val="left" w:pos="1134"/>
              </w:tabs>
              <w:cnfStyle w:val="100000000000" w:firstRow="1" w:lastRow="0" w:firstColumn="0" w:lastColumn="0" w:oddVBand="0" w:evenVBand="0" w:oddHBand="0" w:evenHBand="0" w:firstRowFirstColumn="0" w:firstRowLastColumn="0" w:lastRowFirstColumn="0" w:lastRowLastColumn="0"/>
              <w:rPr>
                <w:sz w:val="20"/>
                <w:szCs w:val="20"/>
              </w:rPr>
            </w:pPr>
            <w:r w:rsidRPr="00FB0A3A">
              <w:rPr>
                <w:sz w:val="20"/>
                <w:szCs w:val="20"/>
              </w:rPr>
              <w:t>Отклонение  между Исполнителем и Филиалом</w:t>
            </w:r>
          </w:p>
        </w:tc>
      </w:tr>
      <w:tr w:rsidR="000E108D" w:rsidRPr="00FB0A3A" w14:paraId="3CA00576" w14:textId="77777777" w:rsidTr="002267D7">
        <w:tc>
          <w:tcPr>
            <w:cnfStyle w:val="001000000000" w:firstRow="0" w:lastRow="0" w:firstColumn="1" w:lastColumn="0" w:oddVBand="0" w:evenVBand="0" w:oddHBand="0" w:evenHBand="0" w:firstRowFirstColumn="0" w:firstRowLastColumn="0" w:lastRowFirstColumn="0" w:lastRowLastColumn="0"/>
            <w:tcW w:w="1837" w:type="dxa"/>
            <w:tcBorders>
              <w:top w:val="single" w:sz="4" w:space="0" w:color="FFFFFF" w:themeColor="background1"/>
            </w:tcBorders>
            <w:hideMark/>
          </w:tcPr>
          <w:p w14:paraId="0FEE5E04" w14:textId="77777777" w:rsidR="000E108D" w:rsidRPr="00FB0A3A" w:rsidRDefault="000E108D" w:rsidP="003B78FD">
            <w:pPr>
              <w:tabs>
                <w:tab w:val="left" w:pos="1134"/>
              </w:tabs>
              <w:rPr>
                <w:sz w:val="20"/>
                <w:szCs w:val="20"/>
              </w:rPr>
            </w:pPr>
            <w:r w:rsidRPr="00FB0A3A">
              <w:rPr>
                <w:sz w:val="20"/>
                <w:szCs w:val="20"/>
              </w:rPr>
              <w:t>Арендная плата</w:t>
            </w:r>
          </w:p>
        </w:tc>
        <w:tc>
          <w:tcPr>
            <w:tcW w:w="1387" w:type="dxa"/>
            <w:tcBorders>
              <w:top w:val="single" w:sz="4" w:space="0" w:color="FFFFFF" w:themeColor="background1"/>
            </w:tcBorders>
            <w:hideMark/>
          </w:tcPr>
          <w:p w14:paraId="46998942" w14:textId="77777777" w:rsidR="000E108D" w:rsidRPr="00FB0A3A" w:rsidRDefault="000E108D" w:rsidP="003B78FD">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FB0A3A">
              <w:rPr>
                <w:sz w:val="20"/>
                <w:szCs w:val="20"/>
              </w:rPr>
              <w:t>6 993,51</w:t>
            </w:r>
          </w:p>
        </w:tc>
        <w:tc>
          <w:tcPr>
            <w:tcW w:w="1539" w:type="dxa"/>
            <w:tcBorders>
              <w:top w:val="single" w:sz="4" w:space="0" w:color="FFFFFF" w:themeColor="background1"/>
            </w:tcBorders>
            <w:hideMark/>
          </w:tcPr>
          <w:p w14:paraId="0B337F99" w14:textId="77777777" w:rsidR="000E108D" w:rsidRPr="00FB0A3A" w:rsidRDefault="000E108D" w:rsidP="003B78FD">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FB0A3A">
              <w:rPr>
                <w:sz w:val="20"/>
                <w:szCs w:val="20"/>
              </w:rPr>
              <w:t>2 191,56</w:t>
            </w:r>
          </w:p>
        </w:tc>
        <w:tc>
          <w:tcPr>
            <w:tcW w:w="1539" w:type="dxa"/>
            <w:tcBorders>
              <w:top w:val="single" w:sz="4" w:space="0" w:color="FFFFFF" w:themeColor="background1"/>
            </w:tcBorders>
            <w:hideMark/>
          </w:tcPr>
          <w:p w14:paraId="51B2C328" w14:textId="77777777" w:rsidR="000E108D" w:rsidRPr="00FB0A3A" w:rsidRDefault="000E108D" w:rsidP="003B78FD">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FB0A3A">
              <w:rPr>
                <w:sz w:val="20"/>
                <w:szCs w:val="20"/>
              </w:rPr>
              <w:t>1 988,50</w:t>
            </w:r>
          </w:p>
        </w:tc>
        <w:tc>
          <w:tcPr>
            <w:tcW w:w="1592" w:type="dxa"/>
            <w:tcBorders>
              <w:top w:val="single" w:sz="4" w:space="0" w:color="FFFFFF" w:themeColor="background1"/>
            </w:tcBorders>
            <w:hideMark/>
          </w:tcPr>
          <w:p w14:paraId="51F5C6AC" w14:textId="77777777" w:rsidR="000E108D" w:rsidRPr="00FB0A3A" w:rsidRDefault="000E108D" w:rsidP="003B78FD">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FB0A3A">
              <w:rPr>
                <w:sz w:val="20"/>
                <w:szCs w:val="20"/>
              </w:rPr>
              <w:t>-203,06</w:t>
            </w:r>
          </w:p>
        </w:tc>
        <w:tc>
          <w:tcPr>
            <w:tcW w:w="1592" w:type="dxa"/>
            <w:tcBorders>
              <w:top w:val="single" w:sz="4" w:space="0" w:color="FFFFFF" w:themeColor="background1"/>
            </w:tcBorders>
            <w:hideMark/>
          </w:tcPr>
          <w:p w14:paraId="5CD398F6" w14:textId="77777777" w:rsidR="000E108D" w:rsidRPr="00FB0A3A" w:rsidRDefault="000E108D" w:rsidP="003B78FD">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FB0A3A">
              <w:rPr>
                <w:sz w:val="20"/>
                <w:szCs w:val="20"/>
              </w:rPr>
              <w:t>-5 005,01</w:t>
            </w:r>
          </w:p>
        </w:tc>
      </w:tr>
    </w:tbl>
    <w:p w14:paraId="1DEF1369" w14:textId="189BAF15" w:rsidR="000259A8" w:rsidRPr="0032232D" w:rsidRDefault="000259A8" w:rsidP="003B78FD">
      <w:pPr>
        <w:pStyle w:val="afff7"/>
      </w:pPr>
      <w:r w:rsidRPr="00FB0A3A">
        <w:rPr>
          <w:i/>
        </w:rPr>
        <w:t>Предложение:</w:t>
      </w:r>
      <w:r w:rsidRPr="00FB0A3A">
        <w:t xml:space="preserve"> </w:t>
      </w:r>
      <w:r w:rsidRPr="0032232D">
        <w:t xml:space="preserve">предусмотреть в договорах аренды производственного имущества в разделе </w:t>
      </w:r>
      <w:r w:rsidR="00655FFA" w:rsidRPr="0032232D">
        <w:t>«</w:t>
      </w:r>
      <w:r w:rsidRPr="0032232D">
        <w:t>Обязанности Арендодателя</w:t>
      </w:r>
      <w:r w:rsidR="00655FFA" w:rsidRPr="0032232D">
        <w:t>»</w:t>
      </w:r>
      <w:r w:rsidRPr="0032232D">
        <w:t xml:space="preserve"> представление расшифровки расчета арендной платы и подтверждающих документов (инвентарные карточки, амортизационная ведомость, декларация по налогу на имущество по </w:t>
      </w:r>
      <w:r w:rsidRPr="0032232D">
        <w:lastRenderedPageBreak/>
        <w:t>инвентарному объекту и т.д.); указанную позицию внести в действующие договоры путем заключения дополнительного соглашения.</w:t>
      </w:r>
    </w:p>
    <w:p w14:paraId="465995FB" w14:textId="49DB4DB5" w:rsidR="000259A8" w:rsidRPr="0032232D" w:rsidRDefault="000259A8" w:rsidP="00A31747">
      <w:pPr>
        <w:pStyle w:val="a4"/>
        <w:tabs>
          <w:tab w:val="left" w:pos="1134"/>
        </w:tabs>
        <w:spacing w:after="0" w:line="360" w:lineRule="auto"/>
        <w:ind w:left="0" w:firstLine="567"/>
        <w:jc w:val="both"/>
        <w:rPr>
          <w:rFonts w:ascii="Myriad Pro" w:hAnsi="Myriad Pro"/>
          <w:sz w:val="26"/>
          <w:szCs w:val="26"/>
        </w:rPr>
      </w:pPr>
      <w:r w:rsidRPr="0032232D">
        <w:rPr>
          <w:rFonts w:ascii="Myriad Pro" w:hAnsi="Myriad Pro"/>
          <w:sz w:val="26"/>
          <w:szCs w:val="26"/>
        </w:rPr>
        <w:t xml:space="preserve">Исполнитель также считает необходимым рекомендовать филиалу </w:t>
      </w:r>
      <w:r w:rsidR="00655FFA" w:rsidRPr="0032232D">
        <w:rPr>
          <w:rFonts w:ascii="Myriad Pro" w:hAnsi="Myriad Pro"/>
          <w:sz w:val="26"/>
          <w:szCs w:val="26"/>
        </w:rPr>
        <w:t>ПАО</w:t>
      </w:r>
      <w:r w:rsidR="002267D7" w:rsidRPr="0032232D">
        <w:rPr>
          <w:rFonts w:ascii="Myriad Pro" w:hAnsi="Myriad Pro"/>
          <w:sz w:val="26"/>
          <w:szCs w:val="26"/>
        </w:rPr>
        <w:t> </w:t>
      </w:r>
      <w:r w:rsidR="00655FFA" w:rsidRPr="0032232D">
        <w:rPr>
          <w:rFonts w:ascii="Myriad Pro" w:hAnsi="Myriad Pro"/>
          <w:sz w:val="26"/>
          <w:szCs w:val="26"/>
        </w:rPr>
        <w:t xml:space="preserve">«МРСК </w:t>
      </w:r>
      <w:r w:rsidR="000E108D" w:rsidRPr="0032232D">
        <w:rPr>
          <w:rFonts w:ascii="Myriad Pro" w:hAnsi="Myriad Pro"/>
          <w:sz w:val="26"/>
          <w:szCs w:val="26"/>
        </w:rPr>
        <w:t>Северо-Запада</w:t>
      </w:r>
      <w:r w:rsidR="00655FFA" w:rsidRPr="0032232D">
        <w:rPr>
          <w:rFonts w:ascii="Myriad Pro" w:hAnsi="Myriad Pro"/>
          <w:sz w:val="26"/>
          <w:szCs w:val="26"/>
        </w:rPr>
        <w:t>»</w:t>
      </w:r>
      <w:r w:rsidR="000E108D" w:rsidRPr="0032232D">
        <w:rPr>
          <w:rFonts w:ascii="Myriad Pro" w:hAnsi="Myriad Pro"/>
          <w:sz w:val="26"/>
          <w:szCs w:val="26"/>
        </w:rPr>
        <w:t xml:space="preserve"> </w:t>
      </w:r>
      <w:r w:rsidR="00655FFA" w:rsidRPr="0032232D">
        <w:rPr>
          <w:rFonts w:ascii="Myriad Pro" w:hAnsi="Myriad Pro"/>
          <w:sz w:val="26"/>
          <w:szCs w:val="26"/>
        </w:rPr>
        <w:t>«</w:t>
      </w:r>
      <w:r w:rsidR="000E108D" w:rsidRPr="0032232D">
        <w:rPr>
          <w:rFonts w:ascii="Myriad Pro" w:hAnsi="Myriad Pro"/>
          <w:sz w:val="26"/>
          <w:szCs w:val="26"/>
        </w:rPr>
        <w:t>Кол</w:t>
      </w:r>
      <w:r w:rsidRPr="0032232D">
        <w:rPr>
          <w:rFonts w:ascii="Myriad Pro" w:hAnsi="Myriad Pro"/>
          <w:sz w:val="26"/>
          <w:szCs w:val="26"/>
        </w:rPr>
        <w:t>энерго</w:t>
      </w:r>
      <w:r w:rsidR="00655FFA" w:rsidRPr="0032232D">
        <w:rPr>
          <w:rFonts w:ascii="Myriad Pro" w:hAnsi="Myriad Pro"/>
          <w:sz w:val="26"/>
          <w:szCs w:val="26"/>
        </w:rPr>
        <w:t>»</w:t>
      </w:r>
      <w:r w:rsidRPr="0032232D">
        <w:rPr>
          <w:rFonts w:ascii="Myriad Pro" w:hAnsi="Myriad Pro"/>
          <w:sz w:val="26"/>
          <w:szCs w:val="26"/>
        </w:rPr>
        <w:t>:</w:t>
      </w:r>
    </w:p>
    <w:p w14:paraId="7FA432FC" w14:textId="25F1188F" w:rsidR="000E108D" w:rsidRPr="0032232D" w:rsidRDefault="000E108D" w:rsidP="009B0BC1">
      <w:pPr>
        <w:pStyle w:val="a4"/>
        <w:numPr>
          <w:ilvl w:val="0"/>
          <w:numId w:val="29"/>
        </w:numPr>
        <w:tabs>
          <w:tab w:val="left" w:pos="1134"/>
        </w:tabs>
        <w:spacing w:after="0" w:line="360" w:lineRule="auto"/>
        <w:ind w:left="0" w:firstLine="567"/>
        <w:jc w:val="both"/>
        <w:rPr>
          <w:rFonts w:ascii="Myriad Pro" w:hAnsi="Myriad Pro"/>
          <w:sz w:val="26"/>
          <w:szCs w:val="26"/>
        </w:rPr>
      </w:pPr>
      <w:r w:rsidRPr="0032232D">
        <w:rPr>
          <w:rFonts w:ascii="Myriad Pro" w:hAnsi="Myriad Pro"/>
          <w:sz w:val="26"/>
          <w:szCs w:val="26"/>
        </w:rPr>
        <w:t xml:space="preserve">предусмотреть в договорах аренды производственного имущества в разделе </w:t>
      </w:r>
      <w:r w:rsidR="00655FFA" w:rsidRPr="0032232D">
        <w:rPr>
          <w:rFonts w:ascii="Myriad Pro" w:hAnsi="Myriad Pro"/>
          <w:sz w:val="26"/>
          <w:szCs w:val="26"/>
        </w:rPr>
        <w:t>«</w:t>
      </w:r>
      <w:r w:rsidRPr="0032232D">
        <w:rPr>
          <w:rFonts w:ascii="Myriad Pro" w:hAnsi="Myriad Pro"/>
          <w:sz w:val="26"/>
          <w:szCs w:val="26"/>
        </w:rPr>
        <w:t>Обязанности Арендодателя</w:t>
      </w:r>
      <w:r w:rsidR="00655FFA" w:rsidRPr="0032232D">
        <w:rPr>
          <w:rFonts w:ascii="Myriad Pro" w:hAnsi="Myriad Pro"/>
          <w:sz w:val="26"/>
          <w:szCs w:val="26"/>
        </w:rPr>
        <w:t>»</w:t>
      </w:r>
      <w:r w:rsidRPr="0032232D">
        <w:rPr>
          <w:rFonts w:ascii="Myriad Pro" w:hAnsi="Myriad Pro"/>
          <w:sz w:val="26"/>
          <w:szCs w:val="26"/>
        </w:rPr>
        <w:t xml:space="preserve"> представление расшифровки расчета арендной платы и подтверждающих документов (инвентарные карточки, амортизационная ведомость, декларация по налогу на имущество по инвентарному объекту и т.д.); указанную позицию внести в действующие договоры путем заключения дополнительного соглашения;</w:t>
      </w:r>
    </w:p>
    <w:p w14:paraId="3632E624" w14:textId="7D1E00DA" w:rsidR="000E108D" w:rsidRPr="0032232D" w:rsidRDefault="000E108D" w:rsidP="009B0BC1">
      <w:pPr>
        <w:pStyle w:val="a4"/>
        <w:numPr>
          <w:ilvl w:val="0"/>
          <w:numId w:val="29"/>
        </w:numPr>
        <w:tabs>
          <w:tab w:val="left" w:pos="1134"/>
        </w:tabs>
        <w:spacing w:after="0" w:line="360" w:lineRule="auto"/>
        <w:ind w:left="0" w:firstLine="567"/>
        <w:jc w:val="both"/>
        <w:rPr>
          <w:rFonts w:ascii="Myriad Pro" w:hAnsi="Myriad Pro"/>
          <w:sz w:val="26"/>
          <w:szCs w:val="26"/>
        </w:rPr>
      </w:pPr>
      <w:r w:rsidRPr="0032232D">
        <w:rPr>
          <w:rFonts w:ascii="Myriad Pro" w:hAnsi="Myriad Pro"/>
          <w:sz w:val="26"/>
          <w:szCs w:val="26"/>
        </w:rPr>
        <w:t xml:space="preserve">в материалах тарифной заявки представлять </w:t>
      </w:r>
      <w:r w:rsidR="000259A8" w:rsidRPr="0032232D">
        <w:rPr>
          <w:rFonts w:ascii="Myriad Pro" w:hAnsi="Myriad Pro"/>
          <w:sz w:val="26"/>
          <w:szCs w:val="26"/>
        </w:rPr>
        <w:t xml:space="preserve">объектный расчет арендной платы на предстоящий период регулирования с указанием </w:t>
      </w:r>
      <w:r w:rsidRPr="0032232D">
        <w:rPr>
          <w:rFonts w:ascii="Myriad Pro" w:hAnsi="Myriad Pro"/>
          <w:sz w:val="26"/>
          <w:szCs w:val="26"/>
        </w:rPr>
        <w:t>обязательных платежей в соответствии с п.28 Основ ценообразования и прочих арендных платежей;</w:t>
      </w:r>
    </w:p>
    <w:p w14:paraId="01AF2F06" w14:textId="316F03E3" w:rsidR="000259A8" w:rsidRPr="00FB0A3A" w:rsidRDefault="000E108D" w:rsidP="009B0BC1">
      <w:pPr>
        <w:pStyle w:val="a4"/>
        <w:numPr>
          <w:ilvl w:val="0"/>
          <w:numId w:val="29"/>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представлять д</w:t>
      </w:r>
      <w:r w:rsidR="000259A8" w:rsidRPr="00FB0A3A">
        <w:rPr>
          <w:rFonts w:ascii="Myriad Pro" w:hAnsi="Myriad Pro"/>
          <w:sz w:val="26"/>
          <w:szCs w:val="26"/>
        </w:rPr>
        <w:t>окументы, подтверждающие продления сроков действия договоро</w:t>
      </w:r>
      <w:r w:rsidRPr="00FB0A3A">
        <w:rPr>
          <w:rFonts w:ascii="Myriad Pro" w:hAnsi="Myriad Pro"/>
          <w:sz w:val="26"/>
          <w:szCs w:val="26"/>
        </w:rPr>
        <w:t>в аренды на регулируемый период.</w:t>
      </w:r>
    </w:p>
    <w:p w14:paraId="1B6BCEB1" w14:textId="77777777" w:rsidR="000638AF" w:rsidRPr="00FB0A3A" w:rsidRDefault="000638AF" w:rsidP="00A31747">
      <w:pPr>
        <w:tabs>
          <w:tab w:val="left" w:pos="1134"/>
        </w:tabs>
        <w:spacing w:after="0" w:line="360" w:lineRule="auto"/>
        <w:ind w:firstLine="567"/>
        <w:contextualSpacing/>
        <w:jc w:val="both"/>
        <w:rPr>
          <w:rFonts w:ascii="Myriad Pro" w:eastAsia="Calibri" w:hAnsi="Myriad Pro" w:cs="Times New Roman"/>
          <w:b/>
          <w:sz w:val="26"/>
          <w:szCs w:val="26"/>
        </w:rPr>
      </w:pPr>
    </w:p>
    <w:p w14:paraId="34114D62" w14:textId="77777777" w:rsidR="002F115E" w:rsidRDefault="002F115E" w:rsidP="002D6C17">
      <w:pPr>
        <w:pStyle w:val="3"/>
        <w:numPr>
          <w:ilvl w:val="1"/>
          <w:numId w:val="67"/>
        </w:numPr>
        <w:spacing w:line="360" w:lineRule="auto"/>
        <w:rPr>
          <w:rFonts w:ascii="Myriad Pro" w:hAnsi="Myriad Pro"/>
          <w:b/>
          <w:color w:val="4F6228" w:themeColor="accent3" w:themeShade="80"/>
          <w:sz w:val="28"/>
          <w:szCs w:val="28"/>
        </w:rPr>
        <w:sectPr w:rsidR="002F115E" w:rsidSect="00FB0A3A">
          <w:pgSz w:w="11906" w:h="16838"/>
          <w:pgMar w:top="1134" w:right="851" w:bottom="1134" w:left="1701" w:header="708" w:footer="708" w:gutter="0"/>
          <w:cols w:space="708"/>
          <w:docGrid w:linePitch="360"/>
        </w:sectPr>
      </w:pPr>
    </w:p>
    <w:p w14:paraId="09743B87" w14:textId="7DDD7653" w:rsidR="001F763E" w:rsidRPr="002D6C17" w:rsidRDefault="008E15A7" w:rsidP="002D6C17">
      <w:pPr>
        <w:pStyle w:val="3"/>
        <w:numPr>
          <w:ilvl w:val="1"/>
          <w:numId w:val="67"/>
        </w:numPr>
        <w:spacing w:line="360" w:lineRule="auto"/>
        <w:rPr>
          <w:rFonts w:ascii="Myriad Pro" w:hAnsi="Myriad Pro"/>
          <w:b/>
          <w:color w:val="4F6228" w:themeColor="accent3" w:themeShade="80"/>
          <w:sz w:val="28"/>
          <w:szCs w:val="28"/>
        </w:rPr>
      </w:pPr>
      <w:r>
        <w:rPr>
          <w:rFonts w:ascii="Myriad Pro" w:hAnsi="Myriad Pro"/>
          <w:b/>
          <w:color w:val="4F6228" w:themeColor="accent3" w:themeShade="80"/>
          <w:sz w:val="28"/>
          <w:szCs w:val="28"/>
        </w:rPr>
        <w:lastRenderedPageBreak/>
        <w:t xml:space="preserve"> </w:t>
      </w:r>
      <w:bookmarkStart w:id="58" w:name="_Toc40797967"/>
      <w:r w:rsidR="001C7C18" w:rsidRPr="002D6C17">
        <w:rPr>
          <w:rFonts w:ascii="Myriad Pro" w:hAnsi="Myriad Pro"/>
          <w:b/>
          <w:color w:val="4F6228" w:themeColor="accent3" w:themeShade="80"/>
          <w:sz w:val="28"/>
          <w:szCs w:val="28"/>
        </w:rPr>
        <w:t>Налоги</w:t>
      </w:r>
      <w:bookmarkEnd w:id="58"/>
    </w:p>
    <w:p w14:paraId="11B9195C" w14:textId="77777777" w:rsidR="000E108D" w:rsidRPr="00FB0A3A" w:rsidRDefault="000E108D" w:rsidP="00A31747">
      <w:pPr>
        <w:pStyle w:val="a4"/>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В соответствии с пунктом 28 Основ ценообразования №1178 в необходимую валовую выручку включаются:</w:t>
      </w:r>
    </w:p>
    <w:p w14:paraId="050E86BD" w14:textId="70400BF5" w:rsidR="000E108D" w:rsidRPr="00FB0A3A" w:rsidRDefault="000E108D" w:rsidP="00A31747">
      <w:pPr>
        <w:pStyle w:val="a4"/>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 xml:space="preserve">а) Земельный налог - порядок исчисления, уплаты налога определен главой 31 НК РФ (часть вторая).  </w:t>
      </w:r>
    </w:p>
    <w:p w14:paraId="1953A980" w14:textId="77777777" w:rsidR="000E108D" w:rsidRPr="00FB0A3A" w:rsidRDefault="000E108D" w:rsidP="00A31747">
      <w:pPr>
        <w:pStyle w:val="a4"/>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 xml:space="preserve">б) Транспортный налог - порядок исчисления, уплаты налога определен главой 28 НК РФ (часть вторая);  </w:t>
      </w:r>
    </w:p>
    <w:p w14:paraId="399A46C0" w14:textId="77777777" w:rsidR="000E108D" w:rsidRPr="00FB0A3A" w:rsidRDefault="000E108D" w:rsidP="00A31747">
      <w:pPr>
        <w:pStyle w:val="a4"/>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в) Водный налог - порядок исчисления, уплаты налога определен главой 25.2 НК РФ (часть вторая);</w:t>
      </w:r>
    </w:p>
    <w:p w14:paraId="6E9916E1" w14:textId="77777777" w:rsidR="000E108D" w:rsidRPr="00FB0A3A" w:rsidRDefault="000E108D" w:rsidP="00A31747">
      <w:pPr>
        <w:pStyle w:val="a4"/>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г) Налог на имущество - порядок исчисления, уплаты налога определен главой 30 НК РФ (часть вторая). Ставка налога 2,2% от среднегодовой стоимости имущества;</w:t>
      </w:r>
    </w:p>
    <w:p w14:paraId="020F9B7F" w14:textId="5C54A50C" w:rsidR="000E108D" w:rsidRPr="00FB0A3A" w:rsidRDefault="000E108D" w:rsidP="00A31747">
      <w:pPr>
        <w:pStyle w:val="a4"/>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 xml:space="preserve">д) Плата за негативное воздействие на окружающую среду рассчитывается и уплачивается на основании статьи 16 Федерального закона от 10.01.2002 №7-ФЗ  </w:t>
      </w:r>
      <w:r w:rsidR="00655FFA" w:rsidRPr="00FB0A3A">
        <w:rPr>
          <w:rFonts w:ascii="Myriad Pro" w:hAnsi="Myriad Pro"/>
          <w:sz w:val="26"/>
          <w:szCs w:val="26"/>
        </w:rPr>
        <w:t>«</w:t>
      </w:r>
      <w:r w:rsidRPr="00FB0A3A">
        <w:rPr>
          <w:rFonts w:ascii="Myriad Pro" w:hAnsi="Myriad Pro"/>
          <w:sz w:val="26"/>
          <w:szCs w:val="26"/>
        </w:rPr>
        <w:t>Об охране окружающей среды</w:t>
      </w:r>
      <w:r w:rsidR="00655FFA" w:rsidRPr="00FB0A3A">
        <w:rPr>
          <w:rFonts w:ascii="Myriad Pro" w:hAnsi="Myriad Pro"/>
          <w:sz w:val="26"/>
          <w:szCs w:val="26"/>
        </w:rPr>
        <w:t>»</w:t>
      </w:r>
      <w:r w:rsidRPr="00FB0A3A">
        <w:rPr>
          <w:rFonts w:ascii="Myriad Pro" w:hAnsi="Myriad Pro"/>
          <w:sz w:val="26"/>
          <w:szCs w:val="26"/>
        </w:rPr>
        <w:t>,</w:t>
      </w:r>
      <w:r w:rsidRPr="00FB0A3A">
        <w:rPr>
          <w:rFonts w:ascii="Myriad Pro" w:hAnsi="Myriad Pro"/>
          <w:sz w:val="28"/>
          <w:szCs w:val="28"/>
          <w:lang w:eastAsia="ru-RU"/>
        </w:rPr>
        <w:t xml:space="preserve"> </w:t>
      </w:r>
      <w:r w:rsidRPr="00FB0A3A">
        <w:rPr>
          <w:rFonts w:ascii="Myriad Pro" w:hAnsi="Myriad Pro"/>
          <w:sz w:val="26"/>
          <w:szCs w:val="26"/>
        </w:rPr>
        <w:t xml:space="preserve">постановления Правительства РФ от 19.11.2014 №1219 </w:t>
      </w:r>
      <w:r w:rsidR="00655FFA" w:rsidRPr="00FB0A3A">
        <w:rPr>
          <w:rFonts w:ascii="Myriad Pro" w:hAnsi="Myriad Pro"/>
          <w:sz w:val="26"/>
          <w:szCs w:val="26"/>
        </w:rPr>
        <w:t>«</w:t>
      </w:r>
      <w:r w:rsidRPr="00FB0A3A">
        <w:rPr>
          <w:rFonts w:ascii="Myriad Pro" w:hAnsi="Myriad Pro"/>
          <w:sz w:val="26"/>
          <w:szCs w:val="26"/>
        </w:rPr>
        <w:t>О коэффициентах к нормативам платы за выбросы в атмосферный воздух загрязняющих веществ стационарными и передвижными источниками, сбросы загрязняющих веществ в поверхностные и подземные водные объекты</w:t>
      </w:r>
      <w:r w:rsidR="00655FFA" w:rsidRPr="00FB0A3A">
        <w:rPr>
          <w:rFonts w:ascii="Myriad Pro" w:hAnsi="Myriad Pro"/>
          <w:sz w:val="26"/>
          <w:szCs w:val="26"/>
        </w:rPr>
        <w:t>»</w:t>
      </w:r>
      <w:r w:rsidRPr="00FB0A3A">
        <w:rPr>
          <w:rFonts w:ascii="Myriad Pro" w:hAnsi="Myriad Pro"/>
          <w:sz w:val="26"/>
          <w:szCs w:val="26"/>
        </w:rPr>
        <w:t xml:space="preserve">, постановления Правительства РФ от 28.08.1992 №632 </w:t>
      </w:r>
      <w:r w:rsidR="00655FFA" w:rsidRPr="00FB0A3A">
        <w:rPr>
          <w:rFonts w:ascii="Myriad Pro" w:hAnsi="Myriad Pro"/>
          <w:sz w:val="26"/>
          <w:szCs w:val="26"/>
        </w:rPr>
        <w:t>«</w:t>
      </w:r>
      <w:r w:rsidRPr="00FB0A3A">
        <w:rPr>
          <w:rFonts w:ascii="Myriad Pro" w:hAnsi="Myriad Pro"/>
          <w:sz w:val="26"/>
          <w:szCs w:val="26"/>
        </w:rPr>
        <w:t>Об утверждении порядка платы и ее предельных размеров за загрязнение окружающей природной среды, размещение отходов, другие виды вредного воздействия</w:t>
      </w:r>
      <w:r w:rsidR="00655FFA" w:rsidRPr="00FB0A3A">
        <w:rPr>
          <w:rFonts w:ascii="Myriad Pro" w:hAnsi="Myriad Pro"/>
          <w:sz w:val="26"/>
          <w:szCs w:val="26"/>
        </w:rPr>
        <w:t>»</w:t>
      </w:r>
      <w:r w:rsidRPr="00FB0A3A">
        <w:rPr>
          <w:rFonts w:ascii="Myriad Pro" w:hAnsi="Myriad Pro"/>
          <w:sz w:val="26"/>
          <w:szCs w:val="26"/>
        </w:rPr>
        <w:t xml:space="preserve">.  </w:t>
      </w:r>
    </w:p>
    <w:p w14:paraId="2BCCFE07" w14:textId="77777777" w:rsidR="000E108D" w:rsidRPr="00FB0A3A" w:rsidRDefault="000E108D" w:rsidP="00A31747">
      <w:pPr>
        <w:pStyle w:val="a4"/>
        <w:tabs>
          <w:tab w:val="left" w:pos="1134"/>
        </w:tabs>
        <w:spacing w:line="360" w:lineRule="auto"/>
        <w:ind w:left="0" w:firstLine="567"/>
        <w:jc w:val="both"/>
        <w:rPr>
          <w:rFonts w:ascii="Myriad Pro" w:hAnsi="Myriad Pro"/>
          <w:sz w:val="26"/>
          <w:szCs w:val="26"/>
        </w:rPr>
      </w:pPr>
      <w:r w:rsidRPr="00FB0A3A">
        <w:rPr>
          <w:rFonts w:ascii="Myriad Pro" w:hAnsi="Myriad Pro"/>
          <w:sz w:val="26"/>
          <w:szCs w:val="26"/>
        </w:rPr>
        <w:t xml:space="preserve">е) государственная пошлина - порядок исчисления, уплаты налога определен главой 25.3 НК РФ (часть вторая). </w:t>
      </w:r>
    </w:p>
    <w:tbl>
      <w:tblPr>
        <w:tblStyle w:val="afff6"/>
        <w:tblW w:w="5000" w:type="pct"/>
        <w:tblLayout w:type="fixed"/>
        <w:tblLook w:val="04A0" w:firstRow="1" w:lastRow="0" w:firstColumn="1" w:lastColumn="0" w:noHBand="0" w:noVBand="1"/>
      </w:tblPr>
      <w:tblGrid>
        <w:gridCol w:w="2367"/>
        <w:gridCol w:w="1227"/>
        <w:gridCol w:w="1984"/>
        <w:gridCol w:w="1258"/>
        <w:gridCol w:w="1278"/>
        <w:gridCol w:w="1230"/>
      </w:tblGrid>
      <w:tr w:rsidR="00300432" w:rsidRPr="00FB0A3A" w14:paraId="18AF79C3" w14:textId="77777777" w:rsidTr="002267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0EBE299E" w14:textId="77777777" w:rsidR="00F0088B" w:rsidRPr="00FB0A3A" w:rsidRDefault="00F0088B" w:rsidP="00300432">
            <w:pPr>
              <w:tabs>
                <w:tab w:val="left" w:pos="1134"/>
              </w:tabs>
              <w:jc w:val="center"/>
              <w:rPr>
                <w:rFonts w:eastAsia="Calibri" w:cs="Times New Roman"/>
                <w:szCs w:val="18"/>
              </w:rPr>
            </w:pPr>
            <w:r w:rsidRPr="00FB0A3A">
              <w:rPr>
                <w:rFonts w:eastAsia="Calibri" w:cs="Times New Roman"/>
                <w:szCs w:val="18"/>
              </w:rPr>
              <w:t> Наименование статьи</w:t>
            </w:r>
          </w:p>
        </w:tc>
        <w:tc>
          <w:tcPr>
            <w:tcW w:w="12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304F49B2" w14:textId="77777777" w:rsidR="00F0088B" w:rsidRPr="00FB0A3A" w:rsidRDefault="00F0088B" w:rsidP="00300432">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Факт за 2017, тыс. руб.</w:t>
            </w:r>
          </w:p>
        </w:tc>
        <w:tc>
          <w:tcPr>
            <w:tcW w:w="20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CCB0D73" w14:textId="46B5BDA4" w:rsidR="00F0088B" w:rsidRPr="00FB0A3A" w:rsidRDefault="00F0088B" w:rsidP="00300432">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 xml:space="preserve">Заявлено филиалом ПАО </w:t>
            </w:r>
            <w:r w:rsidR="00655FFA" w:rsidRPr="00FB0A3A">
              <w:rPr>
                <w:rFonts w:eastAsia="Calibri" w:cs="Times New Roman"/>
                <w:szCs w:val="18"/>
              </w:rPr>
              <w:t>«</w:t>
            </w:r>
            <w:r w:rsidRPr="00FB0A3A">
              <w:rPr>
                <w:rFonts w:eastAsia="Calibri" w:cs="Times New Roman"/>
                <w:szCs w:val="18"/>
              </w:rPr>
              <w:t>МРСК Северо- Запада</w:t>
            </w:r>
            <w:r w:rsidR="00655FFA" w:rsidRPr="00FB0A3A">
              <w:rPr>
                <w:rFonts w:eastAsia="Calibri" w:cs="Times New Roman"/>
                <w:szCs w:val="18"/>
              </w:rPr>
              <w:t>»</w:t>
            </w:r>
            <w:r w:rsidRPr="00FB0A3A">
              <w:rPr>
                <w:rFonts w:eastAsia="Calibri" w:cs="Times New Roman"/>
                <w:szCs w:val="18"/>
              </w:rPr>
              <w:t xml:space="preserve"> </w:t>
            </w:r>
            <w:r w:rsidR="00655FFA" w:rsidRPr="00FB0A3A">
              <w:rPr>
                <w:rFonts w:eastAsia="Calibri" w:cs="Times New Roman"/>
                <w:szCs w:val="18"/>
              </w:rPr>
              <w:t>«</w:t>
            </w:r>
            <w:r w:rsidRPr="00FB0A3A">
              <w:rPr>
                <w:rFonts w:eastAsia="Calibri" w:cs="Times New Roman"/>
                <w:szCs w:val="18"/>
              </w:rPr>
              <w:t>Колэнерго</w:t>
            </w:r>
            <w:r w:rsidR="00655FFA" w:rsidRPr="00FB0A3A">
              <w:rPr>
                <w:rFonts w:eastAsia="Calibri" w:cs="Times New Roman"/>
                <w:szCs w:val="18"/>
              </w:rPr>
              <w:t>»</w:t>
            </w:r>
            <w:r w:rsidRPr="00FB0A3A">
              <w:rPr>
                <w:rFonts w:eastAsia="Calibri" w:cs="Times New Roman"/>
                <w:szCs w:val="18"/>
              </w:rPr>
              <w:t xml:space="preserve"> на 2019, тыс. руб.</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4CFE22C" w14:textId="77777777" w:rsidR="00F0088B" w:rsidRPr="00FB0A3A" w:rsidRDefault="00F0088B" w:rsidP="00300432">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ТБР на 2019, тыс. руб.</w:t>
            </w:r>
          </w:p>
        </w:tc>
        <w:tc>
          <w:tcPr>
            <w:tcW w:w="12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6249350" w14:textId="77777777" w:rsidR="00F0088B" w:rsidRPr="00FB0A3A" w:rsidRDefault="00F0088B" w:rsidP="00300432">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Отклонение ТБР на 2019/ заявка на 2019, %</w:t>
            </w:r>
          </w:p>
        </w:tc>
        <w:tc>
          <w:tcPr>
            <w:tcW w:w="12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4346264" w14:textId="77777777" w:rsidR="00F0088B" w:rsidRPr="00FB0A3A" w:rsidRDefault="00F0088B" w:rsidP="00300432">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ТБР на 2019 /факт за 2017, %</w:t>
            </w:r>
          </w:p>
        </w:tc>
      </w:tr>
      <w:tr w:rsidR="00300432" w:rsidRPr="00FB0A3A" w14:paraId="0E3F8425" w14:textId="77777777" w:rsidTr="002267D7">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FFFFFF" w:themeColor="background1"/>
            </w:tcBorders>
            <w:hideMark/>
          </w:tcPr>
          <w:p w14:paraId="287FEA55" w14:textId="77777777" w:rsidR="00F0088B" w:rsidRPr="00FB0A3A" w:rsidRDefault="00F0088B" w:rsidP="00300432">
            <w:pPr>
              <w:tabs>
                <w:tab w:val="left" w:pos="1134"/>
              </w:tabs>
              <w:rPr>
                <w:rFonts w:eastAsia="Calibri" w:cs="Times New Roman"/>
                <w:szCs w:val="18"/>
              </w:rPr>
            </w:pPr>
            <w:r w:rsidRPr="00FB0A3A">
              <w:rPr>
                <w:rFonts w:eastAsia="Calibri" w:cs="Times New Roman"/>
                <w:szCs w:val="18"/>
              </w:rPr>
              <w:t>Налоги, всего, в том числе:</w:t>
            </w:r>
          </w:p>
        </w:tc>
        <w:tc>
          <w:tcPr>
            <w:tcW w:w="1245" w:type="dxa"/>
            <w:tcBorders>
              <w:top w:val="single" w:sz="4" w:space="0" w:color="FFFFFF" w:themeColor="background1"/>
            </w:tcBorders>
            <w:hideMark/>
          </w:tcPr>
          <w:p w14:paraId="4E4D780C" w14:textId="77777777" w:rsidR="00F0088B" w:rsidRPr="00FB0A3A" w:rsidRDefault="00F0088B" w:rsidP="00300432">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60 747,02</w:t>
            </w:r>
          </w:p>
        </w:tc>
        <w:tc>
          <w:tcPr>
            <w:tcW w:w="2015" w:type="dxa"/>
            <w:tcBorders>
              <w:top w:val="single" w:sz="4" w:space="0" w:color="FFFFFF" w:themeColor="background1"/>
            </w:tcBorders>
            <w:hideMark/>
          </w:tcPr>
          <w:p w14:paraId="0D0354E8" w14:textId="77777777" w:rsidR="00F0088B" w:rsidRPr="00FB0A3A" w:rsidRDefault="00F0088B" w:rsidP="00300432">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107 638,02</w:t>
            </w:r>
          </w:p>
        </w:tc>
        <w:tc>
          <w:tcPr>
            <w:tcW w:w="1276" w:type="dxa"/>
            <w:tcBorders>
              <w:top w:val="single" w:sz="4" w:space="0" w:color="FFFFFF" w:themeColor="background1"/>
            </w:tcBorders>
            <w:hideMark/>
          </w:tcPr>
          <w:p w14:paraId="53DCF503" w14:textId="77777777" w:rsidR="00F0088B" w:rsidRPr="00FB0A3A" w:rsidRDefault="00F0088B" w:rsidP="00300432">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80 185,61</w:t>
            </w:r>
          </w:p>
        </w:tc>
        <w:tc>
          <w:tcPr>
            <w:tcW w:w="1297" w:type="dxa"/>
            <w:tcBorders>
              <w:top w:val="single" w:sz="4" w:space="0" w:color="FFFFFF" w:themeColor="background1"/>
            </w:tcBorders>
            <w:hideMark/>
          </w:tcPr>
          <w:p w14:paraId="5EB05EC9" w14:textId="77777777" w:rsidR="00F0088B" w:rsidRPr="00FB0A3A" w:rsidRDefault="00F0088B" w:rsidP="00300432">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-25,5</w:t>
            </w:r>
          </w:p>
        </w:tc>
        <w:tc>
          <w:tcPr>
            <w:tcW w:w="1248" w:type="dxa"/>
            <w:tcBorders>
              <w:top w:val="single" w:sz="4" w:space="0" w:color="FFFFFF" w:themeColor="background1"/>
            </w:tcBorders>
            <w:hideMark/>
          </w:tcPr>
          <w:p w14:paraId="2F313809" w14:textId="77777777" w:rsidR="00F0088B" w:rsidRPr="00FB0A3A" w:rsidRDefault="00F0088B" w:rsidP="00300432">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32,00</w:t>
            </w:r>
          </w:p>
        </w:tc>
      </w:tr>
      <w:tr w:rsidR="00300432" w:rsidRPr="00FB0A3A" w14:paraId="666548B9" w14:textId="77777777" w:rsidTr="00300432">
        <w:tc>
          <w:tcPr>
            <w:cnfStyle w:val="001000000000" w:firstRow="0" w:lastRow="0" w:firstColumn="1" w:lastColumn="0" w:oddVBand="0" w:evenVBand="0" w:oddHBand="0" w:evenHBand="0" w:firstRowFirstColumn="0" w:firstRowLastColumn="0" w:lastRowFirstColumn="0" w:lastRowLastColumn="0"/>
            <w:tcW w:w="2405" w:type="dxa"/>
            <w:hideMark/>
          </w:tcPr>
          <w:p w14:paraId="35BD2EDF" w14:textId="77777777" w:rsidR="00F0088B" w:rsidRPr="00FB0A3A" w:rsidRDefault="00F0088B" w:rsidP="00300432">
            <w:pPr>
              <w:tabs>
                <w:tab w:val="left" w:pos="1134"/>
              </w:tabs>
              <w:ind w:left="164"/>
              <w:rPr>
                <w:rFonts w:eastAsia="Calibri" w:cs="Times New Roman"/>
                <w:szCs w:val="18"/>
              </w:rPr>
            </w:pPr>
            <w:r w:rsidRPr="00FB0A3A">
              <w:rPr>
                <w:rFonts w:eastAsia="Calibri" w:cs="Times New Roman"/>
                <w:szCs w:val="18"/>
              </w:rPr>
              <w:t>плата за землю</w:t>
            </w:r>
          </w:p>
        </w:tc>
        <w:tc>
          <w:tcPr>
            <w:tcW w:w="1245" w:type="dxa"/>
            <w:hideMark/>
          </w:tcPr>
          <w:p w14:paraId="35BBFA07" w14:textId="77777777" w:rsidR="00F0088B" w:rsidRPr="00FB0A3A" w:rsidRDefault="00F0088B" w:rsidP="00300432">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15 166,38</w:t>
            </w:r>
          </w:p>
        </w:tc>
        <w:tc>
          <w:tcPr>
            <w:tcW w:w="2015" w:type="dxa"/>
            <w:hideMark/>
          </w:tcPr>
          <w:p w14:paraId="0773B04B" w14:textId="77777777" w:rsidR="00F0088B" w:rsidRPr="00FB0A3A" w:rsidRDefault="00F0088B" w:rsidP="00300432">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13 370,97</w:t>
            </w:r>
          </w:p>
        </w:tc>
        <w:tc>
          <w:tcPr>
            <w:tcW w:w="1276" w:type="dxa"/>
            <w:hideMark/>
          </w:tcPr>
          <w:p w14:paraId="7C3EE73D" w14:textId="77777777" w:rsidR="00F0088B" w:rsidRPr="00FB0A3A" w:rsidRDefault="00F0088B" w:rsidP="00300432">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13 370,97</w:t>
            </w:r>
          </w:p>
        </w:tc>
        <w:tc>
          <w:tcPr>
            <w:tcW w:w="1297" w:type="dxa"/>
            <w:hideMark/>
          </w:tcPr>
          <w:p w14:paraId="1439FFA1" w14:textId="77777777" w:rsidR="00F0088B" w:rsidRPr="00FB0A3A" w:rsidRDefault="00F0088B" w:rsidP="00300432">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0,0</w:t>
            </w:r>
          </w:p>
        </w:tc>
        <w:tc>
          <w:tcPr>
            <w:tcW w:w="1248" w:type="dxa"/>
            <w:hideMark/>
          </w:tcPr>
          <w:p w14:paraId="10108FB2" w14:textId="77777777" w:rsidR="00F0088B" w:rsidRPr="00FB0A3A" w:rsidRDefault="00F0088B" w:rsidP="00300432">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-11,84</w:t>
            </w:r>
          </w:p>
        </w:tc>
      </w:tr>
      <w:tr w:rsidR="00300432" w:rsidRPr="00FB0A3A" w14:paraId="1965370D" w14:textId="77777777" w:rsidTr="00300432">
        <w:tc>
          <w:tcPr>
            <w:cnfStyle w:val="001000000000" w:firstRow="0" w:lastRow="0" w:firstColumn="1" w:lastColumn="0" w:oddVBand="0" w:evenVBand="0" w:oddHBand="0" w:evenHBand="0" w:firstRowFirstColumn="0" w:firstRowLastColumn="0" w:lastRowFirstColumn="0" w:lastRowLastColumn="0"/>
            <w:tcW w:w="2405" w:type="dxa"/>
            <w:hideMark/>
          </w:tcPr>
          <w:p w14:paraId="56A3CFBA" w14:textId="77777777" w:rsidR="00F0088B" w:rsidRPr="00FB0A3A" w:rsidRDefault="00F0088B" w:rsidP="00300432">
            <w:pPr>
              <w:tabs>
                <w:tab w:val="left" w:pos="1134"/>
              </w:tabs>
              <w:ind w:left="164"/>
              <w:rPr>
                <w:rFonts w:eastAsia="Calibri" w:cs="Times New Roman"/>
                <w:szCs w:val="18"/>
              </w:rPr>
            </w:pPr>
            <w:r w:rsidRPr="00FB0A3A">
              <w:rPr>
                <w:rFonts w:eastAsia="Calibri" w:cs="Times New Roman"/>
                <w:szCs w:val="18"/>
              </w:rPr>
              <w:t>налог на имущество</w:t>
            </w:r>
          </w:p>
        </w:tc>
        <w:tc>
          <w:tcPr>
            <w:tcW w:w="1245" w:type="dxa"/>
            <w:hideMark/>
          </w:tcPr>
          <w:p w14:paraId="6564E956" w14:textId="77777777" w:rsidR="00F0088B" w:rsidRPr="00FB0A3A" w:rsidRDefault="00F0088B" w:rsidP="00300432">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41 023,02</w:t>
            </w:r>
          </w:p>
        </w:tc>
        <w:tc>
          <w:tcPr>
            <w:tcW w:w="2015" w:type="dxa"/>
            <w:hideMark/>
          </w:tcPr>
          <w:p w14:paraId="6B586F1E" w14:textId="77777777" w:rsidR="00F0088B" w:rsidRPr="00FB0A3A" w:rsidRDefault="00F0088B" w:rsidP="00300432">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88 835,57</w:t>
            </w:r>
          </w:p>
        </w:tc>
        <w:tc>
          <w:tcPr>
            <w:tcW w:w="1276" w:type="dxa"/>
            <w:hideMark/>
          </w:tcPr>
          <w:p w14:paraId="3AABBACC" w14:textId="77777777" w:rsidR="00F0088B" w:rsidRPr="00FB0A3A" w:rsidRDefault="00F0088B" w:rsidP="00300432">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61 534,45</w:t>
            </w:r>
          </w:p>
        </w:tc>
        <w:tc>
          <w:tcPr>
            <w:tcW w:w="1297" w:type="dxa"/>
            <w:hideMark/>
          </w:tcPr>
          <w:p w14:paraId="692A0956" w14:textId="77777777" w:rsidR="00F0088B" w:rsidRPr="00FB0A3A" w:rsidRDefault="00F0088B" w:rsidP="00300432">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-30,7</w:t>
            </w:r>
          </w:p>
        </w:tc>
        <w:tc>
          <w:tcPr>
            <w:tcW w:w="1248" w:type="dxa"/>
            <w:hideMark/>
          </w:tcPr>
          <w:p w14:paraId="0CB5114C" w14:textId="77777777" w:rsidR="00F0088B" w:rsidRPr="00FB0A3A" w:rsidRDefault="00F0088B" w:rsidP="00300432">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50,00</w:t>
            </w:r>
          </w:p>
        </w:tc>
      </w:tr>
      <w:tr w:rsidR="00300432" w:rsidRPr="00FB0A3A" w14:paraId="3B9A0497" w14:textId="77777777" w:rsidTr="00300432">
        <w:tc>
          <w:tcPr>
            <w:cnfStyle w:val="001000000000" w:firstRow="0" w:lastRow="0" w:firstColumn="1" w:lastColumn="0" w:oddVBand="0" w:evenVBand="0" w:oddHBand="0" w:evenHBand="0" w:firstRowFirstColumn="0" w:firstRowLastColumn="0" w:lastRowFirstColumn="0" w:lastRowLastColumn="0"/>
            <w:tcW w:w="2405" w:type="dxa"/>
            <w:hideMark/>
          </w:tcPr>
          <w:p w14:paraId="5AFDA82A" w14:textId="77777777" w:rsidR="00F0088B" w:rsidRPr="00FB0A3A" w:rsidRDefault="00F0088B" w:rsidP="00300432">
            <w:pPr>
              <w:tabs>
                <w:tab w:val="left" w:pos="1134"/>
              </w:tabs>
              <w:ind w:left="164"/>
              <w:rPr>
                <w:rFonts w:eastAsia="Calibri" w:cs="Times New Roman"/>
                <w:szCs w:val="18"/>
              </w:rPr>
            </w:pPr>
            <w:r w:rsidRPr="00FB0A3A">
              <w:rPr>
                <w:rFonts w:eastAsia="Calibri" w:cs="Times New Roman"/>
                <w:szCs w:val="18"/>
              </w:rPr>
              <w:t>прочие налоги и сборы</w:t>
            </w:r>
          </w:p>
        </w:tc>
        <w:tc>
          <w:tcPr>
            <w:tcW w:w="1245" w:type="dxa"/>
            <w:hideMark/>
          </w:tcPr>
          <w:p w14:paraId="5029472C" w14:textId="77777777" w:rsidR="00F0088B" w:rsidRPr="00FB0A3A" w:rsidRDefault="00F0088B" w:rsidP="00300432">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4 557,62</w:t>
            </w:r>
          </w:p>
        </w:tc>
        <w:tc>
          <w:tcPr>
            <w:tcW w:w="2015" w:type="dxa"/>
            <w:hideMark/>
          </w:tcPr>
          <w:p w14:paraId="5A9C3CBF" w14:textId="77777777" w:rsidR="00F0088B" w:rsidRPr="00FB0A3A" w:rsidRDefault="00F0088B" w:rsidP="00300432">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5 431,48</w:t>
            </w:r>
          </w:p>
        </w:tc>
        <w:tc>
          <w:tcPr>
            <w:tcW w:w="1276" w:type="dxa"/>
            <w:hideMark/>
          </w:tcPr>
          <w:p w14:paraId="36D35C74" w14:textId="77777777" w:rsidR="00F0088B" w:rsidRPr="00FB0A3A" w:rsidRDefault="00F0088B" w:rsidP="00300432">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5 280,19</w:t>
            </w:r>
          </w:p>
        </w:tc>
        <w:tc>
          <w:tcPr>
            <w:tcW w:w="1297" w:type="dxa"/>
            <w:hideMark/>
          </w:tcPr>
          <w:p w14:paraId="658EABA6" w14:textId="77777777" w:rsidR="00F0088B" w:rsidRPr="00FB0A3A" w:rsidRDefault="00F0088B" w:rsidP="00300432">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-2,8</w:t>
            </w:r>
          </w:p>
        </w:tc>
        <w:tc>
          <w:tcPr>
            <w:tcW w:w="1248" w:type="dxa"/>
            <w:hideMark/>
          </w:tcPr>
          <w:p w14:paraId="2D5BF385" w14:textId="77777777" w:rsidR="00F0088B" w:rsidRPr="00FB0A3A" w:rsidRDefault="00F0088B" w:rsidP="00300432">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15,85</w:t>
            </w:r>
          </w:p>
        </w:tc>
      </w:tr>
    </w:tbl>
    <w:p w14:paraId="1EAEF571" w14:textId="77777777" w:rsidR="00F0088B" w:rsidRPr="00FB0A3A" w:rsidRDefault="00F0088B" w:rsidP="00A31747">
      <w:pPr>
        <w:tabs>
          <w:tab w:val="left" w:pos="1134"/>
        </w:tabs>
        <w:ind w:firstLine="567"/>
        <w:rPr>
          <w:rFonts w:ascii="Myriad Pro" w:hAnsi="Myriad Pro"/>
        </w:rPr>
      </w:pPr>
    </w:p>
    <w:p w14:paraId="3B9F4C11" w14:textId="77777777" w:rsidR="001372A0" w:rsidRDefault="001372A0" w:rsidP="00300432">
      <w:pPr>
        <w:tabs>
          <w:tab w:val="left" w:pos="1134"/>
        </w:tabs>
        <w:spacing w:after="0" w:line="360" w:lineRule="auto"/>
        <w:contextualSpacing/>
        <w:jc w:val="both"/>
        <w:rPr>
          <w:rFonts w:ascii="Myriad Pro" w:eastAsia="Calibri" w:hAnsi="Myriad Pro" w:cs="Times New Roman"/>
          <w:b/>
          <w:sz w:val="26"/>
          <w:szCs w:val="26"/>
        </w:rPr>
      </w:pPr>
    </w:p>
    <w:p w14:paraId="579D2753" w14:textId="71B4AEB5" w:rsidR="00F0088B" w:rsidRPr="00FB0A3A" w:rsidRDefault="00F0088B" w:rsidP="00300432">
      <w:pPr>
        <w:tabs>
          <w:tab w:val="left" w:pos="1134"/>
        </w:tabs>
        <w:spacing w:after="0" w:line="360" w:lineRule="auto"/>
        <w:contextualSpacing/>
        <w:jc w:val="both"/>
        <w:rPr>
          <w:rFonts w:ascii="Myriad Pro" w:eastAsia="Calibri" w:hAnsi="Myriad Pro" w:cs="Times New Roman"/>
          <w:b/>
          <w:sz w:val="26"/>
          <w:szCs w:val="26"/>
        </w:rPr>
      </w:pPr>
      <w:r w:rsidRPr="00FB0A3A">
        <w:rPr>
          <w:rFonts w:ascii="Myriad Pro" w:eastAsia="Calibri" w:hAnsi="Myriad Pro" w:cs="Times New Roman"/>
          <w:b/>
          <w:sz w:val="26"/>
          <w:szCs w:val="26"/>
        </w:rPr>
        <w:lastRenderedPageBreak/>
        <w:t>ПОЗИЦИЯ ТЕРРИТОРИАЛЬНОЙ СЕТЕВОЙ ОРГАНИЗАЦИИ</w:t>
      </w:r>
    </w:p>
    <w:p w14:paraId="4848B8AD" w14:textId="222F3D88" w:rsidR="00F07E0F" w:rsidRPr="00FB0A3A" w:rsidRDefault="00F07E0F"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 xml:space="preserve">Расходы по земельному налогу на плановый период регулирования включены </w:t>
      </w:r>
      <w:r w:rsidR="00E663D3">
        <w:rPr>
          <w:rFonts w:ascii="Myriad Pro" w:eastAsia="Calibri" w:hAnsi="Myriad Pro" w:cs="Times New Roman"/>
          <w:sz w:val="26"/>
          <w:szCs w:val="26"/>
        </w:rPr>
        <w:t>в размере</w:t>
      </w:r>
      <w:r w:rsidRPr="00FB0A3A">
        <w:rPr>
          <w:rFonts w:ascii="Myriad Pro" w:eastAsia="Calibri" w:hAnsi="Myriad Pro" w:cs="Times New Roman"/>
          <w:sz w:val="26"/>
          <w:szCs w:val="26"/>
        </w:rPr>
        <w:t xml:space="preserve"> 4,78 тыс. руб. Расходы определены в соответствии со ставкой земельного налога согласно нормативным правовым актам представительных органов муниципальных образований, площадям земельных участков, признаваемых объектом налогообложения, по категориям земель, их кадастровой стоимости.</w:t>
      </w:r>
    </w:p>
    <w:p w14:paraId="28E1AAC0" w14:textId="6CBBB52A" w:rsidR="00F07E0F" w:rsidRPr="00FB0A3A" w:rsidRDefault="00F07E0F" w:rsidP="00A31747">
      <w:pPr>
        <w:tabs>
          <w:tab w:val="left" w:pos="1134"/>
        </w:tabs>
        <w:spacing w:after="0" w:line="360" w:lineRule="auto"/>
        <w:ind w:firstLine="567"/>
        <w:contextualSpacing/>
        <w:jc w:val="both"/>
        <w:rPr>
          <w:rFonts w:ascii="Myriad Pro" w:hAnsi="Myriad Pro"/>
          <w:sz w:val="24"/>
        </w:rPr>
      </w:pPr>
      <w:r w:rsidRPr="00FB0A3A">
        <w:rPr>
          <w:rFonts w:ascii="Myriad Pro" w:eastAsia="Calibri" w:hAnsi="Myriad Pro" w:cs="Times New Roman"/>
          <w:sz w:val="26"/>
          <w:szCs w:val="26"/>
        </w:rPr>
        <w:t xml:space="preserve">Изменение суммы по земельному налогу связано c переходом права на аренду, которое закончится в 2017 году. Сумма земельного налога скорректирована с учетом переоформления права постоянного (бессрочного) пользования земельными участками на право аренды земельных участков, согласно Федеральному закону от 25 октября 2001 года № 137-ФЗ </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О введении в действие Земельного кодекса Российской Федерации</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 xml:space="preserve"> (пункт 2 статьи 3). Расчет земельного налога на 2019-2023 гг. представлен в Приложении 1.12.1</w:t>
      </w:r>
      <w:r w:rsidRPr="00FB0A3A">
        <w:rPr>
          <w:rFonts w:ascii="Myriad Pro" w:hAnsi="Myriad Pro"/>
          <w:sz w:val="24"/>
        </w:rPr>
        <w:t>.</w:t>
      </w:r>
    </w:p>
    <w:p w14:paraId="08B14174" w14:textId="4E2BD020" w:rsidR="004C5F6F" w:rsidRPr="00FB0A3A" w:rsidRDefault="004C5F6F"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 xml:space="preserve">На основании статьи 361.1 НК РФ сумма исчисленного транспортного налога в отношении каждого транспортного средства, имеющего разрешенную максимальную массу свыше 12 тонн, зарегистрированного в реестре системы взимания платы в счет возмещения вреда, причиняемого автомобильным дорогам общего пользования федерального значения транспортными средствами, имеющими разрешенную максимальную массу свыше 12 тонн, может быть уменьшена на сумму платы, но не более суммы исчисленного транспортного налога по каждому транспортному средству. Положения статьи 361.1 </w:t>
      </w:r>
      <w:r w:rsidR="00D45F91" w:rsidRPr="00FB0A3A">
        <w:rPr>
          <w:rFonts w:ascii="Myriad Pro" w:eastAsia="Calibri" w:hAnsi="Myriad Pro" w:cs="Times New Roman"/>
          <w:sz w:val="26"/>
          <w:szCs w:val="26"/>
        </w:rPr>
        <w:t xml:space="preserve">НК РФ </w:t>
      </w:r>
      <w:r w:rsidRPr="00FB0A3A">
        <w:rPr>
          <w:rFonts w:ascii="Myriad Pro" w:eastAsia="Calibri" w:hAnsi="Myriad Pro" w:cs="Times New Roman"/>
          <w:sz w:val="26"/>
          <w:szCs w:val="26"/>
        </w:rPr>
        <w:t>действуют с 1 января 2016 года до 31 декабря 2018 года включительно.</w:t>
      </w:r>
    </w:p>
    <w:p w14:paraId="1328A3A2" w14:textId="06F25968" w:rsidR="004C5F6F" w:rsidRPr="00FB0A3A" w:rsidRDefault="004C5F6F"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 xml:space="preserve">Размер платы в счет возмещения вреда, причиняемого автомобильным дорогам общего пользования федерального значения транспортными средствами, имеющими разрешенную максимальную массу свыше 12 тонн за 2017 год составил 267 203,40 руб., в том </w:t>
      </w:r>
      <w:r w:rsidR="000C264C" w:rsidRPr="00FB0A3A">
        <w:rPr>
          <w:rFonts w:ascii="Myriad Pro" w:eastAsia="Calibri" w:hAnsi="Myriad Pro" w:cs="Times New Roman"/>
          <w:sz w:val="26"/>
          <w:szCs w:val="26"/>
        </w:rPr>
        <w:t>числе 142</w:t>
      </w:r>
      <w:r w:rsidRPr="00FB0A3A">
        <w:rPr>
          <w:rFonts w:ascii="Myriad Pro" w:eastAsia="Calibri" w:hAnsi="Myriad Pro" w:cs="Times New Roman"/>
          <w:sz w:val="26"/>
          <w:szCs w:val="26"/>
        </w:rPr>
        <w:t xml:space="preserve"> 454,37 руб. – сумма, уменьшающая исчисленный транспортный налог за 2017 год на основании статьи 361.1</w:t>
      </w:r>
      <w:r w:rsidR="00164398" w:rsidRPr="00FB0A3A">
        <w:rPr>
          <w:rFonts w:ascii="Myriad Pro" w:eastAsia="Calibri" w:hAnsi="Myriad Pro" w:cs="Times New Roman"/>
          <w:sz w:val="26"/>
          <w:szCs w:val="26"/>
        </w:rPr>
        <w:t xml:space="preserve"> </w:t>
      </w:r>
      <w:r w:rsidRPr="00FB0A3A">
        <w:rPr>
          <w:rFonts w:ascii="Myriad Pro" w:eastAsia="Calibri" w:hAnsi="Myriad Pro" w:cs="Times New Roman"/>
          <w:sz w:val="26"/>
          <w:szCs w:val="26"/>
        </w:rPr>
        <w:t>НК РФ.</w:t>
      </w:r>
    </w:p>
    <w:p w14:paraId="191A42F0" w14:textId="04DA06A8" w:rsidR="004C5F6F" w:rsidRPr="00FB0A3A" w:rsidRDefault="004C5F6F"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Таким образом, сумма транспортного налога, подлежащая уплате в бюджет</w:t>
      </w:r>
      <w:r w:rsidR="00D45F91" w:rsidRPr="00FB0A3A">
        <w:rPr>
          <w:rFonts w:ascii="Myriad Pro" w:eastAsia="Calibri" w:hAnsi="Myriad Pro" w:cs="Times New Roman"/>
          <w:sz w:val="26"/>
          <w:szCs w:val="26"/>
        </w:rPr>
        <w:t>,</w:t>
      </w:r>
      <w:r w:rsidRPr="00FB0A3A">
        <w:rPr>
          <w:rFonts w:ascii="Myriad Pro" w:eastAsia="Calibri" w:hAnsi="Myriad Pro" w:cs="Times New Roman"/>
          <w:sz w:val="26"/>
          <w:szCs w:val="26"/>
        </w:rPr>
        <w:t xml:space="preserve"> составила 535 581 руб. (678 035 руб.</w:t>
      </w:r>
      <w:r w:rsidR="000C264C" w:rsidRPr="00FB0A3A">
        <w:rPr>
          <w:rFonts w:ascii="Myriad Pro" w:eastAsia="Calibri" w:hAnsi="Myriad Pro" w:cs="Times New Roman"/>
          <w:sz w:val="26"/>
          <w:szCs w:val="26"/>
        </w:rPr>
        <w:t xml:space="preserve"> –</w:t>
      </w:r>
      <w:r w:rsidRPr="00FB0A3A">
        <w:rPr>
          <w:rFonts w:ascii="Myriad Pro" w:eastAsia="Calibri" w:hAnsi="Myriad Pro" w:cs="Times New Roman"/>
          <w:sz w:val="26"/>
          <w:szCs w:val="26"/>
        </w:rPr>
        <w:t xml:space="preserve"> 142 454,37 руб.), что соответствует представленной налоговой декларации по транспортному налогу за 2017 год.</w:t>
      </w:r>
    </w:p>
    <w:p w14:paraId="1F86B6CC" w14:textId="700ABE9E" w:rsidR="004C5F6F" w:rsidRPr="00FB0A3A" w:rsidRDefault="004C5F6F"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lastRenderedPageBreak/>
        <w:t xml:space="preserve">Исчисленный транспортный налог за 2017 год </w:t>
      </w:r>
      <w:r w:rsidR="00E663D3">
        <w:rPr>
          <w:rFonts w:ascii="Myriad Pro" w:eastAsia="Calibri" w:hAnsi="Myriad Pro" w:cs="Times New Roman"/>
          <w:sz w:val="26"/>
          <w:szCs w:val="26"/>
        </w:rPr>
        <w:t>в размере</w:t>
      </w:r>
      <w:r w:rsidRPr="00FB0A3A">
        <w:rPr>
          <w:rFonts w:ascii="Myriad Pro" w:eastAsia="Calibri" w:hAnsi="Myriad Pro" w:cs="Times New Roman"/>
          <w:sz w:val="26"/>
          <w:szCs w:val="26"/>
        </w:rPr>
        <w:t xml:space="preserve"> 678 035 руб. и разница между суммой платы, исчисленной и уплаченной по итогам 2017 года и суммой платы отнесенной на уменьшение транспортного налога за 2017 год </w:t>
      </w:r>
      <w:r w:rsidR="00E663D3">
        <w:rPr>
          <w:rFonts w:ascii="Myriad Pro" w:eastAsia="Calibri" w:hAnsi="Myriad Pro" w:cs="Times New Roman"/>
          <w:sz w:val="26"/>
          <w:szCs w:val="26"/>
        </w:rPr>
        <w:t>в размере</w:t>
      </w:r>
      <w:r w:rsidRPr="00FB0A3A">
        <w:rPr>
          <w:rFonts w:ascii="Myriad Pro" w:eastAsia="Calibri" w:hAnsi="Myriad Pro" w:cs="Times New Roman"/>
          <w:sz w:val="26"/>
          <w:szCs w:val="26"/>
        </w:rPr>
        <w:t xml:space="preserve"> 124</w:t>
      </w:r>
      <w:r w:rsidR="00D45F91" w:rsidRPr="00FB0A3A">
        <w:rPr>
          <w:rFonts w:ascii="Myriad Pro" w:eastAsia="Calibri" w:hAnsi="Myriad Pro" w:cs="Times New Roman"/>
          <w:sz w:val="26"/>
          <w:szCs w:val="26"/>
        </w:rPr>
        <w:t> </w:t>
      </w:r>
      <w:r w:rsidRPr="00FB0A3A">
        <w:rPr>
          <w:rFonts w:ascii="Myriad Pro" w:eastAsia="Calibri" w:hAnsi="Myriad Pro" w:cs="Times New Roman"/>
          <w:sz w:val="26"/>
          <w:szCs w:val="26"/>
        </w:rPr>
        <w:t>749,03 руб. (267 203,40 руб.</w:t>
      </w:r>
      <w:r w:rsidR="000C264C" w:rsidRPr="00FB0A3A">
        <w:rPr>
          <w:rFonts w:ascii="Myriad Pro" w:eastAsia="Calibri" w:hAnsi="Myriad Pro" w:cs="Times New Roman"/>
          <w:sz w:val="26"/>
          <w:szCs w:val="26"/>
        </w:rPr>
        <w:t xml:space="preserve"> –</w:t>
      </w:r>
      <w:r w:rsidRPr="00FB0A3A">
        <w:rPr>
          <w:rFonts w:ascii="Myriad Pro" w:eastAsia="Calibri" w:hAnsi="Myriad Pro" w:cs="Times New Roman"/>
          <w:sz w:val="26"/>
          <w:szCs w:val="26"/>
        </w:rPr>
        <w:t xml:space="preserve"> 142 454,37 руб.) отражены в бухгалтерском учете в 2017 </w:t>
      </w:r>
      <w:r w:rsidR="00164398" w:rsidRPr="00FB0A3A">
        <w:rPr>
          <w:rFonts w:ascii="Myriad Pro" w:eastAsia="Calibri" w:hAnsi="Myriad Pro" w:cs="Times New Roman"/>
          <w:sz w:val="26"/>
          <w:szCs w:val="26"/>
        </w:rPr>
        <w:t>году на</w:t>
      </w:r>
      <w:r w:rsidRPr="00FB0A3A">
        <w:rPr>
          <w:rFonts w:ascii="Myriad Pro" w:eastAsia="Calibri" w:hAnsi="Myriad Pro" w:cs="Times New Roman"/>
          <w:sz w:val="26"/>
          <w:szCs w:val="26"/>
        </w:rPr>
        <w:t xml:space="preserve"> счете 25 по элементу </w:t>
      </w:r>
      <w:r w:rsidR="00164398" w:rsidRPr="00FB0A3A">
        <w:rPr>
          <w:rFonts w:ascii="Myriad Pro" w:eastAsia="Calibri" w:hAnsi="Myriad Pro" w:cs="Times New Roman"/>
          <w:sz w:val="26"/>
          <w:szCs w:val="26"/>
        </w:rPr>
        <w:t>затрат «</w:t>
      </w:r>
      <w:r w:rsidRPr="00FB0A3A">
        <w:rPr>
          <w:rFonts w:ascii="Myriad Pro" w:eastAsia="Calibri" w:hAnsi="Myriad Pro" w:cs="Times New Roman"/>
          <w:sz w:val="26"/>
          <w:szCs w:val="26"/>
        </w:rPr>
        <w:t>транспортный налог</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 xml:space="preserve">. </w:t>
      </w:r>
    </w:p>
    <w:p w14:paraId="0E1F8023" w14:textId="1954402F" w:rsidR="004C5F6F" w:rsidRPr="00FB0A3A" w:rsidRDefault="004C5F6F"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 xml:space="preserve">В бухгалтерском учете в 2017 году на счете 25 по элементу затрат </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транспортный налог</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 xml:space="preserve"> отражена сумма в размере 802 783,89 руб.</w:t>
      </w:r>
    </w:p>
    <w:p w14:paraId="698371E3" w14:textId="5D4E385F" w:rsidR="004C5F6F" w:rsidRPr="00FB0A3A" w:rsidRDefault="004C5F6F"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Данная сумма определена из расчета суммы исчисленного транспортного налога за 2017 год - 678 035 руб. и разницы между суммой платы, исчисленной и уплаченной по итогам 2017 года в счет возмещения вреда, причиняемого автомобильным дорогам общего пользования федерального значения транспортными средствами, и суммой платы отнесенной на уменьшение транспортного налога за 2017 год (267 203,40 руб.- 142 454,37 руб.= 124 749,03 руб</w:t>
      </w:r>
      <w:r w:rsidR="00D45F91" w:rsidRPr="00FB0A3A">
        <w:rPr>
          <w:rFonts w:ascii="Myriad Pro" w:eastAsia="Calibri" w:hAnsi="Myriad Pro" w:cs="Times New Roman"/>
          <w:sz w:val="26"/>
          <w:szCs w:val="26"/>
        </w:rPr>
        <w:t>.</w:t>
      </w:r>
      <w:r w:rsidRPr="00FB0A3A">
        <w:rPr>
          <w:rFonts w:ascii="Myriad Pro" w:eastAsia="Calibri" w:hAnsi="Myriad Pro" w:cs="Times New Roman"/>
          <w:sz w:val="26"/>
          <w:szCs w:val="26"/>
        </w:rPr>
        <w:t>).</w:t>
      </w:r>
    </w:p>
    <w:p w14:paraId="72B513FD" w14:textId="77777777" w:rsidR="004C5F6F" w:rsidRPr="00FB0A3A" w:rsidRDefault="004C5F6F"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Затраты по транспортному налогу первоначально отражаются на счете 25, при последующем закрытии этого счета на счет 20 распределение расходов по видам деятельности в соответствии с учетной политикой осуществляется пропорционально прямым расходам.</w:t>
      </w:r>
    </w:p>
    <w:p w14:paraId="27CCBAC9" w14:textId="01E34022" w:rsidR="004C5F6F" w:rsidRPr="00FB0A3A" w:rsidRDefault="004C5F6F"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 xml:space="preserve">Таким образом, затраты по виду деятельности </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услуги по передаче электрической энергии</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 xml:space="preserve"> по статье </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транспортный налог</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 xml:space="preserve"> за 2017г. составляют 800</w:t>
      </w:r>
      <w:r w:rsidR="00D45F91" w:rsidRPr="00FB0A3A">
        <w:rPr>
          <w:rFonts w:ascii="Myriad Pro" w:eastAsia="Calibri" w:hAnsi="Myriad Pro" w:cs="Times New Roman"/>
          <w:sz w:val="26"/>
          <w:szCs w:val="26"/>
        </w:rPr>
        <w:t> </w:t>
      </w:r>
      <w:r w:rsidRPr="00FB0A3A">
        <w:rPr>
          <w:rFonts w:ascii="Myriad Pro" w:eastAsia="Calibri" w:hAnsi="Myriad Pro" w:cs="Times New Roman"/>
          <w:sz w:val="26"/>
          <w:szCs w:val="26"/>
        </w:rPr>
        <w:t xml:space="preserve">889,76 руб. </w:t>
      </w:r>
    </w:p>
    <w:p w14:paraId="74267DD1" w14:textId="77777777" w:rsidR="004C5F6F" w:rsidRPr="00FB0A3A" w:rsidRDefault="004C5F6F"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 xml:space="preserve">Ожидаемые расходы на 2018 г. по данной статье составят 812,03 тыс. руб. Расчет произведен исходя из фактического наличия транспортных средств на начало 2018 г. с применением коэффициента владения (Кв) -1,0 и суммой за проезд по автомобильным дорогам общего пользования федерального значения большегрузными автомобилями с учетом льготы на уровне фактических затрат за 2017 г.  </w:t>
      </w:r>
    </w:p>
    <w:p w14:paraId="140C2BB7" w14:textId="77777777" w:rsidR="004C5F6F" w:rsidRPr="00FB0A3A" w:rsidRDefault="004C5F6F"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Расчет по транспортному налогу на 2019-2023 гг. представлен в Приложении 1.12.3</w:t>
      </w:r>
    </w:p>
    <w:p w14:paraId="393D1E83" w14:textId="320B1A74" w:rsidR="004C5F6F" w:rsidRPr="00FB0A3A" w:rsidRDefault="004C5F6F"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 xml:space="preserve">Расчет по водному налогу произведен на основании фактических данных за 2017 год без учета объемов сверх установленного лимита (согласно лицензии на </w:t>
      </w:r>
      <w:r w:rsidRPr="00FB0A3A">
        <w:rPr>
          <w:rFonts w:ascii="Myriad Pro" w:eastAsia="Calibri" w:hAnsi="Myriad Pro" w:cs="Times New Roman"/>
          <w:sz w:val="26"/>
          <w:szCs w:val="26"/>
        </w:rPr>
        <w:lastRenderedPageBreak/>
        <w:t>пользование недрами, утвержденный расход воды на 2018 год составляет 0,2133 тыс. м3/год) и установленной налоговой ставки.</w:t>
      </w:r>
    </w:p>
    <w:p w14:paraId="78C85A62" w14:textId="2E57EF02" w:rsidR="004C5F6F" w:rsidRPr="00FB0A3A" w:rsidRDefault="004C5F6F"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 xml:space="preserve">Расчет налога представлен в Приложении 1.12.4 </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Расчет водного налога</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 xml:space="preserve">. </w:t>
      </w:r>
    </w:p>
    <w:p w14:paraId="27C110C9" w14:textId="49CE7AD8" w:rsidR="00F15D2B" w:rsidRPr="00FB0A3A" w:rsidRDefault="00F15D2B"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Объект налогообложения - движимое и недвижимое имущество, учитываемое на балансе в качестве объектов основных средств в соответствии с установленным порядком ведения бухгалтерского учета.</w:t>
      </w:r>
    </w:p>
    <w:p w14:paraId="34ADB108" w14:textId="77777777" w:rsidR="00F15D2B" w:rsidRPr="00FB0A3A" w:rsidRDefault="00F15D2B"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noProof/>
          <w:sz w:val="26"/>
          <w:szCs w:val="26"/>
          <w:lang w:eastAsia="ru-RU"/>
        </w:rPr>
        <w:drawing>
          <wp:anchor distT="0" distB="0" distL="114300" distR="114300" simplePos="0" relativeHeight="251659264" behindDoc="0" locked="0" layoutInCell="1" allowOverlap="0" wp14:anchorId="248D5A85" wp14:editId="5DD657B0">
            <wp:simplePos x="0" y="0"/>
            <wp:positionH relativeFrom="page">
              <wp:posOffset>423843</wp:posOffset>
            </wp:positionH>
            <wp:positionV relativeFrom="page">
              <wp:posOffset>7534657</wp:posOffset>
            </wp:positionV>
            <wp:extent cx="9148" cy="6096"/>
            <wp:effectExtent l="0" t="0" r="0" b="0"/>
            <wp:wrapSquare wrapText="bothSides"/>
            <wp:docPr id="73748" name="Picture 73748"/>
            <wp:cNvGraphicFramePr/>
            <a:graphic xmlns:a="http://schemas.openxmlformats.org/drawingml/2006/main">
              <a:graphicData uri="http://schemas.openxmlformats.org/drawingml/2006/picture">
                <pic:pic xmlns:pic="http://schemas.openxmlformats.org/drawingml/2006/picture">
                  <pic:nvPicPr>
                    <pic:cNvPr id="73748" name="Picture 73748"/>
                    <pic:cNvPicPr/>
                  </pic:nvPicPr>
                  <pic:blipFill>
                    <a:blip r:embed="rId81"/>
                    <a:stretch>
                      <a:fillRect/>
                    </a:stretch>
                  </pic:blipFill>
                  <pic:spPr>
                    <a:xfrm>
                      <a:off x="0" y="0"/>
                      <a:ext cx="9148" cy="6096"/>
                    </a:xfrm>
                    <a:prstGeom prst="rect">
                      <a:avLst/>
                    </a:prstGeom>
                  </pic:spPr>
                </pic:pic>
              </a:graphicData>
            </a:graphic>
          </wp:anchor>
        </w:drawing>
      </w:r>
      <w:r w:rsidRPr="00FB0A3A">
        <w:rPr>
          <w:rFonts w:ascii="Myriad Pro" w:eastAsia="Calibri" w:hAnsi="Myriad Pro" w:cs="Times New Roman"/>
          <w:sz w:val="26"/>
          <w:szCs w:val="26"/>
        </w:rPr>
        <w:t>Налоговая база среднегодовая стоимость имущества, признаваемого объектом налогообложения.</w:t>
      </w:r>
    </w:p>
    <w:p w14:paraId="066D5AB9" w14:textId="68F9933C" w:rsidR="00F15D2B" w:rsidRPr="00FB0A3A" w:rsidRDefault="00F15D2B"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При определении налоговой базы имущество, признаваемое объектом налогообложения, учитывается по его остаточной стоимости, сформированной в соответствии с установленным порядком ведения бухгалтерского учета, утвержденным в учетной политике организации.</w:t>
      </w:r>
    </w:p>
    <w:p w14:paraId="6706676A" w14:textId="77777777" w:rsidR="00F15D2B" w:rsidRPr="00FB0A3A" w:rsidRDefault="00F15D2B"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Налоговые ставки устанавливаются законами субъектов Российской Федерации и не могут превышать 2,2 процента (п. 1 ст. 380 НК РФ).</w:t>
      </w:r>
    </w:p>
    <w:p w14:paraId="270E2DD7" w14:textId="34F0CC4B" w:rsidR="00F15D2B" w:rsidRPr="00FB0A3A" w:rsidRDefault="00F15D2B"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Среднегодовая стоимость имущества, признаваемого объектом налогообложения, за налоговый период определяется как частное от деления суммы, полученной в результате сложения величин остаточной стоимости имущества на 1-е число каждого месяца налогового периода и последнее число налогового периода, на число месяцев в налоговом периоде, увеличенное на единицу. А это значит среднегодовая остаточная стоимость =(О1.О1+01.О2+О1.ОЗ+О1.О4+О1.О5+О1.Об+О1.О7+О1.О8+О1.О9+О</w:t>
      </w:r>
      <w:r w:rsidR="00D45F91" w:rsidRPr="00FB0A3A">
        <w:rPr>
          <w:rFonts w:ascii="Myriad Pro" w:eastAsia="Calibri" w:hAnsi="Myriad Pro" w:cs="Times New Roman"/>
          <w:sz w:val="26"/>
          <w:szCs w:val="26"/>
        </w:rPr>
        <w:t> </w:t>
      </w:r>
      <w:r w:rsidR="00164398" w:rsidRPr="00FB0A3A">
        <w:rPr>
          <w:rFonts w:ascii="Myriad Pro" w:eastAsia="Calibri" w:hAnsi="Myriad Pro" w:cs="Times New Roman"/>
          <w:sz w:val="26"/>
          <w:szCs w:val="26"/>
        </w:rPr>
        <w:t>1.10+01.11+01.12+01.13)/13</w:t>
      </w:r>
    </w:p>
    <w:p w14:paraId="66015537" w14:textId="37791EF8" w:rsidR="00F15D2B" w:rsidRPr="00FB0A3A" w:rsidRDefault="00F15D2B"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 xml:space="preserve">Остаточная стоимость имущества на 1-е число месяца определяется как остаточная стоимость на начало периода + стоимость основных средств, вводимых в плановом периоде — стоимость основных средств, выбывших в отчетном периоде </w:t>
      </w:r>
      <w:r w:rsidR="00AE749F" w:rsidRPr="00FB0A3A">
        <w:rPr>
          <w:rFonts w:ascii="Myriad Pro" w:eastAsia="Calibri" w:hAnsi="Myriad Pro" w:cs="Times New Roman"/>
          <w:sz w:val="26"/>
          <w:szCs w:val="26"/>
        </w:rPr>
        <w:t>–</w:t>
      </w:r>
      <w:r w:rsidRPr="00FB0A3A">
        <w:rPr>
          <w:rFonts w:ascii="Myriad Pro" w:eastAsia="Calibri" w:hAnsi="Myriad Pro" w:cs="Times New Roman"/>
          <w:sz w:val="26"/>
          <w:szCs w:val="26"/>
        </w:rPr>
        <w:t xml:space="preserve"> сумма</w:t>
      </w:r>
      <w:r w:rsidR="00AE749F" w:rsidRPr="00FB0A3A">
        <w:rPr>
          <w:rFonts w:ascii="Myriad Pro" w:eastAsia="Calibri" w:hAnsi="Myriad Pro" w:cs="Times New Roman"/>
          <w:sz w:val="26"/>
          <w:szCs w:val="26"/>
        </w:rPr>
        <w:t xml:space="preserve"> </w:t>
      </w:r>
      <w:r w:rsidRPr="00FB0A3A">
        <w:rPr>
          <w:rFonts w:ascii="Myriad Pro" w:eastAsia="Calibri" w:hAnsi="Myriad Pro" w:cs="Times New Roman"/>
          <w:sz w:val="26"/>
          <w:szCs w:val="26"/>
        </w:rPr>
        <w:t>амортизации за период с учетом движения основных средств.</w:t>
      </w:r>
    </w:p>
    <w:p w14:paraId="43136D16" w14:textId="423BE0DC" w:rsidR="00F15D2B" w:rsidRPr="00FB0A3A" w:rsidRDefault="00F15D2B"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Сумма налога на имущество за 2017 год, отнесенная на себестоимость по данным бухгалтерского учета</w:t>
      </w:r>
      <w:r w:rsidR="00064CD0" w:rsidRPr="00FB0A3A">
        <w:rPr>
          <w:rFonts w:ascii="Myriad Pro" w:eastAsia="Calibri" w:hAnsi="Myriad Pro" w:cs="Times New Roman"/>
          <w:sz w:val="26"/>
          <w:szCs w:val="26"/>
        </w:rPr>
        <w:t>,</w:t>
      </w:r>
      <w:r w:rsidRPr="00FB0A3A">
        <w:rPr>
          <w:rFonts w:ascii="Myriad Pro" w:eastAsia="Calibri" w:hAnsi="Myriad Pro" w:cs="Times New Roman"/>
          <w:sz w:val="26"/>
          <w:szCs w:val="26"/>
        </w:rPr>
        <w:t xml:space="preserve"> составила 41 121 тыс. руб.</w:t>
      </w:r>
    </w:p>
    <w:p w14:paraId="5B4CBDA2" w14:textId="7D7DCB55" w:rsidR="00F15D2B" w:rsidRPr="00FB0A3A" w:rsidRDefault="00F15D2B"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Сумма налога на имущество за 2017 год согласно, представленным в налоговые инспекции налоговым декларациям составила 41 121 тыс. руб.</w:t>
      </w:r>
    </w:p>
    <w:p w14:paraId="2A13C51F" w14:textId="12F24D8C" w:rsidR="00F15D2B" w:rsidRPr="00FB0A3A" w:rsidRDefault="00F15D2B"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lastRenderedPageBreak/>
        <w:t>Ожидаемые расходы на 2018</w:t>
      </w:r>
      <w:r w:rsidR="00164398" w:rsidRPr="00FB0A3A">
        <w:rPr>
          <w:rFonts w:ascii="Myriad Pro" w:eastAsia="Calibri" w:hAnsi="Myriad Pro" w:cs="Times New Roman"/>
          <w:sz w:val="26"/>
          <w:szCs w:val="26"/>
        </w:rPr>
        <w:t xml:space="preserve"> </w:t>
      </w:r>
      <w:r w:rsidRPr="00FB0A3A">
        <w:rPr>
          <w:rFonts w:ascii="Myriad Pro" w:eastAsia="Calibri" w:hAnsi="Myriad Pro" w:cs="Times New Roman"/>
          <w:sz w:val="26"/>
          <w:szCs w:val="26"/>
        </w:rPr>
        <w:t>г. по данной статье составят 61 534 тыс. руб. Расчет произведен исходя из фактического наличия имущества, учитываемое на балансе в качестве объектов основных средств в соответствии с установленным порядком ведения бухгалтерского учета на начало 2018 г. с применением установленных на 2018 год налоговых ставок. Расчет представлен в приложении 1.12.5.</w:t>
      </w:r>
    </w:p>
    <w:p w14:paraId="42FA833A" w14:textId="5700D856" w:rsidR="00F0088B" w:rsidRPr="00FB0A3A" w:rsidRDefault="00F0088B"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 xml:space="preserve">Филиалом </w:t>
      </w:r>
      <w:r w:rsidR="00350B0A" w:rsidRPr="00FB0A3A">
        <w:rPr>
          <w:rFonts w:ascii="Myriad Pro" w:eastAsia="Calibri" w:hAnsi="Myriad Pro" w:cs="Times New Roman"/>
          <w:sz w:val="26"/>
          <w:szCs w:val="26"/>
        </w:rPr>
        <w:t xml:space="preserve">ПАО </w:t>
      </w:r>
      <w:r w:rsidR="00655FFA" w:rsidRPr="00FB0A3A">
        <w:rPr>
          <w:rFonts w:ascii="Myriad Pro" w:eastAsia="Calibri" w:hAnsi="Myriad Pro" w:cs="Times New Roman"/>
          <w:sz w:val="26"/>
          <w:szCs w:val="26"/>
        </w:rPr>
        <w:t>«</w:t>
      </w:r>
      <w:r w:rsidR="00350B0A" w:rsidRPr="00FB0A3A">
        <w:rPr>
          <w:rFonts w:ascii="Myriad Pro" w:eastAsia="Calibri" w:hAnsi="Myriad Pro" w:cs="Times New Roman"/>
          <w:sz w:val="26"/>
          <w:szCs w:val="26"/>
        </w:rPr>
        <w:t>МРСК Северо-Запада</w:t>
      </w:r>
      <w:r w:rsidR="00655FFA" w:rsidRPr="00FB0A3A">
        <w:rPr>
          <w:rFonts w:ascii="Myriad Pro" w:eastAsia="Calibri" w:hAnsi="Myriad Pro" w:cs="Times New Roman"/>
          <w:sz w:val="26"/>
          <w:szCs w:val="26"/>
        </w:rPr>
        <w:t>»</w:t>
      </w:r>
      <w:r w:rsidR="00350B0A" w:rsidRPr="00FB0A3A">
        <w:rPr>
          <w:rFonts w:ascii="Myriad Pro" w:eastAsia="Calibri" w:hAnsi="Myriad Pro" w:cs="Times New Roman"/>
          <w:sz w:val="26"/>
          <w:szCs w:val="26"/>
        </w:rPr>
        <w:t xml:space="preserve"> </w:t>
      </w:r>
      <w:r w:rsidR="00655FFA" w:rsidRPr="00FB0A3A">
        <w:rPr>
          <w:rFonts w:ascii="Myriad Pro" w:eastAsia="Calibri" w:hAnsi="Myriad Pro" w:cs="Times New Roman"/>
          <w:sz w:val="26"/>
          <w:szCs w:val="26"/>
        </w:rPr>
        <w:t>«</w:t>
      </w:r>
      <w:r w:rsidR="00350B0A" w:rsidRPr="00FB0A3A">
        <w:rPr>
          <w:rFonts w:ascii="Myriad Pro" w:eastAsia="Calibri" w:hAnsi="Myriad Pro" w:cs="Times New Roman"/>
          <w:sz w:val="26"/>
          <w:szCs w:val="26"/>
        </w:rPr>
        <w:t>Колэнерго</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 xml:space="preserve"> по статье на 2019 год была заявлена су</w:t>
      </w:r>
      <w:r w:rsidR="006A68F5" w:rsidRPr="00FB0A3A">
        <w:rPr>
          <w:rFonts w:ascii="Myriad Pro" w:eastAsia="Calibri" w:hAnsi="Myriad Pro" w:cs="Times New Roman"/>
          <w:sz w:val="26"/>
          <w:szCs w:val="26"/>
        </w:rPr>
        <w:t>мма расходов в размере 88 835,6</w:t>
      </w:r>
      <w:r w:rsidRPr="00FB0A3A">
        <w:rPr>
          <w:rFonts w:ascii="Myriad Pro" w:eastAsia="Calibri" w:hAnsi="Myriad Pro" w:cs="Times New Roman"/>
          <w:sz w:val="26"/>
          <w:szCs w:val="26"/>
        </w:rPr>
        <w:t xml:space="preserve"> тыс. руб.</w:t>
      </w:r>
    </w:p>
    <w:p w14:paraId="1F892D60" w14:textId="13F5046A" w:rsidR="00F0088B" w:rsidRPr="00FB0A3A" w:rsidRDefault="00F0088B"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 xml:space="preserve">В обоснование заявленной суммы расходов филиалом </w:t>
      </w:r>
      <w:r w:rsidR="00350B0A" w:rsidRPr="00FB0A3A">
        <w:rPr>
          <w:rFonts w:ascii="Myriad Pro" w:eastAsia="Calibri" w:hAnsi="Myriad Pro" w:cs="Times New Roman"/>
          <w:sz w:val="26"/>
          <w:szCs w:val="26"/>
        </w:rPr>
        <w:t xml:space="preserve">ПАО </w:t>
      </w:r>
      <w:r w:rsidR="00655FFA" w:rsidRPr="00FB0A3A">
        <w:rPr>
          <w:rFonts w:ascii="Myriad Pro" w:eastAsia="Calibri" w:hAnsi="Myriad Pro" w:cs="Times New Roman"/>
          <w:sz w:val="26"/>
          <w:szCs w:val="26"/>
        </w:rPr>
        <w:t>«</w:t>
      </w:r>
      <w:r w:rsidR="00350B0A" w:rsidRPr="00FB0A3A">
        <w:rPr>
          <w:rFonts w:ascii="Myriad Pro" w:eastAsia="Calibri" w:hAnsi="Myriad Pro" w:cs="Times New Roman"/>
          <w:sz w:val="26"/>
          <w:szCs w:val="26"/>
        </w:rPr>
        <w:t>МРСК Северо-Запада</w:t>
      </w:r>
      <w:r w:rsidR="00655FFA" w:rsidRPr="00FB0A3A">
        <w:rPr>
          <w:rFonts w:ascii="Myriad Pro" w:eastAsia="Calibri" w:hAnsi="Myriad Pro" w:cs="Times New Roman"/>
          <w:sz w:val="26"/>
          <w:szCs w:val="26"/>
        </w:rPr>
        <w:t>»</w:t>
      </w:r>
      <w:r w:rsidR="00350B0A" w:rsidRPr="00FB0A3A">
        <w:rPr>
          <w:rFonts w:ascii="Myriad Pro" w:eastAsia="Calibri" w:hAnsi="Myriad Pro" w:cs="Times New Roman"/>
          <w:sz w:val="26"/>
          <w:szCs w:val="26"/>
        </w:rPr>
        <w:t xml:space="preserve"> </w:t>
      </w:r>
      <w:r w:rsidR="00655FFA" w:rsidRPr="00FB0A3A">
        <w:rPr>
          <w:rFonts w:ascii="Myriad Pro" w:eastAsia="Calibri" w:hAnsi="Myriad Pro" w:cs="Times New Roman"/>
          <w:sz w:val="26"/>
          <w:szCs w:val="26"/>
        </w:rPr>
        <w:t>«</w:t>
      </w:r>
      <w:r w:rsidR="00350B0A" w:rsidRPr="00FB0A3A">
        <w:rPr>
          <w:rFonts w:ascii="Myriad Pro" w:eastAsia="Calibri" w:hAnsi="Myriad Pro" w:cs="Times New Roman"/>
          <w:sz w:val="26"/>
          <w:szCs w:val="26"/>
        </w:rPr>
        <w:t>Колэнерго</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 xml:space="preserve"> были предоставлены следующие документы:</w:t>
      </w:r>
    </w:p>
    <w:p w14:paraId="6C9E8587" w14:textId="5A240265" w:rsidR="00F0088B" w:rsidRPr="00FB0A3A" w:rsidRDefault="00F0088B" w:rsidP="009B0BC1">
      <w:pPr>
        <w:pStyle w:val="a4"/>
        <w:numPr>
          <w:ilvl w:val="0"/>
          <w:numId w:val="11"/>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Пояснительные записки;</w:t>
      </w:r>
    </w:p>
    <w:p w14:paraId="327CCAFD" w14:textId="2327D967" w:rsidR="00F0088B" w:rsidRPr="00FB0A3A" w:rsidRDefault="00F0088B" w:rsidP="009B0BC1">
      <w:pPr>
        <w:pStyle w:val="a4"/>
        <w:numPr>
          <w:ilvl w:val="0"/>
          <w:numId w:val="11"/>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Налоговые декларации;</w:t>
      </w:r>
    </w:p>
    <w:p w14:paraId="18757B17" w14:textId="500DEEF2" w:rsidR="00F0088B" w:rsidRPr="00FB0A3A" w:rsidRDefault="00F0088B" w:rsidP="009B0BC1">
      <w:pPr>
        <w:pStyle w:val="a4"/>
        <w:numPr>
          <w:ilvl w:val="0"/>
          <w:numId w:val="11"/>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Обороты счета 20, 23, 25 за 2017 год;</w:t>
      </w:r>
    </w:p>
    <w:p w14:paraId="6DFFDC52" w14:textId="77777777" w:rsidR="00F0088B" w:rsidRPr="00FB0A3A" w:rsidRDefault="00F0088B" w:rsidP="009B0BC1">
      <w:pPr>
        <w:pStyle w:val="a4"/>
        <w:numPr>
          <w:ilvl w:val="0"/>
          <w:numId w:val="11"/>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Перечень земельных участков для налогообложения в 2017 году</w:t>
      </w:r>
    </w:p>
    <w:p w14:paraId="0BB4341F" w14:textId="77777777" w:rsidR="00F0088B" w:rsidRPr="00FB0A3A" w:rsidRDefault="00F0088B" w:rsidP="009B0BC1">
      <w:pPr>
        <w:pStyle w:val="a4"/>
        <w:numPr>
          <w:ilvl w:val="0"/>
          <w:numId w:val="11"/>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Расчет прогнозной величины земельного налога на 2019 год</w:t>
      </w:r>
    </w:p>
    <w:p w14:paraId="1B404655" w14:textId="77777777" w:rsidR="00F0088B" w:rsidRPr="00FB0A3A" w:rsidRDefault="00F0088B" w:rsidP="009B0BC1">
      <w:pPr>
        <w:pStyle w:val="a4"/>
        <w:numPr>
          <w:ilvl w:val="0"/>
          <w:numId w:val="11"/>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Расчет транспортного налога за 2017 год и на 2018-2019 годы;</w:t>
      </w:r>
    </w:p>
    <w:p w14:paraId="0BD6DFC8" w14:textId="77777777" w:rsidR="00F0088B" w:rsidRPr="00FB0A3A" w:rsidRDefault="00F0088B" w:rsidP="009B0BC1">
      <w:pPr>
        <w:pStyle w:val="a4"/>
        <w:numPr>
          <w:ilvl w:val="0"/>
          <w:numId w:val="11"/>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Детализация начислений платы по транспортным средствам за 2017 год;</w:t>
      </w:r>
    </w:p>
    <w:p w14:paraId="4D53B846" w14:textId="77777777" w:rsidR="00F0088B" w:rsidRPr="00FB0A3A" w:rsidRDefault="00F0088B" w:rsidP="009B0BC1">
      <w:pPr>
        <w:pStyle w:val="a4"/>
        <w:numPr>
          <w:ilvl w:val="0"/>
          <w:numId w:val="11"/>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Расчет налога на имущество организаций на 2019 год</w:t>
      </w:r>
    </w:p>
    <w:p w14:paraId="36C19F3B" w14:textId="77777777" w:rsidR="00F0088B" w:rsidRPr="00FB0A3A" w:rsidRDefault="00F0088B" w:rsidP="009B0BC1">
      <w:pPr>
        <w:pStyle w:val="a4"/>
        <w:numPr>
          <w:ilvl w:val="0"/>
          <w:numId w:val="11"/>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Сведения о транспортных средствах, имеющих разрешенную максимальную массу свыше 12 тонн, а также сведения о внесении платы в счет возмещения вреда, причиняемого автомобильным дорогам общего пользования федерального значения за 2017 год (по каждому транспортному средству).</w:t>
      </w:r>
    </w:p>
    <w:p w14:paraId="3D067001" w14:textId="52E9B205" w:rsidR="00F0088B" w:rsidRPr="00FB0A3A" w:rsidRDefault="00F0088B" w:rsidP="009B0BC1">
      <w:pPr>
        <w:pStyle w:val="a4"/>
        <w:numPr>
          <w:ilvl w:val="0"/>
          <w:numId w:val="11"/>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 xml:space="preserve">Федеральный закон </w:t>
      </w:r>
      <w:r w:rsidR="00655FFA" w:rsidRPr="00FB0A3A">
        <w:rPr>
          <w:rFonts w:ascii="Myriad Pro" w:hAnsi="Myriad Pro"/>
          <w:sz w:val="26"/>
          <w:szCs w:val="26"/>
        </w:rPr>
        <w:t>«</w:t>
      </w:r>
      <w:r w:rsidRPr="00FB0A3A">
        <w:rPr>
          <w:rFonts w:ascii="Myriad Pro" w:hAnsi="Myriad Pro"/>
          <w:sz w:val="26"/>
          <w:szCs w:val="26"/>
        </w:rPr>
        <w:t>Об охране окружающей среды</w:t>
      </w:r>
      <w:r w:rsidR="00655FFA" w:rsidRPr="00FB0A3A">
        <w:rPr>
          <w:rFonts w:ascii="Myriad Pro" w:hAnsi="Myriad Pro"/>
          <w:sz w:val="26"/>
          <w:szCs w:val="26"/>
        </w:rPr>
        <w:t>»</w:t>
      </w:r>
      <w:r w:rsidRPr="00FB0A3A">
        <w:rPr>
          <w:rFonts w:ascii="Myriad Pro" w:hAnsi="Myriad Pro"/>
          <w:sz w:val="26"/>
          <w:szCs w:val="26"/>
        </w:rPr>
        <w:t xml:space="preserve"> от 10.01,2002 г. №</w:t>
      </w:r>
      <w:r w:rsidR="00D45F91" w:rsidRPr="00FB0A3A">
        <w:rPr>
          <w:rFonts w:ascii="Myriad Pro" w:hAnsi="Myriad Pro"/>
          <w:sz w:val="26"/>
          <w:szCs w:val="26"/>
        </w:rPr>
        <w:t> </w:t>
      </w:r>
      <w:r w:rsidRPr="00FB0A3A">
        <w:rPr>
          <w:rFonts w:ascii="Myriad Pro" w:hAnsi="Myriad Pro"/>
          <w:sz w:val="26"/>
          <w:szCs w:val="26"/>
        </w:rPr>
        <w:t>7-ФЗ (с изменениями и дополнениями);</w:t>
      </w:r>
    </w:p>
    <w:p w14:paraId="3B039A79" w14:textId="330E593D" w:rsidR="00F0088B" w:rsidRPr="00FB0A3A" w:rsidRDefault="00F0088B" w:rsidP="009B0BC1">
      <w:pPr>
        <w:pStyle w:val="a4"/>
        <w:numPr>
          <w:ilvl w:val="0"/>
          <w:numId w:val="11"/>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Постановление Правительства Российской Федерации от 03.03.2017 №</w:t>
      </w:r>
      <w:r w:rsidR="00D45F91" w:rsidRPr="00FB0A3A">
        <w:rPr>
          <w:rFonts w:ascii="Myriad Pro" w:hAnsi="Myriad Pro"/>
          <w:sz w:val="26"/>
          <w:szCs w:val="26"/>
        </w:rPr>
        <w:t> </w:t>
      </w:r>
      <w:r w:rsidRPr="00FB0A3A">
        <w:rPr>
          <w:rFonts w:ascii="Myriad Pro" w:hAnsi="Myriad Pro"/>
          <w:sz w:val="26"/>
          <w:szCs w:val="26"/>
        </w:rPr>
        <w:t xml:space="preserve">255 </w:t>
      </w:r>
      <w:r w:rsidR="00655FFA" w:rsidRPr="00FB0A3A">
        <w:rPr>
          <w:rFonts w:ascii="Myriad Pro" w:hAnsi="Myriad Pro"/>
          <w:sz w:val="26"/>
          <w:szCs w:val="26"/>
        </w:rPr>
        <w:t>«</w:t>
      </w:r>
      <w:r w:rsidRPr="00FB0A3A">
        <w:rPr>
          <w:rFonts w:ascii="Myriad Pro" w:hAnsi="Myriad Pro"/>
          <w:sz w:val="26"/>
          <w:szCs w:val="26"/>
        </w:rPr>
        <w:t xml:space="preserve">Об исчислении и взимании платы за негативное </w:t>
      </w:r>
      <w:r w:rsidR="00F50BAF" w:rsidRPr="00FB0A3A">
        <w:rPr>
          <w:rFonts w:ascii="Myriad Pro" w:hAnsi="Myriad Pro"/>
          <w:sz w:val="26"/>
          <w:szCs w:val="26"/>
        </w:rPr>
        <w:t>воздействие на окружающую среду</w:t>
      </w:r>
      <w:r w:rsidR="00655FFA" w:rsidRPr="00FB0A3A">
        <w:rPr>
          <w:rFonts w:ascii="Myriad Pro" w:hAnsi="Myriad Pro"/>
          <w:sz w:val="26"/>
          <w:szCs w:val="26"/>
        </w:rPr>
        <w:t>»</w:t>
      </w:r>
      <w:r w:rsidR="00F50BAF" w:rsidRPr="00FB0A3A">
        <w:rPr>
          <w:rFonts w:ascii="Myriad Pro" w:hAnsi="Myriad Pro"/>
          <w:sz w:val="26"/>
          <w:szCs w:val="26"/>
        </w:rPr>
        <w:t>.</w:t>
      </w:r>
    </w:p>
    <w:p w14:paraId="0D0EC71B" w14:textId="77777777" w:rsidR="00AE749F" w:rsidRPr="00FB0A3A" w:rsidRDefault="00AE749F" w:rsidP="00A31747">
      <w:pPr>
        <w:tabs>
          <w:tab w:val="left" w:pos="1134"/>
        </w:tabs>
        <w:spacing w:after="0" w:line="360" w:lineRule="auto"/>
        <w:ind w:firstLine="567"/>
        <w:contextualSpacing/>
        <w:jc w:val="both"/>
        <w:rPr>
          <w:rFonts w:ascii="Myriad Pro" w:eastAsia="Calibri" w:hAnsi="Myriad Pro" w:cs="Times New Roman"/>
          <w:b/>
          <w:sz w:val="26"/>
          <w:szCs w:val="26"/>
        </w:rPr>
      </w:pPr>
    </w:p>
    <w:p w14:paraId="312C2BCC" w14:textId="5A9E7C2E" w:rsidR="001F763E" w:rsidRPr="00FB0A3A" w:rsidRDefault="001F763E" w:rsidP="00AE749F">
      <w:pPr>
        <w:tabs>
          <w:tab w:val="left" w:pos="1134"/>
        </w:tabs>
        <w:spacing w:after="0" w:line="360" w:lineRule="auto"/>
        <w:contextualSpacing/>
        <w:jc w:val="both"/>
        <w:rPr>
          <w:rFonts w:ascii="Myriad Pro" w:eastAsia="Calibri" w:hAnsi="Myriad Pro" w:cs="Times New Roman"/>
          <w:b/>
          <w:sz w:val="26"/>
          <w:szCs w:val="26"/>
        </w:rPr>
      </w:pPr>
      <w:r w:rsidRPr="00FB0A3A">
        <w:rPr>
          <w:rFonts w:ascii="Myriad Pro" w:eastAsia="Calibri" w:hAnsi="Myriad Pro" w:cs="Times New Roman"/>
          <w:b/>
          <w:sz w:val="26"/>
          <w:szCs w:val="26"/>
        </w:rPr>
        <w:t>ПОЗИЦИЯ ОРГАНА РЕГУЛИРОВАНИЯ</w:t>
      </w:r>
    </w:p>
    <w:p w14:paraId="4AF095A3" w14:textId="01E0EBD6" w:rsidR="00F049F4" w:rsidRPr="00FB0A3A" w:rsidRDefault="00F049F4" w:rsidP="00A31747">
      <w:pPr>
        <w:pStyle w:val="Default"/>
        <w:tabs>
          <w:tab w:val="left" w:pos="1134"/>
        </w:tabs>
        <w:spacing w:line="360" w:lineRule="auto"/>
        <w:ind w:firstLine="567"/>
        <w:jc w:val="both"/>
        <w:rPr>
          <w:rFonts w:ascii="Myriad Pro" w:eastAsia="Calibri" w:hAnsi="Myriad Pro"/>
          <w:color w:val="auto"/>
          <w:sz w:val="26"/>
          <w:szCs w:val="26"/>
        </w:rPr>
      </w:pPr>
      <w:r w:rsidRPr="00FB0A3A">
        <w:rPr>
          <w:rFonts w:ascii="Myriad Pro" w:eastAsia="Calibri" w:hAnsi="Myriad Pro"/>
          <w:color w:val="auto"/>
          <w:sz w:val="26"/>
          <w:szCs w:val="26"/>
        </w:rPr>
        <w:t xml:space="preserve">Плата за землю: Комитетом расходы приняты в размере 4,78 тыс. руб. в соответствии со ставкой земельного налога согласно нормативным правовым </w:t>
      </w:r>
      <w:r w:rsidRPr="00FB0A3A">
        <w:rPr>
          <w:rFonts w:ascii="Myriad Pro" w:eastAsia="Calibri" w:hAnsi="Myriad Pro"/>
          <w:color w:val="auto"/>
          <w:sz w:val="26"/>
          <w:szCs w:val="26"/>
        </w:rPr>
        <w:lastRenderedPageBreak/>
        <w:t xml:space="preserve">актам представительных органов муниципальных образований, площадям земельных участков, признаваемых объектом налогообложения, по категориям земель, их кадастровой стоимости. </w:t>
      </w:r>
    </w:p>
    <w:p w14:paraId="0AA97279" w14:textId="77777777" w:rsidR="00F049F4" w:rsidRPr="00FB0A3A" w:rsidRDefault="00F049F4" w:rsidP="00A31747">
      <w:pPr>
        <w:pStyle w:val="Default"/>
        <w:tabs>
          <w:tab w:val="left" w:pos="1134"/>
        </w:tabs>
        <w:spacing w:line="360" w:lineRule="auto"/>
        <w:ind w:firstLine="567"/>
        <w:jc w:val="both"/>
        <w:rPr>
          <w:rFonts w:ascii="Myriad Pro" w:eastAsia="Calibri" w:hAnsi="Myriad Pro"/>
          <w:color w:val="auto"/>
          <w:sz w:val="26"/>
          <w:szCs w:val="26"/>
        </w:rPr>
      </w:pPr>
      <w:r w:rsidRPr="00FB0A3A">
        <w:rPr>
          <w:rFonts w:ascii="Myriad Pro" w:eastAsia="Calibri" w:hAnsi="Myriad Pro"/>
          <w:color w:val="auto"/>
          <w:sz w:val="26"/>
          <w:szCs w:val="26"/>
        </w:rPr>
        <w:t xml:space="preserve">Налог на имущество: Комитетом расходы приняты в размере 61 534,45 тыс. руб. исходя из фактического наличия имущества, учитываемого на балансе в качестве объектов основных средств. </w:t>
      </w:r>
    </w:p>
    <w:p w14:paraId="219940C9" w14:textId="77777777" w:rsidR="00F049F4" w:rsidRPr="00FB0A3A" w:rsidRDefault="00F049F4" w:rsidP="00A31747">
      <w:pPr>
        <w:pStyle w:val="Default"/>
        <w:tabs>
          <w:tab w:val="left" w:pos="1134"/>
        </w:tabs>
        <w:spacing w:line="360" w:lineRule="auto"/>
        <w:ind w:firstLine="567"/>
        <w:jc w:val="both"/>
        <w:rPr>
          <w:rFonts w:ascii="Myriad Pro" w:eastAsia="Calibri" w:hAnsi="Myriad Pro"/>
          <w:color w:val="auto"/>
          <w:sz w:val="26"/>
          <w:szCs w:val="26"/>
        </w:rPr>
      </w:pPr>
      <w:r w:rsidRPr="00FB0A3A">
        <w:rPr>
          <w:rFonts w:ascii="Myriad Pro" w:eastAsia="Calibri" w:hAnsi="Myriad Pro"/>
          <w:color w:val="auto"/>
          <w:sz w:val="26"/>
          <w:szCs w:val="26"/>
        </w:rPr>
        <w:t xml:space="preserve">Водный налог: Комитетом расходы приняты в размере 0,14 тыс. руб. </w:t>
      </w:r>
    </w:p>
    <w:p w14:paraId="0F5714AC" w14:textId="77777777" w:rsidR="00F049F4" w:rsidRPr="00FB0A3A" w:rsidRDefault="00F049F4" w:rsidP="00A31747">
      <w:pPr>
        <w:pStyle w:val="Default"/>
        <w:tabs>
          <w:tab w:val="left" w:pos="1134"/>
        </w:tabs>
        <w:spacing w:line="360" w:lineRule="auto"/>
        <w:ind w:firstLine="567"/>
        <w:jc w:val="both"/>
        <w:rPr>
          <w:rFonts w:ascii="Myriad Pro" w:eastAsia="Calibri" w:hAnsi="Myriad Pro"/>
          <w:color w:val="auto"/>
          <w:sz w:val="26"/>
          <w:szCs w:val="26"/>
        </w:rPr>
      </w:pPr>
      <w:r w:rsidRPr="00FB0A3A">
        <w:rPr>
          <w:rFonts w:ascii="Myriad Pro" w:eastAsia="Calibri" w:hAnsi="Myriad Pro"/>
          <w:color w:val="auto"/>
          <w:sz w:val="26"/>
          <w:szCs w:val="26"/>
        </w:rPr>
        <w:t xml:space="preserve">Транспортный налог: Комитетом расходы приняты в размере 844,52 тыс. руб. </w:t>
      </w:r>
    </w:p>
    <w:p w14:paraId="1AC0C010" w14:textId="77777777" w:rsidR="00F049F4" w:rsidRPr="00FB0A3A" w:rsidRDefault="00F049F4" w:rsidP="00A31747">
      <w:pPr>
        <w:pStyle w:val="Default"/>
        <w:tabs>
          <w:tab w:val="left" w:pos="1134"/>
        </w:tabs>
        <w:spacing w:line="360" w:lineRule="auto"/>
        <w:ind w:firstLine="567"/>
        <w:jc w:val="both"/>
        <w:rPr>
          <w:rFonts w:ascii="Myriad Pro" w:eastAsia="Calibri" w:hAnsi="Myriad Pro"/>
          <w:color w:val="auto"/>
          <w:sz w:val="26"/>
          <w:szCs w:val="26"/>
        </w:rPr>
      </w:pPr>
      <w:r w:rsidRPr="00FB0A3A">
        <w:rPr>
          <w:rFonts w:ascii="Myriad Pro" w:eastAsia="Calibri" w:hAnsi="Myriad Pro"/>
          <w:color w:val="auto"/>
          <w:sz w:val="26"/>
          <w:szCs w:val="26"/>
        </w:rPr>
        <w:t xml:space="preserve">Экологические платежи: Комитетом расходы приняты в размере 654,04 тыс. руб. </w:t>
      </w:r>
    </w:p>
    <w:p w14:paraId="33A7BC4E" w14:textId="0C430644" w:rsidR="001C7C18" w:rsidRPr="00FB0A3A" w:rsidRDefault="00F049F4"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Прочие налоги и сборы (госпошлина): Комитетом расходы приняты в размере 3 781,50 тыс. руб.</w:t>
      </w:r>
    </w:p>
    <w:p w14:paraId="718B1308" w14:textId="77777777" w:rsidR="008A1FE3" w:rsidRPr="00FB0A3A" w:rsidRDefault="008A1FE3" w:rsidP="00A31747">
      <w:pPr>
        <w:tabs>
          <w:tab w:val="left" w:pos="1134"/>
        </w:tabs>
        <w:spacing w:after="0" w:line="360" w:lineRule="auto"/>
        <w:ind w:firstLine="567"/>
        <w:contextualSpacing/>
        <w:jc w:val="both"/>
        <w:rPr>
          <w:rFonts w:ascii="Myriad Pro" w:eastAsia="Calibri" w:hAnsi="Myriad Pro" w:cs="Times New Roman"/>
          <w:sz w:val="26"/>
          <w:szCs w:val="26"/>
        </w:rPr>
      </w:pPr>
    </w:p>
    <w:p w14:paraId="7985965C" w14:textId="3CA278C6" w:rsidR="001F763E" w:rsidRPr="00FB0A3A" w:rsidRDefault="001F763E" w:rsidP="00AE749F">
      <w:pPr>
        <w:tabs>
          <w:tab w:val="left" w:pos="1134"/>
        </w:tabs>
        <w:spacing w:after="0" w:line="360" w:lineRule="auto"/>
        <w:contextualSpacing/>
        <w:jc w:val="both"/>
        <w:rPr>
          <w:rFonts w:ascii="Myriad Pro" w:eastAsia="Calibri" w:hAnsi="Myriad Pro" w:cs="Times New Roman"/>
          <w:b/>
          <w:sz w:val="26"/>
          <w:szCs w:val="26"/>
        </w:rPr>
      </w:pPr>
      <w:r w:rsidRPr="00FB0A3A">
        <w:rPr>
          <w:rFonts w:ascii="Myriad Pro" w:eastAsia="Calibri" w:hAnsi="Myriad Pro" w:cs="Times New Roman"/>
          <w:b/>
          <w:sz w:val="26"/>
          <w:szCs w:val="26"/>
        </w:rPr>
        <w:t>ПОЗИЦИЯ ИСПОЛНИТЕЛЯ</w:t>
      </w:r>
    </w:p>
    <w:p w14:paraId="4000056B" w14:textId="3FF44111" w:rsidR="00F049F4" w:rsidRPr="00FB0A3A" w:rsidRDefault="00F049F4" w:rsidP="00A31747">
      <w:pPr>
        <w:tabs>
          <w:tab w:val="left" w:pos="1134"/>
        </w:tabs>
        <w:spacing w:after="0" w:line="360" w:lineRule="auto"/>
        <w:ind w:firstLine="567"/>
        <w:contextualSpacing/>
        <w:jc w:val="both"/>
        <w:rPr>
          <w:rFonts w:ascii="Myriad Pro" w:eastAsia="Calibri" w:hAnsi="Myriad Pro"/>
          <w:sz w:val="26"/>
          <w:szCs w:val="26"/>
        </w:rPr>
      </w:pPr>
      <w:r w:rsidRPr="00FB0A3A">
        <w:rPr>
          <w:rFonts w:ascii="Myriad Pro" w:eastAsia="Calibri" w:hAnsi="Myriad Pro"/>
          <w:sz w:val="26"/>
          <w:szCs w:val="26"/>
        </w:rPr>
        <w:t>Плата за землю Комитетом</w:t>
      </w:r>
      <w:r w:rsidR="002127FB" w:rsidRPr="00FB0A3A">
        <w:rPr>
          <w:rFonts w:ascii="Myriad Pro" w:eastAsia="Calibri" w:hAnsi="Myriad Pro"/>
          <w:sz w:val="26"/>
          <w:szCs w:val="26"/>
        </w:rPr>
        <w:t xml:space="preserve"> принята</w:t>
      </w:r>
      <w:r w:rsidR="00FC2454" w:rsidRPr="00FB0A3A">
        <w:rPr>
          <w:rFonts w:ascii="Myriad Pro" w:eastAsia="Calibri" w:hAnsi="Myriad Pro"/>
          <w:sz w:val="26"/>
          <w:szCs w:val="26"/>
        </w:rPr>
        <w:t xml:space="preserve"> в размере 13 366,19 тыс. руб., заявленном Филиалом</w:t>
      </w:r>
      <w:r w:rsidR="002127FB" w:rsidRPr="00FB0A3A">
        <w:rPr>
          <w:rFonts w:ascii="Myriad Pro" w:eastAsia="Calibri" w:hAnsi="Myriad Pro"/>
          <w:sz w:val="26"/>
          <w:szCs w:val="26"/>
        </w:rPr>
        <w:t xml:space="preserve">. Прочие налоги Комитетом приняты в размере </w:t>
      </w:r>
      <w:r w:rsidR="00620CA0" w:rsidRPr="00FB0A3A">
        <w:rPr>
          <w:rFonts w:ascii="Myriad Pro" w:eastAsia="Calibri" w:hAnsi="Myriad Pro"/>
          <w:sz w:val="26"/>
          <w:szCs w:val="26"/>
        </w:rPr>
        <w:t>5 280,19 тыс. руб., при заявленных Филиалом 5 431,48 тыс. руб.</w:t>
      </w:r>
    </w:p>
    <w:p w14:paraId="10BAAB13" w14:textId="1767E1FE" w:rsidR="002E320E" w:rsidRPr="00FB0A3A" w:rsidRDefault="00F049F4"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Исполнитель</w:t>
      </w:r>
      <w:r w:rsidR="00620CA0" w:rsidRPr="00FB0A3A">
        <w:rPr>
          <w:rFonts w:ascii="Myriad Pro" w:eastAsia="Calibri" w:hAnsi="Myriad Pro" w:cs="Times New Roman"/>
          <w:sz w:val="26"/>
          <w:szCs w:val="26"/>
        </w:rPr>
        <w:t>,</w:t>
      </w:r>
      <w:r w:rsidRPr="00FB0A3A">
        <w:rPr>
          <w:rFonts w:ascii="Myriad Pro" w:eastAsia="Calibri" w:hAnsi="Myriad Pro" w:cs="Times New Roman"/>
          <w:sz w:val="26"/>
          <w:szCs w:val="26"/>
        </w:rPr>
        <w:t xml:space="preserve"> </w:t>
      </w:r>
      <w:r w:rsidR="00620CA0" w:rsidRPr="00FB0A3A">
        <w:rPr>
          <w:rFonts w:ascii="Myriad Pro" w:eastAsia="Calibri" w:hAnsi="Myriad Pro" w:cs="Times New Roman"/>
          <w:sz w:val="26"/>
          <w:szCs w:val="26"/>
        </w:rPr>
        <w:t xml:space="preserve">руководствуясь </w:t>
      </w:r>
      <w:r w:rsidRPr="00FB0A3A">
        <w:rPr>
          <w:rFonts w:ascii="Myriad Pro" w:eastAsia="Calibri" w:hAnsi="Myriad Pro" w:cs="Times New Roman"/>
          <w:sz w:val="26"/>
          <w:szCs w:val="26"/>
        </w:rPr>
        <w:t>принципом существенности отклонений величин расходов, утвержденных Комитетом на 2019 год</w:t>
      </w:r>
      <w:r w:rsidR="00D45F91" w:rsidRPr="00FB0A3A">
        <w:rPr>
          <w:rFonts w:ascii="Myriad Pro" w:eastAsia="Calibri" w:hAnsi="Myriad Pro" w:cs="Times New Roman"/>
          <w:sz w:val="26"/>
          <w:szCs w:val="26"/>
        </w:rPr>
        <w:t>,</w:t>
      </w:r>
      <w:r w:rsidR="00620CA0" w:rsidRPr="00FB0A3A">
        <w:rPr>
          <w:rFonts w:ascii="Myriad Pro" w:eastAsia="Calibri" w:hAnsi="Myriad Pro" w:cs="Times New Roman"/>
          <w:sz w:val="26"/>
          <w:szCs w:val="26"/>
        </w:rPr>
        <w:t xml:space="preserve"> в настоящем разделе рассмотрит </w:t>
      </w:r>
      <w:r w:rsidR="00620CA0" w:rsidRPr="006D6E69">
        <w:rPr>
          <w:rFonts w:ascii="Myriad Pro" w:eastAsia="Calibri" w:hAnsi="Myriad Pro" w:cs="Times New Roman"/>
          <w:b/>
          <w:sz w:val="26"/>
          <w:szCs w:val="26"/>
        </w:rPr>
        <w:t xml:space="preserve">детально </w:t>
      </w:r>
      <w:r w:rsidR="00620CA0" w:rsidRPr="00FB0A3A">
        <w:rPr>
          <w:rFonts w:ascii="Myriad Pro" w:eastAsia="Calibri" w:hAnsi="Myriad Pro" w:cs="Times New Roman"/>
          <w:sz w:val="26"/>
          <w:szCs w:val="26"/>
        </w:rPr>
        <w:t>расходы на оплату налога на имущество.</w:t>
      </w:r>
    </w:p>
    <w:p w14:paraId="7E1AAC3C" w14:textId="210F65E2" w:rsidR="00620CA0" w:rsidRPr="00FB0A3A" w:rsidRDefault="00620CA0"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 xml:space="preserve">Федеральным законом </w:t>
      </w:r>
      <w:hyperlink r:id="rId82" w:anchor="01568562866297205" w:history="1">
        <w:r w:rsidRPr="00FB0A3A">
          <w:rPr>
            <w:rFonts w:ascii="Myriad Pro" w:eastAsia="Calibri" w:hAnsi="Myriad Pro" w:cs="Times New Roman"/>
            <w:sz w:val="26"/>
            <w:szCs w:val="26"/>
          </w:rPr>
          <w:t>от 03.08.2018 N 302-ФЗ</w:t>
        </w:r>
      </w:hyperlink>
      <w:r w:rsidRPr="00FB0A3A">
        <w:rPr>
          <w:rFonts w:ascii="Myriad Pro" w:eastAsia="Calibri" w:hAnsi="Myriad Pro" w:cs="Times New Roman"/>
          <w:sz w:val="26"/>
          <w:szCs w:val="26"/>
        </w:rPr>
        <w:t xml:space="preserve"> </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О внесении изменений в части первую и вторую Налогового кодекса Российской Федерации</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 xml:space="preserve"> внесены изменения в часть вторую Налогового кодекса Росс</w:t>
      </w:r>
      <w:r w:rsidR="00423BA7" w:rsidRPr="00FB0A3A">
        <w:rPr>
          <w:rFonts w:ascii="Myriad Pro" w:eastAsia="Calibri" w:hAnsi="Myriad Pro" w:cs="Times New Roman"/>
          <w:sz w:val="26"/>
          <w:szCs w:val="26"/>
        </w:rPr>
        <w:t>ийской Федерации</w:t>
      </w:r>
      <w:r w:rsidR="00A0531C" w:rsidRPr="00FB0A3A">
        <w:rPr>
          <w:rFonts w:ascii="Myriad Pro" w:eastAsia="Calibri" w:hAnsi="Myriad Pro" w:cs="Times New Roman"/>
          <w:sz w:val="26"/>
          <w:szCs w:val="26"/>
        </w:rPr>
        <w:t>, с</w:t>
      </w:r>
      <w:r w:rsidRPr="00FB0A3A">
        <w:rPr>
          <w:rFonts w:ascii="Myriad Pro" w:eastAsia="Calibri" w:hAnsi="Myriad Pro" w:cs="Times New Roman"/>
          <w:sz w:val="26"/>
          <w:szCs w:val="26"/>
        </w:rPr>
        <w:t>огласно которым с 1</w:t>
      </w:r>
      <w:r w:rsidR="00D45F91" w:rsidRPr="00FB0A3A">
        <w:rPr>
          <w:rFonts w:ascii="Myriad Pro" w:eastAsia="Calibri" w:hAnsi="Myriad Pro" w:cs="Times New Roman"/>
          <w:sz w:val="26"/>
          <w:szCs w:val="26"/>
        </w:rPr>
        <w:t> </w:t>
      </w:r>
      <w:r w:rsidRPr="00FB0A3A">
        <w:rPr>
          <w:rFonts w:ascii="Myriad Pro" w:eastAsia="Calibri" w:hAnsi="Myriad Pro" w:cs="Times New Roman"/>
          <w:sz w:val="26"/>
          <w:szCs w:val="26"/>
        </w:rPr>
        <w:t>января 2019 года из налогооблагаемых объектов налогом на имущество организаций исключено движимое имущество.</w:t>
      </w:r>
    </w:p>
    <w:p w14:paraId="3B1BC13C" w14:textId="77777777" w:rsidR="00620CA0" w:rsidRPr="00FB0A3A" w:rsidRDefault="00620CA0"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Таким образом, налогом теперь облагается только недвижимое имущество организаций.</w:t>
      </w:r>
    </w:p>
    <w:p w14:paraId="5D2156AD" w14:textId="71CCAF43" w:rsidR="00A0531C" w:rsidRPr="00FB0A3A" w:rsidRDefault="00423BA7"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 xml:space="preserve">Филиалом заявлено 88 835,57 тыс. руб. </w:t>
      </w:r>
      <w:r w:rsidR="00A0531C" w:rsidRPr="00FB0A3A">
        <w:rPr>
          <w:rFonts w:ascii="Myriad Pro" w:eastAsia="Calibri" w:hAnsi="Myriad Pro" w:cs="Times New Roman"/>
          <w:sz w:val="26"/>
          <w:szCs w:val="26"/>
        </w:rPr>
        <w:t xml:space="preserve">Расчет произведен по ставке 2,2% со всего имущества, в том числе с недвижимого имущества </w:t>
      </w:r>
      <w:r w:rsidR="00A1509F" w:rsidRPr="00FB0A3A">
        <w:rPr>
          <w:rFonts w:ascii="Myriad Pro" w:eastAsia="Calibri" w:hAnsi="Myriad Pro" w:cs="Times New Roman"/>
          <w:sz w:val="26"/>
          <w:szCs w:val="26"/>
        </w:rPr>
        <w:t xml:space="preserve">сумма </w:t>
      </w:r>
      <w:r w:rsidR="00A0531C" w:rsidRPr="00FB0A3A">
        <w:rPr>
          <w:rFonts w:ascii="Myriad Pro" w:eastAsia="Calibri" w:hAnsi="Myriad Pro" w:cs="Times New Roman"/>
          <w:sz w:val="26"/>
          <w:szCs w:val="26"/>
        </w:rPr>
        <w:t>в размере 37 63</w:t>
      </w:r>
      <w:r w:rsidR="00A1509F" w:rsidRPr="00FB0A3A">
        <w:rPr>
          <w:rFonts w:ascii="Myriad Pro" w:eastAsia="Calibri" w:hAnsi="Myriad Pro" w:cs="Times New Roman"/>
          <w:sz w:val="26"/>
          <w:szCs w:val="26"/>
        </w:rPr>
        <w:t>7</w:t>
      </w:r>
      <w:r w:rsidR="00A0531C" w:rsidRPr="00FB0A3A">
        <w:rPr>
          <w:rFonts w:ascii="Myriad Pro" w:eastAsia="Calibri" w:hAnsi="Myriad Pro" w:cs="Times New Roman"/>
          <w:sz w:val="26"/>
          <w:szCs w:val="26"/>
        </w:rPr>
        <w:t>, 371 тыс. руб.</w:t>
      </w:r>
      <w:r w:rsidR="00A1509F" w:rsidRPr="00FB0A3A">
        <w:rPr>
          <w:rFonts w:ascii="Myriad Pro" w:eastAsia="Calibri" w:hAnsi="Myriad Pro" w:cs="Times New Roman"/>
          <w:sz w:val="26"/>
          <w:szCs w:val="26"/>
        </w:rPr>
        <w:t xml:space="preserve">, с движимого имущества сумма налога в </w:t>
      </w:r>
      <w:r w:rsidR="00A0531C" w:rsidRPr="00FB0A3A">
        <w:rPr>
          <w:rFonts w:ascii="Myriad Pro" w:eastAsia="Calibri" w:hAnsi="Myriad Pro" w:cs="Times New Roman"/>
          <w:sz w:val="26"/>
          <w:szCs w:val="26"/>
        </w:rPr>
        <w:t xml:space="preserve">размере 31 953,404 </w:t>
      </w:r>
      <w:r w:rsidR="00A0531C" w:rsidRPr="00FB0A3A">
        <w:rPr>
          <w:rFonts w:ascii="Myriad Pro" w:eastAsia="Calibri" w:hAnsi="Myriad Pro" w:cs="Times New Roman"/>
          <w:sz w:val="26"/>
          <w:szCs w:val="26"/>
        </w:rPr>
        <w:lastRenderedPageBreak/>
        <w:t>тыс. руб.</w:t>
      </w:r>
      <w:r w:rsidR="00A1509F" w:rsidRPr="00FB0A3A">
        <w:rPr>
          <w:rFonts w:ascii="Myriad Pro" w:eastAsia="Calibri" w:hAnsi="Myriad Pro" w:cs="Times New Roman"/>
          <w:sz w:val="26"/>
          <w:szCs w:val="26"/>
        </w:rPr>
        <w:t>, с вновь вводимых объектов сумма налога в размере 19 244,794</w:t>
      </w:r>
      <w:r w:rsidR="00823151" w:rsidRPr="00FB0A3A">
        <w:rPr>
          <w:rFonts w:ascii="Myriad Pro" w:eastAsia="Calibri" w:hAnsi="Myriad Pro" w:cs="Times New Roman"/>
          <w:sz w:val="26"/>
          <w:szCs w:val="26"/>
        </w:rPr>
        <w:t xml:space="preserve"> тыс. руб.</w:t>
      </w:r>
      <w:r w:rsidR="00A1509F" w:rsidRPr="00FB0A3A">
        <w:rPr>
          <w:rFonts w:ascii="Myriad Pro" w:eastAsia="Calibri" w:hAnsi="Myriad Pro" w:cs="Times New Roman"/>
          <w:sz w:val="26"/>
          <w:szCs w:val="26"/>
        </w:rPr>
        <w:t xml:space="preserve"> </w:t>
      </w:r>
      <w:r w:rsidR="00A0531C" w:rsidRPr="00FB0A3A">
        <w:rPr>
          <w:rFonts w:ascii="Myriad Pro" w:eastAsia="Calibri" w:hAnsi="Myriad Pro" w:cs="Times New Roman"/>
          <w:sz w:val="26"/>
          <w:szCs w:val="26"/>
        </w:rPr>
        <w:t>Расчет представлен по всему имуществу (</w:t>
      </w:r>
      <w:r w:rsidR="00A1509F" w:rsidRPr="00FB0A3A">
        <w:rPr>
          <w:rFonts w:ascii="Myriad Pro" w:eastAsia="Calibri" w:hAnsi="Myriad Pro" w:cs="Times New Roman"/>
          <w:sz w:val="26"/>
          <w:szCs w:val="26"/>
        </w:rPr>
        <w:t>позиции имущества на 11 721 строках).</w:t>
      </w:r>
    </w:p>
    <w:p w14:paraId="6A72DF9A" w14:textId="33728DF8" w:rsidR="00A1509F" w:rsidRPr="00FB0A3A" w:rsidRDefault="00A1509F"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Филиалом представлены налоговые декларации. Остаточная стоимость имущества по состоянию на 31.12.2017 совпадает с остаточной стоимостью, принятой Филиалом в расчете налога на имущество.</w:t>
      </w:r>
    </w:p>
    <w:p w14:paraId="33B0DC37" w14:textId="12B40ABC" w:rsidR="00620CA0" w:rsidRPr="00FB0A3A" w:rsidRDefault="00A1509F"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Комитетом приняты расходы по налогу на имущество</w:t>
      </w:r>
      <w:r w:rsidR="00423BA7" w:rsidRPr="00FB0A3A">
        <w:rPr>
          <w:rFonts w:ascii="Myriad Pro" w:eastAsia="Calibri" w:hAnsi="Myriad Pro" w:cs="Times New Roman"/>
          <w:sz w:val="26"/>
          <w:szCs w:val="26"/>
        </w:rPr>
        <w:t xml:space="preserve"> в размере 61 534,45 тыс. руб.</w:t>
      </w:r>
      <w:r w:rsidR="00F15D2B" w:rsidRPr="00FB0A3A">
        <w:rPr>
          <w:rFonts w:ascii="Myriad Pro" w:eastAsia="Calibri" w:hAnsi="Myriad Pro" w:cs="Times New Roman"/>
          <w:sz w:val="26"/>
          <w:szCs w:val="26"/>
        </w:rPr>
        <w:t xml:space="preserve"> (Филиалом сумма 61 534 тыс. руб. указывалась как оценочная сумма налога на имущество за 2018 год). </w:t>
      </w:r>
      <w:r w:rsidRPr="00FB0A3A">
        <w:rPr>
          <w:rFonts w:ascii="Myriad Pro" w:eastAsia="Calibri" w:hAnsi="Myriad Pro" w:cs="Times New Roman"/>
          <w:sz w:val="26"/>
          <w:szCs w:val="26"/>
        </w:rPr>
        <w:t>Информация с расшифровкой сумм</w:t>
      </w:r>
      <w:r w:rsidR="003A3D44" w:rsidRPr="00FB0A3A">
        <w:rPr>
          <w:rFonts w:ascii="Myriad Pro" w:eastAsia="Calibri" w:hAnsi="Myriad Pro" w:cs="Times New Roman"/>
          <w:sz w:val="26"/>
          <w:szCs w:val="26"/>
        </w:rPr>
        <w:t>, расчетом налога и пояснения Комитета отсутствую</w:t>
      </w:r>
      <w:r w:rsidRPr="00FB0A3A">
        <w:rPr>
          <w:rFonts w:ascii="Myriad Pro" w:eastAsia="Calibri" w:hAnsi="Myriad Pro" w:cs="Times New Roman"/>
          <w:sz w:val="26"/>
          <w:szCs w:val="26"/>
        </w:rPr>
        <w:t>т.</w:t>
      </w:r>
    </w:p>
    <w:p w14:paraId="4FE6D2C5" w14:textId="42A40E39" w:rsidR="00823151" w:rsidRPr="00FB0A3A" w:rsidRDefault="00A1509F"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В связи внесением изменений в налоговое законодательство</w:t>
      </w:r>
      <w:r w:rsidR="00823151" w:rsidRPr="00FB0A3A">
        <w:rPr>
          <w:rFonts w:ascii="Myriad Pro" w:eastAsia="Calibri" w:hAnsi="Myriad Pro" w:cs="Times New Roman"/>
          <w:sz w:val="26"/>
          <w:szCs w:val="26"/>
        </w:rPr>
        <w:t xml:space="preserve">, в соответствии с которыми объектами налогообложения признаются только недвижимое имущество расходы на оплату налога составят </w:t>
      </w:r>
      <w:r w:rsidR="00792104" w:rsidRPr="00FB0A3A">
        <w:rPr>
          <w:rFonts w:ascii="Myriad Pro" w:eastAsia="Calibri" w:hAnsi="Myriad Pro" w:cs="Times New Roman"/>
          <w:sz w:val="26"/>
          <w:szCs w:val="26"/>
        </w:rPr>
        <w:t xml:space="preserve">37 637,37 </w:t>
      </w:r>
      <w:r w:rsidR="00823151" w:rsidRPr="00FB0A3A">
        <w:rPr>
          <w:rFonts w:ascii="Myriad Pro" w:eastAsia="Calibri" w:hAnsi="Myriad Pro" w:cs="Times New Roman"/>
          <w:sz w:val="26"/>
          <w:szCs w:val="26"/>
        </w:rPr>
        <w:t>тыс. руб.</w:t>
      </w:r>
    </w:p>
    <w:p w14:paraId="13FA23C1" w14:textId="2CF42458" w:rsidR="00823151" w:rsidRPr="00FB0A3A" w:rsidRDefault="00823151"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 xml:space="preserve">По вновь вводимым объектам </w:t>
      </w:r>
      <w:r w:rsidR="00251E66" w:rsidRPr="00FB0A3A">
        <w:rPr>
          <w:rFonts w:ascii="Myriad Pro" w:eastAsia="Calibri" w:hAnsi="Myriad Pro" w:cs="Times New Roman"/>
          <w:sz w:val="26"/>
          <w:szCs w:val="26"/>
        </w:rPr>
        <w:t xml:space="preserve">Филиалом </w:t>
      </w:r>
      <w:r w:rsidRPr="00FB0A3A">
        <w:rPr>
          <w:rFonts w:ascii="Myriad Pro" w:eastAsia="Calibri" w:hAnsi="Myriad Pro" w:cs="Times New Roman"/>
          <w:sz w:val="26"/>
          <w:szCs w:val="26"/>
        </w:rPr>
        <w:t>произведен плановый расчет</w:t>
      </w:r>
      <w:r w:rsidR="00C72F72">
        <w:rPr>
          <w:rFonts w:ascii="Myriad Pro" w:eastAsia="Calibri" w:hAnsi="Myriad Pro" w:cs="Times New Roman"/>
          <w:sz w:val="26"/>
          <w:szCs w:val="26"/>
        </w:rPr>
        <w:t>.</w:t>
      </w:r>
    </w:p>
    <w:p w14:paraId="1D3A2994" w14:textId="2AC2698A" w:rsidR="00251E66" w:rsidRPr="006D6E69" w:rsidRDefault="00251E66" w:rsidP="00A31747">
      <w:pPr>
        <w:tabs>
          <w:tab w:val="left" w:pos="1134"/>
        </w:tabs>
        <w:spacing w:after="0" w:line="360" w:lineRule="auto"/>
        <w:ind w:firstLine="567"/>
        <w:jc w:val="both"/>
        <w:rPr>
          <w:rFonts w:ascii="Myriad Pro" w:eastAsia="Calibri" w:hAnsi="Myriad Pro" w:cs="Times New Roman"/>
          <w:sz w:val="26"/>
          <w:szCs w:val="26"/>
          <w:u w:val="single"/>
        </w:rPr>
      </w:pPr>
      <w:r w:rsidRPr="00FB0A3A">
        <w:rPr>
          <w:rFonts w:ascii="Myriad Pro" w:eastAsia="Calibri" w:hAnsi="Myriad Pro" w:cs="Times New Roman"/>
          <w:sz w:val="26"/>
          <w:szCs w:val="26"/>
        </w:rPr>
        <w:t xml:space="preserve">Принимая во внимание положения пункта 27 Основ ценообразования №1178 и позицию ФАС России относительно учета в составе необходимой валовой выручки амортизационных отчислений </w:t>
      </w:r>
      <w:r w:rsidRPr="006D6E69">
        <w:rPr>
          <w:rFonts w:ascii="Myriad Pro" w:eastAsia="Calibri" w:hAnsi="Myriad Pro" w:cs="Times New Roman"/>
          <w:sz w:val="26"/>
          <w:szCs w:val="26"/>
          <w:u w:val="single"/>
        </w:rPr>
        <w:t>только по фактически введенным</w:t>
      </w:r>
      <w:r w:rsidRPr="00FB0A3A">
        <w:rPr>
          <w:rFonts w:ascii="Myriad Pro" w:eastAsia="Calibri" w:hAnsi="Myriad Pro" w:cs="Times New Roman"/>
          <w:sz w:val="26"/>
          <w:szCs w:val="26"/>
        </w:rPr>
        <w:t xml:space="preserve"> в эксплуатацию объектам основных средств (следовательно и величины налогов), а также ввиду отсутствия в материалах тарифного дела документального подтверждения о вводе имущества Исполнитель обоснованно полагает, что </w:t>
      </w:r>
      <w:r w:rsidR="00792104" w:rsidRPr="00FB0A3A">
        <w:rPr>
          <w:rFonts w:ascii="Myriad Pro" w:eastAsia="Calibri" w:hAnsi="Myriad Pro" w:cs="Times New Roman"/>
          <w:sz w:val="26"/>
          <w:szCs w:val="26"/>
        </w:rPr>
        <w:t xml:space="preserve">расходы по налогу на имущество документальное подтверждение о вводе которого отсутствует в материалах тарифного дела, </w:t>
      </w:r>
      <w:r w:rsidR="00792104" w:rsidRPr="006D6E69">
        <w:rPr>
          <w:rFonts w:ascii="Myriad Pro" w:eastAsia="Calibri" w:hAnsi="Myriad Pro" w:cs="Times New Roman"/>
          <w:sz w:val="26"/>
          <w:szCs w:val="26"/>
          <w:u w:val="single"/>
        </w:rPr>
        <w:t>экономически не обоснованно.</w:t>
      </w:r>
    </w:p>
    <w:p w14:paraId="5F59C69C" w14:textId="6480813F" w:rsidR="00251E66" w:rsidRPr="00FB0A3A" w:rsidRDefault="00792104"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На основании вышеизложенного, сумма расходов по налогу на движимое имущество в размере 31 953,404 тыс. руб. и на не введенное имущество в размере 19 244,794 тыс. руб. по мнению Исполнителя не может быть включено в НВВ 2019</w:t>
      </w:r>
      <w:r w:rsidR="009808E8">
        <w:rPr>
          <w:rFonts w:ascii="Myriad Pro" w:eastAsia="Calibri" w:hAnsi="Myriad Pro" w:cs="Times New Roman"/>
          <w:sz w:val="26"/>
          <w:szCs w:val="26"/>
        </w:rPr>
        <w:t> </w:t>
      </w:r>
      <w:r w:rsidRPr="00FB0A3A">
        <w:rPr>
          <w:rFonts w:ascii="Myriad Pro" w:eastAsia="Calibri" w:hAnsi="Myriad Pro" w:cs="Times New Roman"/>
          <w:sz w:val="26"/>
          <w:szCs w:val="26"/>
        </w:rPr>
        <w:t>года.</w:t>
      </w:r>
    </w:p>
    <w:p w14:paraId="24383A04" w14:textId="48525C66" w:rsidR="00657CA7" w:rsidRPr="00FB0A3A" w:rsidRDefault="00FD67F0" w:rsidP="00AE749F">
      <w:pPr>
        <w:tabs>
          <w:tab w:val="left" w:pos="1134"/>
        </w:tabs>
        <w:spacing w:after="0" w:line="360" w:lineRule="auto"/>
        <w:ind w:firstLine="567"/>
        <w:jc w:val="both"/>
        <w:rPr>
          <w:rFonts w:ascii="Myriad Pro" w:hAnsi="Myriad Pro"/>
          <w:sz w:val="26"/>
          <w:szCs w:val="26"/>
        </w:rPr>
      </w:pPr>
      <w:r w:rsidRPr="00FB0A3A">
        <w:rPr>
          <w:rFonts w:ascii="Myriad Pro" w:eastAsia="Calibri" w:hAnsi="Myriad Pro" w:cs="Times New Roman"/>
          <w:sz w:val="26"/>
          <w:szCs w:val="26"/>
        </w:rPr>
        <w:t xml:space="preserve">Исполнитель рекомендует </w:t>
      </w:r>
      <w:r w:rsidR="00657CA7" w:rsidRPr="00FB0A3A">
        <w:rPr>
          <w:rFonts w:ascii="Myriad Pro" w:eastAsia="Calibri" w:hAnsi="Myriad Pro"/>
          <w:sz w:val="26"/>
          <w:szCs w:val="26"/>
        </w:rPr>
        <w:t xml:space="preserve">производить расчет расходов по статье </w:t>
      </w:r>
      <w:r w:rsidR="00655FFA" w:rsidRPr="00FB0A3A">
        <w:rPr>
          <w:rFonts w:ascii="Myriad Pro" w:eastAsia="Calibri" w:hAnsi="Myriad Pro"/>
          <w:sz w:val="26"/>
          <w:szCs w:val="26"/>
        </w:rPr>
        <w:t>«</w:t>
      </w:r>
      <w:r w:rsidR="00657CA7" w:rsidRPr="00FB0A3A">
        <w:rPr>
          <w:rFonts w:ascii="Myriad Pro" w:eastAsia="Calibri" w:hAnsi="Myriad Pro"/>
          <w:sz w:val="26"/>
          <w:szCs w:val="26"/>
        </w:rPr>
        <w:t>Налог на имущество</w:t>
      </w:r>
      <w:r w:rsidR="00655FFA" w:rsidRPr="00FB0A3A">
        <w:rPr>
          <w:rFonts w:ascii="Myriad Pro" w:eastAsia="Calibri" w:hAnsi="Myriad Pro"/>
          <w:sz w:val="26"/>
          <w:szCs w:val="26"/>
        </w:rPr>
        <w:t>»</w:t>
      </w:r>
      <w:r w:rsidR="00657CA7" w:rsidRPr="00FB0A3A">
        <w:rPr>
          <w:rFonts w:ascii="Myriad Pro" w:eastAsia="Calibri" w:hAnsi="Myriad Pro"/>
          <w:sz w:val="26"/>
          <w:szCs w:val="26"/>
        </w:rPr>
        <w:t xml:space="preserve"> в соответствии с официальной позицией ФАС России, а именно - на основании остаточной стоимости </w:t>
      </w:r>
      <w:r w:rsidR="00657CA7" w:rsidRPr="00FB0A3A">
        <w:rPr>
          <w:rFonts w:ascii="Myriad Pro" w:hAnsi="Myriad Pro"/>
          <w:sz w:val="26"/>
          <w:szCs w:val="26"/>
        </w:rPr>
        <w:t>недвижимого имущества, учитываемого на балансе организации в качестве объектов основных средств в порядке, установленном для ведения бухгалтерского учета.</w:t>
      </w:r>
    </w:p>
    <w:p w14:paraId="5FA21667" w14:textId="0D6D5FA6" w:rsidR="00514547" w:rsidRPr="00FB0A3A" w:rsidRDefault="00792104" w:rsidP="00AE749F">
      <w:pPr>
        <w:pStyle w:val="afff4"/>
        <w:rPr>
          <w:lang w:val="ru-RU"/>
        </w:rPr>
      </w:pPr>
      <w:r w:rsidRPr="00FB0A3A">
        <w:rPr>
          <w:lang w:val="ru-RU"/>
        </w:rPr>
        <w:lastRenderedPageBreak/>
        <w:t>Р</w:t>
      </w:r>
      <w:r w:rsidR="00FC2454" w:rsidRPr="00FB0A3A">
        <w:rPr>
          <w:lang w:val="ru-RU"/>
        </w:rPr>
        <w:t xml:space="preserve">асходы </w:t>
      </w:r>
      <w:r w:rsidR="006C6B0D" w:rsidRPr="00FB0A3A">
        <w:rPr>
          <w:lang w:val="ru-RU"/>
        </w:rPr>
        <w:t>по налогу на имущество</w:t>
      </w:r>
      <w:r w:rsidR="00FC2454" w:rsidRPr="00FB0A3A">
        <w:rPr>
          <w:lang w:val="ru-RU"/>
        </w:rPr>
        <w:t xml:space="preserve"> Исполнителем рассчитаны </w:t>
      </w:r>
      <w:r w:rsidR="00E663D3">
        <w:rPr>
          <w:lang w:val="ru-RU"/>
        </w:rPr>
        <w:t>в размере</w:t>
      </w:r>
      <w:r w:rsidR="00FC2454" w:rsidRPr="00FB0A3A">
        <w:rPr>
          <w:lang w:val="ru-RU"/>
        </w:rPr>
        <w:t xml:space="preserve"> </w:t>
      </w:r>
      <w:r w:rsidR="006C38C8" w:rsidRPr="00FB0A3A">
        <w:rPr>
          <w:lang w:val="ru-RU"/>
        </w:rPr>
        <w:t>3</w:t>
      </w:r>
      <w:r w:rsidR="00630E5F" w:rsidRPr="00FB0A3A">
        <w:rPr>
          <w:lang w:val="ru-RU"/>
        </w:rPr>
        <w:t>7 637,37</w:t>
      </w:r>
      <w:r w:rsidR="006C6B0D" w:rsidRPr="00FB0A3A">
        <w:rPr>
          <w:lang w:val="ru-RU"/>
        </w:rPr>
        <w:t xml:space="preserve"> </w:t>
      </w:r>
      <w:r w:rsidR="00FC2454" w:rsidRPr="00FB0A3A">
        <w:rPr>
          <w:lang w:val="ru-RU"/>
        </w:rPr>
        <w:t>тыс. руб., что</w:t>
      </w:r>
      <w:r w:rsidR="006C38C8" w:rsidRPr="00FB0A3A">
        <w:rPr>
          <w:lang w:val="ru-RU"/>
        </w:rPr>
        <w:t xml:space="preserve"> ниже 2</w:t>
      </w:r>
      <w:r w:rsidR="009070FA" w:rsidRPr="00FB0A3A">
        <w:rPr>
          <w:lang w:val="ru-RU"/>
        </w:rPr>
        <w:t>3 897,0</w:t>
      </w:r>
      <w:r w:rsidR="00FC2454" w:rsidRPr="00FB0A3A">
        <w:rPr>
          <w:lang w:val="ru-RU"/>
        </w:rPr>
        <w:t xml:space="preserve"> тыс. руб. учтенных Комитетом и </w:t>
      </w:r>
      <w:r w:rsidR="006C6B0D" w:rsidRPr="00FB0A3A">
        <w:rPr>
          <w:lang w:val="ru-RU"/>
        </w:rPr>
        <w:t>ниже</w:t>
      </w:r>
      <w:r w:rsidR="00FC2454" w:rsidRPr="00FB0A3A">
        <w:rPr>
          <w:lang w:val="ru-RU"/>
        </w:rPr>
        <w:t xml:space="preserve"> </w:t>
      </w:r>
      <w:r w:rsidR="006C38C8" w:rsidRPr="00FB0A3A">
        <w:rPr>
          <w:lang w:val="ru-RU"/>
        </w:rPr>
        <w:t>на 5</w:t>
      </w:r>
      <w:r w:rsidR="009070FA" w:rsidRPr="00FB0A3A">
        <w:rPr>
          <w:lang w:val="ru-RU"/>
        </w:rPr>
        <w:t>1 349,48</w:t>
      </w:r>
      <w:r w:rsidR="006C6B0D" w:rsidRPr="00FB0A3A">
        <w:rPr>
          <w:lang w:val="ru-RU"/>
        </w:rPr>
        <w:t xml:space="preserve"> </w:t>
      </w:r>
      <w:r w:rsidR="00FC2454" w:rsidRPr="00FB0A3A">
        <w:rPr>
          <w:lang w:val="ru-RU"/>
        </w:rPr>
        <w:t>тыс. руб.</w:t>
      </w:r>
      <w:r w:rsidR="00AE749F" w:rsidRPr="00FB0A3A">
        <w:rPr>
          <w:lang w:val="ru-RU"/>
        </w:rPr>
        <w:t>,</w:t>
      </w:r>
      <w:r w:rsidR="00FC2454" w:rsidRPr="00FB0A3A">
        <w:rPr>
          <w:lang w:val="ru-RU"/>
        </w:rPr>
        <w:t xml:space="preserve"> заявленных Филиалом.</w:t>
      </w:r>
      <w:r w:rsidR="006C38C8" w:rsidRPr="00FB0A3A">
        <w:rPr>
          <w:lang w:val="ru-RU"/>
        </w:rPr>
        <w:t xml:space="preserve"> </w:t>
      </w:r>
    </w:p>
    <w:tbl>
      <w:tblPr>
        <w:tblStyle w:val="afff6"/>
        <w:tblW w:w="5000" w:type="pct"/>
        <w:tblLayout w:type="fixed"/>
        <w:tblLook w:val="04A0" w:firstRow="1" w:lastRow="0" w:firstColumn="1" w:lastColumn="0" w:noHBand="0" w:noVBand="1"/>
      </w:tblPr>
      <w:tblGrid>
        <w:gridCol w:w="1809"/>
        <w:gridCol w:w="1367"/>
        <w:gridCol w:w="1516"/>
        <w:gridCol w:w="1516"/>
        <w:gridCol w:w="1568"/>
        <w:gridCol w:w="1568"/>
      </w:tblGrid>
      <w:tr w:rsidR="00907AB4" w:rsidRPr="00FB0A3A" w14:paraId="17A0C4DC" w14:textId="77777777" w:rsidTr="002267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5B4BCBBB" w14:textId="77777777" w:rsidR="009070FA" w:rsidRPr="00FB0A3A" w:rsidRDefault="009070FA" w:rsidP="00AE749F">
            <w:pPr>
              <w:tabs>
                <w:tab w:val="left" w:pos="1134"/>
              </w:tabs>
              <w:jc w:val="center"/>
              <w:rPr>
                <w:rFonts w:eastAsia="Calibri" w:cs="Times New Roman"/>
                <w:szCs w:val="18"/>
              </w:rPr>
            </w:pPr>
            <w:r w:rsidRPr="00FB0A3A">
              <w:rPr>
                <w:rFonts w:eastAsia="Calibri" w:cs="Times New Roman"/>
                <w:szCs w:val="18"/>
              </w:rPr>
              <w:t> Наименование статьи</w:t>
            </w:r>
          </w:p>
        </w:tc>
        <w:tc>
          <w:tcPr>
            <w:tcW w:w="13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05D3BD92" w14:textId="77777777" w:rsidR="009070FA" w:rsidRPr="00FB0A3A" w:rsidRDefault="009070FA" w:rsidP="00AE749F">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Заявлено Филиалом</w:t>
            </w:r>
          </w:p>
        </w:tc>
        <w:tc>
          <w:tcPr>
            <w:tcW w:w="15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71C4E73" w14:textId="77777777" w:rsidR="009070FA" w:rsidRPr="00FB0A3A" w:rsidRDefault="009070FA" w:rsidP="00AE749F">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Рассчитано Комитетом (ЭОУ)</w:t>
            </w:r>
          </w:p>
        </w:tc>
        <w:tc>
          <w:tcPr>
            <w:tcW w:w="15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3FA6567" w14:textId="77777777" w:rsidR="009070FA" w:rsidRPr="00FB0A3A" w:rsidRDefault="009070FA" w:rsidP="00AE749F">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Рассчитано Исполнителем (ЭОУ)</w:t>
            </w:r>
          </w:p>
        </w:tc>
        <w:tc>
          <w:tcPr>
            <w:tcW w:w="15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810C8CE" w14:textId="77777777" w:rsidR="009070FA" w:rsidRPr="00FB0A3A" w:rsidRDefault="009070FA" w:rsidP="00AE749F">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Отклонение  между Исполнителем и Комитетом</w:t>
            </w:r>
          </w:p>
        </w:tc>
        <w:tc>
          <w:tcPr>
            <w:tcW w:w="15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6F45D00" w14:textId="77777777" w:rsidR="009070FA" w:rsidRPr="00FB0A3A" w:rsidRDefault="009070FA" w:rsidP="00AE749F">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Отклонение  между Исполнителем и Филиалом</w:t>
            </w:r>
          </w:p>
        </w:tc>
      </w:tr>
      <w:tr w:rsidR="00907AB4" w:rsidRPr="00FB0A3A" w14:paraId="4FBF4D49" w14:textId="77777777" w:rsidTr="002267D7">
        <w:tc>
          <w:tcPr>
            <w:cnfStyle w:val="001000000000" w:firstRow="0" w:lastRow="0" w:firstColumn="1" w:lastColumn="0" w:oddVBand="0" w:evenVBand="0" w:oddHBand="0" w:evenHBand="0" w:firstRowFirstColumn="0" w:firstRowLastColumn="0" w:lastRowFirstColumn="0" w:lastRowLastColumn="0"/>
            <w:tcW w:w="1837" w:type="dxa"/>
            <w:tcBorders>
              <w:top w:val="single" w:sz="4" w:space="0" w:color="FFFFFF" w:themeColor="background1"/>
            </w:tcBorders>
            <w:hideMark/>
          </w:tcPr>
          <w:p w14:paraId="0DACE924" w14:textId="77777777" w:rsidR="009070FA" w:rsidRPr="00FB0A3A" w:rsidRDefault="009070FA" w:rsidP="00AE749F">
            <w:pPr>
              <w:tabs>
                <w:tab w:val="left" w:pos="1134"/>
              </w:tabs>
              <w:rPr>
                <w:rFonts w:eastAsia="Calibri" w:cs="Times New Roman"/>
                <w:szCs w:val="18"/>
              </w:rPr>
            </w:pPr>
            <w:r w:rsidRPr="00FB0A3A">
              <w:rPr>
                <w:rFonts w:eastAsia="Calibri" w:cs="Times New Roman"/>
                <w:szCs w:val="18"/>
              </w:rPr>
              <w:t>Налоги, всего, в том числе:</w:t>
            </w:r>
          </w:p>
        </w:tc>
        <w:tc>
          <w:tcPr>
            <w:tcW w:w="1387" w:type="dxa"/>
            <w:tcBorders>
              <w:top w:val="single" w:sz="4" w:space="0" w:color="FFFFFF" w:themeColor="background1"/>
            </w:tcBorders>
            <w:hideMark/>
          </w:tcPr>
          <w:p w14:paraId="3D78CCEA" w14:textId="77777777" w:rsidR="009070FA" w:rsidRPr="00FB0A3A" w:rsidRDefault="009070FA" w:rsidP="00AE749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107 638,02</w:t>
            </w:r>
          </w:p>
        </w:tc>
        <w:tc>
          <w:tcPr>
            <w:tcW w:w="1539" w:type="dxa"/>
            <w:tcBorders>
              <w:top w:val="single" w:sz="4" w:space="0" w:color="FFFFFF" w:themeColor="background1"/>
            </w:tcBorders>
            <w:hideMark/>
          </w:tcPr>
          <w:p w14:paraId="5E5A07BF" w14:textId="77777777" w:rsidR="009070FA" w:rsidRPr="00FB0A3A" w:rsidRDefault="009070FA" w:rsidP="00AE749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80 185,62</w:t>
            </w:r>
          </w:p>
        </w:tc>
        <w:tc>
          <w:tcPr>
            <w:tcW w:w="1539" w:type="dxa"/>
            <w:tcBorders>
              <w:top w:val="single" w:sz="4" w:space="0" w:color="FFFFFF" w:themeColor="background1"/>
            </w:tcBorders>
            <w:hideMark/>
          </w:tcPr>
          <w:p w14:paraId="3EE802F4" w14:textId="77777777" w:rsidR="009070FA" w:rsidRPr="00FB0A3A" w:rsidRDefault="009070FA" w:rsidP="00AE749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56 288,54</w:t>
            </w:r>
          </w:p>
        </w:tc>
        <w:tc>
          <w:tcPr>
            <w:tcW w:w="1592" w:type="dxa"/>
            <w:tcBorders>
              <w:top w:val="single" w:sz="4" w:space="0" w:color="FFFFFF" w:themeColor="background1"/>
            </w:tcBorders>
            <w:hideMark/>
          </w:tcPr>
          <w:p w14:paraId="65C618F0" w14:textId="77777777" w:rsidR="009070FA" w:rsidRPr="00FB0A3A" w:rsidRDefault="009070FA" w:rsidP="00AE749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-23 897,08</w:t>
            </w:r>
          </w:p>
        </w:tc>
        <w:tc>
          <w:tcPr>
            <w:tcW w:w="1592" w:type="dxa"/>
            <w:tcBorders>
              <w:top w:val="single" w:sz="4" w:space="0" w:color="FFFFFF" w:themeColor="background1"/>
            </w:tcBorders>
            <w:hideMark/>
          </w:tcPr>
          <w:p w14:paraId="7BB7A845" w14:textId="77777777" w:rsidR="009070FA" w:rsidRPr="00FB0A3A" w:rsidRDefault="009070FA" w:rsidP="00AE749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-51 349,48</w:t>
            </w:r>
          </w:p>
        </w:tc>
      </w:tr>
      <w:tr w:rsidR="00907AB4" w:rsidRPr="00FB0A3A" w14:paraId="28BA6E32" w14:textId="77777777" w:rsidTr="00AE749F">
        <w:tc>
          <w:tcPr>
            <w:cnfStyle w:val="001000000000" w:firstRow="0" w:lastRow="0" w:firstColumn="1" w:lastColumn="0" w:oddVBand="0" w:evenVBand="0" w:oddHBand="0" w:evenHBand="0" w:firstRowFirstColumn="0" w:firstRowLastColumn="0" w:lastRowFirstColumn="0" w:lastRowLastColumn="0"/>
            <w:tcW w:w="1837" w:type="dxa"/>
            <w:hideMark/>
          </w:tcPr>
          <w:p w14:paraId="7904CAD9" w14:textId="77777777" w:rsidR="009070FA" w:rsidRPr="00FB0A3A" w:rsidRDefault="009070FA" w:rsidP="00AE749F">
            <w:pPr>
              <w:tabs>
                <w:tab w:val="left" w:pos="1134"/>
              </w:tabs>
              <w:ind w:left="164"/>
              <w:rPr>
                <w:rFonts w:eastAsia="Calibri" w:cs="Times New Roman"/>
                <w:szCs w:val="18"/>
              </w:rPr>
            </w:pPr>
            <w:r w:rsidRPr="00FB0A3A">
              <w:rPr>
                <w:rFonts w:eastAsia="Calibri" w:cs="Times New Roman"/>
                <w:szCs w:val="18"/>
              </w:rPr>
              <w:t>налог на землю</w:t>
            </w:r>
          </w:p>
        </w:tc>
        <w:tc>
          <w:tcPr>
            <w:tcW w:w="1387" w:type="dxa"/>
            <w:hideMark/>
          </w:tcPr>
          <w:p w14:paraId="47E6E529" w14:textId="77777777" w:rsidR="009070FA" w:rsidRPr="00FB0A3A" w:rsidRDefault="009070FA" w:rsidP="00AE749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4,78</w:t>
            </w:r>
          </w:p>
        </w:tc>
        <w:tc>
          <w:tcPr>
            <w:tcW w:w="1539" w:type="dxa"/>
            <w:hideMark/>
          </w:tcPr>
          <w:p w14:paraId="7FF23952" w14:textId="77777777" w:rsidR="009070FA" w:rsidRPr="00FB0A3A" w:rsidRDefault="009070FA" w:rsidP="00AE749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4,78</w:t>
            </w:r>
          </w:p>
        </w:tc>
        <w:tc>
          <w:tcPr>
            <w:tcW w:w="1539" w:type="dxa"/>
            <w:hideMark/>
          </w:tcPr>
          <w:p w14:paraId="0A8E006B" w14:textId="77777777" w:rsidR="009070FA" w:rsidRPr="00FB0A3A" w:rsidRDefault="009070FA" w:rsidP="00AE749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4,78</w:t>
            </w:r>
          </w:p>
        </w:tc>
        <w:tc>
          <w:tcPr>
            <w:tcW w:w="1592" w:type="dxa"/>
            <w:hideMark/>
          </w:tcPr>
          <w:p w14:paraId="04B2C5A4" w14:textId="77777777" w:rsidR="009070FA" w:rsidRPr="00FB0A3A" w:rsidRDefault="009070FA" w:rsidP="00AE749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0,00</w:t>
            </w:r>
          </w:p>
        </w:tc>
        <w:tc>
          <w:tcPr>
            <w:tcW w:w="1592" w:type="dxa"/>
            <w:hideMark/>
          </w:tcPr>
          <w:p w14:paraId="5954E3F7" w14:textId="77777777" w:rsidR="009070FA" w:rsidRPr="00FB0A3A" w:rsidRDefault="009070FA" w:rsidP="00AE749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0,00</w:t>
            </w:r>
          </w:p>
        </w:tc>
      </w:tr>
      <w:tr w:rsidR="00907AB4" w:rsidRPr="00FB0A3A" w14:paraId="23432F16" w14:textId="77777777" w:rsidTr="00AE749F">
        <w:tc>
          <w:tcPr>
            <w:cnfStyle w:val="001000000000" w:firstRow="0" w:lastRow="0" w:firstColumn="1" w:lastColumn="0" w:oddVBand="0" w:evenVBand="0" w:oddHBand="0" w:evenHBand="0" w:firstRowFirstColumn="0" w:firstRowLastColumn="0" w:lastRowFirstColumn="0" w:lastRowLastColumn="0"/>
            <w:tcW w:w="1837" w:type="dxa"/>
            <w:hideMark/>
          </w:tcPr>
          <w:p w14:paraId="13224A7C" w14:textId="77777777" w:rsidR="009070FA" w:rsidRPr="00FB0A3A" w:rsidRDefault="009070FA" w:rsidP="00AE749F">
            <w:pPr>
              <w:tabs>
                <w:tab w:val="left" w:pos="1134"/>
              </w:tabs>
              <w:ind w:left="164"/>
              <w:rPr>
                <w:rFonts w:eastAsia="Calibri" w:cs="Times New Roman"/>
                <w:szCs w:val="18"/>
              </w:rPr>
            </w:pPr>
            <w:r w:rsidRPr="00FB0A3A">
              <w:rPr>
                <w:rFonts w:eastAsia="Calibri" w:cs="Times New Roman"/>
                <w:szCs w:val="18"/>
              </w:rPr>
              <w:t>налог на пользователей автодорог</w:t>
            </w:r>
          </w:p>
        </w:tc>
        <w:tc>
          <w:tcPr>
            <w:tcW w:w="1387" w:type="dxa"/>
            <w:hideMark/>
          </w:tcPr>
          <w:p w14:paraId="2590341E" w14:textId="77777777" w:rsidR="009070FA" w:rsidRPr="00FB0A3A" w:rsidRDefault="009070FA" w:rsidP="00AE749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844,52</w:t>
            </w:r>
          </w:p>
        </w:tc>
        <w:tc>
          <w:tcPr>
            <w:tcW w:w="1539" w:type="dxa"/>
            <w:hideMark/>
          </w:tcPr>
          <w:p w14:paraId="282C17CD" w14:textId="77777777" w:rsidR="009070FA" w:rsidRPr="00FB0A3A" w:rsidRDefault="009070FA" w:rsidP="00AE749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844,52</w:t>
            </w:r>
          </w:p>
        </w:tc>
        <w:tc>
          <w:tcPr>
            <w:tcW w:w="1539" w:type="dxa"/>
            <w:hideMark/>
          </w:tcPr>
          <w:p w14:paraId="3E99D017" w14:textId="77777777" w:rsidR="009070FA" w:rsidRPr="00FB0A3A" w:rsidRDefault="009070FA" w:rsidP="00AE749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844,52</w:t>
            </w:r>
          </w:p>
        </w:tc>
        <w:tc>
          <w:tcPr>
            <w:tcW w:w="1592" w:type="dxa"/>
            <w:hideMark/>
          </w:tcPr>
          <w:p w14:paraId="2DD0DA2C" w14:textId="77777777" w:rsidR="009070FA" w:rsidRPr="00FB0A3A" w:rsidRDefault="009070FA" w:rsidP="00AE749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0,00</w:t>
            </w:r>
          </w:p>
        </w:tc>
        <w:tc>
          <w:tcPr>
            <w:tcW w:w="1592" w:type="dxa"/>
            <w:hideMark/>
          </w:tcPr>
          <w:p w14:paraId="404E9F54" w14:textId="77777777" w:rsidR="009070FA" w:rsidRPr="00FB0A3A" w:rsidRDefault="009070FA" w:rsidP="00AE749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0,00</w:t>
            </w:r>
          </w:p>
        </w:tc>
      </w:tr>
      <w:tr w:rsidR="00907AB4" w:rsidRPr="00041EFC" w14:paraId="054EF842" w14:textId="77777777" w:rsidTr="00AE749F">
        <w:tc>
          <w:tcPr>
            <w:cnfStyle w:val="001000000000" w:firstRow="0" w:lastRow="0" w:firstColumn="1" w:lastColumn="0" w:oddVBand="0" w:evenVBand="0" w:oddHBand="0" w:evenHBand="0" w:firstRowFirstColumn="0" w:firstRowLastColumn="0" w:lastRowFirstColumn="0" w:lastRowLastColumn="0"/>
            <w:tcW w:w="1837" w:type="dxa"/>
            <w:hideMark/>
          </w:tcPr>
          <w:p w14:paraId="6372231A" w14:textId="7FD13E08" w:rsidR="009070FA" w:rsidRPr="00041EFC" w:rsidRDefault="009070FA" w:rsidP="00AE749F">
            <w:pPr>
              <w:tabs>
                <w:tab w:val="left" w:pos="1134"/>
              </w:tabs>
              <w:ind w:left="164"/>
              <w:rPr>
                <w:rFonts w:eastAsia="Calibri" w:cs="Times New Roman"/>
                <w:szCs w:val="18"/>
              </w:rPr>
            </w:pPr>
            <w:r w:rsidRPr="00041EFC">
              <w:rPr>
                <w:rFonts w:eastAsia="Calibri" w:cs="Times New Roman"/>
                <w:szCs w:val="18"/>
              </w:rPr>
              <w:t>аренда земельных участков</w:t>
            </w:r>
          </w:p>
        </w:tc>
        <w:tc>
          <w:tcPr>
            <w:tcW w:w="1387" w:type="dxa"/>
            <w:hideMark/>
          </w:tcPr>
          <w:p w14:paraId="2CB97A8F" w14:textId="77777777" w:rsidR="009070FA" w:rsidRPr="00041EFC" w:rsidRDefault="009070FA" w:rsidP="00AE749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041EFC">
              <w:rPr>
                <w:rFonts w:eastAsia="Calibri" w:cs="Times New Roman"/>
                <w:szCs w:val="18"/>
              </w:rPr>
              <w:t>13 366,19</w:t>
            </w:r>
          </w:p>
        </w:tc>
        <w:tc>
          <w:tcPr>
            <w:tcW w:w="1539" w:type="dxa"/>
            <w:hideMark/>
          </w:tcPr>
          <w:p w14:paraId="629F78D1" w14:textId="77777777" w:rsidR="009070FA" w:rsidRPr="00041EFC" w:rsidRDefault="009070FA" w:rsidP="00AE749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041EFC">
              <w:rPr>
                <w:rFonts w:eastAsia="Calibri" w:cs="Times New Roman"/>
                <w:szCs w:val="18"/>
              </w:rPr>
              <w:t>13 366,19</w:t>
            </w:r>
          </w:p>
        </w:tc>
        <w:tc>
          <w:tcPr>
            <w:tcW w:w="1539" w:type="dxa"/>
            <w:hideMark/>
          </w:tcPr>
          <w:p w14:paraId="1AEAE4F6" w14:textId="77777777" w:rsidR="009070FA" w:rsidRPr="00041EFC" w:rsidRDefault="009070FA" w:rsidP="00AE749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041EFC">
              <w:rPr>
                <w:rFonts w:eastAsia="Calibri" w:cs="Times New Roman"/>
                <w:szCs w:val="18"/>
              </w:rPr>
              <w:t>13 366,19</w:t>
            </w:r>
          </w:p>
        </w:tc>
        <w:tc>
          <w:tcPr>
            <w:tcW w:w="1592" w:type="dxa"/>
            <w:hideMark/>
          </w:tcPr>
          <w:p w14:paraId="405E6E95" w14:textId="77777777" w:rsidR="009070FA" w:rsidRPr="00041EFC" w:rsidRDefault="009070FA" w:rsidP="00AE749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041EFC">
              <w:rPr>
                <w:rFonts w:eastAsia="Calibri" w:cs="Times New Roman"/>
                <w:szCs w:val="18"/>
              </w:rPr>
              <w:t>0,00</w:t>
            </w:r>
          </w:p>
        </w:tc>
        <w:tc>
          <w:tcPr>
            <w:tcW w:w="1592" w:type="dxa"/>
            <w:hideMark/>
          </w:tcPr>
          <w:p w14:paraId="01C53355" w14:textId="77777777" w:rsidR="009070FA" w:rsidRPr="00041EFC" w:rsidRDefault="009070FA" w:rsidP="00AE749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041EFC">
              <w:rPr>
                <w:rFonts w:eastAsia="Calibri" w:cs="Times New Roman"/>
                <w:szCs w:val="18"/>
              </w:rPr>
              <w:t>0,00</w:t>
            </w:r>
          </w:p>
        </w:tc>
      </w:tr>
      <w:tr w:rsidR="00907AB4" w:rsidRPr="00041EFC" w14:paraId="50A19EE1" w14:textId="77777777" w:rsidTr="00AE749F">
        <w:tc>
          <w:tcPr>
            <w:cnfStyle w:val="001000000000" w:firstRow="0" w:lastRow="0" w:firstColumn="1" w:lastColumn="0" w:oddVBand="0" w:evenVBand="0" w:oddHBand="0" w:evenHBand="0" w:firstRowFirstColumn="0" w:firstRowLastColumn="0" w:lastRowFirstColumn="0" w:lastRowLastColumn="0"/>
            <w:tcW w:w="1837" w:type="dxa"/>
            <w:hideMark/>
          </w:tcPr>
          <w:p w14:paraId="4196AE2E" w14:textId="77777777" w:rsidR="009070FA" w:rsidRPr="00041EFC" w:rsidRDefault="009070FA" w:rsidP="00AE749F">
            <w:pPr>
              <w:tabs>
                <w:tab w:val="left" w:pos="1134"/>
              </w:tabs>
              <w:ind w:left="164"/>
              <w:rPr>
                <w:rFonts w:eastAsia="Calibri" w:cs="Times New Roman"/>
                <w:szCs w:val="18"/>
              </w:rPr>
            </w:pPr>
            <w:r w:rsidRPr="00041EFC">
              <w:rPr>
                <w:rFonts w:eastAsia="Calibri" w:cs="Times New Roman"/>
                <w:szCs w:val="18"/>
              </w:rPr>
              <w:t>налог на имущество</w:t>
            </w:r>
          </w:p>
        </w:tc>
        <w:tc>
          <w:tcPr>
            <w:tcW w:w="1387" w:type="dxa"/>
            <w:hideMark/>
          </w:tcPr>
          <w:p w14:paraId="4CA50001" w14:textId="77777777" w:rsidR="009070FA" w:rsidRPr="00041EFC" w:rsidRDefault="009070FA" w:rsidP="00AE749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041EFC">
              <w:rPr>
                <w:rFonts w:eastAsia="Calibri" w:cs="Times New Roman"/>
                <w:szCs w:val="18"/>
              </w:rPr>
              <w:t>88 835,57</w:t>
            </w:r>
          </w:p>
        </w:tc>
        <w:tc>
          <w:tcPr>
            <w:tcW w:w="1539" w:type="dxa"/>
            <w:hideMark/>
          </w:tcPr>
          <w:p w14:paraId="70FE0718" w14:textId="77777777" w:rsidR="009070FA" w:rsidRPr="00041EFC" w:rsidRDefault="009070FA" w:rsidP="00AE749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041EFC">
              <w:rPr>
                <w:rFonts w:eastAsia="Calibri" w:cs="Times New Roman"/>
                <w:szCs w:val="18"/>
              </w:rPr>
              <w:t>61 534,45</w:t>
            </w:r>
          </w:p>
        </w:tc>
        <w:tc>
          <w:tcPr>
            <w:tcW w:w="1539" w:type="dxa"/>
            <w:hideMark/>
          </w:tcPr>
          <w:p w14:paraId="5C6310AA" w14:textId="77777777" w:rsidR="009070FA" w:rsidRPr="00041EFC" w:rsidRDefault="009070FA" w:rsidP="00AE749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041EFC">
              <w:rPr>
                <w:rFonts w:eastAsia="Calibri" w:cs="Times New Roman"/>
                <w:szCs w:val="18"/>
              </w:rPr>
              <w:t>37 637,37</w:t>
            </w:r>
          </w:p>
        </w:tc>
        <w:tc>
          <w:tcPr>
            <w:tcW w:w="1592" w:type="dxa"/>
            <w:hideMark/>
          </w:tcPr>
          <w:p w14:paraId="5F8327CB" w14:textId="77777777" w:rsidR="009070FA" w:rsidRPr="00041EFC" w:rsidRDefault="009070FA" w:rsidP="00AE749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041EFC">
              <w:rPr>
                <w:rFonts w:eastAsia="Calibri" w:cs="Times New Roman"/>
                <w:szCs w:val="18"/>
              </w:rPr>
              <w:t>-23 897,08</w:t>
            </w:r>
          </w:p>
        </w:tc>
        <w:tc>
          <w:tcPr>
            <w:tcW w:w="1592" w:type="dxa"/>
            <w:hideMark/>
          </w:tcPr>
          <w:p w14:paraId="459A6F03" w14:textId="77777777" w:rsidR="009070FA" w:rsidRPr="00041EFC" w:rsidRDefault="009070FA" w:rsidP="00AE749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041EFC">
              <w:rPr>
                <w:rFonts w:eastAsia="Calibri" w:cs="Times New Roman"/>
                <w:szCs w:val="18"/>
              </w:rPr>
              <w:t>-51 198,20</w:t>
            </w:r>
          </w:p>
        </w:tc>
      </w:tr>
      <w:tr w:rsidR="00907AB4" w:rsidRPr="00FB0A3A" w14:paraId="3FF7B2E6" w14:textId="77777777" w:rsidTr="00AE749F">
        <w:tc>
          <w:tcPr>
            <w:cnfStyle w:val="001000000000" w:firstRow="0" w:lastRow="0" w:firstColumn="1" w:lastColumn="0" w:oddVBand="0" w:evenVBand="0" w:oddHBand="0" w:evenHBand="0" w:firstRowFirstColumn="0" w:firstRowLastColumn="0" w:lastRowFirstColumn="0" w:lastRowLastColumn="0"/>
            <w:tcW w:w="1837" w:type="dxa"/>
            <w:hideMark/>
          </w:tcPr>
          <w:p w14:paraId="635900F1" w14:textId="77777777" w:rsidR="009070FA" w:rsidRPr="00041EFC" w:rsidRDefault="009070FA" w:rsidP="00AE749F">
            <w:pPr>
              <w:tabs>
                <w:tab w:val="left" w:pos="1134"/>
              </w:tabs>
              <w:ind w:left="164"/>
              <w:rPr>
                <w:rFonts w:eastAsia="Calibri" w:cs="Times New Roman"/>
                <w:szCs w:val="18"/>
              </w:rPr>
            </w:pPr>
            <w:r w:rsidRPr="00041EFC">
              <w:rPr>
                <w:rFonts w:eastAsia="Calibri" w:cs="Times New Roman"/>
                <w:szCs w:val="18"/>
              </w:rPr>
              <w:t>водный налог</w:t>
            </w:r>
          </w:p>
        </w:tc>
        <w:tc>
          <w:tcPr>
            <w:tcW w:w="1387" w:type="dxa"/>
            <w:hideMark/>
          </w:tcPr>
          <w:p w14:paraId="68860A45" w14:textId="77777777" w:rsidR="009070FA" w:rsidRPr="00041EFC" w:rsidRDefault="009070FA" w:rsidP="00AE749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041EFC">
              <w:rPr>
                <w:rFonts w:eastAsia="Calibri" w:cs="Times New Roman"/>
                <w:szCs w:val="18"/>
              </w:rPr>
              <w:t>0,14</w:t>
            </w:r>
          </w:p>
        </w:tc>
        <w:tc>
          <w:tcPr>
            <w:tcW w:w="1539" w:type="dxa"/>
            <w:hideMark/>
          </w:tcPr>
          <w:p w14:paraId="7944E868" w14:textId="77777777" w:rsidR="009070FA" w:rsidRPr="00041EFC" w:rsidRDefault="009070FA" w:rsidP="00AE749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041EFC">
              <w:rPr>
                <w:rFonts w:eastAsia="Calibri" w:cs="Times New Roman"/>
                <w:szCs w:val="18"/>
              </w:rPr>
              <w:t>0,14</w:t>
            </w:r>
          </w:p>
        </w:tc>
        <w:tc>
          <w:tcPr>
            <w:tcW w:w="1539" w:type="dxa"/>
            <w:hideMark/>
          </w:tcPr>
          <w:p w14:paraId="6394DAD6" w14:textId="77777777" w:rsidR="009070FA" w:rsidRPr="00041EFC" w:rsidRDefault="009070FA" w:rsidP="00AE749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041EFC">
              <w:rPr>
                <w:rFonts w:eastAsia="Calibri" w:cs="Times New Roman"/>
                <w:szCs w:val="18"/>
              </w:rPr>
              <w:t>0,14</w:t>
            </w:r>
          </w:p>
        </w:tc>
        <w:tc>
          <w:tcPr>
            <w:tcW w:w="1592" w:type="dxa"/>
            <w:hideMark/>
          </w:tcPr>
          <w:p w14:paraId="609C23B9" w14:textId="77777777" w:rsidR="009070FA" w:rsidRPr="00041EFC" w:rsidRDefault="009070FA" w:rsidP="00AE749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041EFC">
              <w:rPr>
                <w:rFonts w:eastAsia="Calibri" w:cs="Times New Roman"/>
                <w:szCs w:val="18"/>
              </w:rPr>
              <w:t>0,00</w:t>
            </w:r>
          </w:p>
        </w:tc>
        <w:tc>
          <w:tcPr>
            <w:tcW w:w="1592" w:type="dxa"/>
            <w:hideMark/>
          </w:tcPr>
          <w:p w14:paraId="61136432" w14:textId="77777777" w:rsidR="009070FA" w:rsidRPr="00FB0A3A" w:rsidRDefault="009070FA" w:rsidP="00AE749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041EFC">
              <w:rPr>
                <w:rFonts w:eastAsia="Calibri" w:cs="Times New Roman"/>
                <w:szCs w:val="18"/>
              </w:rPr>
              <w:t>0,00</w:t>
            </w:r>
          </w:p>
        </w:tc>
      </w:tr>
      <w:tr w:rsidR="00907AB4" w:rsidRPr="00FB0A3A" w14:paraId="2A7D7D28" w14:textId="77777777" w:rsidTr="00AE749F">
        <w:tc>
          <w:tcPr>
            <w:cnfStyle w:val="001000000000" w:firstRow="0" w:lastRow="0" w:firstColumn="1" w:lastColumn="0" w:oddVBand="0" w:evenVBand="0" w:oddHBand="0" w:evenHBand="0" w:firstRowFirstColumn="0" w:firstRowLastColumn="0" w:lastRowFirstColumn="0" w:lastRowLastColumn="0"/>
            <w:tcW w:w="1837" w:type="dxa"/>
            <w:hideMark/>
          </w:tcPr>
          <w:p w14:paraId="1C96E824" w14:textId="77777777" w:rsidR="009070FA" w:rsidRPr="00FB0A3A" w:rsidRDefault="009070FA" w:rsidP="00AE749F">
            <w:pPr>
              <w:tabs>
                <w:tab w:val="left" w:pos="1134"/>
              </w:tabs>
              <w:ind w:left="164"/>
              <w:rPr>
                <w:rFonts w:eastAsia="Calibri" w:cs="Times New Roman"/>
                <w:szCs w:val="18"/>
              </w:rPr>
            </w:pPr>
            <w:r w:rsidRPr="00FB0A3A">
              <w:rPr>
                <w:rFonts w:eastAsia="Calibri" w:cs="Times New Roman"/>
                <w:szCs w:val="18"/>
              </w:rPr>
              <w:t>экологические платежи</w:t>
            </w:r>
          </w:p>
        </w:tc>
        <w:tc>
          <w:tcPr>
            <w:tcW w:w="1387" w:type="dxa"/>
            <w:hideMark/>
          </w:tcPr>
          <w:p w14:paraId="64546499" w14:textId="77777777" w:rsidR="009070FA" w:rsidRPr="00FB0A3A" w:rsidRDefault="009070FA" w:rsidP="00AE749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654,04</w:t>
            </w:r>
          </w:p>
        </w:tc>
        <w:tc>
          <w:tcPr>
            <w:tcW w:w="1539" w:type="dxa"/>
            <w:hideMark/>
          </w:tcPr>
          <w:p w14:paraId="14A43247" w14:textId="77777777" w:rsidR="009070FA" w:rsidRPr="00FB0A3A" w:rsidRDefault="009070FA" w:rsidP="00AE749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654,04</w:t>
            </w:r>
          </w:p>
        </w:tc>
        <w:tc>
          <w:tcPr>
            <w:tcW w:w="1539" w:type="dxa"/>
            <w:hideMark/>
          </w:tcPr>
          <w:p w14:paraId="7A298875" w14:textId="77777777" w:rsidR="009070FA" w:rsidRPr="00FB0A3A" w:rsidRDefault="009070FA" w:rsidP="00AE749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654,04</w:t>
            </w:r>
          </w:p>
        </w:tc>
        <w:tc>
          <w:tcPr>
            <w:tcW w:w="1592" w:type="dxa"/>
            <w:hideMark/>
          </w:tcPr>
          <w:p w14:paraId="2664F953" w14:textId="77777777" w:rsidR="009070FA" w:rsidRPr="00FB0A3A" w:rsidRDefault="009070FA" w:rsidP="00AE749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0,00</w:t>
            </w:r>
          </w:p>
        </w:tc>
        <w:tc>
          <w:tcPr>
            <w:tcW w:w="1592" w:type="dxa"/>
            <w:hideMark/>
          </w:tcPr>
          <w:p w14:paraId="0ABDB2B5" w14:textId="77777777" w:rsidR="009070FA" w:rsidRPr="00FB0A3A" w:rsidRDefault="009070FA" w:rsidP="00AE749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0,00</w:t>
            </w:r>
          </w:p>
        </w:tc>
      </w:tr>
      <w:tr w:rsidR="00907AB4" w:rsidRPr="00FB0A3A" w14:paraId="589D4B86" w14:textId="77777777" w:rsidTr="00AE749F">
        <w:tc>
          <w:tcPr>
            <w:cnfStyle w:val="001000000000" w:firstRow="0" w:lastRow="0" w:firstColumn="1" w:lastColumn="0" w:oddVBand="0" w:evenVBand="0" w:oddHBand="0" w:evenHBand="0" w:firstRowFirstColumn="0" w:firstRowLastColumn="0" w:lastRowFirstColumn="0" w:lastRowLastColumn="0"/>
            <w:tcW w:w="1837" w:type="dxa"/>
            <w:hideMark/>
          </w:tcPr>
          <w:p w14:paraId="2B37323D" w14:textId="77777777" w:rsidR="009070FA" w:rsidRPr="00FB0A3A" w:rsidRDefault="009070FA" w:rsidP="00AE749F">
            <w:pPr>
              <w:tabs>
                <w:tab w:val="left" w:pos="1134"/>
              </w:tabs>
              <w:ind w:left="164"/>
              <w:rPr>
                <w:rFonts w:eastAsia="Calibri" w:cs="Times New Roman"/>
                <w:szCs w:val="18"/>
              </w:rPr>
            </w:pPr>
            <w:r w:rsidRPr="00FB0A3A">
              <w:rPr>
                <w:rFonts w:eastAsia="Calibri" w:cs="Times New Roman"/>
                <w:szCs w:val="18"/>
              </w:rPr>
              <w:t>прочие налоги и сборы</w:t>
            </w:r>
          </w:p>
        </w:tc>
        <w:tc>
          <w:tcPr>
            <w:tcW w:w="1387" w:type="dxa"/>
            <w:hideMark/>
          </w:tcPr>
          <w:p w14:paraId="7F8F054E" w14:textId="77777777" w:rsidR="009070FA" w:rsidRPr="00FB0A3A" w:rsidRDefault="009070FA" w:rsidP="00AE749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3 932,78</w:t>
            </w:r>
          </w:p>
        </w:tc>
        <w:tc>
          <w:tcPr>
            <w:tcW w:w="1539" w:type="dxa"/>
            <w:hideMark/>
          </w:tcPr>
          <w:p w14:paraId="2CCB758D" w14:textId="77777777" w:rsidR="009070FA" w:rsidRPr="00FB0A3A" w:rsidRDefault="009070FA" w:rsidP="00AE749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3 781,50</w:t>
            </w:r>
          </w:p>
        </w:tc>
        <w:tc>
          <w:tcPr>
            <w:tcW w:w="1539" w:type="dxa"/>
            <w:hideMark/>
          </w:tcPr>
          <w:p w14:paraId="14697193" w14:textId="77777777" w:rsidR="009070FA" w:rsidRPr="00FB0A3A" w:rsidRDefault="009070FA" w:rsidP="00AE749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3 781,50</w:t>
            </w:r>
          </w:p>
        </w:tc>
        <w:tc>
          <w:tcPr>
            <w:tcW w:w="1592" w:type="dxa"/>
            <w:hideMark/>
          </w:tcPr>
          <w:p w14:paraId="2C36D597" w14:textId="77777777" w:rsidR="009070FA" w:rsidRPr="00FB0A3A" w:rsidRDefault="009070FA" w:rsidP="00AE749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0,00</w:t>
            </w:r>
          </w:p>
        </w:tc>
        <w:tc>
          <w:tcPr>
            <w:tcW w:w="1592" w:type="dxa"/>
            <w:hideMark/>
          </w:tcPr>
          <w:p w14:paraId="4EACDCBE" w14:textId="77777777" w:rsidR="009070FA" w:rsidRPr="00FB0A3A" w:rsidRDefault="009070FA" w:rsidP="00AE749F">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-151,28</w:t>
            </w:r>
          </w:p>
        </w:tc>
      </w:tr>
    </w:tbl>
    <w:p w14:paraId="23843879" w14:textId="77777777" w:rsidR="00297DA6" w:rsidRDefault="00297DA6" w:rsidP="00850262">
      <w:pPr>
        <w:tabs>
          <w:tab w:val="left" w:pos="1134"/>
        </w:tabs>
        <w:spacing w:after="0" w:line="360" w:lineRule="auto"/>
        <w:ind w:firstLine="567"/>
        <w:jc w:val="both"/>
        <w:rPr>
          <w:rFonts w:ascii="Myriad Pro" w:eastAsia="Calibri" w:hAnsi="Myriad Pro" w:cs="Times New Roman"/>
          <w:sz w:val="26"/>
          <w:szCs w:val="26"/>
        </w:rPr>
      </w:pPr>
    </w:p>
    <w:p w14:paraId="58A5BD61" w14:textId="6101F797" w:rsidR="008C3FED" w:rsidRPr="00FB0A3A" w:rsidRDefault="00125291" w:rsidP="00850262">
      <w:pPr>
        <w:tabs>
          <w:tab w:val="left" w:pos="1134"/>
        </w:tabs>
        <w:spacing w:after="0" w:line="360" w:lineRule="auto"/>
        <w:ind w:firstLine="567"/>
        <w:jc w:val="both"/>
        <w:rPr>
          <w:rFonts w:ascii="Myriad Pro" w:eastAsia="Calibri" w:hAnsi="Myriad Pro" w:cs="Times New Roman"/>
          <w:sz w:val="26"/>
          <w:szCs w:val="26"/>
        </w:rPr>
      </w:pPr>
      <w:r w:rsidRPr="00FB0A3A">
        <w:rPr>
          <w:rFonts w:ascii="Myriad Pro" w:eastAsia="Calibri" w:hAnsi="Myriad Pro" w:cs="Times New Roman"/>
          <w:sz w:val="26"/>
          <w:szCs w:val="26"/>
        </w:rPr>
        <w:t xml:space="preserve">В связи с тем, что расходы на оплату налогов входят в состав неподконтрольных расходов, излишне учтенные суммы будет </w:t>
      </w:r>
      <w:r w:rsidR="00720DD2" w:rsidRPr="00FB0A3A">
        <w:rPr>
          <w:rFonts w:ascii="Myriad Pro" w:eastAsia="Calibri" w:hAnsi="Myriad Pro" w:cs="Times New Roman"/>
          <w:sz w:val="26"/>
          <w:szCs w:val="26"/>
        </w:rPr>
        <w:t>исключены при корректировке неподконтрольных расходов по фактическим показателям за 2019</w:t>
      </w:r>
      <w:r w:rsidR="009808E8">
        <w:rPr>
          <w:rFonts w:ascii="Myriad Pro" w:eastAsia="Calibri" w:hAnsi="Myriad Pro" w:cs="Times New Roman"/>
          <w:sz w:val="26"/>
          <w:szCs w:val="26"/>
        </w:rPr>
        <w:t> </w:t>
      </w:r>
      <w:r w:rsidR="00720DD2" w:rsidRPr="00FB0A3A">
        <w:rPr>
          <w:rFonts w:ascii="Myriad Pro" w:eastAsia="Calibri" w:hAnsi="Myriad Pro" w:cs="Times New Roman"/>
          <w:sz w:val="26"/>
          <w:szCs w:val="26"/>
        </w:rPr>
        <w:t>год.</w:t>
      </w:r>
    </w:p>
    <w:p w14:paraId="238E837C" w14:textId="33C27094" w:rsidR="00823151" w:rsidRPr="00FB0A3A" w:rsidRDefault="00823151" w:rsidP="00A31747">
      <w:pPr>
        <w:tabs>
          <w:tab w:val="left" w:pos="1134"/>
        </w:tabs>
        <w:spacing w:after="0" w:line="360" w:lineRule="auto"/>
        <w:ind w:firstLine="567"/>
        <w:contextualSpacing/>
        <w:jc w:val="both"/>
        <w:rPr>
          <w:rFonts w:ascii="Myriad Pro" w:eastAsia="Calibri" w:hAnsi="Myriad Pro" w:cs="Times New Roman"/>
          <w:sz w:val="26"/>
          <w:szCs w:val="26"/>
        </w:rPr>
      </w:pPr>
    </w:p>
    <w:p w14:paraId="219BA07D" w14:textId="77777777" w:rsidR="002F115E" w:rsidRDefault="002F115E" w:rsidP="002D6C17">
      <w:pPr>
        <w:pStyle w:val="3"/>
        <w:numPr>
          <w:ilvl w:val="1"/>
          <w:numId w:val="67"/>
        </w:numPr>
        <w:spacing w:line="360" w:lineRule="auto"/>
        <w:rPr>
          <w:rFonts w:ascii="Myriad Pro" w:hAnsi="Myriad Pro"/>
          <w:b/>
          <w:color w:val="4F6228" w:themeColor="accent3" w:themeShade="80"/>
          <w:sz w:val="28"/>
          <w:szCs w:val="28"/>
        </w:rPr>
        <w:sectPr w:rsidR="002F115E" w:rsidSect="00FB0A3A">
          <w:pgSz w:w="11906" w:h="16838"/>
          <w:pgMar w:top="1134" w:right="851" w:bottom="1134" w:left="1701" w:header="708" w:footer="708" w:gutter="0"/>
          <w:cols w:space="708"/>
          <w:docGrid w:linePitch="360"/>
        </w:sectPr>
      </w:pPr>
    </w:p>
    <w:p w14:paraId="6441BFC2" w14:textId="16D26C90" w:rsidR="001C7C18" w:rsidRPr="002D6C17" w:rsidRDefault="008E15A7" w:rsidP="002D6C17">
      <w:pPr>
        <w:pStyle w:val="3"/>
        <w:numPr>
          <w:ilvl w:val="1"/>
          <w:numId w:val="67"/>
        </w:numPr>
        <w:spacing w:line="360" w:lineRule="auto"/>
        <w:rPr>
          <w:rFonts w:ascii="Myriad Pro" w:hAnsi="Myriad Pro"/>
          <w:b/>
          <w:color w:val="4F6228" w:themeColor="accent3" w:themeShade="80"/>
          <w:sz w:val="28"/>
          <w:szCs w:val="28"/>
        </w:rPr>
      </w:pPr>
      <w:r>
        <w:rPr>
          <w:rFonts w:ascii="Myriad Pro" w:hAnsi="Myriad Pro"/>
          <w:b/>
          <w:color w:val="4F6228" w:themeColor="accent3" w:themeShade="80"/>
          <w:sz w:val="28"/>
          <w:szCs w:val="28"/>
        </w:rPr>
        <w:lastRenderedPageBreak/>
        <w:t xml:space="preserve"> </w:t>
      </w:r>
      <w:bookmarkStart w:id="59" w:name="_Toc40797968"/>
      <w:r w:rsidR="001C7C18" w:rsidRPr="002D6C17">
        <w:rPr>
          <w:rFonts w:ascii="Myriad Pro" w:hAnsi="Myriad Pro"/>
          <w:b/>
          <w:color w:val="4F6228" w:themeColor="accent3" w:themeShade="80"/>
          <w:sz w:val="28"/>
          <w:szCs w:val="28"/>
        </w:rPr>
        <w:t>Амортизация</w:t>
      </w:r>
      <w:bookmarkEnd w:id="59"/>
    </w:p>
    <w:p w14:paraId="28FA55F6" w14:textId="24C2788F" w:rsidR="00BB0113" w:rsidRPr="00FB0A3A" w:rsidRDefault="00BB0113"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 xml:space="preserve">В соответствии с п. 27 Основ ценообразования </w:t>
      </w:r>
      <w:r w:rsidR="00D45F91" w:rsidRPr="00FB0A3A">
        <w:rPr>
          <w:rFonts w:ascii="Myriad Pro" w:eastAsia="Calibri" w:hAnsi="Myriad Pro" w:cs="Times New Roman"/>
          <w:sz w:val="26"/>
          <w:szCs w:val="26"/>
        </w:rPr>
        <w:t xml:space="preserve">№ 1178 </w:t>
      </w:r>
      <w:r w:rsidRPr="00FB0A3A">
        <w:rPr>
          <w:rFonts w:ascii="Myriad Pro" w:eastAsia="Calibri" w:hAnsi="Myriad Pro" w:cs="Times New Roman"/>
          <w:sz w:val="26"/>
          <w:szCs w:val="26"/>
        </w:rPr>
        <w:t>расходы на амортизацию основных средств и нематериальных активов для расчета регулируемых цен (тарифов) определяются в соответствии с нормативными правовыми актами, регулирующими отношения в сфере бухгалтерского учета. При расчете налога на прибыль организаций сумма амортизации основных средств определяется в соответствии с Налоговым кодексом Российской Федерации.</w:t>
      </w:r>
    </w:p>
    <w:p w14:paraId="26C09822" w14:textId="77777777" w:rsidR="00BB0113" w:rsidRPr="00FB0A3A" w:rsidRDefault="00BB0113"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Расходы на амортизацию основных средств и нематериальных активов для расчета тарифов на услуги по передаче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 определяются на уровне, равном сумме отношений стоимости амортизируемых активов регулируемой организации к сроку полезного использования таких активов, принадлежащих ей на праве собственности или на ином законном основании, применяемых в сфере оказания услуг по передаче электрической энергии (объектов электросетевого хозяйства и объектов производственного назначения, в том числе машин и механизмов).</w:t>
      </w:r>
    </w:p>
    <w:p w14:paraId="1DAFC599" w14:textId="77777777" w:rsidR="00BB0113" w:rsidRPr="00FB0A3A" w:rsidRDefault="00BB0113"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Результаты переоценки основных средств и нематериальных активов, осуществленной в порядке, установленном законодательством Российской Федерации о бухгалтерском учете, учитываются при расчете экономически обоснованного размера расходов на амортизацию при условии, что учитываемые в составе необходимой валовой выручки расходы на амортизацию являются источником финансирования мероприятий утвержденной в установленном порядке инвестиционной программы организации.</w:t>
      </w:r>
    </w:p>
    <w:p w14:paraId="534D0D99" w14:textId="77777777" w:rsidR="00BB0113" w:rsidRPr="00FB0A3A" w:rsidRDefault="00BB0113"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В случае если ранее учтенные в необходимой валовой выручке расходы на амортизацию, определенные источником финансирования мероприятий инвестиционной программы организации, были компенсированы выручкой от регулируемой деятельности, но не израсходованы в запланированном (учтенном регулирующим органом) размере, то неизрасходованные средства исключаются из необходимой валовой выручки регулируемой организации при расчете и установлении соответствующих тарифов для этой организации на следующий календарный год.</w:t>
      </w:r>
    </w:p>
    <w:p w14:paraId="44C6F502" w14:textId="343C9A65" w:rsidR="00BB0113" w:rsidRPr="00FB0A3A" w:rsidRDefault="00BB0113"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lastRenderedPageBreak/>
        <w:t xml:space="preserve">При расчете экономически обоснованного размера амортизации на плановый период регулирования срок полезного использования активов и отнесение этих активов к соответствующей амортизационной группе определяется регулирующими органами в соответствии с максимальными сроками полезного использования, установленными Классификацией основных средств, включаемых в амортизационные группы, утвержденной постановлением Правительства Российской Федерации от 1 января 2002 г. № 1 </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О Классификации основных средств, включаемых в амортизационные группы</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w:t>
      </w:r>
    </w:p>
    <w:p w14:paraId="1B2C5C97" w14:textId="113FF05E" w:rsidR="00BB0113" w:rsidRPr="00FB0A3A" w:rsidRDefault="00BB0113" w:rsidP="0022562D">
      <w:pPr>
        <w:pStyle w:val="afff4"/>
        <w:rPr>
          <w:lang w:val="ru-RU"/>
        </w:rPr>
      </w:pPr>
      <w:r w:rsidRPr="00FB0A3A">
        <w:rPr>
          <w:lang w:val="ru-RU"/>
        </w:rPr>
        <w:t>При расчете на плановый период регулирования экономически обоснованного размера амортизации основных средств, связанных с осуществлением технологического присоединения к электрическим сетям, в составе необходимой валовой выручки учитывается амортизация только по основным средствам, фактически введенным в эксплуатацию за последний отчетный период, за который имеются отчетные данные.</w:t>
      </w:r>
    </w:p>
    <w:tbl>
      <w:tblPr>
        <w:tblStyle w:val="afff6"/>
        <w:tblW w:w="5000" w:type="pct"/>
        <w:tblLayout w:type="fixed"/>
        <w:tblLook w:val="04A0" w:firstRow="1" w:lastRow="0" w:firstColumn="1" w:lastColumn="0" w:noHBand="0" w:noVBand="1"/>
      </w:tblPr>
      <w:tblGrid>
        <w:gridCol w:w="2137"/>
        <w:gridCol w:w="1488"/>
        <w:gridCol w:w="1953"/>
        <w:gridCol w:w="1258"/>
        <w:gridCol w:w="1440"/>
        <w:gridCol w:w="1068"/>
      </w:tblGrid>
      <w:tr w:rsidR="0022562D" w:rsidRPr="008A1FE3" w14:paraId="41AA4A46" w14:textId="77777777" w:rsidTr="002267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2C70F1AA" w14:textId="03167F7A" w:rsidR="00691BEE" w:rsidRPr="008A1FE3" w:rsidRDefault="00691BEE" w:rsidP="0022562D">
            <w:pPr>
              <w:tabs>
                <w:tab w:val="left" w:pos="1134"/>
              </w:tabs>
              <w:jc w:val="center"/>
              <w:rPr>
                <w:rFonts w:eastAsia="Calibri" w:cs="Times New Roman"/>
                <w:sz w:val="20"/>
                <w:szCs w:val="20"/>
              </w:rPr>
            </w:pPr>
            <w:r w:rsidRPr="008A1FE3">
              <w:rPr>
                <w:rFonts w:eastAsia="Calibri" w:cs="Times New Roman"/>
                <w:sz w:val="20"/>
                <w:szCs w:val="20"/>
              </w:rPr>
              <w:t>Наименование статьи</w:t>
            </w:r>
          </w:p>
        </w:tc>
        <w:tc>
          <w:tcPr>
            <w:tcW w:w="15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03F3E0E7" w14:textId="77777777" w:rsidR="00691BEE" w:rsidRPr="008A1FE3" w:rsidRDefault="00691BEE" w:rsidP="0022562D">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 w:val="20"/>
                <w:szCs w:val="20"/>
              </w:rPr>
            </w:pPr>
            <w:r w:rsidRPr="008A1FE3">
              <w:rPr>
                <w:rFonts w:eastAsia="Calibri" w:cs="Times New Roman"/>
                <w:sz w:val="20"/>
                <w:szCs w:val="20"/>
              </w:rPr>
              <w:t>Факт за 2017, тыс. руб.</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E079EBD" w14:textId="1A93FA3F" w:rsidR="00691BEE" w:rsidRPr="008A1FE3" w:rsidRDefault="00691BEE" w:rsidP="0022562D">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 w:val="20"/>
                <w:szCs w:val="20"/>
              </w:rPr>
            </w:pPr>
            <w:r w:rsidRPr="008A1FE3">
              <w:rPr>
                <w:rFonts w:eastAsia="Calibri" w:cs="Times New Roman"/>
                <w:sz w:val="20"/>
                <w:szCs w:val="20"/>
              </w:rPr>
              <w:t xml:space="preserve">Заявлено филиалом ПАО </w:t>
            </w:r>
            <w:r w:rsidR="00655FFA" w:rsidRPr="008A1FE3">
              <w:rPr>
                <w:rFonts w:eastAsia="Calibri" w:cs="Times New Roman"/>
                <w:sz w:val="20"/>
                <w:szCs w:val="20"/>
              </w:rPr>
              <w:t>«</w:t>
            </w:r>
            <w:r w:rsidR="00597FD5" w:rsidRPr="008A1FE3">
              <w:rPr>
                <w:rFonts w:eastAsia="Calibri" w:cs="Times New Roman"/>
                <w:sz w:val="20"/>
                <w:szCs w:val="20"/>
              </w:rPr>
              <w:t>МРСК Северо-Запада</w:t>
            </w:r>
            <w:r w:rsidR="00655FFA" w:rsidRPr="008A1FE3">
              <w:rPr>
                <w:rFonts w:eastAsia="Calibri" w:cs="Times New Roman"/>
                <w:sz w:val="20"/>
                <w:szCs w:val="20"/>
              </w:rPr>
              <w:t>»</w:t>
            </w:r>
            <w:r w:rsidRPr="008A1FE3">
              <w:rPr>
                <w:rFonts w:eastAsia="Calibri" w:cs="Times New Roman"/>
                <w:sz w:val="20"/>
                <w:szCs w:val="20"/>
              </w:rPr>
              <w:t xml:space="preserve"> </w:t>
            </w:r>
            <w:r w:rsidR="00655FFA" w:rsidRPr="008A1FE3">
              <w:rPr>
                <w:rFonts w:eastAsia="Calibri" w:cs="Times New Roman"/>
                <w:sz w:val="20"/>
                <w:szCs w:val="20"/>
              </w:rPr>
              <w:t>«</w:t>
            </w:r>
            <w:r w:rsidRPr="008A1FE3">
              <w:rPr>
                <w:rFonts w:eastAsia="Calibri" w:cs="Times New Roman"/>
                <w:sz w:val="20"/>
                <w:szCs w:val="20"/>
              </w:rPr>
              <w:t>Колэнерго</w:t>
            </w:r>
            <w:r w:rsidR="00655FFA" w:rsidRPr="008A1FE3">
              <w:rPr>
                <w:rFonts w:eastAsia="Calibri" w:cs="Times New Roman"/>
                <w:sz w:val="20"/>
                <w:szCs w:val="20"/>
              </w:rPr>
              <w:t>»</w:t>
            </w:r>
            <w:r w:rsidRPr="008A1FE3">
              <w:rPr>
                <w:rFonts w:eastAsia="Calibri" w:cs="Times New Roman"/>
                <w:sz w:val="20"/>
                <w:szCs w:val="20"/>
              </w:rPr>
              <w:t xml:space="preserve"> на 2019, тыс. руб.</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5618191" w14:textId="77777777" w:rsidR="00691BEE" w:rsidRPr="008A1FE3" w:rsidRDefault="00691BEE" w:rsidP="0022562D">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 w:val="20"/>
                <w:szCs w:val="20"/>
              </w:rPr>
            </w:pPr>
            <w:r w:rsidRPr="008A1FE3">
              <w:rPr>
                <w:rFonts w:eastAsia="Calibri" w:cs="Times New Roman"/>
                <w:sz w:val="20"/>
                <w:szCs w:val="20"/>
              </w:rPr>
              <w:t>ТБР на 2019, тыс. руб.</w:t>
            </w:r>
          </w:p>
        </w:tc>
        <w:tc>
          <w:tcPr>
            <w:tcW w:w="14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8B46766" w14:textId="77777777" w:rsidR="00691BEE" w:rsidRPr="008A1FE3" w:rsidRDefault="00691BEE" w:rsidP="0022562D">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 w:val="20"/>
                <w:szCs w:val="20"/>
              </w:rPr>
            </w:pPr>
            <w:r w:rsidRPr="008A1FE3">
              <w:rPr>
                <w:rFonts w:eastAsia="Calibri" w:cs="Times New Roman"/>
                <w:sz w:val="20"/>
                <w:szCs w:val="20"/>
              </w:rPr>
              <w:t>Отклонение ТБР на 2019/ заявка на 2019, %</w:t>
            </w:r>
          </w:p>
        </w:tc>
        <w:tc>
          <w:tcPr>
            <w:tcW w:w="10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BEF9815" w14:textId="77777777" w:rsidR="00691BEE" w:rsidRPr="008A1FE3" w:rsidRDefault="00691BEE" w:rsidP="0022562D">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 w:val="20"/>
                <w:szCs w:val="20"/>
              </w:rPr>
            </w:pPr>
            <w:r w:rsidRPr="008A1FE3">
              <w:rPr>
                <w:rFonts w:eastAsia="Calibri" w:cs="Times New Roman"/>
                <w:sz w:val="20"/>
                <w:szCs w:val="20"/>
              </w:rPr>
              <w:t>ТБР на 2019 /факт за 2017, %</w:t>
            </w:r>
          </w:p>
        </w:tc>
      </w:tr>
      <w:tr w:rsidR="0022562D" w:rsidRPr="008A1FE3" w14:paraId="720D8E7E" w14:textId="77777777" w:rsidTr="002267D7">
        <w:tc>
          <w:tcPr>
            <w:cnfStyle w:val="001000000000" w:firstRow="0" w:lastRow="0" w:firstColumn="1" w:lastColumn="0" w:oddVBand="0" w:evenVBand="0" w:oddHBand="0" w:evenHBand="0" w:firstRowFirstColumn="0" w:firstRowLastColumn="0" w:lastRowFirstColumn="0" w:lastRowLastColumn="0"/>
            <w:tcW w:w="2171" w:type="dxa"/>
            <w:tcBorders>
              <w:top w:val="single" w:sz="4" w:space="0" w:color="FFFFFF" w:themeColor="background1"/>
            </w:tcBorders>
            <w:hideMark/>
          </w:tcPr>
          <w:p w14:paraId="0CB23627" w14:textId="77777777" w:rsidR="00691BEE" w:rsidRPr="008A1FE3" w:rsidRDefault="00691BEE" w:rsidP="0022562D">
            <w:pPr>
              <w:tabs>
                <w:tab w:val="left" w:pos="1134"/>
              </w:tabs>
              <w:rPr>
                <w:rFonts w:eastAsia="Calibri" w:cs="Times New Roman"/>
                <w:sz w:val="20"/>
                <w:szCs w:val="20"/>
              </w:rPr>
            </w:pPr>
            <w:r w:rsidRPr="008A1FE3">
              <w:rPr>
                <w:rFonts w:eastAsia="Calibri" w:cs="Times New Roman"/>
                <w:sz w:val="20"/>
                <w:szCs w:val="20"/>
              </w:rPr>
              <w:t>Амортизация</w:t>
            </w:r>
          </w:p>
        </w:tc>
        <w:tc>
          <w:tcPr>
            <w:tcW w:w="1510" w:type="dxa"/>
            <w:tcBorders>
              <w:top w:val="single" w:sz="4" w:space="0" w:color="FFFFFF" w:themeColor="background1"/>
            </w:tcBorders>
            <w:hideMark/>
          </w:tcPr>
          <w:p w14:paraId="2BD43110" w14:textId="77777777" w:rsidR="00691BEE" w:rsidRPr="008A1FE3" w:rsidRDefault="00691BEE" w:rsidP="0022562D">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8A1FE3">
              <w:rPr>
                <w:rFonts w:eastAsia="Calibri" w:cs="Times New Roman"/>
                <w:sz w:val="20"/>
                <w:szCs w:val="20"/>
              </w:rPr>
              <w:t>351 200,20</w:t>
            </w:r>
          </w:p>
        </w:tc>
        <w:tc>
          <w:tcPr>
            <w:tcW w:w="1984" w:type="dxa"/>
            <w:tcBorders>
              <w:top w:val="single" w:sz="4" w:space="0" w:color="FFFFFF" w:themeColor="background1"/>
            </w:tcBorders>
            <w:hideMark/>
          </w:tcPr>
          <w:p w14:paraId="066B03D0" w14:textId="77777777" w:rsidR="00691BEE" w:rsidRPr="008A1FE3" w:rsidRDefault="00691BEE" w:rsidP="0022562D">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8A1FE3">
              <w:rPr>
                <w:rFonts w:eastAsia="Calibri" w:cs="Times New Roman"/>
                <w:sz w:val="20"/>
                <w:szCs w:val="20"/>
              </w:rPr>
              <w:t>396 082,34</w:t>
            </w:r>
          </w:p>
        </w:tc>
        <w:tc>
          <w:tcPr>
            <w:tcW w:w="1276" w:type="dxa"/>
            <w:tcBorders>
              <w:top w:val="single" w:sz="4" w:space="0" w:color="FFFFFF" w:themeColor="background1"/>
            </w:tcBorders>
            <w:hideMark/>
          </w:tcPr>
          <w:p w14:paraId="527E0399" w14:textId="77777777" w:rsidR="00691BEE" w:rsidRPr="008A1FE3" w:rsidRDefault="00691BEE" w:rsidP="0022562D">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8A1FE3">
              <w:rPr>
                <w:rFonts w:eastAsia="Calibri" w:cs="Times New Roman"/>
                <w:sz w:val="20"/>
                <w:szCs w:val="20"/>
              </w:rPr>
              <w:t>393 804,00</w:t>
            </w:r>
          </w:p>
        </w:tc>
        <w:tc>
          <w:tcPr>
            <w:tcW w:w="1462" w:type="dxa"/>
            <w:tcBorders>
              <w:top w:val="single" w:sz="4" w:space="0" w:color="FFFFFF" w:themeColor="background1"/>
            </w:tcBorders>
            <w:hideMark/>
          </w:tcPr>
          <w:p w14:paraId="475CF7E6" w14:textId="77777777" w:rsidR="00691BEE" w:rsidRPr="008A1FE3" w:rsidRDefault="00691BEE" w:rsidP="0022562D">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8A1FE3">
              <w:rPr>
                <w:rFonts w:eastAsia="Calibri" w:cs="Times New Roman"/>
                <w:sz w:val="20"/>
                <w:szCs w:val="20"/>
              </w:rPr>
              <w:t>-0,6</w:t>
            </w:r>
          </w:p>
        </w:tc>
        <w:tc>
          <w:tcPr>
            <w:tcW w:w="1083" w:type="dxa"/>
            <w:tcBorders>
              <w:top w:val="single" w:sz="4" w:space="0" w:color="FFFFFF" w:themeColor="background1"/>
            </w:tcBorders>
            <w:hideMark/>
          </w:tcPr>
          <w:p w14:paraId="549EFAEF" w14:textId="77777777" w:rsidR="00691BEE" w:rsidRPr="008A1FE3" w:rsidRDefault="00691BEE" w:rsidP="0022562D">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8A1FE3">
              <w:rPr>
                <w:rFonts w:eastAsia="Calibri" w:cs="Times New Roman"/>
                <w:sz w:val="20"/>
                <w:szCs w:val="20"/>
              </w:rPr>
              <w:t>12,13</w:t>
            </w:r>
          </w:p>
        </w:tc>
      </w:tr>
    </w:tbl>
    <w:p w14:paraId="601664D2" w14:textId="77777777" w:rsidR="009808E8" w:rsidRDefault="009808E8" w:rsidP="0022562D">
      <w:pPr>
        <w:tabs>
          <w:tab w:val="left" w:pos="1134"/>
        </w:tabs>
        <w:spacing w:after="0" w:line="360" w:lineRule="auto"/>
        <w:contextualSpacing/>
        <w:jc w:val="both"/>
        <w:rPr>
          <w:rFonts w:ascii="Myriad Pro" w:eastAsia="Calibri" w:hAnsi="Myriad Pro" w:cs="Times New Roman"/>
          <w:b/>
          <w:sz w:val="26"/>
          <w:szCs w:val="26"/>
        </w:rPr>
      </w:pPr>
    </w:p>
    <w:p w14:paraId="4A7A53C4" w14:textId="12D3BD6B" w:rsidR="00457D12" w:rsidRPr="00FB0A3A" w:rsidRDefault="00457D12" w:rsidP="0022562D">
      <w:pPr>
        <w:tabs>
          <w:tab w:val="left" w:pos="1134"/>
        </w:tabs>
        <w:spacing w:after="0" w:line="360" w:lineRule="auto"/>
        <w:contextualSpacing/>
        <w:jc w:val="both"/>
        <w:rPr>
          <w:rFonts w:ascii="Myriad Pro" w:eastAsia="Calibri" w:hAnsi="Myriad Pro" w:cs="Times New Roman"/>
          <w:b/>
          <w:sz w:val="26"/>
          <w:szCs w:val="26"/>
        </w:rPr>
      </w:pPr>
      <w:r w:rsidRPr="00FB0A3A">
        <w:rPr>
          <w:rFonts w:ascii="Myriad Pro" w:eastAsia="Calibri" w:hAnsi="Myriad Pro" w:cs="Times New Roman"/>
          <w:b/>
          <w:sz w:val="26"/>
          <w:szCs w:val="26"/>
        </w:rPr>
        <w:t>ПОЗИЦИЯ ТЕРРИТОРИАЛЬНОЙ СЕТЕВОЙ ОРГАНИЗАЦИИ</w:t>
      </w:r>
    </w:p>
    <w:p w14:paraId="1D54C884" w14:textId="77777777" w:rsidR="00482FE4" w:rsidRPr="00FB0A3A" w:rsidRDefault="00482FE4"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В составе основных производственных фондов Филиала учитываются основные средства, участвующие в регулируемой производственной деятельности, такие как: здания, сооружения и передаточные устройства, рабочие и силовые машины, измерительные и регулирующие приборы и устройства, вычислительная техника и прочие машины, транспортные средства, инструмент.</w:t>
      </w:r>
    </w:p>
    <w:p w14:paraId="589D3197" w14:textId="5B2AC88A" w:rsidR="00482FE4" w:rsidRPr="00FB0A3A" w:rsidRDefault="00482FE4"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 xml:space="preserve">Расчет представлен в Приложении 1.8. </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Расчет амортизационных отчислений на восстановление основных производ</w:t>
      </w:r>
      <w:r w:rsidR="00F50BAF" w:rsidRPr="00FB0A3A">
        <w:rPr>
          <w:rFonts w:ascii="Myriad Pro" w:eastAsia="Calibri" w:hAnsi="Myriad Pro" w:cs="Times New Roman"/>
          <w:sz w:val="26"/>
          <w:szCs w:val="26"/>
        </w:rPr>
        <w:t>ственных фондов на 2019-2023 г</w:t>
      </w:r>
      <w:r w:rsidRPr="00FB0A3A">
        <w:rPr>
          <w:rFonts w:ascii="Myriad Pro" w:eastAsia="Calibri" w:hAnsi="Myriad Pro" w:cs="Times New Roman"/>
          <w:sz w:val="26"/>
          <w:szCs w:val="26"/>
        </w:rPr>
        <w:t>г.</w:t>
      </w:r>
      <w:r w:rsidR="00655FFA" w:rsidRPr="00FB0A3A">
        <w:rPr>
          <w:rFonts w:ascii="Myriad Pro" w:eastAsia="Calibri" w:hAnsi="Myriad Pro" w:cs="Times New Roman"/>
          <w:sz w:val="26"/>
          <w:szCs w:val="26"/>
        </w:rPr>
        <w:t>»</w:t>
      </w:r>
      <w:r w:rsidR="00F50BAF" w:rsidRPr="00FB0A3A">
        <w:rPr>
          <w:rFonts w:ascii="Myriad Pro" w:eastAsia="Calibri" w:hAnsi="Myriad Pro" w:cs="Times New Roman"/>
          <w:sz w:val="26"/>
          <w:szCs w:val="26"/>
        </w:rPr>
        <w:t>.</w:t>
      </w:r>
    </w:p>
    <w:p w14:paraId="591EEACE" w14:textId="372C98C3" w:rsidR="006946E4" w:rsidRPr="00FB0A3A" w:rsidRDefault="006946E4"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 xml:space="preserve">В обоснование заявленной суммы расходов филиалом </w:t>
      </w:r>
      <w:r w:rsidR="00350B0A" w:rsidRPr="00FB0A3A">
        <w:rPr>
          <w:rFonts w:ascii="Myriad Pro" w:eastAsia="Calibri" w:hAnsi="Myriad Pro" w:cs="Times New Roman"/>
          <w:sz w:val="26"/>
          <w:szCs w:val="26"/>
        </w:rPr>
        <w:t xml:space="preserve">ПАО </w:t>
      </w:r>
      <w:r w:rsidR="00655FFA" w:rsidRPr="00FB0A3A">
        <w:rPr>
          <w:rFonts w:ascii="Myriad Pro" w:eastAsia="Calibri" w:hAnsi="Myriad Pro" w:cs="Times New Roman"/>
          <w:sz w:val="26"/>
          <w:szCs w:val="26"/>
        </w:rPr>
        <w:t>«</w:t>
      </w:r>
      <w:r w:rsidR="00350B0A" w:rsidRPr="00FB0A3A">
        <w:rPr>
          <w:rFonts w:ascii="Myriad Pro" w:eastAsia="Calibri" w:hAnsi="Myriad Pro" w:cs="Times New Roman"/>
          <w:sz w:val="26"/>
          <w:szCs w:val="26"/>
        </w:rPr>
        <w:t>МРСК Северо-Запада</w:t>
      </w:r>
      <w:r w:rsidR="00655FFA" w:rsidRPr="00FB0A3A">
        <w:rPr>
          <w:rFonts w:ascii="Myriad Pro" w:eastAsia="Calibri" w:hAnsi="Myriad Pro" w:cs="Times New Roman"/>
          <w:sz w:val="26"/>
          <w:szCs w:val="26"/>
        </w:rPr>
        <w:t>»</w:t>
      </w:r>
      <w:r w:rsidR="00350B0A" w:rsidRPr="00FB0A3A">
        <w:rPr>
          <w:rFonts w:ascii="Myriad Pro" w:eastAsia="Calibri" w:hAnsi="Myriad Pro" w:cs="Times New Roman"/>
          <w:sz w:val="26"/>
          <w:szCs w:val="26"/>
        </w:rPr>
        <w:t xml:space="preserve"> </w:t>
      </w:r>
      <w:r w:rsidR="00655FFA" w:rsidRPr="00FB0A3A">
        <w:rPr>
          <w:rFonts w:ascii="Myriad Pro" w:eastAsia="Calibri" w:hAnsi="Myriad Pro" w:cs="Times New Roman"/>
          <w:sz w:val="26"/>
          <w:szCs w:val="26"/>
        </w:rPr>
        <w:t>«</w:t>
      </w:r>
      <w:r w:rsidR="00350B0A" w:rsidRPr="00FB0A3A">
        <w:rPr>
          <w:rFonts w:ascii="Myriad Pro" w:eastAsia="Calibri" w:hAnsi="Myriad Pro" w:cs="Times New Roman"/>
          <w:sz w:val="26"/>
          <w:szCs w:val="26"/>
        </w:rPr>
        <w:t>Колэнерго</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 xml:space="preserve"> были предоставлены следующие документы:</w:t>
      </w:r>
    </w:p>
    <w:p w14:paraId="1222D341" w14:textId="76EEFBA1" w:rsidR="006946E4" w:rsidRPr="00FB0A3A" w:rsidRDefault="006946E4" w:rsidP="009B0BC1">
      <w:pPr>
        <w:pStyle w:val="a4"/>
        <w:numPr>
          <w:ilvl w:val="0"/>
          <w:numId w:val="11"/>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Пояснительные записки;</w:t>
      </w:r>
    </w:p>
    <w:p w14:paraId="493834B7" w14:textId="5A0743A6" w:rsidR="003F367D" w:rsidRPr="00FB0A3A" w:rsidRDefault="003F367D" w:rsidP="009B0BC1">
      <w:pPr>
        <w:pStyle w:val="a4"/>
        <w:numPr>
          <w:ilvl w:val="0"/>
          <w:numId w:val="11"/>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lastRenderedPageBreak/>
        <w:t>Отчет по основным средствам за 2017 год</w:t>
      </w:r>
      <w:r w:rsidR="00950755" w:rsidRPr="00FB0A3A">
        <w:rPr>
          <w:rFonts w:ascii="Myriad Pro" w:hAnsi="Myriad Pro"/>
          <w:sz w:val="26"/>
          <w:szCs w:val="26"/>
        </w:rPr>
        <w:t xml:space="preserve"> (6998 строк)</w:t>
      </w:r>
      <w:r w:rsidRPr="00FB0A3A">
        <w:rPr>
          <w:rFonts w:ascii="Myriad Pro" w:hAnsi="Myriad Pro"/>
          <w:sz w:val="26"/>
          <w:szCs w:val="26"/>
        </w:rPr>
        <w:t>;</w:t>
      </w:r>
    </w:p>
    <w:p w14:paraId="7C61299D" w14:textId="738D5AC2" w:rsidR="003F367D" w:rsidRPr="00FB0A3A" w:rsidRDefault="003F367D" w:rsidP="009B0BC1">
      <w:pPr>
        <w:pStyle w:val="a4"/>
        <w:numPr>
          <w:ilvl w:val="0"/>
          <w:numId w:val="11"/>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 xml:space="preserve">Анализ счета 20 по элементам затрат </w:t>
      </w:r>
      <w:r w:rsidR="00655FFA" w:rsidRPr="00FB0A3A">
        <w:rPr>
          <w:rFonts w:ascii="Myriad Pro" w:hAnsi="Myriad Pro"/>
          <w:sz w:val="26"/>
          <w:szCs w:val="26"/>
        </w:rPr>
        <w:t>«</w:t>
      </w:r>
      <w:r w:rsidRPr="00FB0A3A">
        <w:rPr>
          <w:rFonts w:ascii="Myriad Pro" w:hAnsi="Myriad Pro"/>
          <w:sz w:val="26"/>
          <w:szCs w:val="26"/>
        </w:rPr>
        <w:t>Амортизация</w:t>
      </w:r>
      <w:r w:rsidR="00655FFA" w:rsidRPr="00FB0A3A">
        <w:rPr>
          <w:rFonts w:ascii="Myriad Pro" w:hAnsi="Myriad Pro"/>
          <w:sz w:val="26"/>
          <w:szCs w:val="26"/>
        </w:rPr>
        <w:t>»</w:t>
      </w:r>
      <w:r w:rsidRPr="00FB0A3A">
        <w:rPr>
          <w:rFonts w:ascii="Myriad Pro" w:hAnsi="Myriad Pro"/>
          <w:sz w:val="26"/>
          <w:szCs w:val="26"/>
        </w:rPr>
        <w:t xml:space="preserve"> по виду деятельности </w:t>
      </w:r>
      <w:r w:rsidR="00655FFA" w:rsidRPr="00FB0A3A">
        <w:rPr>
          <w:rFonts w:ascii="Myriad Pro" w:hAnsi="Myriad Pro"/>
          <w:sz w:val="26"/>
          <w:szCs w:val="26"/>
        </w:rPr>
        <w:t>«</w:t>
      </w:r>
      <w:r w:rsidRPr="00FB0A3A">
        <w:rPr>
          <w:rFonts w:ascii="Myriad Pro" w:hAnsi="Myriad Pro"/>
          <w:sz w:val="26"/>
          <w:szCs w:val="26"/>
        </w:rPr>
        <w:t>Услуги по передаче электроэнергии по сетям</w:t>
      </w:r>
      <w:r w:rsidR="00655FFA" w:rsidRPr="00FB0A3A">
        <w:rPr>
          <w:rFonts w:ascii="Myriad Pro" w:hAnsi="Myriad Pro"/>
          <w:sz w:val="26"/>
          <w:szCs w:val="26"/>
        </w:rPr>
        <w:t>»</w:t>
      </w:r>
      <w:r w:rsidRPr="00FB0A3A">
        <w:rPr>
          <w:rFonts w:ascii="Myriad Pro" w:hAnsi="Myriad Pro"/>
          <w:sz w:val="26"/>
          <w:szCs w:val="26"/>
        </w:rPr>
        <w:t xml:space="preserve"> за 2017 г.</w:t>
      </w:r>
      <w:r w:rsidR="00A071C1" w:rsidRPr="00FB0A3A">
        <w:rPr>
          <w:rFonts w:ascii="Myriad Pro" w:hAnsi="Myriad Pro"/>
          <w:sz w:val="26"/>
          <w:szCs w:val="26"/>
        </w:rPr>
        <w:t>;</w:t>
      </w:r>
    </w:p>
    <w:p w14:paraId="5AAE1440" w14:textId="26B6EF85" w:rsidR="00000018" w:rsidRPr="00FB0A3A" w:rsidRDefault="00A071C1" w:rsidP="009B0BC1">
      <w:pPr>
        <w:pStyle w:val="a4"/>
        <w:numPr>
          <w:ilvl w:val="0"/>
          <w:numId w:val="11"/>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 xml:space="preserve">Статистическая отчетность по форме № 11 </w:t>
      </w:r>
      <w:r w:rsidR="00655FFA" w:rsidRPr="00FB0A3A">
        <w:rPr>
          <w:rFonts w:ascii="Myriad Pro" w:hAnsi="Myriad Pro"/>
          <w:sz w:val="26"/>
          <w:szCs w:val="26"/>
        </w:rPr>
        <w:t>«</w:t>
      </w:r>
      <w:r w:rsidRPr="00FB0A3A">
        <w:rPr>
          <w:rFonts w:ascii="Myriad Pro" w:hAnsi="Myriad Pro"/>
          <w:sz w:val="26"/>
          <w:szCs w:val="26"/>
        </w:rPr>
        <w:t>Сведения о наличии и движении основных фондов (средств) и других нефинансовых активов</w:t>
      </w:r>
      <w:r w:rsidR="00655FFA" w:rsidRPr="00FB0A3A">
        <w:rPr>
          <w:rFonts w:ascii="Myriad Pro" w:hAnsi="Myriad Pro"/>
          <w:sz w:val="26"/>
          <w:szCs w:val="26"/>
        </w:rPr>
        <w:t>»</w:t>
      </w:r>
      <w:r w:rsidRPr="00FB0A3A">
        <w:rPr>
          <w:rFonts w:ascii="Myriad Pro" w:hAnsi="Myriad Pro"/>
          <w:sz w:val="26"/>
          <w:szCs w:val="26"/>
        </w:rPr>
        <w:t xml:space="preserve"> за 2017</w:t>
      </w:r>
      <w:r w:rsidR="009808E8">
        <w:rPr>
          <w:rFonts w:ascii="Myriad Pro" w:hAnsi="Myriad Pro"/>
          <w:sz w:val="26"/>
          <w:szCs w:val="26"/>
        </w:rPr>
        <w:t> </w:t>
      </w:r>
      <w:r w:rsidRPr="00FB0A3A">
        <w:rPr>
          <w:rFonts w:ascii="Myriad Pro" w:hAnsi="Myriad Pro"/>
          <w:sz w:val="26"/>
          <w:szCs w:val="26"/>
        </w:rPr>
        <w:t>год</w:t>
      </w:r>
      <w:r w:rsidR="008708EC" w:rsidRPr="00FB0A3A">
        <w:rPr>
          <w:rFonts w:ascii="Myriad Pro" w:hAnsi="Myriad Pro"/>
          <w:sz w:val="26"/>
          <w:szCs w:val="26"/>
        </w:rPr>
        <w:t>.</w:t>
      </w:r>
    </w:p>
    <w:p w14:paraId="171E39FB" w14:textId="77777777" w:rsidR="00CB0CB5" w:rsidRPr="00FB0A3A" w:rsidRDefault="00CB0CB5" w:rsidP="00A31747">
      <w:pPr>
        <w:tabs>
          <w:tab w:val="left" w:pos="1134"/>
        </w:tabs>
        <w:spacing w:after="0" w:line="360" w:lineRule="auto"/>
        <w:ind w:firstLine="567"/>
        <w:contextualSpacing/>
        <w:jc w:val="both"/>
        <w:rPr>
          <w:rFonts w:ascii="Myriad Pro" w:eastAsia="Calibri" w:hAnsi="Myriad Pro" w:cs="Times New Roman"/>
          <w:b/>
          <w:sz w:val="26"/>
          <w:szCs w:val="26"/>
        </w:rPr>
      </w:pPr>
    </w:p>
    <w:p w14:paraId="51EC67E9" w14:textId="19E591FC" w:rsidR="00457D12" w:rsidRPr="00FB0A3A" w:rsidRDefault="00457D12" w:rsidP="0022562D">
      <w:pPr>
        <w:tabs>
          <w:tab w:val="left" w:pos="1134"/>
        </w:tabs>
        <w:spacing w:after="0" w:line="360" w:lineRule="auto"/>
        <w:contextualSpacing/>
        <w:jc w:val="both"/>
        <w:rPr>
          <w:rFonts w:ascii="Myriad Pro" w:eastAsia="Calibri" w:hAnsi="Myriad Pro" w:cs="Times New Roman"/>
          <w:b/>
          <w:sz w:val="26"/>
          <w:szCs w:val="26"/>
        </w:rPr>
      </w:pPr>
      <w:r w:rsidRPr="00FB0A3A">
        <w:rPr>
          <w:rFonts w:ascii="Myriad Pro" w:eastAsia="Calibri" w:hAnsi="Myriad Pro" w:cs="Times New Roman"/>
          <w:b/>
          <w:sz w:val="26"/>
          <w:szCs w:val="26"/>
        </w:rPr>
        <w:t>ПОЗИЦИЯ ОРГАНА РЕГУЛИРОВАНИЯ</w:t>
      </w:r>
    </w:p>
    <w:p w14:paraId="0C7C1CDF" w14:textId="7AF0D86A" w:rsidR="003307CF" w:rsidRPr="00FB0A3A" w:rsidRDefault="00A071C1"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Комитетом расходы приняты в размере 393 804,00 тыс. руб. на основании фактических данных за 1 квартал 2018 года в годовом исчислении.</w:t>
      </w:r>
    </w:p>
    <w:p w14:paraId="04AB4B0E" w14:textId="77777777" w:rsidR="00A071C1" w:rsidRPr="00FB0A3A" w:rsidRDefault="00A071C1" w:rsidP="00A31747">
      <w:pPr>
        <w:tabs>
          <w:tab w:val="left" w:pos="1134"/>
        </w:tabs>
        <w:spacing w:after="0" w:line="360" w:lineRule="auto"/>
        <w:ind w:firstLine="567"/>
        <w:contextualSpacing/>
        <w:jc w:val="both"/>
        <w:rPr>
          <w:rFonts w:ascii="Myriad Pro" w:eastAsia="Calibri" w:hAnsi="Myriad Pro" w:cs="Times New Roman"/>
          <w:sz w:val="26"/>
          <w:szCs w:val="26"/>
        </w:rPr>
      </w:pPr>
    </w:p>
    <w:p w14:paraId="7915B9DC" w14:textId="1831888E" w:rsidR="004D7D17" w:rsidRPr="00FB0A3A" w:rsidRDefault="00457D12" w:rsidP="0022562D">
      <w:pPr>
        <w:tabs>
          <w:tab w:val="left" w:pos="1134"/>
        </w:tabs>
        <w:spacing w:after="0" w:line="360" w:lineRule="auto"/>
        <w:contextualSpacing/>
        <w:jc w:val="both"/>
        <w:rPr>
          <w:rFonts w:ascii="Myriad Pro" w:eastAsia="Calibri" w:hAnsi="Myriad Pro" w:cs="Times New Roman"/>
          <w:b/>
          <w:sz w:val="26"/>
          <w:szCs w:val="26"/>
        </w:rPr>
      </w:pPr>
      <w:r w:rsidRPr="00FB0A3A">
        <w:rPr>
          <w:rFonts w:ascii="Myriad Pro" w:eastAsia="Calibri" w:hAnsi="Myriad Pro" w:cs="Times New Roman"/>
          <w:b/>
          <w:sz w:val="26"/>
          <w:szCs w:val="26"/>
        </w:rPr>
        <w:t>ПОЗИЦИЯ ИСПОЛНИТЕЛЯ</w:t>
      </w:r>
    </w:p>
    <w:p w14:paraId="63A52E83" w14:textId="6E59F03D" w:rsidR="000B17AB" w:rsidRPr="00FB0A3A" w:rsidRDefault="00D059B1"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По</w:t>
      </w:r>
      <w:r w:rsidR="000B17AB" w:rsidRPr="00FB0A3A">
        <w:rPr>
          <w:rFonts w:ascii="Myriad Pro" w:eastAsia="Calibri" w:hAnsi="Myriad Pro" w:cs="Times New Roman"/>
          <w:sz w:val="26"/>
          <w:szCs w:val="26"/>
        </w:rPr>
        <w:t xml:space="preserve"> результатам анализа документов, предоставленных филиалом ПАО </w:t>
      </w:r>
      <w:r w:rsidR="00655FFA" w:rsidRPr="00FB0A3A">
        <w:rPr>
          <w:rFonts w:ascii="Myriad Pro" w:eastAsia="Calibri" w:hAnsi="Myriad Pro" w:cs="Times New Roman"/>
          <w:sz w:val="26"/>
          <w:szCs w:val="26"/>
        </w:rPr>
        <w:t>«</w:t>
      </w:r>
      <w:r w:rsidR="00597FD5" w:rsidRPr="00FB0A3A">
        <w:rPr>
          <w:rFonts w:ascii="Myriad Pro" w:eastAsia="Calibri" w:hAnsi="Myriad Pro" w:cs="Times New Roman"/>
          <w:sz w:val="26"/>
          <w:szCs w:val="26"/>
        </w:rPr>
        <w:t>МРСК Северо-Запада</w:t>
      </w:r>
      <w:r w:rsidR="00655FFA" w:rsidRPr="00FB0A3A">
        <w:rPr>
          <w:rFonts w:ascii="Myriad Pro" w:eastAsia="Calibri" w:hAnsi="Myriad Pro" w:cs="Times New Roman"/>
          <w:sz w:val="26"/>
          <w:szCs w:val="26"/>
        </w:rPr>
        <w:t>»</w:t>
      </w:r>
      <w:r w:rsidR="000B17AB" w:rsidRPr="00FB0A3A">
        <w:rPr>
          <w:rFonts w:ascii="Myriad Pro" w:eastAsia="Calibri" w:hAnsi="Myriad Pro" w:cs="Times New Roman"/>
          <w:sz w:val="26"/>
          <w:szCs w:val="26"/>
        </w:rPr>
        <w:t xml:space="preserve"> </w:t>
      </w:r>
      <w:r w:rsidR="00655FFA" w:rsidRPr="00FB0A3A">
        <w:rPr>
          <w:rFonts w:ascii="Myriad Pro" w:eastAsia="Calibri" w:hAnsi="Myriad Pro" w:cs="Times New Roman"/>
          <w:sz w:val="26"/>
          <w:szCs w:val="26"/>
        </w:rPr>
        <w:t>«</w:t>
      </w:r>
      <w:r w:rsidR="000B17AB" w:rsidRPr="00FB0A3A">
        <w:rPr>
          <w:rFonts w:ascii="Myriad Pro" w:eastAsia="Calibri" w:hAnsi="Myriad Pro" w:cs="Times New Roman"/>
          <w:sz w:val="26"/>
          <w:szCs w:val="26"/>
        </w:rPr>
        <w:t>Колэнерго</w:t>
      </w:r>
      <w:r w:rsidR="00655FFA" w:rsidRPr="00FB0A3A">
        <w:rPr>
          <w:rFonts w:ascii="Myriad Pro" w:eastAsia="Calibri" w:hAnsi="Myriad Pro" w:cs="Times New Roman"/>
          <w:sz w:val="26"/>
          <w:szCs w:val="26"/>
        </w:rPr>
        <w:t>»</w:t>
      </w:r>
      <w:r w:rsidR="000B17AB" w:rsidRPr="00FB0A3A">
        <w:rPr>
          <w:rFonts w:ascii="Myriad Pro" w:eastAsia="Calibri" w:hAnsi="Myriad Pro" w:cs="Times New Roman"/>
          <w:sz w:val="26"/>
          <w:szCs w:val="26"/>
        </w:rPr>
        <w:t xml:space="preserve"> в Комитет для обоснования заявляемых расходов по статье </w:t>
      </w:r>
      <w:r w:rsidR="00655FFA" w:rsidRPr="00FB0A3A">
        <w:rPr>
          <w:rFonts w:ascii="Myriad Pro" w:eastAsia="Calibri" w:hAnsi="Myriad Pro" w:cs="Times New Roman"/>
          <w:sz w:val="26"/>
          <w:szCs w:val="26"/>
        </w:rPr>
        <w:t>«</w:t>
      </w:r>
      <w:r w:rsidR="000B17AB" w:rsidRPr="00FB0A3A">
        <w:rPr>
          <w:rFonts w:ascii="Myriad Pro" w:eastAsia="Calibri" w:hAnsi="Myriad Pro" w:cs="Times New Roman"/>
          <w:sz w:val="26"/>
          <w:szCs w:val="26"/>
        </w:rPr>
        <w:t>Амортизация</w:t>
      </w:r>
      <w:r w:rsidR="00655FFA" w:rsidRPr="00FB0A3A">
        <w:rPr>
          <w:rFonts w:ascii="Myriad Pro" w:eastAsia="Calibri" w:hAnsi="Myriad Pro" w:cs="Times New Roman"/>
          <w:sz w:val="26"/>
          <w:szCs w:val="26"/>
        </w:rPr>
        <w:t>»</w:t>
      </w:r>
      <w:r w:rsidR="000B17AB" w:rsidRPr="00FB0A3A">
        <w:rPr>
          <w:rFonts w:ascii="Myriad Pro" w:eastAsia="Calibri" w:hAnsi="Myriad Pro" w:cs="Times New Roman"/>
          <w:sz w:val="26"/>
          <w:szCs w:val="26"/>
        </w:rPr>
        <w:t>, Исполнитель отмечает следующее.</w:t>
      </w:r>
    </w:p>
    <w:p w14:paraId="475997DD" w14:textId="1FFA7016" w:rsidR="000B17AB" w:rsidRPr="00FB0A3A" w:rsidRDefault="000B17AB"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 xml:space="preserve">Расчет амортизации на 2019 год представлен филиалом ПАО </w:t>
      </w:r>
      <w:r w:rsidR="00655FFA" w:rsidRPr="00FB0A3A">
        <w:rPr>
          <w:rFonts w:ascii="Myriad Pro" w:eastAsia="Calibri" w:hAnsi="Myriad Pro" w:cs="Times New Roman"/>
          <w:sz w:val="26"/>
          <w:szCs w:val="26"/>
        </w:rPr>
        <w:t>«</w:t>
      </w:r>
      <w:r w:rsidR="00597FD5" w:rsidRPr="00FB0A3A">
        <w:rPr>
          <w:rFonts w:ascii="Myriad Pro" w:eastAsia="Calibri" w:hAnsi="Myriad Pro" w:cs="Times New Roman"/>
          <w:sz w:val="26"/>
          <w:szCs w:val="26"/>
        </w:rPr>
        <w:t>МРСК Северо-Запада</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 xml:space="preserve"> </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Колэнерго</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 xml:space="preserve"> общим перечнем по всем объектам основных средств </w:t>
      </w:r>
      <w:r w:rsidR="00C321CC" w:rsidRPr="00FB0A3A">
        <w:rPr>
          <w:rFonts w:ascii="Myriad Pro" w:eastAsia="Calibri" w:hAnsi="Myriad Pro" w:cs="Times New Roman"/>
          <w:sz w:val="26"/>
          <w:szCs w:val="26"/>
        </w:rPr>
        <w:t>(6</w:t>
      </w:r>
      <w:r w:rsidR="00CB0CB5" w:rsidRPr="00FB0A3A">
        <w:rPr>
          <w:rFonts w:ascii="Myriad Pro" w:eastAsia="Calibri" w:hAnsi="Myriad Pro" w:cs="Times New Roman"/>
          <w:sz w:val="26"/>
          <w:szCs w:val="26"/>
        </w:rPr>
        <w:t> </w:t>
      </w:r>
      <w:r w:rsidR="00C321CC" w:rsidRPr="00FB0A3A">
        <w:rPr>
          <w:rFonts w:ascii="Myriad Pro" w:eastAsia="Calibri" w:hAnsi="Myriad Pro" w:cs="Times New Roman"/>
          <w:sz w:val="26"/>
          <w:szCs w:val="26"/>
        </w:rPr>
        <w:t xml:space="preserve">998 позиций) </w:t>
      </w:r>
      <w:r w:rsidRPr="00FB0A3A">
        <w:rPr>
          <w:rFonts w:ascii="Myriad Pro" w:eastAsia="Calibri" w:hAnsi="Myriad Pro" w:cs="Times New Roman"/>
          <w:sz w:val="26"/>
          <w:szCs w:val="26"/>
        </w:rPr>
        <w:t xml:space="preserve">с разделением по счетам отнесения затрат (20, 23, 25). </w:t>
      </w:r>
    </w:p>
    <w:p w14:paraId="21FEB005" w14:textId="5D2E4807" w:rsidR="00A7608B" w:rsidRPr="00FB0A3A" w:rsidRDefault="00A7608B"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Представленная информация содержит перечень амортизационных групп, срок полезного использования, срок использования для вычисления амортизации, сведения о первоначальной стоимости основных средств и сумме амортизации.</w:t>
      </w:r>
    </w:p>
    <w:p w14:paraId="1A6807E3" w14:textId="10CBD2E7" w:rsidR="000B17AB" w:rsidRPr="00FB0A3A" w:rsidRDefault="000B17AB"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Остаточная стоимость основных средств по состоянию на 31.12.2017 в расчете плановой амортизации совпадает с остаточная стоимость основных средств по состоянию на 31.12.2017, отраженной в налоговой декларации по налогу на имущество и учтенной в расчете плановых расходов на 2019 год по налогу на имущество.</w:t>
      </w:r>
    </w:p>
    <w:p w14:paraId="5C331F8F" w14:textId="6DFAE5BC" w:rsidR="000B17AB" w:rsidRPr="00FB0A3A" w:rsidRDefault="00A7608B"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 xml:space="preserve">Исполнителем отмечается, что в соответствии с п.27 Основ ценообразования при расчете экономически обоснованного размера амортизации на плановый период регулирования срок полезного использования активов и отнесение этих активов к соответствующей амортизационной группе определяется </w:t>
      </w:r>
      <w:r w:rsidRPr="00FB0A3A">
        <w:rPr>
          <w:rFonts w:ascii="Myriad Pro" w:eastAsia="Calibri" w:hAnsi="Myriad Pro" w:cs="Times New Roman"/>
          <w:sz w:val="26"/>
          <w:szCs w:val="26"/>
        </w:rPr>
        <w:lastRenderedPageBreak/>
        <w:t>регулирующими органами в соответствии с максимальными сроками полезного использования.</w:t>
      </w:r>
    </w:p>
    <w:p w14:paraId="6159D2E9" w14:textId="620B7178" w:rsidR="003D79AF" w:rsidRPr="00FB0A3A" w:rsidRDefault="00617B65" w:rsidP="00A31747">
      <w:pPr>
        <w:tabs>
          <w:tab w:val="left" w:pos="1134"/>
        </w:tabs>
        <w:spacing w:after="0" w:line="360" w:lineRule="auto"/>
        <w:ind w:firstLine="567"/>
        <w:contextualSpacing/>
        <w:jc w:val="both"/>
        <w:rPr>
          <w:rFonts w:ascii="Myriad Pro" w:eastAsia="Calibri" w:hAnsi="Myriad Pro" w:cs="Times New Roman"/>
          <w:sz w:val="26"/>
          <w:szCs w:val="26"/>
        </w:rPr>
      </w:pPr>
      <w:r w:rsidRPr="00BD5670">
        <w:rPr>
          <w:rFonts w:ascii="Myriad Pro" w:eastAsia="Calibri" w:hAnsi="Myriad Pro" w:cs="Times New Roman"/>
          <w:sz w:val="26"/>
          <w:szCs w:val="26"/>
        </w:rPr>
        <w:t xml:space="preserve">Филиалом не представлены инвентарные </w:t>
      </w:r>
      <w:r w:rsidR="003D79AF" w:rsidRPr="00BD5670">
        <w:rPr>
          <w:rFonts w:ascii="Myriad Pro" w:eastAsia="Calibri" w:hAnsi="Myriad Pro" w:cs="Times New Roman"/>
          <w:sz w:val="26"/>
          <w:szCs w:val="26"/>
        </w:rPr>
        <w:t>карточки учета основных средств, хотя бы в части</w:t>
      </w:r>
      <w:r w:rsidR="003D79AF" w:rsidRPr="00FB0A3A">
        <w:rPr>
          <w:rFonts w:ascii="Myriad Pro" w:eastAsia="Calibri" w:hAnsi="Myriad Pro" w:cs="Times New Roman"/>
          <w:sz w:val="26"/>
          <w:szCs w:val="26"/>
        </w:rPr>
        <w:t xml:space="preserve"> принятого на баланс оборудования в прошедший период регулирования</w:t>
      </w:r>
      <w:r w:rsidR="003C6194" w:rsidRPr="00FB0A3A">
        <w:rPr>
          <w:rFonts w:ascii="Myriad Pro" w:eastAsia="Calibri" w:hAnsi="Myriad Pro" w:cs="Times New Roman"/>
          <w:sz w:val="26"/>
          <w:szCs w:val="26"/>
        </w:rPr>
        <w:t xml:space="preserve"> (при условии последовательного регулирования и ежегодного предоставления документов по вновь вводимым объектам).</w:t>
      </w:r>
    </w:p>
    <w:p w14:paraId="1F8912F5" w14:textId="13E1D6D5" w:rsidR="00364EC3" w:rsidRPr="00FB0A3A" w:rsidRDefault="00364EC3" w:rsidP="00A31747">
      <w:pPr>
        <w:tabs>
          <w:tab w:val="left" w:pos="1134"/>
        </w:tabs>
        <w:spacing w:line="360" w:lineRule="auto"/>
        <w:ind w:firstLine="567"/>
        <w:jc w:val="both"/>
        <w:rPr>
          <w:rFonts w:ascii="Myriad Pro" w:eastAsia="Calibri" w:hAnsi="Myriad Pro" w:cs="Times New Roman"/>
          <w:sz w:val="26"/>
          <w:szCs w:val="26"/>
        </w:rPr>
      </w:pPr>
      <w:r w:rsidRPr="00FB0A3A">
        <w:rPr>
          <w:rFonts w:ascii="Myriad Pro" w:eastAsia="Calibri" w:hAnsi="Myriad Pro" w:cs="Times New Roman"/>
          <w:sz w:val="26"/>
          <w:szCs w:val="26"/>
        </w:rPr>
        <w:t xml:space="preserve">В соответствии с анализом счета </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20</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 xml:space="preserve"> </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Основное производство</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 xml:space="preserve"> по элементу затрат </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Амортизация</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 xml:space="preserve"> по виду деятельности </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Услуги по передаче электроэнергии по сетям</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 xml:space="preserve"> за 9 месяцев 2018 года сумма амортизации составила 288 561 138,30 руб. По расчету Исполнителя </w:t>
      </w:r>
      <w:r w:rsidR="00950755" w:rsidRPr="00FB0A3A">
        <w:rPr>
          <w:rFonts w:ascii="Myriad Pro" w:eastAsia="Calibri" w:hAnsi="Myriad Pro" w:cs="Times New Roman"/>
          <w:sz w:val="26"/>
          <w:szCs w:val="26"/>
        </w:rPr>
        <w:t xml:space="preserve">плановая </w:t>
      </w:r>
      <w:r w:rsidRPr="00FB0A3A">
        <w:rPr>
          <w:rFonts w:ascii="Myriad Pro" w:eastAsia="Calibri" w:hAnsi="Myriad Pro" w:cs="Times New Roman"/>
          <w:sz w:val="26"/>
          <w:szCs w:val="26"/>
        </w:rPr>
        <w:t>сумма годовой амортизации составит 384 748,2 тыс. руб., что ниже на 9</w:t>
      </w:r>
      <w:r w:rsidR="00CB0CB5" w:rsidRPr="00FB0A3A">
        <w:rPr>
          <w:rFonts w:ascii="Myriad Pro" w:eastAsia="Calibri" w:hAnsi="Myriad Pro" w:cs="Times New Roman"/>
          <w:sz w:val="26"/>
          <w:szCs w:val="26"/>
        </w:rPr>
        <w:t> </w:t>
      </w:r>
      <w:r w:rsidRPr="00FB0A3A">
        <w:rPr>
          <w:rFonts w:ascii="Myriad Pro" w:eastAsia="Calibri" w:hAnsi="Myriad Pro" w:cs="Times New Roman"/>
          <w:sz w:val="26"/>
          <w:szCs w:val="26"/>
        </w:rPr>
        <w:t>055,8 тыс. руб. учтенной Комитетом и на 11 334,</w:t>
      </w:r>
      <w:r w:rsidR="003C6194" w:rsidRPr="00FB0A3A">
        <w:rPr>
          <w:rFonts w:ascii="Myriad Pro" w:eastAsia="Calibri" w:hAnsi="Myriad Pro" w:cs="Times New Roman"/>
          <w:sz w:val="26"/>
          <w:szCs w:val="26"/>
        </w:rPr>
        <w:t>1 тыс. руб. заявленной Филиалом</w:t>
      </w:r>
      <w:r w:rsidRPr="00FB0A3A">
        <w:rPr>
          <w:rFonts w:ascii="Myriad Pro" w:eastAsia="Calibri" w:hAnsi="Myriad Pro" w:cs="Times New Roman"/>
          <w:sz w:val="26"/>
          <w:szCs w:val="26"/>
        </w:rPr>
        <w:t>.</w:t>
      </w:r>
    </w:p>
    <w:p w14:paraId="154E6DC2" w14:textId="00388B47" w:rsidR="005B6755" w:rsidRPr="00FB0A3A" w:rsidRDefault="005B6755" w:rsidP="00A31747">
      <w:pPr>
        <w:tabs>
          <w:tab w:val="left" w:pos="1134"/>
        </w:tabs>
        <w:spacing w:line="360" w:lineRule="auto"/>
        <w:ind w:firstLine="567"/>
        <w:jc w:val="both"/>
        <w:rPr>
          <w:rFonts w:ascii="Myriad Pro" w:eastAsia="Calibri" w:hAnsi="Myriad Pro" w:cs="Times New Roman"/>
          <w:sz w:val="26"/>
          <w:szCs w:val="26"/>
        </w:rPr>
      </w:pPr>
      <w:r w:rsidRPr="00FB0A3A">
        <w:rPr>
          <w:rFonts w:ascii="Myriad Pro" w:eastAsia="Calibri" w:hAnsi="Myriad Pro" w:cs="Times New Roman"/>
          <w:sz w:val="26"/>
          <w:szCs w:val="26"/>
        </w:rPr>
        <w:t>Фактическая амортизация по итогам 2019 года составила 361 275 тыс. руб. (информация с официального сайта</w:t>
      </w:r>
      <w:r w:rsidR="00994DAE" w:rsidRPr="00FB0A3A">
        <w:rPr>
          <w:rFonts w:ascii="Myriad Pro" w:eastAsia="Calibri" w:hAnsi="Myriad Pro" w:cs="Times New Roman"/>
          <w:sz w:val="26"/>
          <w:szCs w:val="26"/>
        </w:rPr>
        <w:t xml:space="preserve"> ПАО </w:t>
      </w:r>
      <w:r w:rsidRPr="00FB0A3A">
        <w:rPr>
          <w:rFonts w:ascii="Myriad Pro" w:eastAsia="Calibri" w:hAnsi="Myriad Pro" w:cs="Times New Roman"/>
          <w:sz w:val="26"/>
          <w:szCs w:val="26"/>
        </w:rPr>
        <w:t xml:space="preserve">МРСК </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Северо-Запада</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w:t>
      </w:r>
    </w:p>
    <w:tbl>
      <w:tblPr>
        <w:tblStyle w:val="afff6"/>
        <w:tblW w:w="5000" w:type="pct"/>
        <w:tblLayout w:type="fixed"/>
        <w:tblLook w:val="04A0" w:firstRow="1" w:lastRow="0" w:firstColumn="1" w:lastColumn="0" w:noHBand="0" w:noVBand="1"/>
      </w:tblPr>
      <w:tblGrid>
        <w:gridCol w:w="1809"/>
        <w:gridCol w:w="1367"/>
        <w:gridCol w:w="1516"/>
        <w:gridCol w:w="1516"/>
        <w:gridCol w:w="1568"/>
        <w:gridCol w:w="1568"/>
      </w:tblGrid>
      <w:tr w:rsidR="00EB67A2" w:rsidRPr="008A1FE3" w14:paraId="1DB63E38" w14:textId="77777777" w:rsidTr="002267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7D768607" w14:textId="77777777" w:rsidR="00EB67A2" w:rsidRPr="008A1FE3" w:rsidRDefault="00EB67A2" w:rsidP="0022562D">
            <w:pPr>
              <w:tabs>
                <w:tab w:val="left" w:pos="1134"/>
              </w:tabs>
              <w:jc w:val="center"/>
              <w:rPr>
                <w:rFonts w:eastAsia="Calibri" w:cs="Times New Roman"/>
                <w:sz w:val="20"/>
                <w:szCs w:val="20"/>
              </w:rPr>
            </w:pPr>
            <w:r w:rsidRPr="008A1FE3">
              <w:rPr>
                <w:rFonts w:eastAsia="Calibri" w:cs="Times New Roman"/>
                <w:sz w:val="20"/>
                <w:szCs w:val="20"/>
              </w:rPr>
              <w:t> Наименование статьи</w:t>
            </w:r>
          </w:p>
        </w:tc>
        <w:tc>
          <w:tcPr>
            <w:tcW w:w="13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4700C802" w14:textId="77777777" w:rsidR="00EB67A2" w:rsidRPr="008A1FE3" w:rsidRDefault="00EB67A2" w:rsidP="0022562D">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 w:val="20"/>
                <w:szCs w:val="20"/>
              </w:rPr>
            </w:pPr>
            <w:r w:rsidRPr="008A1FE3">
              <w:rPr>
                <w:rFonts w:eastAsia="Calibri" w:cs="Times New Roman"/>
                <w:sz w:val="20"/>
                <w:szCs w:val="20"/>
              </w:rPr>
              <w:t>Заявлено Филиалом</w:t>
            </w:r>
          </w:p>
        </w:tc>
        <w:tc>
          <w:tcPr>
            <w:tcW w:w="15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405CC2C" w14:textId="77777777" w:rsidR="00EB67A2" w:rsidRPr="008A1FE3" w:rsidRDefault="00EB67A2" w:rsidP="0022562D">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 w:val="20"/>
                <w:szCs w:val="20"/>
              </w:rPr>
            </w:pPr>
            <w:r w:rsidRPr="008A1FE3">
              <w:rPr>
                <w:rFonts w:eastAsia="Calibri" w:cs="Times New Roman"/>
                <w:sz w:val="20"/>
                <w:szCs w:val="20"/>
              </w:rPr>
              <w:t>Рассчитано Комитетом (ЭОУ)</w:t>
            </w:r>
          </w:p>
        </w:tc>
        <w:tc>
          <w:tcPr>
            <w:tcW w:w="15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D76667C" w14:textId="77777777" w:rsidR="00EB67A2" w:rsidRPr="008A1FE3" w:rsidRDefault="00EB67A2" w:rsidP="0022562D">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 w:val="20"/>
                <w:szCs w:val="20"/>
              </w:rPr>
            </w:pPr>
            <w:r w:rsidRPr="008A1FE3">
              <w:rPr>
                <w:rFonts w:eastAsia="Calibri" w:cs="Times New Roman"/>
                <w:sz w:val="20"/>
                <w:szCs w:val="20"/>
              </w:rPr>
              <w:t>Рассчитано Исполнителем (ЭОУ)</w:t>
            </w:r>
          </w:p>
        </w:tc>
        <w:tc>
          <w:tcPr>
            <w:tcW w:w="15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2468D38" w14:textId="6C0CFEC1" w:rsidR="00EB67A2" w:rsidRPr="008A1FE3" w:rsidRDefault="00EB67A2" w:rsidP="0022562D">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 w:val="20"/>
                <w:szCs w:val="20"/>
              </w:rPr>
            </w:pPr>
            <w:r w:rsidRPr="008A1FE3">
              <w:rPr>
                <w:rFonts w:eastAsia="Calibri" w:cs="Times New Roman"/>
                <w:sz w:val="20"/>
                <w:szCs w:val="20"/>
              </w:rPr>
              <w:t>Отклонение между Исполнителем и Комитетом</w:t>
            </w:r>
          </w:p>
        </w:tc>
        <w:tc>
          <w:tcPr>
            <w:tcW w:w="15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7A48605" w14:textId="49961D1C" w:rsidR="00EB67A2" w:rsidRPr="008A1FE3" w:rsidRDefault="00EB67A2" w:rsidP="0022562D">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 w:val="20"/>
                <w:szCs w:val="20"/>
              </w:rPr>
            </w:pPr>
            <w:r w:rsidRPr="008A1FE3">
              <w:rPr>
                <w:rFonts w:eastAsia="Calibri" w:cs="Times New Roman"/>
                <w:sz w:val="20"/>
                <w:szCs w:val="20"/>
              </w:rPr>
              <w:t>Отклонение между Исполнителем и Филиалом</w:t>
            </w:r>
          </w:p>
        </w:tc>
      </w:tr>
      <w:tr w:rsidR="00EB67A2" w:rsidRPr="008A1FE3" w14:paraId="5AED811D" w14:textId="77777777" w:rsidTr="008A1FE3">
        <w:trPr>
          <w:trHeight w:val="415"/>
        </w:trPr>
        <w:tc>
          <w:tcPr>
            <w:cnfStyle w:val="001000000000" w:firstRow="0" w:lastRow="0" w:firstColumn="1" w:lastColumn="0" w:oddVBand="0" w:evenVBand="0" w:oddHBand="0" w:evenHBand="0" w:firstRowFirstColumn="0" w:firstRowLastColumn="0" w:lastRowFirstColumn="0" w:lastRowLastColumn="0"/>
            <w:tcW w:w="1837" w:type="dxa"/>
            <w:tcBorders>
              <w:top w:val="single" w:sz="4" w:space="0" w:color="FFFFFF" w:themeColor="background1"/>
            </w:tcBorders>
            <w:hideMark/>
          </w:tcPr>
          <w:p w14:paraId="737D99FF" w14:textId="77777777" w:rsidR="00EB67A2" w:rsidRPr="008A1FE3" w:rsidRDefault="00EB67A2" w:rsidP="0022562D">
            <w:pPr>
              <w:tabs>
                <w:tab w:val="left" w:pos="1134"/>
              </w:tabs>
              <w:rPr>
                <w:rFonts w:eastAsia="Calibri" w:cs="Times New Roman"/>
                <w:sz w:val="20"/>
                <w:szCs w:val="20"/>
              </w:rPr>
            </w:pPr>
            <w:r w:rsidRPr="008A1FE3">
              <w:rPr>
                <w:rFonts w:eastAsia="Calibri" w:cs="Times New Roman"/>
                <w:sz w:val="20"/>
                <w:szCs w:val="20"/>
              </w:rPr>
              <w:t>Амортизация</w:t>
            </w:r>
          </w:p>
        </w:tc>
        <w:tc>
          <w:tcPr>
            <w:tcW w:w="1387" w:type="dxa"/>
            <w:tcBorders>
              <w:top w:val="single" w:sz="4" w:space="0" w:color="FFFFFF" w:themeColor="background1"/>
            </w:tcBorders>
            <w:hideMark/>
          </w:tcPr>
          <w:p w14:paraId="3489B98F" w14:textId="77777777" w:rsidR="00EB67A2" w:rsidRPr="008A1FE3" w:rsidRDefault="00EB67A2" w:rsidP="0022562D">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8A1FE3">
              <w:rPr>
                <w:rFonts w:eastAsia="Calibri" w:cs="Times New Roman"/>
                <w:sz w:val="20"/>
                <w:szCs w:val="20"/>
              </w:rPr>
              <w:t>396 082,34</w:t>
            </w:r>
          </w:p>
        </w:tc>
        <w:tc>
          <w:tcPr>
            <w:tcW w:w="1539" w:type="dxa"/>
            <w:tcBorders>
              <w:top w:val="single" w:sz="4" w:space="0" w:color="FFFFFF" w:themeColor="background1"/>
            </w:tcBorders>
            <w:hideMark/>
          </w:tcPr>
          <w:p w14:paraId="22A06869" w14:textId="77777777" w:rsidR="00EB67A2" w:rsidRPr="008A1FE3" w:rsidRDefault="00EB67A2" w:rsidP="0022562D">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8A1FE3">
              <w:rPr>
                <w:rFonts w:eastAsia="Calibri" w:cs="Times New Roman"/>
                <w:sz w:val="20"/>
                <w:szCs w:val="20"/>
              </w:rPr>
              <w:t>393 804,00</w:t>
            </w:r>
          </w:p>
        </w:tc>
        <w:tc>
          <w:tcPr>
            <w:tcW w:w="1539" w:type="dxa"/>
            <w:tcBorders>
              <w:top w:val="single" w:sz="4" w:space="0" w:color="FFFFFF" w:themeColor="background1"/>
            </w:tcBorders>
            <w:hideMark/>
          </w:tcPr>
          <w:p w14:paraId="7ED2463A" w14:textId="77777777" w:rsidR="00EB67A2" w:rsidRPr="008A1FE3" w:rsidRDefault="00EB67A2" w:rsidP="0022562D">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8A1FE3">
              <w:rPr>
                <w:rFonts w:eastAsia="Calibri" w:cs="Times New Roman"/>
                <w:sz w:val="20"/>
                <w:szCs w:val="20"/>
              </w:rPr>
              <w:t>384 748,20</w:t>
            </w:r>
          </w:p>
        </w:tc>
        <w:tc>
          <w:tcPr>
            <w:tcW w:w="1592" w:type="dxa"/>
            <w:tcBorders>
              <w:top w:val="single" w:sz="4" w:space="0" w:color="FFFFFF" w:themeColor="background1"/>
            </w:tcBorders>
            <w:hideMark/>
          </w:tcPr>
          <w:p w14:paraId="63DD2737" w14:textId="77777777" w:rsidR="00EB67A2" w:rsidRPr="008A1FE3" w:rsidRDefault="00EB67A2" w:rsidP="0022562D">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8A1FE3">
              <w:rPr>
                <w:rFonts w:eastAsia="Calibri" w:cs="Times New Roman"/>
                <w:sz w:val="20"/>
                <w:szCs w:val="20"/>
              </w:rPr>
              <w:t>-9 055,80</w:t>
            </w:r>
          </w:p>
        </w:tc>
        <w:tc>
          <w:tcPr>
            <w:tcW w:w="1592" w:type="dxa"/>
            <w:tcBorders>
              <w:top w:val="single" w:sz="4" w:space="0" w:color="FFFFFF" w:themeColor="background1"/>
            </w:tcBorders>
            <w:hideMark/>
          </w:tcPr>
          <w:p w14:paraId="36364478" w14:textId="77777777" w:rsidR="00EB67A2" w:rsidRPr="008A1FE3" w:rsidRDefault="00EB67A2" w:rsidP="0022562D">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8A1FE3">
              <w:rPr>
                <w:rFonts w:eastAsia="Calibri" w:cs="Times New Roman"/>
                <w:sz w:val="20"/>
                <w:szCs w:val="20"/>
              </w:rPr>
              <w:t>-11 334,14</w:t>
            </w:r>
          </w:p>
        </w:tc>
      </w:tr>
    </w:tbl>
    <w:p w14:paraId="624BA944" w14:textId="77777777" w:rsidR="00364EC3" w:rsidRPr="00FB0A3A" w:rsidRDefault="00364EC3" w:rsidP="00A31747">
      <w:pPr>
        <w:tabs>
          <w:tab w:val="left" w:pos="1134"/>
        </w:tabs>
        <w:spacing w:line="360" w:lineRule="auto"/>
        <w:ind w:firstLine="567"/>
        <w:jc w:val="both"/>
        <w:rPr>
          <w:rFonts w:ascii="Myriad Pro" w:eastAsia="Calibri" w:hAnsi="Myriad Pro" w:cs="Times New Roman"/>
          <w:sz w:val="26"/>
          <w:szCs w:val="26"/>
        </w:rPr>
      </w:pPr>
    </w:p>
    <w:p w14:paraId="4A499499" w14:textId="77777777" w:rsidR="002F115E" w:rsidRDefault="002F115E" w:rsidP="002D6C17">
      <w:pPr>
        <w:pStyle w:val="3"/>
        <w:numPr>
          <w:ilvl w:val="1"/>
          <w:numId w:val="67"/>
        </w:numPr>
        <w:spacing w:line="360" w:lineRule="auto"/>
        <w:rPr>
          <w:rFonts w:ascii="Myriad Pro" w:hAnsi="Myriad Pro"/>
          <w:b/>
          <w:color w:val="4F6228" w:themeColor="accent3" w:themeShade="80"/>
          <w:sz w:val="28"/>
          <w:szCs w:val="28"/>
        </w:rPr>
        <w:sectPr w:rsidR="002F115E" w:rsidSect="00FB0A3A">
          <w:pgSz w:w="11906" w:h="16838"/>
          <w:pgMar w:top="1134" w:right="851" w:bottom="1134" w:left="1701" w:header="708" w:footer="708" w:gutter="0"/>
          <w:cols w:space="708"/>
          <w:docGrid w:linePitch="360"/>
        </w:sectPr>
      </w:pPr>
    </w:p>
    <w:p w14:paraId="02D43FFD" w14:textId="6A689C85" w:rsidR="00DB6F06" w:rsidRPr="002D6C17" w:rsidRDefault="008E15A7" w:rsidP="002D6C17">
      <w:pPr>
        <w:pStyle w:val="3"/>
        <w:numPr>
          <w:ilvl w:val="1"/>
          <w:numId w:val="67"/>
        </w:numPr>
        <w:spacing w:line="360" w:lineRule="auto"/>
        <w:rPr>
          <w:rFonts w:ascii="Myriad Pro" w:hAnsi="Myriad Pro"/>
          <w:b/>
          <w:color w:val="4F6228" w:themeColor="accent3" w:themeShade="80"/>
          <w:sz w:val="28"/>
          <w:szCs w:val="28"/>
        </w:rPr>
      </w:pPr>
      <w:r>
        <w:rPr>
          <w:rFonts w:ascii="Myriad Pro" w:hAnsi="Myriad Pro"/>
          <w:b/>
          <w:color w:val="4F6228" w:themeColor="accent3" w:themeShade="80"/>
          <w:sz w:val="28"/>
          <w:szCs w:val="28"/>
        </w:rPr>
        <w:lastRenderedPageBreak/>
        <w:t xml:space="preserve"> </w:t>
      </w:r>
      <w:bookmarkStart w:id="60" w:name="_Toc40797969"/>
      <w:r w:rsidR="002D34A0" w:rsidRPr="002D6C17">
        <w:rPr>
          <w:rFonts w:ascii="Myriad Pro" w:hAnsi="Myriad Pro"/>
          <w:b/>
          <w:color w:val="4F6228" w:themeColor="accent3" w:themeShade="80"/>
          <w:sz w:val="28"/>
          <w:szCs w:val="28"/>
        </w:rPr>
        <w:t>Налог на прибыль</w:t>
      </w:r>
      <w:bookmarkEnd w:id="60"/>
    </w:p>
    <w:p w14:paraId="7F9A624D" w14:textId="2770A3B2" w:rsidR="002D34A0" w:rsidRPr="00FB0A3A" w:rsidRDefault="002D34A0"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В соответствии с п.20 Основ ценообразования в необходимую валовую выручку включается величина налога на прибыль организаций по регулируемому виду деятельности, сформированная по данным бухгалтерского учета за последний истекший период.</w:t>
      </w:r>
    </w:p>
    <w:p w14:paraId="60BA1DE1" w14:textId="77777777" w:rsidR="002D34A0" w:rsidRPr="00FB0A3A" w:rsidRDefault="002D34A0"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При установлении тарифов на услуги по передаче электрической энергии учитывается величина налога на прибыль организаций, которая относится по данным раздельного учета к деятельности по оказанию услуг по передаче электрической энергии и осуществлению технологического присоединения к электрическим сетям.</w:t>
      </w:r>
    </w:p>
    <w:p w14:paraId="5F192EF5" w14:textId="77777777" w:rsidR="002D34A0" w:rsidRPr="00FB0A3A" w:rsidRDefault="002D34A0"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Для организаций, осуществляющих регулируемые виды деятельности, которые не являются основным видом их деятельности, распределение величины суммы налога на прибыль организаций между регулируемыми и нерегулируемыми видами деятельности производится согласно учетной политике, принятой в организации.</w:t>
      </w:r>
    </w:p>
    <w:p w14:paraId="642B4E42" w14:textId="77777777" w:rsidR="002D34A0" w:rsidRPr="00FB0A3A" w:rsidRDefault="002D34A0"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Для организаций, осуществляющих производство (передачу) электрической энергии сторонним потребителям (субабонентам) и для собственного потребления, распределение расходов по указанному виду деятельности между субабонентами и организацией производится пропорционально фактическому отпуску (передаче) электрической энергии.</w:t>
      </w:r>
    </w:p>
    <w:p w14:paraId="3998903F" w14:textId="6C663156" w:rsidR="002D34A0" w:rsidRPr="00FB0A3A" w:rsidRDefault="002D34A0"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При установлении платы за технологическое присоединение к электрическим сетям не учитывается налог на прибыль организаций.</w:t>
      </w:r>
    </w:p>
    <w:p w14:paraId="1F887EE2" w14:textId="2014DF25" w:rsidR="00000018" w:rsidRPr="00FB0A3A" w:rsidRDefault="00A37448" w:rsidP="0022562D">
      <w:pPr>
        <w:pStyle w:val="afff4"/>
        <w:rPr>
          <w:lang w:val="ru-RU"/>
        </w:rPr>
      </w:pPr>
      <w:r w:rsidRPr="00FB0A3A">
        <w:rPr>
          <w:lang w:val="ru-RU"/>
        </w:rPr>
        <w:t>Порядок исчисления и уплаты налога определен главой 31 НК РФ (часть вторая).</w:t>
      </w:r>
    </w:p>
    <w:tbl>
      <w:tblPr>
        <w:tblStyle w:val="afff6"/>
        <w:tblW w:w="5000" w:type="pct"/>
        <w:tblLayout w:type="fixed"/>
        <w:tblLook w:val="04A0" w:firstRow="1" w:lastRow="0" w:firstColumn="1" w:lastColumn="0" w:noHBand="0" w:noVBand="1"/>
      </w:tblPr>
      <w:tblGrid>
        <w:gridCol w:w="2288"/>
        <w:gridCol w:w="1389"/>
        <w:gridCol w:w="1529"/>
        <w:gridCol w:w="1305"/>
        <w:gridCol w:w="1726"/>
        <w:gridCol w:w="1107"/>
      </w:tblGrid>
      <w:tr w:rsidR="0022562D" w:rsidRPr="008A1FE3" w14:paraId="48232840" w14:textId="77777777" w:rsidTr="002267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7366743F" w14:textId="77777777" w:rsidR="00A37448" w:rsidRPr="008A1FE3" w:rsidRDefault="00A37448" w:rsidP="0022562D">
            <w:pPr>
              <w:tabs>
                <w:tab w:val="left" w:pos="1134"/>
              </w:tabs>
              <w:jc w:val="center"/>
              <w:rPr>
                <w:rFonts w:eastAsia="Calibri" w:cs="Times New Roman"/>
                <w:sz w:val="20"/>
                <w:szCs w:val="20"/>
              </w:rPr>
            </w:pPr>
            <w:r w:rsidRPr="008A1FE3">
              <w:rPr>
                <w:rFonts w:eastAsia="Calibri" w:cs="Times New Roman"/>
                <w:sz w:val="20"/>
                <w:szCs w:val="20"/>
              </w:rPr>
              <w:t> Наименование статьи</w:t>
            </w:r>
          </w:p>
        </w:tc>
        <w:tc>
          <w:tcPr>
            <w:tcW w:w="1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3C86941E" w14:textId="77777777" w:rsidR="00A37448" w:rsidRPr="008A1FE3" w:rsidRDefault="00A37448" w:rsidP="0022562D">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 w:val="20"/>
                <w:szCs w:val="20"/>
              </w:rPr>
            </w:pPr>
            <w:r w:rsidRPr="008A1FE3">
              <w:rPr>
                <w:rFonts w:eastAsia="Calibri" w:cs="Times New Roman"/>
                <w:sz w:val="20"/>
                <w:szCs w:val="20"/>
              </w:rPr>
              <w:t>Факт за 2017, тыс. руб.</w:t>
            </w:r>
          </w:p>
        </w:tc>
        <w:tc>
          <w:tcPr>
            <w:tcW w:w="15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1ED06DD" w14:textId="365BB4D1" w:rsidR="00A37448" w:rsidRPr="008A1FE3" w:rsidRDefault="00A37448" w:rsidP="0022562D">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 w:val="20"/>
                <w:szCs w:val="20"/>
              </w:rPr>
            </w:pPr>
            <w:r w:rsidRPr="008A1FE3">
              <w:rPr>
                <w:rFonts w:eastAsia="Calibri" w:cs="Times New Roman"/>
                <w:sz w:val="20"/>
                <w:szCs w:val="20"/>
              </w:rPr>
              <w:t xml:space="preserve">Заявлено филиалом ПАО </w:t>
            </w:r>
            <w:r w:rsidR="00655FFA" w:rsidRPr="008A1FE3">
              <w:rPr>
                <w:rFonts w:eastAsia="Calibri" w:cs="Times New Roman"/>
                <w:sz w:val="20"/>
                <w:szCs w:val="20"/>
              </w:rPr>
              <w:t>«</w:t>
            </w:r>
            <w:r w:rsidR="00597FD5" w:rsidRPr="008A1FE3">
              <w:rPr>
                <w:rFonts w:eastAsia="Calibri" w:cs="Times New Roman"/>
                <w:sz w:val="20"/>
                <w:szCs w:val="20"/>
              </w:rPr>
              <w:t>МРСК Северо-Запада</w:t>
            </w:r>
            <w:r w:rsidR="00655FFA" w:rsidRPr="008A1FE3">
              <w:rPr>
                <w:rFonts w:eastAsia="Calibri" w:cs="Times New Roman"/>
                <w:sz w:val="20"/>
                <w:szCs w:val="20"/>
              </w:rPr>
              <w:t>»</w:t>
            </w:r>
            <w:r w:rsidRPr="008A1FE3">
              <w:rPr>
                <w:rFonts w:eastAsia="Calibri" w:cs="Times New Roman"/>
                <w:sz w:val="20"/>
                <w:szCs w:val="20"/>
              </w:rPr>
              <w:t xml:space="preserve"> </w:t>
            </w:r>
            <w:r w:rsidR="00655FFA" w:rsidRPr="008A1FE3">
              <w:rPr>
                <w:rFonts w:eastAsia="Calibri" w:cs="Times New Roman"/>
                <w:sz w:val="20"/>
                <w:szCs w:val="20"/>
              </w:rPr>
              <w:t>«</w:t>
            </w:r>
            <w:r w:rsidRPr="008A1FE3">
              <w:rPr>
                <w:rFonts w:eastAsia="Calibri" w:cs="Times New Roman"/>
                <w:sz w:val="20"/>
                <w:szCs w:val="20"/>
              </w:rPr>
              <w:t>Колэнерго</w:t>
            </w:r>
            <w:r w:rsidR="00655FFA" w:rsidRPr="008A1FE3">
              <w:rPr>
                <w:rFonts w:eastAsia="Calibri" w:cs="Times New Roman"/>
                <w:sz w:val="20"/>
                <w:szCs w:val="20"/>
              </w:rPr>
              <w:t>»</w:t>
            </w:r>
            <w:r w:rsidRPr="008A1FE3">
              <w:rPr>
                <w:rFonts w:eastAsia="Calibri" w:cs="Times New Roman"/>
                <w:sz w:val="20"/>
                <w:szCs w:val="20"/>
              </w:rPr>
              <w:t xml:space="preserve"> на 2019, тыс. руб.</w:t>
            </w:r>
          </w:p>
        </w:tc>
        <w:tc>
          <w:tcPr>
            <w:tcW w:w="13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D2CF618" w14:textId="77777777" w:rsidR="00A37448" w:rsidRPr="008A1FE3" w:rsidRDefault="00A37448" w:rsidP="0022562D">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 w:val="20"/>
                <w:szCs w:val="20"/>
              </w:rPr>
            </w:pPr>
            <w:r w:rsidRPr="008A1FE3">
              <w:rPr>
                <w:rFonts w:eastAsia="Calibri" w:cs="Times New Roman"/>
                <w:sz w:val="20"/>
                <w:szCs w:val="20"/>
              </w:rPr>
              <w:t>ТБР на 2019, тыс. руб.</w:t>
            </w:r>
          </w:p>
        </w:tc>
        <w:tc>
          <w:tcPr>
            <w:tcW w:w="17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0E9DE32" w14:textId="77777777" w:rsidR="00A37448" w:rsidRPr="008A1FE3" w:rsidRDefault="00A37448" w:rsidP="0022562D">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 w:val="20"/>
                <w:szCs w:val="20"/>
              </w:rPr>
            </w:pPr>
            <w:r w:rsidRPr="008A1FE3">
              <w:rPr>
                <w:rFonts w:eastAsia="Calibri" w:cs="Times New Roman"/>
                <w:sz w:val="20"/>
                <w:szCs w:val="20"/>
              </w:rPr>
              <w:t>Отклонение ТБР на 2019/ заявка на 2019, %</w:t>
            </w:r>
          </w:p>
        </w:tc>
        <w:tc>
          <w:tcPr>
            <w:tcW w:w="1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6FDF816" w14:textId="77777777" w:rsidR="00A37448" w:rsidRPr="008A1FE3" w:rsidRDefault="00A37448" w:rsidP="0022562D">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 w:val="20"/>
                <w:szCs w:val="20"/>
              </w:rPr>
            </w:pPr>
            <w:r w:rsidRPr="008A1FE3">
              <w:rPr>
                <w:rFonts w:eastAsia="Calibri" w:cs="Times New Roman"/>
                <w:sz w:val="20"/>
                <w:szCs w:val="20"/>
              </w:rPr>
              <w:t>ТБР на 2019 /факт за 2017, %</w:t>
            </w:r>
          </w:p>
        </w:tc>
      </w:tr>
      <w:tr w:rsidR="00A37448" w:rsidRPr="008A1FE3" w14:paraId="12D887E3" w14:textId="77777777" w:rsidTr="008A1FE3">
        <w:trPr>
          <w:trHeight w:val="442"/>
        </w:trPr>
        <w:tc>
          <w:tcPr>
            <w:cnfStyle w:val="001000000000" w:firstRow="0" w:lastRow="0" w:firstColumn="1" w:lastColumn="0" w:oddVBand="0" w:evenVBand="0" w:oddHBand="0" w:evenHBand="0" w:firstRowFirstColumn="0" w:firstRowLastColumn="0" w:lastRowFirstColumn="0" w:lastRowLastColumn="0"/>
            <w:tcW w:w="2324" w:type="dxa"/>
            <w:tcBorders>
              <w:top w:val="single" w:sz="4" w:space="0" w:color="FFFFFF" w:themeColor="background1"/>
            </w:tcBorders>
            <w:hideMark/>
          </w:tcPr>
          <w:p w14:paraId="69EAD99B" w14:textId="77777777" w:rsidR="00A37448" w:rsidRPr="008A1FE3" w:rsidRDefault="00A37448" w:rsidP="0022562D">
            <w:pPr>
              <w:tabs>
                <w:tab w:val="left" w:pos="1134"/>
              </w:tabs>
              <w:rPr>
                <w:rFonts w:eastAsia="Calibri" w:cs="Times New Roman"/>
                <w:sz w:val="20"/>
                <w:szCs w:val="20"/>
              </w:rPr>
            </w:pPr>
            <w:r w:rsidRPr="008A1FE3">
              <w:rPr>
                <w:rFonts w:eastAsia="Calibri" w:cs="Times New Roman"/>
                <w:sz w:val="20"/>
                <w:szCs w:val="20"/>
              </w:rPr>
              <w:t>Налог на прибыль</w:t>
            </w:r>
          </w:p>
        </w:tc>
        <w:tc>
          <w:tcPr>
            <w:tcW w:w="1410" w:type="dxa"/>
            <w:tcBorders>
              <w:top w:val="single" w:sz="4" w:space="0" w:color="FFFFFF" w:themeColor="background1"/>
            </w:tcBorders>
            <w:hideMark/>
          </w:tcPr>
          <w:p w14:paraId="71AAF4C2" w14:textId="77777777" w:rsidR="00A37448" w:rsidRPr="008A1FE3" w:rsidRDefault="00A37448" w:rsidP="0022562D">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8A1FE3">
              <w:rPr>
                <w:rFonts w:eastAsia="Calibri" w:cs="Times New Roman"/>
                <w:sz w:val="20"/>
                <w:szCs w:val="20"/>
              </w:rPr>
              <w:t>30 220,15</w:t>
            </w:r>
          </w:p>
        </w:tc>
        <w:tc>
          <w:tcPr>
            <w:tcW w:w="1552" w:type="dxa"/>
            <w:tcBorders>
              <w:top w:val="single" w:sz="4" w:space="0" w:color="FFFFFF" w:themeColor="background1"/>
            </w:tcBorders>
            <w:hideMark/>
          </w:tcPr>
          <w:p w14:paraId="467CB46E" w14:textId="77777777" w:rsidR="00A37448" w:rsidRPr="008A1FE3" w:rsidRDefault="00A37448" w:rsidP="0022562D">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8A1FE3">
              <w:rPr>
                <w:rFonts w:eastAsia="Calibri" w:cs="Times New Roman"/>
                <w:sz w:val="20"/>
                <w:szCs w:val="20"/>
              </w:rPr>
              <w:t>37 038,73</w:t>
            </w:r>
          </w:p>
        </w:tc>
        <w:tc>
          <w:tcPr>
            <w:tcW w:w="1324" w:type="dxa"/>
            <w:tcBorders>
              <w:top w:val="single" w:sz="4" w:space="0" w:color="FFFFFF" w:themeColor="background1"/>
            </w:tcBorders>
            <w:hideMark/>
          </w:tcPr>
          <w:p w14:paraId="3922C6D7" w14:textId="77777777" w:rsidR="00A37448" w:rsidRPr="008A1FE3" w:rsidRDefault="00A37448" w:rsidP="0022562D">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8A1FE3">
              <w:rPr>
                <w:rFonts w:eastAsia="Calibri" w:cs="Times New Roman"/>
                <w:sz w:val="20"/>
                <w:szCs w:val="20"/>
              </w:rPr>
              <w:t>27 646,00</w:t>
            </w:r>
          </w:p>
        </w:tc>
        <w:tc>
          <w:tcPr>
            <w:tcW w:w="1753" w:type="dxa"/>
            <w:tcBorders>
              <w:top w:val="single" w:sz="4" w:space="0" w:color="FFFFFF" w:themeColor="background1"/>
            </w:tcBorders>
            <w:hideMark/>
          </w:tcPr>
          <w:p w14:paraId="0632E8A5" w14:textId="77777777" w:rsidR="00A37448" w:rsidRPr="008A1FE3" w:rsidRDefault="00A37448" w:rsidP="0022562D">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8A1FE3">
              <w:rPr>
                <w:rFonts w:eastAsia="Calibri" w:cs="Times New Roman"/>
                <w:sz w:val="20"/>
                <w:szCs w:val="20"/>
              </w:rPr>
              <w:t>-25,4</w:t>
            </w:r>
          </w:p>
        </w:tc>
        <w:tc>
          <w:tcPr>
            <w:tcW w:w="1123" w:type="dxa"/>
            <w:tcBorders>
              <w:top w:val="single" w:sz="4" w:space="0" w:color="FFFFFF" w:themeColor="background1"/>
            </w:tcBorders>
            <w:hideMark/>
          </w:tcPr>
          <w:p w14:paraId="6A13C0CE" w14:textId="77777777" w:rsidR="00A37448" w:rsidRPr="008A1FE3" w:rsidRDefault="00A37448" w:rsidP="0022562D">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8A1FE3">
              <w:rPr>
                <w:rFonts w:eastAsia="Calibri" w:cs="Times New Roman"/>
                <w:sz w:val="20"/>
                <w:szCs w:val="20"/>
              </w:rPr>
              <w:t>-8,52</w:t>
            </w:r>
          </w:p>
        </w:tc>
      </w:tr>
    </w:tbl>
    <w:p w14:paraId="5DB761FE" w14:textId="77777777" w:rsidR="00A37448" w:rsidRPr="00FB0A3A" w:rsidRDefault="00A37448" w:rsidP="00A31747">
      <w:pPr>
        <w:tabs>
          <w:tab w:val="left" w:pos="1134"/>
        </w:tabs>
        <w:spacing w:after="0" w:line="360" w:lineRule="auto"/>
        <w:ind w:firstLine="567"/>
        <w:contextualSpacing/>
        <w:jc w:val="both"/>
        <w:rPr>
          <w:rFonts w:ascii="Myriad Pro" w:eastAsia="Calibri" w:hAnsi="Myriad Pro" w:cs="Times New Roman"/>
          <w:sz w:val="26"/>
          <w:szCs w:val="26"/>
        </w:rPr>
      </w:pPr>
    </w:p>
    <w:p w14:paraId="6B2E8E1C" w14:textId="50A7EF26" w:rsidR="00000018" w:rsidRPr="00FB0A3A" w:rsidRDefault="00000018" w:rsidP="0022562D">
      <w:pPr>
        <w:tabs>
          <w:tab w:val="left" w:pos="1134"/>
        </w:tabs>
        <w:spacing w:after="0" w:line="360" w:lineRule="auto"/>
        <w:contextualSpacing/>
        <w:jc w:val="both"/>
        <w:rPr>
          <w:rFonts w:ascii="Myriad Pro" w:eastAsia="Calibri" w:hAnsi="Myriad Pro" w:cs="Times New Roman"/>
          <w:b/>
          <w:sz w:val="26"/>
          <w:szCs w:val="26"/>
        </w:rPr>
      </w:pPr>
      <w:r w:rsidRPr="00FB0A3A">
        <w:rPr>
          <w:rFonts w:ascii="Myriad Pro" w:eastAsia="Calibri" w:hAnsi="Myriad Pro" w:cs="Times New Roman"/>
          <w:b/>
          <w:sz w:val="26"/>
          <w:szCs w:val="26"/>
        </w:rPr>
        <w:lastRenderedPageBreak/>
        <w:t>ПОЗИЦИЯ ТЕРРИТОРИАЛЬНОЙ СЕТЕВОЙ ОРГАНИЗАЦИИ</w:t>
      </w:r>
    </w:p>
    <w:p w14:paraId="7113ED5C" w14:textId="08E761AF" w:rsidR="001A3D17" w:rsidRPr="00FB0A3A" w:rsidRDefault="001A3D17"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 xml:space="preserve">Величина налога на прибыль, заявленная со стороны </w:t>
      </w:r>
      <w:r w:rsidR="0035393A" w:rsidRPr="00FB0A3A">
        <w:rPr>
          <w:rFonts w:ascii="Myriad Pro" w:eastAsia="Calibri" w:hAnsi="Myriad Pro" w:cs="Times New Roman"/>
          <w:sz w:val="26"/>
          <w:szCs w:val="26"/>
        </w:rPr>
        <w:t xml:space="preserve">филиала </w:t>
      </w:r>
      <w:r w:rsidRPr="00FB0A3A">
        <w:rPr>
          <w:rFonts w:ascii="Myriad Pro" w:eastAsia="Calibri" w:hAnsi="Myriad Pro" w:cs="Times New Roman"/>
          <w:sz w:val="26"/>
          <w:szCs w:val="26"/>
        </w:rPr>
        <w:t xml:space="preserve">ПАО </w:t>
      </w:r>
      <w:r w:rsidR="00655FFA" w:rsidRPr="00FB0A3A">
        <w:rPr>
          <w:rFonts w:ascii="Myriad Pro" w:eastAsia="Calibri" w:hAnsi="Myriad Pro" w:cs="Times New Roman"/>
          <w:sz w:val="26"/>
          <w:szCs w:val="26"/>
        </w:rPr>
        <w:t>«</w:t>
      </w:r>
      <w:r w:rsidR="00597FD5" w:rsidRPr="00FB0A3A">
        <w:rPr>
          <w:rFonts w:ascii="Myriad Pro" w:eastAsia="Calibri" w:hAnsi="Myriad Pro" w:cs="Times New Roman"/>
          <w:sz w:val="26"/>
          <w:szCs w:val="26"/>
        </w:rPr>
        <w:t>МРСК Северо-Запада</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 xml:space="preserve"> </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Колэнерго</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 xml:space="preserve"> для включения в состав НВВ на 2019 год составила 37 038,73 тыс. руб.</w:t>
      </w:r>
    </w:p>
    <w:p w14:paraId="2485E65F" w14:textId="6B91C100" w:rsidR="001A3D17" w:rsidRPr="00FB0A3A" w:rsidRDefault="001A3D17"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В подтверждение заявленной величины налог</w:t>
      </w:r>
      <w:r w:rsidR="0035393A" w:rsidRPr="00FB0A3A">
        <w:rPr>
          <w:rFonts w:ascii="Myriad Pro" w:eastAsia="Calibri" w:hAnsi="Myriad Pro" w:cs="Times New Roman"/>
          <w:sz w:val="26"/>
          <w:szCs w:val="26"/>
        </w:rPr>
        <w:t>а филиала ПАО</w:t>
      </w:r>
      <w:r w:rsidRPr="00FB0A3A">
        <w:rPr>
          <w:rFonts w:ascii="Myriad Pro" w:eastAsia="Calibri" w:hAnsi="Myriad Pro" w:cs="Times New Roman"/>
          <w:sz w:val="26"/>
          <w:szCs w:val="26"/>
        </w:rPr>
        <w:t xml:space="preserve"> </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МРСК Северо-Запада</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 xml:space="preserve"> </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Колэнерго</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 xml:space="preserve"> представлены:</w:t>
      </w:r>
    </w:p>
    <w:p w14:paraId="3FE39F68" w14:textId="77777777" w:rsidR="001A3D17" w:rsidRPr="00FB0A3A" w:rsidRDefault="001A3D17" w:rsidP="009B0BC1">
      <w:pPr>
        <w:pStyle w:val="a4"/>
        <w:numPr>
          <w:ilvl w:val="0"/>
          <w:numId w:val="18"/>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Пояснительная записка;</w:t>
      </w:r>
    </w:p>
    <w:p w14:paraId="1A672AE8" w14:textId="29A63BAA" w:rsidR="001A3D17" w:rsidRPr="00FB0A3A" w:rsidRDefault="001A3D17" w:rsidP="009B0BC1">
      <w:pPr>
        <w:pStyle w:val="a4"/>
        <w:numPr>
          <w:ilvl w:val="0"/>
          <w:numId w:val="18"/>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 xml:space="preserve">Данные раздельного учета доходов и расходов за 2017 год </w:t>
      </w:r>
      <w:r w:rsidR="00655FFA" w:rsidRPr="00FB0A3A">
        <w:rPr>
          <w:rFonts w:ascii="Myriad Pro" w:hAnsi="Myriad Pro"/>
          <w:sz w:val="26"/>
          <w:szCs w:val="26"/>
        </w:rPr>
        <w:t>«</w:t>
      </w:r>
      <w:r w:rsidRPr="00FB0A3A">
        <w:rPr>
          <w:rFonts w:ascii="Myriad Pro" w:hAnsi="Myriad Pro"/>
          <w:sz w:val="26"/>
          <w:szCs w:val="26"/>
        </w:rPr>
        <w:t>Показатели раздельного учета доходов и расходов субъектов естественных монополий, оказывающие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согласно форме отчета о прибылях и убытках</w:t>
      </w:r>
      <w:r w:rsidR="00655FFA" w:rsidRPr="00FB0A3A">
        <w:rPr>
          <w:rFonts w:ascii="Myriad Pro" w:hAnsi="Myriad Pro"/>
          <w:sz w:val="26"/>
          <w:szCs w:val="26"/>
        </w:rPr>
        <w:t>»</w:t>
      </w:r>
      <w:r w:rsidR="00E23D74" w:rsidRPr="00FB0A3A">
        <w:rPr>
          <w:rFonts w:ascii="Myriad Pro" w:hAnsi="Myriad Pro"/>
          <w:sz w:val="26"/>
          <w:szCs w:val="26"/>
        </w:rPr>
        <w:t xml:space="preserve"> (форма 1.3)</w:t>
      </w:r>
      <w:r w:rsidRPr="00FB0A3A">
        <w:rPr>
          <w:rFonts w:ascii="Myriad Pro" w:hAnsi="Myriad Pro"/>
          <w:sz w:val="26"/>
          <w:szCs w:val="26"/>
        </w:rPr>
        <w:t>;</w:t>
      </w:r>
    </w:p>
    <w:p w14:paraId="02E5BCC2" w14:textId="77777777" w:rsidR="001A3D17" w:rsidRPr="00FB0A3A" w:rsidRDefault="001A3D17" w:rsidP="009B0BC1">
      <w:pPr>
        <w:pStyle w:val="a4"/>
        <w:numPr>
          <w:ilvl w:val="0"/>
          <w:numId w:val="18"/>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Налоговая декларация по налогу на прибыль за 2017 год;</w:t>
      </w:r>
    </w:p>
    <w:p w14:paraId="53162BD2" w14:textId="00831E5D" w:rsidR="001A3D17" w:rsidRPr="00FB0A3A" w:rsidRDefault="001A3D17" w:rsidP="009B0BC1">
      <w:pPr>
        <w:pStyle w:val="a4"/>
        <w:numPr>
          <w:ilvl w:val="0"/>
          <w:numId w:val="18"/>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 xml:space="preserve">Методика распределения доходов и расходов исполнительного аппарата ПАО </w:t>
      </w:r>
      <w:r w:rsidR="00655FFA" w:rsidRPr="00FB0A3A">
        <w:rPr>
          <w:rFonts w:ascii="Myriad Pro" w:hAnsi="Myriad Pro"/>
          <w:sz w:val="26"/>
          <w:szCs w:val="26"/>
        </w:rPr>
        <w:t>«</w:t>
      </w:r>
      <w:r w:rsidR="00597FD5" w:rsidRPr="00FB0A3A">
        <w:rPr>
          <w:rFonts w:ascii="Myriad Pro" w:hAnsi="Myriad Pro"/>
          <w:sz w:val="26"/>
          <w:szCs w:val="26"/>
        </w:rPr>
        <w:t>МРСК Северо-Запада</w:t>
      </w:r>
      <w:r w:rsidR="00655FFA" w:rsidRPr="00FB0A3A">
        <w:rPr>
          <w:rFonts w:ascii="Myriad Pro" w:hAnsi="Myriad Pro"/>
          <w:sz w:val="26"/>
          <w:szCs w:val="26"/>
        </w:rPr>
        <w:t>»</w:t>
      </w:r>
      <w:r w:rsidRPr="00FB0A3A">
        <w:rPr>
          <w:rFonts w:ascii="Myriad Pro" w:hAnsi="Myriad Pro"/>
          <w:sz w:val="26"/>
          <w:szCs w:val="26"/>
        </w:rPr>
        <w:t>;</w:t>
      </w:r>
    </w:p>
    <w:p w14:paraId="149C0B81" w14:textId="0486BFD0" w:rsidR="001A3D17" w:rsidRPr="00FB0A3A" w:rsidRDefault="001A3D17" w:rsidP="009B0BC1">
      <w:pPr>
        <w:pStyle w:val="a4"/>
        <w:numPr>
          <w:ilvl w:val="0"/>
          <w:numId w:val="18"/>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Отчет о финансовых результатах за 20</w:t>
      </w:r>
      <w:r w:rsidR="0035393A" w:rsidRPr="00FB0A3A">
        <w:rPr>
          <w:rFonts w:ascii="Myriad Pro" w:hAnsi="Myriad Pro"/>
          <w:sz w:val="26"/>
          <w:szCs w:val="26"/>
        </w:rPr>
        <w:t>17 год</w:t>
      </w:r>
      <w:r w:rsidRPr="00FB0A3A">
        <w:rPr>
          <w:rFonts w:ascii="Myriad Pro" w:hAnsi="Myriad Pro"/>
          <w:sz w:val="26"/>
          <w:szCs w:val="26"/>
        </w:rPr>
        <w:t>.</w:t>
      </w:r>
    </w:p>
    <w:p w14:paraId="70B5B88D" w14:textId="7224CAEB" w:rsidR="00000018" w:rsidRPr="00FB0A3A" w:rsidRDefault="00000018" w:rsidP="00A31747">
      <w:pPr>
        <w:tabs>
          <w:tab w:val="left" w:pos="1134"/>
        </w:tabs>
        <w:spacing w:after="0" w:line="360" w:lineRule="auto"/>
        <w:ind w:firstLine="567"/>
        <w:contextualSpacing/>
        <w:jc w:val="both"/>
        <w:rPr>
          <w:rFonts w:ascii="Myriad Pro" w:eastAsia="Calibri" w:hAnsi="Myriad Pro" w:cs="Times New Roman"/>
          <w:sz w:val="26"/>
          <w:szCs w:val="26"/>
        </w:rPr>
      </w:pPr>
    </w:p>
    <w:p w14:paraId="1FB346B9" w14:textId="77777777" w:rsidR="00000018" w:rsidRPr="00FB0A3A" w:rsidRDefault="00000018" w:rsidP="0022562D">
      <w:pPr>
        <w:tabs>
          <w:tab w:val="left" w:pos="1134"/>
        </w:tabs>
        <w:spacing w:after="0" w:line="360" w:lineRule="auto"/>
        <w:contextualSpacing/>
        <w:jc w:val="both"/>
        <w:rPr>
          <w:rFonts w:ascii="Myriad Pro" w:eastAsia="Calibri" w:hAnsi="Myriad Pro" w:cs="Times New Roman"/>
          <w:b/>
          <w:sz w:val="26"/>
          <w:szCs w:val="26"/>
        </w:rPr>
      </w:pPr>
      <w:r w:rsidRPr="00FB0A3A">
        <w:rPr>
          <w:rFonts w:ascii="Myriad Pro" w:eastAsia="Calibri" w:hAnsi="Myriad Pro" w:cs="Times New Roman"/>
          <w:b/>
          <w:sz w:val="26"/>
          <w:szCs w:val="26"/>
        </w:rPr>
        <w:t>ПОЗИЦИЯ ОРГАНА РЕГУЛИРОВАНИЯ</w:t>
      </w:r>
    </w:p>
    <w:p w14:paraId="51B5A96D" w14:textId="60579787" w:rsidR="00435FD7" w:rsidRPr="00FB0A3A" w:rsidRDefault="009A628A"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С учетом пункта 20 Основ ценообразования, на основании представленных документов (данных раздельного учета доходов и расходов, налоговых деклараций, подтверждения о фактической уплате налога и др.) Комитетом расходы приняты в размере 27 646,0 тыс. руб.</w:t>
      </w:r>
    </w:p>
    <w:p w14:paraId="1B5D0FF4" w14:textId="77777777" w:rsidR="009A628A" w:rsidRPr="00FB0A3A" w:rsidRDefault="009A628A" w:rsidP="00A31747">
      <w:pPr>
        <w:tabs>
          <w:tab w:val="left" w:pos="1134"/>
        </w:tabs>
        <w:spacing w:after="0" w:line="360" w:lineRule="auto"/>
        <w:ind w:firstLine="567"/>
        <w:contextualSpacing/>
        <w:jc w:val="both"/>
        <w:rPr>
          <w:rFonts w:ascii="Myriad Pro" w:eastAsia="Calibri" w:hAnsi="Myriad Pro" w:cs="Times New Roman"/>
          <w:sz w:val="26"/>
          <w:szCs w:val="26"/>
        </w:rPr>
      </w:pPr>
    </w:p>
    <w:p w14:paraId="512C4564" w14:textId="454A629B" w:rsidR="00000018" w:rsidRPr="00FB0A3A" w:rsidRDefault="00000018" w:rsidP="0022562D">
      <w:pPr>
        <w:tabs>
          <w:tab w:val="left" w:pos="1134"/>
        </w:tabs>
        <w:spacing w:after="0" w:line="360" w:lineRule="auto"/>
        <w:contextualSpacing/>
        <w:jc w:val="both"/>
        <w:rPr>
          <w:rFonts w:ascii="Myriad Pro" w:eastAsia="Calibri" w:hAnsi="Myriad Pro" w:cs="Times New Roman"/>
          <w:b/>
          <w:sz w:val="26"/>
          <w:szCs w:val="26"/>
        </w:rPr>
      </w:pPr>
      <w:r w:rsidRPr="00FB0A3A">
        <w:rPr>
          <w:rFonts w:ascii="Myriad Pro" w:eastAsia="Calibri" w:hAnsi="Myriad Pro" w:cs="Times New Roman"/>
          <w:b/>
          <w:sz w:val="26"/>
          <w:szCs w:val="26"/>
        </w:rPr>
        <w:t>ПОЗИЦИЯ ИСПОЛНИТЕЛЯ</w:t>
      </w:r>
    </w:p>
    <w:p w14:paraId="472096CB" w14:textId="1F11FFEF" w:rsidR="00987FDF" w:rsidRPr="00FB0A3A" w:rsidRDefault="00987FDF"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 xml:space="preserve">В соответствии с налоговой декларацией по налогу на прибыль ПАО </w:t>
      </w:r>
      <w:r w:rsidR="00655FFA" w:rsidRPr="00FB0A3A">
        <w:rPr>
          <w:rFonts w:ascii="Myriad Pro" w:eastAsia="Calibri" w:hAnsi="Myriad Pro" w:cs="Times New Roman"/>
          <w:sz w:val="26"/>
          <w:szCs w:val="26"/>
        </w:rPr>
        <w:t>«</w:t>
      </w:r>
      <w:r w:rsidR="00597FD5" w:rsidRPr="00FB0A3A">
        <w:rPr>
          <w:rFonts w:ascii="Myriad Pro" w:eastAsia="Calibri" w:hAnsi="Myriad Pro" w:cs="Times New Roman"/>
          <w:sz w:val="26"/>
          <w:szCs w:val="26"/>
        </w:rPr>
        <w:t>МРСК Северо-Запада</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 xml:space="preserve"> за 2017 год сумма налога на прибыль составила 407 427 531 руб., в том числе в бюджет субъекта РФ – 346 313 401 руб., в бюджет РФ – 61 114 130 руб. (стр.4 декларации).</w:t>
      </w:r>
    </w:p>
    <w:p w14:paraId="012EF2C6" w14:textId="33FD0493" w:rsidR="00987FDF" w:rsidRPr="00FB0A3A" w:rsidRDefault="00E23D74"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 xml:space="preserve">Комитетом, принята сумма 27 646,0 тыс. руб., отраженная в налоговой декларации </w:t>
      </w:r>
      <w:r w:rsidR="00987FDF" w:rsidRPr="00FB0A3A">
        <w:rPr>
          <w:rFonts w:ascii="Myriad Pro" w:eastAsia="Calibri" w:hAnsi="Myriad Pro" w:cs="Times New Roman"/>
          <w:sz w:val="26"/>
          <w:szCs w:val="26"/>
        </w:rPr>
        <w:t xml:space="preserve">по филиалу </w:t>
      </w:r>
      <w:r w:rsidR="00994DAE" w:rsidRPr="00FB0A3A">
        <w:rPr>
          <w:rFonts w:ascii="Myriad Pro" w:eastAsia="Calibri" w:hAnsi="Myriad Pro" w:cs="Times New Roman"/>
          <w:sz w:val="26"/>
          <w:szCs w:val="26"/>
        </w:rPr>
        <w:t xml:space="preserve">ПАО </w:t>
      </w:r>
      <w:r w:rsidR="00655FFA" w:rsidRPr="00FB0A3A">
        <w:rPr>
          <w:rFonts w:ascii="Myriad Pro" w:eastAsia="Calibri" w:hAnsi="Myriad Pro" w:cs="Times New Roman"/>
          <w:sz w:val="26"/>
          <w:szCs w:val="26"/>
        </w:rPr>
        <w:t>«</w:t>
      </w:r>
      <w:r w:rsidR="00597FD5" w:rsidRPr="00FB0A3A">
        <w:rPr>
          <w:rFonts w:ascii="Myriad Pro" w:eastAsia="Calibri" w:hAnsi="Myriad Pro" w:cs="Times New Roman"/>
          <w:sz w:val="26"/>
          <w:szCs w:val="26"/>
        </w:rPr>
        <w:t>МРСК Северо-Запада</w:t>
      </w:r>
      <w:r w:rsidR="00655FFA" w:rsidRPr="00FB0A3A">
        <w:rPr>
          <w:rFonts w:ascii="Myriad Pro" w:eastAsia="Calibri" w:hAnsi="Myriad Pro" w:cs="Times New Roman"/>
          <w:sz w:val="26"/>
          <w:szCs w:val="26"/>
        </w:rPr>
        <w:t>»</w:t>
      </w:r>
      <w:r w:rsidR="00987FDF" w:rsidRPr="00FB0A3A">
        <w:rPr>
          <w:rFonts w:ascii="Myriad Pro" w:eastAsia="Calibri" w:hAnsi="Myriad Pro" w:cs="Times New Roman"/>
          <w:sz w:val="26"/>
          <w:szCs w:val="26"/>
        </w:rPr>
        <w:t xml:space="preserve"> </w:t>
      </w:r>
      <w:r w:rsidR="00655FFA" w:rsidRPr="00FB0A3A">
        <w:rPr>
          <w:rFonts w:ascii="Myriad Pro" w:eastAsia="Calibri" w:hAnsi="Myriad Pro" w:cs="Times New Roman"/>
          <w:sz w:val="26"/>
          <w:szCs w:val="26"/>
        </w:rPr>
        <w:t>«</w:t>
      </w:r>
      <w:r w:rsidR="00987FDF" w:rsidRPr="00FB0A3A">
        <w:rPr>
          <w:rFonts w:ascii="Myriad Pro" w:eastAsia="Calibri" w:hAnsi="Myriad Pro" w:cs="Times New Roman"/>
          <w:sz w:val="26"/>
          <w:szCs w:val="26"/>
        </w:rPr>
        <w:t>Колэнерго</w:t>
      </w:r>
      <w:r w:rsidR="00655FFA" w:rsidRPr="00FB0A3A">
        <w:rPr>
          <w:rFonts w:ascii="Myriad Pro" w:eastAsia="Calibri" w:hAnsi="Myriad Pro" w:cs="Times New Roman"/>
          <w:sz w:val="26"/>
          <w:szCs w:val="26"/>
        </w:rPr>
        <w:t>»</w:t>
      </w:r>
      <w:r w:rsidR="00987FDF" w:rsidRPr="00FB0A3A">
        <w:rPr>
          <w:rFonts w:ascii="Myriad Pro" w:eastAsia="Calibri" w:hAnsi="Myriad Pro" w:cs="Times New Roman"/>
          <w:sz w:val="26"/>
          <w:szCs w:val="26"/>
        </w:rPr>
        <w:t xml:space="preserve"> </w:t>
      </w:r>
      <w:r w:rsidRPr="00FB0A3A">
        <w:rPr>
          <w:rFonts w:ascii="Myriad Pro" w:eastAsia="Calibri" w:hAnsi="Myriad Pro" w:cs="Times New Roman"/>
          <w:sz w:val="26"/>
          <w:szCs w:val="26"/>
        </w:rPr>
        <w:t>(стр.</w:t>
      </w:r>
      <w:r w:rsidR="00987FDF" w:rsidRPr="00FB0A3A">
        <w:rPr>
          <w:rFonts w:ascii="Myriad Pro" w:eastAsia="Calibri" w:hAnsi="Myriad Pro" w:cs="Times New Roman"/>
          <w:sz w:val="26"/>
          <w:szCs w:val="26"/>
        </w:rPr>
        <w:t xml:space="preserve">18 </w:t>
      </w:r>
      <w:r w:rsidRPr="00FB0A3A">
        <w:rPr>
          <w:rFonts w:ascii="Myriad Pro" w:eastAsia="Calibri" w:hAnsi="Myriad Pro" w:cs="Times New Roman"/>
          <w:sz w:val="26"/>
          <w:szCs w:val="26"/>
        </w:rPr>
        <w:lastRenderedPageBreak/>
        <w:t>декларации)</w:t>
      </w:r>
      <w:r w:rsidR="00987FDF" w:rsidRPr="00FB0A3A">
        <w:rPr>
          <w:rFonts w:ascii="Myriad Pro" w:eastAsia="Calibri" w:hAnsi="Myriad Pro" w:cs="Times New Roman"/>
          <w:sz w:val="26"/>
          <w:szCs w:val="26"/>
        </w:rPr>
        <w:t>.</w:t>
      </w:r>
      <w:r w:rsidR="00B85351" w:rsidRPr="00FB0A3A">
        <w:rPr>
          <w:rFonts w:ascii="Myriad Pro" w:eastAsia="Calibri" w:hAnsi="Myriad Pro" w:cs="Times New Roman"/>
          <w:sz w:val="26"/>
          <w:szCs w:val="26"/>
        </w:rPr>
        <w:t xml:space="preserve"> Указанная сумма, отражает сумму</w:t>
      </w:r>
      <w:r w:rsidR="00987FDF" w:rsidRPr="00FB0A3A">
        <w:rPr>
          <w:rFonts w:ascii="Myriad Pro" w:eastAsia="Calibri" w:hAnsi="Myriad Pro" w:cs="Times New Roman"/>
          <w:sz w:val="26"/>
          <w:szCs w:val="26"/>
        </w:rPr>
        <w:t xml:space="preserve"> налога в бюджет субъекта РФ. Сумма, к уплате налога в бюджет РФ в размере 4 878 706 руб. и доля налога исполнительного аппарата в размере 536 098 руб. не учтена Комитетом по мнению Исполнителя необоснованно</w:t>
      </w:r>
      <w:r w:rsidR="00A72B9A" w:rsidRPr="00FB0A3A">
        <w:rPr>
          <w:rFonts w:ascii="Myriad Pro" w:eastAsia="Calibri" w:hAnsi="Myriad Pro" w:cs="Times New Roman"/>
          <w:sz w:val="26"/>
          <w:szCs w:val="26"/>
        </w:rPr>
        <w:t xml:space="preserve"> в виду следующего</w:t>
      </w:r>
      <w:r w:rsidR="00987FDF" w:rsidRPr="00FB0A3A">
        <w:rPr>
          <w:rFonts w:ascii="Myriad Pro" w:eastAsia="Calibri" w:hAnsi="Myriad Pro" w:cs="Times New Roman"/>
          <w:sz w:val="26"/>
          <w:szCs w:val="26"/>
        </w:rPr>
        <w:t xml:space="preserve">. </w:t>
      </w:r>
    </w:p>
    <w:p w14:paraId="07B715F4" w14:textId="51A6BFAA" w:rsidR="00A72B9A" w:rsidRPr="00FB0A3A" w:rsidRDefault="00A72B9A"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 xml:space="preserve">ПАО </w:t>
      </w:r>
      <w:r w:rsidR="00655FFA" w:rsidRPr="00FB0A3A">
        <w:rPr>
          <w:rFonts w:ascii="Myriad Pro" w:eastAsia="Calibri" w:hAnsi="Myriad Pro" w:cs="Times New Roman"/>
          <w:sz w:val="26"/>
          <w:szCs w:val="26"/>
        </w:rPr>
        <w:t>«</w:t>
      </w:r>
      <w:r w:rsidR="00597FD5" w:rsidRPr="00FB0A3A">
        <w:rPr>
          <w:rFonts w:ascii="Myriad Pro" w:eastAsia="Calibri" w:hAnsi="Myriad Pro" w:cs="Times New Roman"/>
          <w:sz w:val="26"/>
          <w:szCs w:val="26"/>
        </w:rPr>
        <w:t>МРСК Северо-Запада</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 xml:space="preserve"> представляет собой акционерное общество с филиальной сетью, в котором Исполнительный аппарат является структурным подразделением, при этом отдельно взятый филиал никогда не выполнял и не может выполнять все функции акционерного общества, исходя из его структуры.</w:t>
      </w:r>
    </w:p>
    <w:p w14:paraId="15D1F5E7" w14:textId="23BB3658" w:rsidR="00A72B9A" w:rsidRPr="00FB0A3A" w:rsidRDefault="00A72B9A" w:rsidP="00A31747">
      <w:pPr>
        <w:tabs>
          <w:tab w:val="left" w:pos="1134"/>
        </w:tabs>
        <w:spacing w:after="0" w:line="360" w:lineRule="auto"/>
        <w:ind w:firstLine="567"/>
        <w:jc w:val="both"/>
        <w:rPr>
          <w:rFonts w:ascii="Myriad Pro" w:eastAsia="Calibri" w:hAnsi="Myriad Pro" w:cs="Times New Roman"/>
          <w:sz w:val="26"/>
          <w:szCs w:val="26"/>
        </w:rPr>
      </w:pPr>
      <w:r w:rsidRPr="00FB0A3A">
        <w:rPr>
          <w:rFonts w:ascii="Myriad Pro" w:eastAsia="Calibri" w:hAnsi="Myriad Pro" w:cs="Times New Roman"/>
          <w:sz w:val="26"/>
          <w:szCs w:val="26"/>
        </w:rPr>
        <w:t xml:space="preserve">Затраты исполнительного аппарата ПАО </w:t>
      </w:r>
      <w:r w:rsidR="00655FFA" w:rsidRPr="00FB0A3A">
        <w:rPr>
          <w:rFonts w:ascii="Myriad Pro" w:eastAsia="Calibri" w:hAnsi="Myriad Pro" w:cs="Times New Roman"/>
          <w:sz w:val="26"/>
          <w:szCs w:val="26"/>
        </w:rPr>
        <w:t>«</w:t>
      </w:r>
      <w:r w:rsidR="00597FD5" w:rsidRPr="00FB0A3A">
        <w:rPr>
          <w:rFonts w:ascii="Myriad Pro" w:eastAsia="Calibri" w:hAnsi="Myriad Pro" w:cs="Times New Roman"/>
          <w:sz w:val="26"/>
          <w:szCs w:val="26"/>
        </w:rPr>
        <w:t>МРСК Северо-Запада</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 xml:space="preserve"> распределяются между филиалами на основании </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 xml:space="preserve">Методики распределения доходов и расходов исполнительного аппарата ПАО </w:t>
      </w:r>
      <w:r w:rsidR="00655FFA" w:rsidRPr="00FB0A3A">
        <w:rPr>
          <w:rFonts w:ascii="Myriad Pro" w:eastAsia="Calibri" w:hAnsi="Myriad Pro" w:cs="Times New Roman"/>
          <w:sz w:val="26"/>
          <w:szCs w:val="26"/>
        </w:rPr>
        <w:t>«</w:t>
      </w:r>
      <w:r w:rsidR="00597FD5" w:rsidRPr="00FB0A3A">
        <w:rPr>
          <w:rFonts w:ascii="Myriad Pro" w:eastAsia="Calibri" w:hAnsi="Myriad Pro" w:cs="Times New Roman"/>
          <w:sz w:val="26"/>
          <w:szCs w:val="26"/>
        </w:rPr>
        <w:t>МРСК Северо-Запада</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 xml:space="preserve"> (далее Методика), утвержденной приказом от 28.02.2016 № 836.</w:t>
      </w:r>
    </w:p>
    <w:p w14:paraId="1DC42A53" w14:textId="0B009393" w:rsidR="00AB3D11" w:rsidRPr="00FB0A3A" w:rsidRDefault="00AB3D11" w:rsidP="00A31747">
      <w:pPr>
        <w:tabs>
          <w:tab w:val="left" w:pos="1134"/>
        </w:tabs>
        <w:spacing w:after="0" w:line="360" w:lineRule="auto"/>
        <w:ind w:firstLine="567"/>
        <w:contextualSpacing/>
        <w:jc w:val="both"/>
        <w:rPr>
          <w:rFonts w:ascii="Myriad Pro" w:hAnsi="Myriad Pro"/>
          <w:sz w:val="26"/>
          <w:szCs w:val="26"/>
        </w:rPr>
      </w:pPr>
      <w:r w:rsidRPr="00FB0A3A">
        <w:rPr>
          <w:rFonts w:ascii="Myriad Pro" w:hAnsi="Myriad Pro"/>
          <w:sz w:val="26"/>
          <w:szCs w:val="26"/>
        </w:rPr>
        <w:t xml:space="preserve">Согласно </w:t>
      </w:r>
      <w:r w:rsidR="00655FFA" w:rsidRPr="00FB0A3A">
        <w:rPr>
          <w:rFonts w:ascii="Myriad Pro" w:hAnsi="Myriad Pro"/>
          <w:sz w:val="26"/>
          <w:szCs w:val="26"/>
        </w:rPr>
        <w:t>«</w:t>
      </w:r>
      <w:r w:rsidRPr="00FB0A3A">
        <w:rPr>
          <w:rFonts w:ascii="Myriad Pro" w:hAnsi="Myriad Pro"/>
          <w:sz w:val="26"/>
          <w:szCs w:val="26"/>
        </w:rPr>
        <w:t>Налоговой декларации по налогу на прибыль организаций</w:t>
      </w:r>
      <w:r w:rsidR="00655FFA" w:rsidRPr="00FB0A3A">
        <w:rPr>
          <w:rFonts w:ascii="Myriad Pro" w:hAnsi="Myriad Pro"/>
          <w:sz w:val="26"/>
          <w:szCs w:val="26"/>
        </w:rPr>
        <w:t>»</w:t>
      </w:r>
      <w:r w:rsidRPr="00FB0A3A">
        <w:rPr>
          <w:rFonts w:ascii="Myriad Pro" w:hAnsi="Myriad Pro"/>
          <w:sz w:val="26"/>
          <w:szCs w:val="26"/>
        </w:rPr>
        <w:t xml:space="preserve"> за 2017 год налоговая база в целом по организации для расчета налога составляет </w:t>
      </w:r>
      <w:r w:rsidR="008A1FE3">
        <w:rPr>
          <w:rFonts w:ascii="Myriad Pro" w:hAnsi="Myriad Pro"/>
          <w:sz w:val="26"/>
          <w:szCs w:val="26"/>
        </w:rPr>
        <w:br/>
      </w:r>
      <w:r w:rsidRPr="00FB0A3A">
        <w:rPr>
          <w:rFonts w:ascii="Myriad Pro" w:hAnsi="Myriad Pro"/>
          <w:sz w:val="26"/>
          <w:szCs w:val="26"/>
        </w:rPr>
        <w:t xml:space="preserve">2 037 137 655 руб. (стр. 4 Налоговой декларации, код строки 100). </w:t>
      </w:r>
    </w:p>
    <w:p w14:paraId="09987285" w14:textId="7FEE759A" w:rsidR="00AB3D11" w:rsidRPr="00FB0A3A" w:rsidRDefault="00AB3D11" w:rsidP="00A31747">
      <w:pPr>
        <w:tabs>
          <w:tab w:val="left" w:pos="1134"/>
        </w:tabs>
        <w:spacing w:after="0" w:line="360" w:lineRule="auto"/>
        <w:ind w:firstLine="567"/>
        <w:contextualSpacing/>
        <w:jc w:val="both"/>
        <w:rPr>
          <w:rFonts w:ascii="Myriad Pro" w:hAnsi="Myriad Pro"/>
          <w:sz w:val="26"/>
          <w:szCs w:val="26"/>
        </w:rPr>
      </w:pPr>
      <w:r w:rsidRPr="00FB0A3A">
        <w:rPr>
          <w:rFonts w:ascii="Myriad Pro" w:hAnsi="Myriad Pro"/>
          <w:sz w:val="26"/>
          <w:szCs w:val="26"/>
        </w:rPr>
        <w:t xml:space="preserve">Доля налоговой базы филиала </w:t>
      </w:r>
      <w:r w:rsidR="0025782C" w:rsidRPr="00FB0A3A">
        <w:rPr>
          <w:rFonts w:ascii="Myriad Pro" w:hAnsi="Myriad Pro"/>
          <w:sz w:val="26"/>
          <w:szCs w:val="26"/>
        </w:rPr>
        <w:t>ПАО «МРСК</w:t>
      </w:r>
      <w:r w:rsidRPr="00FB0A3A">
        <w:rPr>
          <w:rFonts w:ascii="Myriad Pro" w:hAnsi="Myriad Pro"/>
          <w:sz w:val="26"/>
          <w:szCs w:val="26"/>
        </w:rPr>
        <w:t xml:space="preserve"> Северо-Запада</w:t>
      </w:r>
      <w:r w:rsidR="00655FFA" w:rsidRPr="00FB0A3A">
        <w:rPr>
          <w:rFonts w:ascii="Myriad Pro" w:hAnsi="Myriad Pro"/>
          <w:sz w:val="26"/>
          <w:szCs w:val="26"/>
        </w:rPr>
        <w:t>»</w:t>
      </w:r>
      <w:r w:rsidRPr="00FB0A3A">
        <w:rPr>
          <w:rFonts w:ascii="Myriad Pro" w:hAnsi="Myriad Pro"/>
          <w:sz w:val="26"/>
          <w:szCs w:val="26"/>
        </w:rPr>
        <w:t xml:space="preserve"> </w:t>
      </w:r>
      <w:r w:rsidR="00655FFA" w:rsidRPr="00FB0A3A">
        <w:rPr>
          <w:rFonts w:ascii="Myriad Pro" w:hAnsi="Myriad Pro"/>
          <w:sz w:val="26"/>
          <w:szCs w:val="26"/>
        </w:rPr>
        <w:t>«</w:t>
      </w:r>
      <w:r w:rsidRPr="00FB0A3A">
        <w:rPr>
          <w:rFonts w:ascii="Myriad Pro" w:hAnsi="Myriad Pro"/>
          <w:sz w:val="26"/>
          <w:szCs w:val="26"/>
        </w:rPr>
        <w:t>Колэнерго</w:t>
      </w:r>
      <w:r w:rsidR="00655FFA" w:rsidRPr="00FB0A3A">
        <w:rPr>
          <w:rFonts w:ascii="Myriad Pro" w:hAnsi="Myriad Pro"/>
          <w:sz w:val="26"/>
          <w:szCs w:val="26"/>
        </w:rPr>
        <w:t>»</w:t>
      </w:r>
      <w:r w:rsidRPr="00FB0A3A">
        <w:rPr>
          <w:rFonts w:ascii="Myriad Pro" w:hAnsi="Myriad Pro"/>
          <w:sz w:val="26"/>
          <w:szCs w:val="26"/>
        </w:rPr>
        <w:t xml:space="preserve"> составляет 8,02269709 % (стр. 18 Налоговой декларации, код строки 040).</w:t>
      </w:r>
    </w:p>
    <w:p w14:paraId="386E0CEB" w14:textId="329A84A5" w:rsidR="00AB3D11" w:rsidRPr="00FB0A3A" w:rsidRDefault="00AB3D11" w:rsidP="00A31747">
      <w:pPr>
        <w:tabs>
          <w:tab w:val="left" w:pos="1134"/>
        </w:tabs>
        <w:spacing w:after="0" w:line="360" w:lineRule="auto"/>
        <w:ind w:firstLine="567"/>
        <w:contextualSpacing/>
        <w:jc w:val="both"/>
        <w:rPr>
          <w:rFonts w:ascii="Myriad Pro" w:hAnsi="Myriad Pro"/>
          <w:sz w:val="26"/>
          <w:szCs w:val="26"/>
        </w:rPr>
      </w:pPr>
      <w:r w:rsidRPr="00FB0A3A">
        <w:rPr>
          <w:rFonts w:ascii="Myriad Pro" w:hAnsi="Myriad Pro"/>
          <w:sz w:val="26"/>
          <w:szCs w:val="26"/>
        </w:rPr>
        <w:t xml:space="preserve">Согласно таблице 1.3 </w:t>
      </w:r>
      <w:r w:rsidR="00655FFA" w:rsidRPr="00FB0A3A">
        <w:rPr>
          <w:rFonts w:ascii="Myriad Pro" w:hAnsi="Myriad Pro"/>
          <w:sz w:val="26"/>
          <w:szCs w:val="26"/>
        </w:rPr>
        <w:t>«</w:t>
      </w:r>
      <w:r w:rsidRPr="00FB0A3A">
        <w:rPr>
          <w:rFonts w:ascii="Myriad Pro" w:hAnsi="Myriad Pro"/>
          <w:sz w:val="26"/>
          <w:szCs w:val="26"/>
        </w:rPr>
        <w:t xml:space="preserve">Показатели раздельного учета доходов и расходов субъекта естественных монополий, оказывающего услуги по передаче электрической энергии (мощности) по электрическим сетям, принадлежащим на праве собственности или на другом законном основании территориальным сетевым организациям, согласно форме </w:t>
      </w:r>
      <w:r w:rsidR="00655FFA" w:rsidRPr="00FB0A3A">
        <w:rPr>
          <w:rFonts w:ascii="Myriad Pro" w:hAnsi="Myriad Pro"/>
          <w:sz w:val="26"/>
          <w:szCs w:val="26"/>
        </w:rPr>
        <w:t>«</w:t>
      </w:r>
      <w:r w:rsidRPr="00FB0A3A">
        <w:rPr>
          <w:rFonts w:ascii="Myriad Pro" w:hAnsi="Myriad Pro"/>
          <w:sz w:val="26"/>
          <w:szCs w:val="26"/>
        </w:rPr>
        <w:t>Отчет о прибылях и убытках</w:t>
      </w:r>
      <w:r w:rsidR="00655FFA" w:rsidRPr="00FB0A3A">
        <w:rPr>
          <w:rFonts w:ascii="Myriad Pro" w:hAnsi="Myriad Pro"/>
          <w:sz w:val="26"/>
          <w:szCs w:val="26"/>
        </w:rPr>
        <w:t>»</w:t>
      </w:r>
      <w:r w:rsidRPr="00FB0A3A">
        <w:rPr>
          <w:rFonts w:ascii="Myriad Pro" w:hAnsi="Myriad Pro"/>
          <w:sz w:val="26"/>
          <w:szCs w:val="26"/>
        </w:rPr>
        <w:t xml:space="preserve">  филиала ПАО </w:t>
      </w:r>
      <w:r w:rsidR="00655FFA" w:rsidRPr="00FB0A3A">
        <w:rPr>
          <w:rFonts w:ascii="Myriad Pro" w:hAnsi="Myriad Pro"/>
          <w:sz w:val="26"/>
          <w:szCs w:val="26"/>
        </w:rPr>
        <w:t>«</w:t>
      </w:r>
      <w:r w:rsidRPr="00FB0A3A">
        <w:rPr>
          <w:rFonts w:ascii="Myriad Pro" w:hAnsi="Myriad Pro"/>
          <w:sz w:val="26"/>
          <w:szCs w:val="26"/>
        </w:rPr>
        <w:t>МРСК Северо-Запада</w:t>
      </w:r>
      <w:r w:rsidR="00655FFA" w:rsidRPr="00FB0A3A">
        <w:rPr>
          <w:rFonts w:ascii="Myriad Pro" w:hAnsi="Myriad Pro"/>
          <w:sz w:val="26"/>
          <w:szCs w:val="26"/>
        </w:rPr>
        <w:t>»</w:t>
      </w:r>
      <w:r w:rsidRPr="00FB0A3A">
        <w:rPr>
          <w:rFonts w:ascii="Myriad Pro" w:hAnsi="Myriad Pro"/>
          <w:sz w:val="26"/>
          <w:szCs w:val="26"/>
        </w:rPr>
        <w:t xml:space="preserve"> </w:t>
      </w:r>
      <w:r w:rsidR="00655FFA" w:rsidRPr="00FB0A3A">
        <w:rPr>
          <w:rFonts w:ascii="Myriad Pro" w:hAnsi="Myriad Pro"/>
          <w:sz w:val="26"/>
          <w:szCs w:val="26"/>
        </w:rPr>
        <w:t>«</w:t>
      </w:r>
      <w:r w:rsidRPr="00FB0A3A">
        <w:rPr>
          <w:rFonts w:ascii="Myriad Pro" w:hAnsi="Myriad Pro"/>
          <w:sz w:val="26"/>
          <w:szCs w:val="26"/>
        </w:rPr>
        <w:t>Колэнерго</w:t>
      </w:r>
      <w:r w:rsidR="00655FFA" w:rsidRPr="00FB0A3A">
        <w:rPr>
          <w:rFonts w:ascii="Myriad Pro" w:hAnsi="Myriad Pro"/>
          <w:sz w:val="26"/>
          <w:szCs w:val="26"/>
        </w:rPr>
        <w:t>»</w:t>
      </w:r>
      <w:r w:rsidRPr="00FB0A3A">
        <w:rPr>
          <w:rFonts w:ascii="Myriad Pro" w:hAnsi="Myriad Pro"/>
          <w:sz w:val="26"/>
          <w:szCs w:val="26"/>
        </w:rPr>
        <w:t xml:space="preserve"> доля выручки, относящейся </w:t>
      </w:r>
      <w:r w:rsidRPr="00FB0A3A">
        <w:rPr>
          <w:rFonts w:ascii="Myriad Pro" w:eastAsia="Calibri" w:hAnsi="Myriad Pro" w:cs="Times New Roman"/>
          <w:sz w:val="26"/>
          <w:szCs w:val="26"/>
        </w:rPr>
        <w:t>к деятельности по оказанию услуг по передаче электрической энергии и осуществлению технологического присоединения к электрическим сетям</w:t>
      </w:r>
      <w:r w:rsidRPr="00FB0A3A">
        <w:rPr>
          <w:rFonts w:ascii="Myriad Pro" w:hAnsi="Myriad Pro"/>
          <w:sz w:val="26"/>
          <w:szCs w:val="26"/>
        </w:rPr>
        <w:t xml:space="preserve"> составляет 99,65 %.</w:t>
      </w:r>
    </w:p>
    <w:p w14:paraId="426E3C35" w14:textId="302A2806" w:rsidR="00AB3D11" w:rsidRPr="00FB0A3A" w:rsidRDefault="00AB3D11" w:rsidP="0022562D">
      <w:pPr>
        <w:pStyle w:val="afff4"/>
        <w:rPr>
          <w:lang w:val="ru-RU"/>
        </w:rPr>
      </w:pPr>
      <w:r w:rsidRPr="00FB0A3A">
        <w:rPr>
          <w:lang w:val="ru-RU"/>
        </w:rPr>
        <w:t>Исполнителем выполнен расчет по следующему алгоритму:</w:t>
      </w:r>
    </w:p>
    <w:tbl>
      <w:tblPr>
        <w:tblStyle w:val="afff6"/>
        <w:tblW w:w="4958" w:type="pct"/>
        <w:tblLayout w:type="fixed"/>
        <w:tblLook w:val="04A0" w:firstRow="1" w:lastRow="0" w:firstColumn="1" w:lastColumn="0" w:noHBand="0" w:noVBand="1"/>
      </w:tblPr>
      <w:tblGrid>
        <w:gridCol w:w="4633"/>
        <w:gridCol w:w="4633"/>
      </w:tblGrid>
      <w:tr w:rsidR="0022562D" w:rsidRPr="00FB0A3A" w14:paraId="2A4CF5FC" w14:textId="77777777" w:rsidTr="008A1FE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6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6B7169D" w14:textId="0447D96C" w:rsidR="0022562D" w:rsidRPr="00FB0A3A" w:rsidRDefault="0022562D" w:rsidP="0022562D">
            <w:pPr>
              <w:tabs>
                <w:tab w:val="left" w:pos="1134"/>
              </w:tabs>
              <w:jc w:val="center"/>
              <w:rPr>
                <w:sz w:val="20"/>
                <w:szCs w:val="20"/>
              </w:rPr>
            </w:pPr>
            <w:r w:rsidRPr="00FB0A3A">
              <w:rPr>
                <w:sz w:val="20"/>
                <w:szCs w:val="20"/>
              </w:rPr>
              <w:t>Наименование</w:t>
            </w:r>
          </w:p>
        </w:tc>
        <w:tc>
          <w:tcPr>
            <w:tcW w:w="46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8EB69F6" w14:textId="4C3AF21D" w:rsidR="0022562D" w:rsidRPr="00FB0A3A" w:rsidRDefault="0022562D" w:rsidP="0022562D">
            <w:pPr>
              <w:tabs>
                <w:tab w:val="left" w:pos="1134"/>
              </w:tabs>
              <w:cnfStyle w:val="100000000000" w:firstRow="1" w:lastRow="0" w:firstColumn="0" w:lastColumn="0" w:oddVBand="0" w:evenVBand="0" w:oddHBand="0" w:evenHBand="0" w:firstRowFirstColumn="0" w:firstRowLastColumn="0" w:lastRowFirstColumn="0" w:lastRowLastColumn="0"/>
              <w:rPr>
                <w:sz w:val="20"/>
                <w:szCs w:val="20"/>
              </w:rPr>
            </w:pPr>
            <w:r w:rsidRPr="00FB0A3A">
              <w:rPr>
                <w:sz w:val="20"/>
                <w:szCs w:val="20"/>
              </w:rPr>
              <w:t>Показатель</w:t>
            </w:r>
          </w:p>
        </w:tc>
      </w:tr>
      <w:tr w:rsidR="00AB3D11" w:rsidRPr="00FB0A3A" w14:paraId="3F6D6DB7" w14:textId="77777777" w:rsidTr="008A1FE3">
        <w:trPr>
          <w:trHeight w:val="276"/>
        </w:trPr>
        <w:tc>
          <w:tcPr>
            <w:cnfStyle w:val="001000000000" w:firstRow="0" w:lastRow="0" w:firstColumn="1" w:lastColumn="0" w:oddVBand="0" w:evenVBand="0" w:oddHBand="0" w:evenHBand="0" w:firstRowFirstColumn="0" w:firstRowLastColumn="0" w:lastRowFirstColumn="0" w:lastRowLastColumn="0"/>
            <w:tcW w:w="4633" w:type="dxa"/>
            <w:tcBorders>
              <w:top w:val="single" w:sz="4" w:space="0" w:color="FFFFFF" w:themeColor="background1"/>
            </w:tcBorders>
            <w:shd w:val="clear" w:color="auto" w:fill="auto"/>
          </w:tcPr>
          <w:p w14:paraId="1A08924D" w14:textId="77777777" w:rsidR="00AB3D11" w:rsidRPr="00FB0A3A" w:rsidRDefault="00AB3D11" w:rsidP="00994DAE">
            <w:pPr>
              <w:tabs>
                <w:tab w:val="left" w:pos="1134"/>
              </w:tabs>
              <w:rPr>
                <w:sz w:val="20"/>
                <w:szCs w:val="20"/>
              </w:rPr>
            </w:pPr>
            <w:r w:rsidRPr="00FB0A3A">
              <w:rPr>
                <w:sz w:val="20"/>
                <w:szCs w:val="20"/>
              </w:rPr>
              <w:t>Налоговая база</w:t>
            </w:r>
          </w:p>
        </w:tc>
        <w:tc>
          <w:tcPr>
            <w:tcW w:w="4633" w:type="dxa"/>
            <w:tcBorders>
              <w:top w:val="single" w:sz="4" w:space="0" w:color="FFFFFF" w:themeColor="background1"/>
            </w:tcBorders>
            <w:shd w:val="clear" w:color="auto" w:fill="auto"/>
          </w:tcPr>
          <w:p w14:paraId="55E14DAB" w14:textId="74590111" w:rsidR="00AB3D11" w:rsidRPr="00FB0A3A" w:rsidRDefault="00AB3D11" w:rsidP="0022562D">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FB0A3A">
              <w:rPr>
                <w:sz w:val="20"/>
                <w:szCs w:val="20"/>
              </w:rPr>
              <w:t>2 037 137, 655 тыс. руб.</w:t>
            </w:r>
          </w:p>
        </w:tc>
      </w:tr>
      <w:tr w:rsidR="00AB3D11" w:rsidRPr="00FB0A3A" w14:paraId="7704BC35" w14:textId="77777777" w:rsidTr="008A1FE3">
        <w:trPr>
          <w:trHeight w:val="520"/>
        </w:trPr>
        <w:tc>
          <w:tcPr>
            <w:cnfStyle w:val="001000000000" w:firstRow="0" w:lastRow="0" w:firstColumn="1" w:lastColumn="0" w:oddVBand="0" w:evenVBand="0" w:oddHBand="0" w:evenHBand="0" w:firstRowFirstColumn="0" w:firstRowLastColumn="0" w:lastRowFirstColumn="0" w:lastRowLastColumn="0"/>
            <w:tcW w:w="4633" w:type="dxa"/>
          </w:tcPr>
          <w:p w14:paraId="6416E217" w14:textId="189BC8C4" w:rsidR="00AB3D11" w:rsidRPr="00FB0A3A" w:rsidRDefault="00AB3D11" w:rsidP="00994DAE">
            <w:pPr>
              <w:tabs>
                <w:tab w:val="left" w:pos="1134"/>
              </w:tabs>
              <w:rPr>
                <w:sz w:val="20"/>
                <w:szCs w:val="20"/>
              </w:rPr>
            </w:pPr>
            <w:r w:rsidRPr="00FB0A3A">
              <w:rPr>
                <w:sz w:val="20"/>
                <w:szCs w:val="20"/>
              </w:rPr>
              <w:t xml:space="preserve">Доля филиала  </w:t>
            </w:r>
            <w:r w:rsidR="0025782C" w:rsidRPr="00FB0A3A">
              <w:rPr>
                <w:sz w:val="20"/>
                <w:szCs w:val="20"/>
              </w:rPr>
              <w:t>ПАО «МРСК</w:t>
            </w:r>
            <w:r w:rsidRPr="00FB0A3A">
              <w:rPr>
                <w:sz w:val="20"/>
                <w:szCs w:val="20"/>
              </w:rPr>
              <w:t xml:space="preserve"> Северо-Запада</w:t>
            </w:r>
            <w:r w:rsidR="00655FFA" w:rsidRPr="00FB0A3A">
              <w:rPr>
                <w:sz w:val="20"/>
                <w:szCs w:val="20"/>
              </w:rPr>
              <w:t>»</w:t>
            </w:r>
            <w:r w:rsidRPr="00FB0A3A">
              <w:rPr>
                <w:sz w:val="20"/>
                <w:szCs w:val="20"/>
              </w:rPr>
              <w:t xml:space="preserve"> </w:t>
            </w:r>
            <w:r w:rsidR="00655FFA" w:rsidRPr="00FB0A3A">
              <w:rPr>
                <w:sz w:val="20"/>
                <w:szCs w:val="20"/>
              </w:rPr>
              <w:t>«</w:t>
            </w:r>
            <w:r w:rsidRPr="00FB0A3A">
              <w:rPr>
                <w:sz w:val="20"/>
                <w:szCs w:val="20"/>
              </w:rPr>
              <w:t>Колэнерго</w:t>
            </w:r>
            <w:r w:rsidR="00655FFA" w:rsidRPr="00FB0A3A">
              <w:rPr>
                <w:sz w:val="20"/>
                <w:szCs w:val="20"/>
              </w:rPr>
              <w:t>»</w:t>
            </w:r>
          </w:p>
        </w:tc>
        <w:tc>
          <w:tcPr>
            <w:tcW w:w="4633" w:type="dxa"/>
          </w:tcPr>
          <w:p w14:paraId="5CEC79AD" w14:textId="158AD72C" w:rsidR="00AB3D11" w:rsidRPr="00FB0A3A" w:rsidRDefault="00AB3D11" w:rsidP="0022562D">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FB0A3A">
              <w:rPr>
                <w:sz w:val="20"/>
                <w:szCs w:val="20"/>
              </w:rPr>
              <w:t>8,02269709 %</w:t>
            </w:r>
          </w:p>
        </w:tc>
      </w:tr>
      <w:tr w:rsidR="00AB3D11" w:rsidRPr="00FB0A3A" w14:paraId="650F7753" w14:textId="77777777" w:rsidTr="008A1FE3">
        <w:trPr>
          <w:trHeight w:val="260"/>
        </w:trPr>
        <w:tc>
          <w:tcPr>
            <w:cnfStyle w:val="001000000000" w:firstRow="0" w:lastRow="0" w:firstColumn="1" w:lastColumn="0" w:oddVBand="0" w:evenVBand="0" w:oddHBand="0" w:evenHBand="0" w:firstRowFirstColumn="0" w:firstRowLastColumn="0" w:lastRowFirstColumn="0" w:lastRowLastColumn="0"/>
            <w:tcW w:w="4633" w:type="dxa"/>
          </w:tcPr>
          <w:p w14:paraId="0BB53FB5" w14:textId="77777777" w:rsidR="00AB3D11" w:rsidRPr="00FB0A3A" w:rsidRDefault="00AB3D11" w:rsidP="00994DAE">
            <w:pPr>
              <w:tabs>
                <w:tab w:val="left" w:pos="1134"/>
              </w:tabs>
              <w:rPr>
                <w:sz w:val="20"/>
                <w:szCs w:val="20"/>
              </w:rPr>
            </w:pPr>
            <w:r w:rsidRPr="00FB0A3A">
              <w:rPr>
                <w:sz w:val="20"/>
                <w:szCs w:val="20"/>
              </w:rPr>
              <w:lastRenderedPageBreak/>
              <w:t xml:space="preserve">Ставка налога на прибыль </w:t>
            </w:r>
          </w:p>
        </w:tc>
        <w:tc>
          <w:tcPr>
            <w:tcW w:w="4633" w:type="dxa"/>
          </w:tcPr>
          <w:p w14:paraId="4359BF5F" w14:textId="0A6D7F57" w:rsidR="00AB3D11" w:rsidRPr="00FB0A3A" w:rsidRDefault="00AB3D11" w:rsidP="0022562D">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FB0A3A">
              <w:rPr>
                <w:sz w:val="20"/>
                <w:szCs w:val="20"/>
              </w:rPr>
              <w:t>20%</w:t>
            </w:r>
          </w:p>
        </w:tc>
      </w:tr>
      <w:tr w:rsidR="00AB3D11" w:rsidRPr="00FB0A3A" w14:paraId="4A6A74E2" w14:textId="77777777" w:rsidTr="008A1FE3">
        <w:trPr>
          <w:trHeight w:val="797"/>
        </w:trPr>
        <w:tc>
          <w:tcPr>
            <w:cnfStyle w:val="001000000000" w:firstRow="0" w:lastRow="0" w:firstColumn="1" w:lastColumn="0" w:oddVBand="0" w:evenVBand="0" w:oddHBand="0" w:evenHBand="0" w:firstRowFirstColumn="0" w:firstRowLastColumn="0" w:lastRowFirstColumn="0" w:lastRowLastColumn="0"/>
            <w:tcW w:w="4633" w:type="dxa"/>
          </w:tcPr>
          <w:p w14:paraId="1D61A6DD" w14:textId="77777777" w:rsidR="00AB3D11" w:rsidRPr="00FB0A3A" w:rsidRDefault="00AB3D11" w:rsidP="00994DAE">
            <w:pPr>
              <w:tabs>
                <w:tab w:val="left" w:pos="1134"/>
              </w:tabs>
              <w:rPr>
                <w:sz w:val="20"/>
                <w:szCs w:val="20"/>
              </w:rPr>
            </w:pPr>
            <w:r w:rsidRPr="00FB0A3A">
              <w:rPr>
                <w:sz w:val="20"/>
                <w:szCs w:val="20"/>
              </w:rPr>
              <w:t>Доля  выручки на передачу электроэнергии и технологическое присоединение, общей выручке от продаж Организации.</w:t>
            </w:r>
          </w:p>
        </w:tc>
        <w:tc>
          <w:tcPr>
            <w:tcW w:w="4633" w:type="dxa"/>
          </w:tcPr>
          <w:p w14:paraId="464B1B7D" w14:textId="4B95C0EA" w:rsidR="00AB3D11" w:rsidRPr="00FB0A3A" w:rsidRDefault="00AB3D11" w:rsidP="0022562D">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FB0A3A">
              <w:rPr>
                <w:sz w:val="20"/>
                <w:szCs w:val="20"/>
              </w:rPr>
              <w:t>99,65 %</w:t>
            </w:r>
          </w:p>
        </w:tc>
      </w:tr>
      <w:tr w:rsidR="00AB3D11" w:rsidRPr="00FB0A3A" w14:paraId="6580BDF0" w14:textId="77777777" w:rsidTr="008A1FE3">
        <w:trPr>
          <w:trHeight w:val="407"/>
        </w:trPr>
        <w:tc>
          <w:tcPr>
            <w:cnfStyle w:val="001000000000" w:firstRow="0" w:lastRow="0" w:firstColumn="1" w:lastColumn="0" w:oddVBand="0" w:evenVBand="0" w:oddHBand="0" w:evenHBand="0" w:firstRowFirstColumn="0" w:firstRowLastColumn="0" w:lastRowFirstColumn="0" w:lastRowLastColumn="0"/>
            <w:tcW w:w="4633" w:type="dxa"/>
          </w:tcPr>
          <w:p w14:paraId="7112E035" w14:textId="77777777" w:rsidR="00AB3D11" w:rsidRPr="00FB0A3A" w:rsidRDefault="00AB3D11" w:rsidP="0022562D">
            <w:pPr>
              <w:tabs>
                <w:tab w:val="left" w:pos="1134"/>
              </w:tabs>
              <w:jc w:val="both"/>
              <w:rPr>
                <w:b/>
                <w:sz w:val="20"/>
                <w:szCs w:val="20"/>
              </w:rPr>
            </w:pPr>
            <w:r w:rsidRPr="00FB0A3A">
              <w:rPr>
                <w:b/>
                <w:sz w:val="20"/>
                <w:szCs w:val="20"/>
              </w:rPr>
              <w:t>Сумма налога на прибыль:</w:t>
            </w:r>
          </w:p>
        </w:tc>
        <w:tc>
          <w:tcPr>
            <w:tcW w:w="4633" w:type="dxa"/>
          </w:tcPr>
          <w:p w14:paraId="7C3056D9" w14:textId="591FA5BC" w:rsidR="00AB3D11" w:rsidRPr="00FB0A3A" w:rsidRDefault="00AB3D11" w:rsidP="0022562D">
            <w:pPr>
              <w:tabs>
                <w:tab w:val="left" w:pos="1134"/>
              </w:tabs>
              <w:cnfStyle w:val="000000000000" w:firstRow="0" w:lastRow="0" w:firstColumn="0" w:lastColumn="0" w:oddVBand="0" w:evenVBand="0" w:oddHBand="0" w:evenHBand="0" w:firstRowFirstColumn="0" w:firstRowLastColumn="0" w:lastRowFirstColumn="0" w:lastRowLastColumn="0"/>
              <w:rPr>
                <w:b/>
                <w:sz w:val="20"/>
                <w:szCs w:val="20"/>
              </w:rPr>
            </w:pPr>
            <w:r w:rsidRPr="00FB0A3A">
              <w:rPr>
                <w:b/>
                <w:sz w:val="20"/>
                <w:szCs w:val="20"/>
              </w:rPr>
              <w:t>32 572,3 тыс. руб.</w:t>
            </w:r>
          </w:p>
        </w:tc>
      </w:tr>
    </w:tbl>
    <w:p w14:paraId="6B0BFA27" w14:textId="377FCC6A" w:rsidR="00AB3D11" w:rsidRPr="00FB0A3A" w:rsidRDefault="00AB3D11" w:rsidP="0022562D">
      <w:pPr>
        <w:pStyle w:val="afff7"/>
      </w:pPr>
      <w:r w:rsidRPr="00FB0A3A">
        <w:t xml:space="preserve">Исполнитель отмечает, что </w:t>
      </w:r>
      <w:r w:rsidR="00D86746" w:rsidRPr="00FB0A3A">
        <w:t>филиал не имеет законченный бухгалтерский баланс и подтверждения отсутствия прибыли в прочей деятельности, в связи с чем</w:t>
      </w:r>
      <w:r w:rsidRPr="00FB0A3A">
        <w:t xml:space="preserve"> распределение налога на прибыль произведено в соответствии с учетной политикой организации</w:t>
      </w:r>
      <w:r w:rsidR="00D86746" w:rsidRPr="00FB0A3A">
        <w:t xml:space="preserve"> по всем видам деятельности.</w:t>
      </w:r>
    </w:p>
    <w:p w14:paraId="3F92D1C1" w14:textId="39902DC7" w:rsidR="00E36689" w:rsidRPr="00FB0A3A" w:rsidRDefault="00E36689" w:rsidP="00A31747">
      <w:pPr>
        <w:tabs>
          <w:tab w:val="left" w:pos="1134"/>
        </w:tabs>
        <w:spacing w:after="0" w:line="360" w:lineRule="auto"/>
        <w:ind w:firstLine="567"/>
        <w:contextualSpacing/>
        <w:jc w:val="both"/>
        <w:rPr>
          <w:rFonts w:ascii="Myriad Pro" w:hAnsi="Myriad Pro"/>
          <w:sz w:val="26"/>
          <w:szCs w:val="26"/>
        </w:rPr>
      </w:pPr>
      <w:r w:rsidRPr="00FB0A3A">
        <w:rPr>
          <w:rFonts w:ascii="Myriad Pro" w:hAnsi="Myriad Pro"/>
          <w:sz w:val="26"/>
          <w:szCs w:val="26"/>
        </w:rPr>
        <w:t xml:space="preserve">Таким образом, величина налога на прибыль </w:t>
      </w:r>
      <w:r w:rsidR="0035393A" w:rsidRPr="00FB0A3A">
        <w:rPr>
          <w:rFonts w:ascii="Myriad Pro" w:hAnsi="Myriad Pro"/>
          <w:sz w:val="26"/>
          <w:szCs w:val="26"/>
        </w:rPr>
        <w:t xml:space="preserve">по филиалу </w:t>
      </w:r>
      <w:r w:rsidRPr="00FB0A3A">
        <w:rPr>
          <w:rFonts w:ascii="Myriad Pro" w:hAnsi="Myriad Pro"/>
          <w:sz w:val="26"/>
          <w:szCs w:val="26"/>
        </w:rPr>
        <w:t xml:space="preserve">ПАО </w:t>
      </w:r>
      <w:r w:rsidR="00655FFA" w:rsidRPr="00FB0A3A">
        <w:rPr>
          <w:rFonts w:ascii="Myriad Pro" w:hAnsi="Myriad Pro"/>
          <w:sz w:val="26"/>
          <w:szCs w:val="26"/>
        </w:rPr>
        <w:t>«</w:t>
      </w:r>
      <w:r w:rsidR="00597FD5" w:rsidRPr="00FB0A3A">
        <w:rPr>
          <w:rFonts w:ascii="Myriad Pro" w:hAnsi="Myriad Pro"/>
          <w:sz w:val="26"/>
          <w:szCs w:val="26"/>
        </w:rPr>
        <w:t>МРСК Северо-Запада</w:t>
      </w:r>
      <w:r w:rsidR="00655FFA" w:rsidRPr="00FB0A3A">
        <w:rPr>
          <w:rFonts w:ascii="Myriad Pro" w:hAnsi="Myriad Pro"/>
          <w:sz w:val="26"/>
          <w:szCs w:val="26"/>
        </w:rPr>
        <w:t>»</w:t>
      </w:r>
      <w:r w:rsidRPr="00FB0A3A">
        <w:rPr>
          <w:rFonts w:ascii="Myriad Pro" w:hAnsi="Myriad Pro"/>
          <w:sz w:val="26"/>
          <w:szCs w:val="26"/>
        </w:rPr>
        <w:t xml:space="preserve"> </w:t>
      </w:r>
      <w:r w:rsidR="00655FFA" w:rsidRPr="00FB0A3A">
        <w:rPr>
          <w:rFonts w:ascii="Myriad Pro" w:hAnsi="Myriad Pro"/>
          <w:sz w:val="26"/>
          <w:szCs w:val="26"/>
        </w:rPr>
        <w:t>«</w:t>
      </w:r>
      <w:r w:rsidRPr="00FB0A3A">
        <w:rPr>
          <w:rFonts w:ascii="Myriad Pro" w:hAnsi="Myriad Pro"/>
          <w:sz w:val="26"/>
          <w:szCs w:val="26"/>
        </w:rPr>
        <w:t>Колэнерго</w:t>
      </w:r>
      <w:r w:rsidR="00655FFA" w:rsidRPr="00FB0A3A">
        <w:rPr>
          <w:rFonts w:ascii="Myriad Pro" w:hAnsi="Myriad Pro"/>
          <w:sz w:val="26"/>
          <w:szCs w:val="26"/>
        </w:rPr>
        <w:t>»</w:t>
      </w:r>
      <w:r w:rsidRPr="00FB0A3A">
        <w:rPr>
          <w:rFonts w:ascii="Myriad Pro" w:hAnsi="Myriad Pro"/>
          <w:sz w:val="26"/>
          <w:szCs w:val="26"/>
        </w:rPr>
        <w:t xml:space="preserve">, за последний истекший период </w:t>
      </w:r>
      <w:r w:rsidR="007708FC" w:rsidRPr="00FB0A3A">
        <w:rPr>
          <w:rFonts w:ascii="Myriad Pro" w:hAnsi="Myriad Pro"/>
          <w:sz w:val="26"/>
          <w:szCs w:val="26"/>
        </w:rPr>
        <w:t xml:space="preserve">по регулируемому виду деятельности </w:t>
      </w:r>
      <w:r w:rsidR="00164398" w:rsidRPr="00FB0A3A">
        <w:rPr>
          <w:rFonts w:ascii="Myriad Pro" w:hAnsi="Myriad Pro"/>
          <w:sz w:val="26"/>
          <w:szCs w:val="26"/>
        </w:rPr>
        <w:t>составила 32</w:t>
      </w:r>
      <w:r w:rsidR="007708FC" w:rsidRPr="00FB0A3A">
        <w:rPr>
          <w:rFonts w:ascii="Myriad Pro" w:hAnsi="Myriad Pro"/>
          <w:sz w:val="26"/>
          <w:szCs w:val="26"/>
        </w:rPr>
        <w:t xml:space="preserve"> 572,3 </w:t>
      </w:r>
      <w:r w:rsidRPr="00FB0A3A">
        <w:rPr>
          <w:rFonts w:ascii="Myriad Pro" w:hAnsi="Myriad Pro"/>
          <w:sz w:val="26"/>
          <w:szCs w:val="26"/>
        </w:rPr>
        <w:t xml:space="preserve">тыс. руб., которую Комитет в соответствии с п.20 Основ ценообразования должен был включить в НВВ 2019 года. </w:t>
      </w:r>
      <w:r w:rsidR="00392343" w:rsidRPr="00FB0A3A">
        <w:rPr>
          <w:rFonts w:ascii="Myriad Pro" w:hAnsi="Myriad Pro"/>
          <w:sz w:val="26"/>
          <w:szCs w:val="26"/>
        </w:rPr>
        <w:t xml:space="preserve">  </w:t>
      </w:r>
    </w:p>
    <w:p w14:paraId="561B5BBD" w14:textId="0502BA1D" w:rsidR="00E36689" w:rsidRPr="00FB0A3A" w:rsidRDefault="00E36689" w:rsidP="004202EB">
      <w:pPr>
        <w:pStyle w:val="afff4"/>
        <w:rPr>
          <w:lang w:val="ru-RU"/>
        </w:rPr>
      </w:pPr>
      <w:r w:rsidRPr="00FB0A3A">
        <w:rPr>
          <w:lang w:val="ru-RU"/>
        </w:rPr>
        <w:t xml:space="preserve">Комитет необоснованно занизил сумму расходов налога на прибыль на 2019 год </w:t>
      </w:r>
      <w:r w:rsidR="00164398" w:rsidRPr="00FB0A3A">
        <w:rPr>
          <w:lang w:val="ru-RU"/>
        </w:rPr>
        <w:t>на тыс.</w:t>
      </w:r>
      <w:r w:rsidRPr="00FB0A3A">
        <w:rPr>
          <w:lang w:val="ru-RU"/>
        </w:rPr>
        <w:t xml:space="preserve"> руб., включив сумму в размере 27 646,0 тыс. руб.</w:t>
      </w:r>
    </w:p>
    <w:tbl>
      <w:tblPr>
        <w:tblStyle w:val="afff6"/>
        <w:tblW w:w="5000" w:type="pct"/>
        <w:tblLayout w:type="fixed"/>
        <w:tblLook w:val="04A0" w:firstRow="1" w:lastRow="0" w:firstColumn="1" w:lastColumn="0" w:noHBand="0" w:noVBand="1"/>
      </w:tblPr>
      <w:tblGrid>
        <w:gridCol w:w="1882"/>
        <w:gridCol w:w="1355"/>
        <w:gridCol w:w="1501"/>
        <w:gridCol w:w="1500"/>
        <w:gridCol w:w="1553"/>
        <w:gridCol w:w="1553"/>
      </w:tblGrid>
      <w:tr w:rsidR="00E93491" w:rsidRPr="00FB0A3A" w14:paraId="61E2DC25" w14:textId="77777777" w:rsidTr="002267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3D93E31B" w14:textId="7E3E1D3D" w:rsidR="00E93491" w:rsidRPr="00FB0A3A" w:rsidRDefault="00A24035" w:rsidP="004202EB">
            <w:pPr>
              <w:tabs>
                <w:tab w:val="left" w:pos="1134"/>
              </w:tabs>
              <w:jc w:val="center"/>
              <w:rPr>
                <w:sz w:val="20"/>
                <w:szCs w:val="20"/>
              </w:rPr>
            </w:pPr>
            <w:r w:rsidRPr="00FB0A3A">
              <w:rPr>
                <w:rFonts w:eastAsia="Calibri" w:cs="Times New Roman"/>
                <w:sz w:val="26"/>
                <w:szCs w:val="26"/>
              </w:rPr>
              <w:t xml:space="preserve">  </w:t>
            </w:r>
            <w:r w:rsidR="00E93491" w:rsidRPr="00FB0A3A">
              <w:rPr>
                <w:sz w:val="20"/>
                <w:szCs w:val="20"/>
              </w:rPr>
              <w:t> Наименование статьи</w:t>
            </w:r>
          </w:p>
        </w:tc>
        <w:tc>
          <w:tcPr>
            <w:tcW w:w="13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6D7C69AF" w14:textId="77777777" w:rsidR="00E93491" w:rsidRPr="00FB0A3A" w:rsidRDefault="00E93491" w:rsidP="004202EB">
            <w:pPr>
              <w:tabs>
                <w:tab w:val="left" w:pos="1134"/>
              </w:tabs>
              <w:cnfStyle w:val="100000000000" w:firstRow="1" w:lastRow="0" w:firstColumn="0" w:lastColumn="0" w:oddVBand="0" w:evenVBand="0" w:oddHBand="0" w:evenHBand="0" w:firstRowFirstColumn="0" w:firstRowLastColumn="0" w:lastRowFirstColumn="0" w:lastRowLastColumn="0"/>
              <w:rPr>
                <w:sz w:val="20"/>
                <w:szCs w:val="20"/>
              </w:rPr>
            </w:pPr>
            <w:r w:rsidRPr="00FB0A3A">
              <w:rPr>
                <w:sz w:val="20"/>
                <w:szCs w:val="20"/>
              </w:rPr>
              <w:t>Заявлено Филиалом</w:t>
            </w:r>
          </w:p>
        </w:tc>
        <w:tc>
          <w:tcPr>
            <w:tcW w:w="15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8EF4779" w14:textId="77777777" w:rsidR="00E93491" w:rsidRPr="00FB0A3A" w:rsidRDefault="00E93491" w:rsidP="004202EB">
            <w:pPr>
              <w:tabs>
                <w:tab w:val="left" w:pos="1134"/>
              </w:tabs>
              <w:cnfStyle w:val="100000000000" w:firstRow="1" w:lastRow="0" w:firstColumn="0" w:lastColumn="0" w:oddVBand="0" w:evenVBand="0" w:oddHBand="0" w:evenHBand="0" w:firstRowFirstColumn="0" w:firstRowLastColumn="0" w:lastRowFirstColumn="0" w:lastRowLastColumn="0"/>
              <w:rPr>
                <w:sz w:val="20"/>
                <w:szCs w:val="20"/>
              </w:rPr>
            </w:pPr>
            <w:r w:rsidRPr="00FB0A3A">
              <w:rPr>
                <w:sz w:val="20"/>
                <w:szCs w:val="20"/>
              </w:rPr>
              <w:t>Рассчитано Комитетом (ЭОУ)</w:t>
            </w:r>
          </w:p>
        </w:tc>
        <w:tc>
          <w:tcPr>
            <w:tcW w:w="15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E95D22F" w14:textId="77777777" w:rsidR="00E93491" w:rsidRPr="00FB0A3A" w:rsidRDefault="00E93491" w:rsidP="004202EB">
            <w:pPr>
              <w:tabs>
                <w:tab w:val="left" w:pos="1134"/>
              </w:tabs>
              <w:cnfStyle w:val="100000000000" w:firstRow="1" w:lastRow="0" w:firstColumn="0" w:lastColumn="0" w:oddVBand="0" w:evenVBand="0" w:oddHBand="0" w:evenHBand="0" w:firstRowFirstColumn="0" w:firstRowLastColumn="0" w:lastRowFirstColumn="0" w:lastRowLastColumn="0"/>
              <w:rPr>
                <w:sz w:val="20"/>
                <w:szCs w:val="20"/>
              </w:rPr>
            </w:pPr>
            <w:r w:rsidRPr="00FB0A3A">
              <w:rPr>
                <w:sz w:val="20"/>
                <w:szCs w:val="20"/>
              </w:rPr>
              <w:t>Рассчитано Исполнителем (ЭОУ)</w:t>
            </w:r>
          </w:p>
        </w:tc>
        <w:tc>
          <w:tcPr>
            <w:tcW w:w="15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4AD3E21" w14:textId="77777777" w:rsidR="00E93491" w:rsidRPr="00FB0A3A" w:rsidRDefault="00E93491" w:rsidP="004202EB">
            <w:pPr>
              <w:tabs>
                <w:tab w:val="left" w:pos="1134"/>
              </w:tabs>
              <w:cnfStyle w:val="100000000000" w:firstRow="1" w:lastRow="0" w:firstColumn="0" w:lastColumn="0" w:oddVBand="0" w:evenVBand="0" w:oddHBand="0" w:evenHBand="0" w:firstRowFirstColumn="0" w:firstRowLastColumn="0" w:lastRowFirstColumn="0" w:lastRowLastColumn="0"/>
              <w:rPr>
                <w:sz w:val="20"/>
                <w:szCs w:val="20"/>
              </w:rPr>
            </w:pPr>
            <w:r w:rsidRPr="00FB0A3A">
              <w:rPr>
                <w:sz w:val="20"/>
                <w:szCs w:val="20"/>
              </w:rPr>
              <w:t>Отклонение  между Исполнителем и Комитетом</w:t>
            </w:r>
          </w:p>
        </w:tc>
        <w:tc>
          <w:tcPr>
            <w:tcW w:w="15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5351E95" w14:textId="77777777" w:rsidR="00E93491" w:rsidRPr="00FB0A3A" w:rsidRDefault="00E93491" w:rsidP="004202EB">
            <w:pPr>
              <w:tabs>
                <w:tab w:val="left" w:pos="1134"/>
              </w:tabs>
              <w:cnfStyle w:val="100000000000" w:firstRow="1" w:lastRow="0" w:firstColumn="0" w:lastColumn="0" w:oddVBand="0" w:evenVBand="0" w:oddHBand="0" w:evenHBand="0" w:firstRowFirstColumn="0" w:firstRowLastColumn="0" w:lastRowFirstColumn="0" w:lastRowLastColumn="0"/>
              <w:rPr>
                <w:sz w:val="20"/>
                <w:szCs w:val="20"/>
              </w:rPr>
            </w:pPr>
            <w:r w:rsidRPr="00FB0A3A">
              <w:rPr>
                <w:sz w:val="20"/>
                <w:szCs w:val="20"/>
              </w:rPr>
              <w:t>Отклонение  между Исполнителем и Филиалом</w:t>
            </w:r>
          </w:p>
        </w:tc>
      </w:tr>
      <w:tr w:rsidR="00E93491" w:rsidRPr="00FB0A3A" w14:paraId="381C1D0A" w14:textId="77777777" w:rsidTr="008A1FE3">
        <w:trPr>
          <w:trHeight w:val="450"/>
        </w:trPr>
        <w:tc>
          <w:tcPr>
            <w:cnfStyle w:val="001000000000" w:firstRow="0" w:lastRow="0" w:firstColumn="1" w:lastColumn="0" w:oddVBand="0" w:evenVBand="0" w:oddHBand="0" w:evenHBand="0" w:firstRowFirstColumn="0" w:firstRowLastColumn="0" w:lastRowFirstColumn="0" w:lastRowLastColumn="0"/>
            <w:tcW w:w="1910" w:type="dxa"/>
            <w:tcBorders>
              <w:top w:val="single" w:sz="4" w:space="0" w:color="FFFFFF" w:themeColor="background1"/>
            </w:tcBorders>
            <w:hideMark/>
          </w:tcPr>
          <w:p w14:paraId="5724631D" w14:textId="77777777" w:rsidR="00E93491" w:rsidRPr="00FB0A3A" w:rsidRDefault="00E93491" w:rsidP="004202EB">
            <w:pPr>
              <w:tabs>
                <w:tab w:val="left" w:pos="1134"/>
              </w:tabs>
              <w:rPr>
                <w:sz w:val="20"/>
                <w:szCs w:val="20"/>
              </w:rPr>
            </w:pPr>
            <w:r w:rsidRPr="00FB0A3A">
              <w:rPr>
                <w:sz w:val="20"/>
                <w:szCs w:val="20"/>
              </w:rPr>
              <w:t>Налог на прибыль</w:t>
            </w:r>
          </w:p>
        </w:tc>
        <w:tc>
          <w:tcPr>
            <w:tcW w:w="1375" w:type="dxa"/>
            <w:tcBorders>
              <w:top w:val="single" w:sz="4" w:space="0" w:color="FFFFFF" w:themeColor="background1"/>
            </w:tcBorders>
            <w:hideMark/>
          </w:tcPr>
          <w:p w14:paraId="29FB2A0D" w14:textId="77777777" w:rsidR="00E93491" w:rsidRPr="00FB0A3A" w:rsidRDefault="00E93491" w:rsidP="004202EB">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FB0A3A">
              <w:rPr>
                <w:sz w:val="20"/>
                <w:szCs w:val="20"/>
              </w:rPr>
              <w:t>37 038,73</w:t>
            </w:r>
          </w:p>
        </w:tc>
        <w:tc>
          <w:tcPr>
            <w:tcW w:w="1524" w:type="dxa"/>
            <w:tcBorders>
              <w:top w:val="single" w:sz="4" w:space="0" w:color="FFFFFF" w:themeColor="background1"/>
            </w:tcBorders>
            <w:hideMark/>
          </w:tcPr>
          <w:p w14:paraId="2388F863" w14:textId="77777777" w:rsidR="00E93491" w:rsidRPr="00FB0A3A" w:rsidRDefault="00E93491" w:rsidP="004202EB">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FB0A3A">
              <w:rPr>
                <w:sz w:val="20"/>
                <w:szCs w:val="20"/>
              </w:rPr>
              <w:t>27 646,00</w:t>
            </w:r>
          </w:p>
        </w:tc>
        <w:tc>
          <w:tcPr>
            <w:tcW w:w="1523" w:type="dxa"/>
            <w:tcBorders>
              <w:top w:val="single" w:sz="4" w:space="0" w:color="FFFFFF" w:themeColor="background1"/>
            </w:tcBorders>
            <w:hideMark/>
          </w:tcPr>
          <w:p w14:paraId="58ADA243" w14:textId="3FC859B3" w:rsidR="00E93491" w:rsidRPr="00FB0A3A" w:rsidRDefault="00E93491" w:rsidP="004202EB">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FB0A3A">
              <w:rPr>
                <w:sz w:val="20"/>
                <w:szCs w:val="20"/>
              </w:rPr>
              <w:t>3</w:t>
            </w:r>
            <w:r w:rsidR="007708FC" w:rsidRPr="00FB0A3A">
              <w:rPr>
                <w:sz w:val="20"/>
                <w:szCs w:val="20"/>
              </w:rPr>
              <w:t>2 572,3</w:t>
            </w:r>
          </w:p>
        </w:tc>
        <w:tc>
          <w:tcPr>
            <w:tcW w:w="1577" w:type="dxa"/>
            <w:tcBorders>
              <w:top w:val="single" w:sz="4" w:space="0" w:color="FFFFFF" w:themeColor="background1"/>
            </w:tcBorders>
            <w:hideMark/>
          </w:tcPr>
          <w:p w14:paraId="1836DC4E" w14:textId="0425F0DD" w:rsidR="00E93491" w:rsidRPr="00FB0A3A" w:rsidRDefault="007708FC" w:rsidP="004202EB">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FB0A3A">
              <w:rPr>
                <w:sz w:val="20"/>
                <w:szCs w:val="20"/>
              </w:rPr>
              <w:t>4 926,3</w:t>
            </w:r>
          </w:p>
        </w:tc>
        <w:tc>
          <w:tcPr>
            <w:tcW w:w="1577" w:type="dxa"/>
            <w:tcBorders>
              <w:top w:val="single" w:sz="4" w:space="0" w:color="FFFFFF" w:themeColor="background1"/>
            </w:tcBorders>
            <w:hideMark/>
          </w:tcPr>
          <w:p w14:paraId="0BAE4866" w14:textId="3E95F0AD" w:rsidR="00E93491" w:rsidRPr="00FB0A3A" w:rsidRDefault="00E93491" w:rsidP="004202EB">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FB0A3A">
              <w:rPr>
                <w:sz w:val="20"/>
                <w:szCs w:val="20"/>
              </w:rPr>
              <w:t>-</w:t>
            </w:r>
            <w:r w:rsidR="001669CA" w:rsidRPr="00FB0A3A">
              <w:rPr>
                <w:sz w:val="20"/>
                <w:szCs w:val="20"/>
              </w:rPr>
              <w:t>4 466,4</w:t>
            </w:r>
          </w:p>
        </w:tc>
      </w:tr>
    </w:tbl>
    <w:p w14:paraId="4BAA0154" w14:textId="63DCF2D6" w:rsidR="00987FDF" w:rsidRPr="00FB0A3A" w:rsidRDefault="00987FDF" w:rsidP="00A31747">
      <w:pPr>
        <w:tabs>
          <w:tab w:val="left" w:pos="1134"/>
        </w:tabs>
        <w:spacing w:after="0" w:line="360" w:lineRule="auto"/>
        <w:ind w:firstLine="567"/>
        <w:contextualSpacing/>
        <w:jc w:val="both"/>
        <w:rPr>
          <w:rFonts w:ascii="Myriad Pro" w:eastAsia="Calibri" w:hAnsi="Myriad Pro" w:cs="Times New Roman"/>
          <w:sz w:val="26"/>
          <w:szCs w:val="26"/>
        </w:rPr>
      </w:pPr>
    </w:p>
    <w:p w14:paraId="5B3362F0" w14:textId="77777777" w:rsidR="002F115E" w:rsidRDefault="002F115E" w:rsidP="002D6C17">
      <w:pPr>
        <w:pStyle w:val="3"/>
        <w:numPr>
          <w:ilvl w:val="1"/>
          <w:numId w:val="67"/>
        </w:numPr>
        <w:spacing w:line="360" w:lineRule="auto"/>
        <w:rPr>
          <w:rFonts w:ascii="Myriad Pro" w:hAnsi="Myriad Pro"/>
          <w:b/>
          <w:color w:val="4F6228" w:themeColor="accent3" w:themeShade="80"/>
          <w:sz w:val="28"/>
          <w:szCs w:val="28"/>
        </w:rPr>
        <w:sectPr w:rsidR="002F115E" w:rsidSect="00FB0A3A">
          <w:pgSz w:w="11906" w:h="16838"/>
          <w:pgMar w:top="1134" w:right="851" w:bottom="1134" w:left="1701" w:header="708" w:footer="708" w:gutter="0"/>
          <w:cols w:space="708"/>
          <w:docGrid w:linePitch="360"/>
        </w:sectPr>
      </w:pPr>
    </w:p>
    <w:p w14:paraId="3F115075" w14:textId="03D69C36" w:rsidR="00DE1C0B" w:rsidRPr="00297DA6" w:rsidRDefault="008E15A7" w:rsidP="002D6C17">
      <w:pPr>
        <w:pStyle w:val="3"/>
        <w:numPr>
          <w:ilvl w:val="1"/>
          <w:numId w:val="67"/>
        </w:numPr>
        <w:spacing w:line="360" w:lineRule="auto"/>
        <w:rPr>
          <w:rFonts w:ascii="Myriad Pro" w:hAnsi="Myriad Pro"/>
          <w:b/>
          <w:color w:val="4F6228" w:themeColor="accent3" w:themeShade="80"/>
          <w:sz w:val="28"/>
          <w:szCs w:val="28"/>
        </w:rPr>
      </w:pPr>
      <w:r>
        <w:rPr>
          <w:rFonts w:ascii="Myriad Pro" w:hAnsi="Myriad Pro"/>
          <w:b/>
          <w:color w:val="4F6228" w:themeColor="accent3" w:themeShade="80"/>
          <w:sz w:val="28"/>
          <w:szCs w:val="28"/>
        </w:rPr>
        <w:lastRenderedPageBreak/>
        <w:t xml:space="preserve"> </w:t>
      </w:r>
      <w:bookmarkStart w:id="61" w:name="_Toc40797970"/>
      <w:r w:rsidR="00B81C09" w:rsidRPr="00297DA6">
        <w:rPr>
          <w:rFonts w:ascii="Myriad Pro" w:hAnsi="Myriad Pro"/>
          <w:b/>
          <w:color w:val="4F6228" w:themeColor="accent3" w:themeShade="80"/>
          <w:sz w:val="28"/>
          <w:szCs w:val="28"/>
        </w:rPr>
        <w:t>Выпадающие доходы от льготного ТП (п. 87 Основ ценообразования)</w:t>
      </w:r>
      <w:bookmarkEnd w:id="61"/>
    </w:p>
    <w:p w14:paraId="6063D851" w14:textId="7B0F9F47" w:rsidR="00F51EB3" w:rsidRPr="00FB0A3A" w:rsidRDefault="000B006E"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Согласно</w:t>
      </w:r>
      <w:r w:rsidR="00F51EB3" w:rsidRPr="00FB0A3A">
        <w:rPr>
          <w:rFonts w:ascii="Myriad Pro" w:eastAsia="Calibri" w:hAnsi="Myriad Pro" w:cs="Times New Roman"/>
          <w:sz w:val="26"/>
          <w:szCs w:val="26"/>
        </w:rPr>
        <w:t xml:space="preserve"> </w:t>
      </w:r>
      <w:r w:rsidRPr="00FB0A3A">
        <w:rPr>
          <w:rFonts w:ascii="Myriad Pro" w:eastAsia="Calibri" w:hAnsi="Myriad Pro" w:cs="Times New Roman"/>
          <w:sz w:val="26"/>
          <w:szCs w:val="26"/>
        </w:rPr>
        <w:t>п. 87 Основ ценообразования р</w:t>
      </w:r>
      <w:r w:rsidR="00F51EB3" w:rsidRPr="00FB0A3A">
        <w:rPr>
          <w:rFonts w:ascii="Myriad Pro" w:eastAsia="Calibri" w:hAnsi="Myriad Pro" w:cs="Times New Roman"/>
          <w:sz w:val="26"/>
          <w:szCs w:val="26"/>
        </w:rPr>
        <w:t>асходы сетевой организации на выполнение организационно-технических мероп</w:t>
      </w:r>
      <w:r w:rsidRPr="00FB0A3A">
        <w:rPr>
          <w:rFonts w:ascii="Myriad Pro" w:eastAsia="Calibri" w:hAnsi="Myriad Pro" w:cs="Times New Roman"/>
          <w:sz w:val="26"/>
          <w:szCs w:val="26"/>
        </w:rPr>
        <w:t xml:space="preserve">риятий, указанных в подпунктах </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г</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 xml:space="preserve"> и </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д</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 xml:space="preserve"> пункта 7 и подпунктах </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а</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 xml:space="preserve"> и </w:t>
      </w:r>
      <w:r w:rsidR="00655FFA" w:rsidRPr="00FB0A3A">
        <w:rPr>
          <w:rFonts w:ascii="Myriad Pro" w:eastAsia="Calibri" w:hAnsi="Myriad Pro" w:cs="Times New Roman"/>
          <w:sz w:val="26"/>
          <w:szCs w:val="26"/>
        </w:rPr>
        <w:t>«</w:t>
      </w:r>
      <w:r w:rsidR="00F51EB3" w:rsidRPr="00FB0A3A">
        <w:rPr>
          <w:rFonts w:ascii="Myriad Pro" w:eastAsia="Calibri" w:hAnsi="Myriad Pro" w:cs="Times New Roman"/>
          <w:sz w:val="26"/>
          <w:szCs w:val="26"/>
        </w:rPr>
        <w:t>д</w:t>
      </w:r>
      <w:r w:rsidR="00655FFA" w:rsidRPr="00FB0A3A">
        <w:rPr>
          <w:rFonts w:ascii="Myriad Pro" w:eastAsia="Calibri" w:hAnsi="Myriad Pro" w:cs="Times New Roman"/>
          <w:sz w:val="26"/>
          <w:szCs w:val="26"/>
        </w:rPr>
        <w:t>»</w:t>
      </w:r>
      <w:r w:rsidR="00F51EB3" w:rsidRPr="00FB0A3A">
        <w:rPr>
          <w:rFonts w:ascii="Myriad Pro" w:eastAsia="Calibri" w:hAnsi="Myriad Pro" w:cs="Times New Roman"/>
          <w:sz w:val="26"/>
          <w:szCs w:val="26"/>
        </w:rPr>
        <w:t xml:space="preserve"> пункта 18 Правил технологического присоединения энергопринимающих устройств потребителей электрической энергии, объектов по производству электрической энергии, а также объектов электросетевого хозяйства, принадлежащих сетевым организациям и иным лицам, к электрическим сетям, расходы, связанные с технологическим присоединением энергопринимающих устройств, плата за которые устанавливается в соответствии с </w:t>
      </w:r>
      <w:r w:rsidR="008608F6" w:rsidRPr="00FB0A3A">
        <w:rPr>
          <w:rFonts w:ascii="Myriad Pro" w:eastAsia="Calibri" w:hAnsi="Myriad Pro" w:cs="Times New Roman"/>
          <w:sz w:val="26"/>
          <w:szCs w:val="26"/>
        </w:rPr>
        <w:t>Основами ценообразования № 1178</w:t>
      </w:r>
      <w:r w:rsidR="00F51EB3" w:rsidRPr="00FB0A3A">
        <w:rPr>
          <w:rFonts w:ascii="Myriad Pro" w:eastAsia="Calibri" w:hAnsi="Myriad Pro" w:cs="Times New Roman"/>
          <w:sz w:val="26"/>
          <w:szCs w:val="26"/>
        </w:rPr>
        <w:t xml:space="preserve"> в размере не более 550 рублей, расходы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связанные с осуществлением технологического присоединения к электрическим сетям энергопринимающих устройств максимальной мощностью не более чем 150 кВт, и расходы на выплату процентов по кредитным договорам, связанным с рассрочкой платежа за технологическое присоединение к электрическим сетям энергопринимающих устройств максимальной мощностью свыше 15 и до 150 кВт включительно, не включаемые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в состав платы за технологическое присоединение, составляют выпадающие доходы сетевой организации, связанные с технологическим присоединением к электрическим сетям.</w:t>
      </w:r>
    </w:p>
    <w:p w14:paraId="4290528A" w14:textId="3C4DA2C0" w:rsidR="000B006E" w:rsidRPr="00FB0A3A" w:rsidRDefault="000B006E"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Сетевая организация рассчитывает размер указанных выпадающих доходов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w:t>
      </w:r>
    </w:p>
    <w:p w14:paraId="096982F5" w14:textId="2DB57F06" w:rsidR="000B006E" w:rsidRPr="00FB0A3A" w:rsidRDefault="000B006E"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 xml:space="preserve">Регулирующий орган в своем решении по утверждению платы за технологическое присоединение отражает расходы сетевой организации, связанные с осуществлением технологического присоединения к электрическим </w:t>
      </w:r>
      <w:r w:rsidRPr="00FB0A3A">
        <w:rPr>
          <w:rFonts w:ascii="Myriad Pro" w:eastAsia="Calibri" w:hAnsi="Myriad Pro" w:cs="Times New Roman"/>
          <w:sz w:val="26"/>
          <w:szCs w:val="26"/>
        </w:rPr>
        <w:lastRenderedPageBreak/>
        <w:t>сетям, не включаемые в плату за технологическое присоединение. Размер указанных расходов включается в тариф на услуги по передаче электрической энергии в соответствии с методическими указаниями, предусмотренными пунктами 32 или 38 Основ ценообразования, начиная с периода регулирования, на который утверждается плата за технологическое присоединение, и отражается регулирующим органом в решении по утверждению цен (тарифов) на услуги по передаче электрической энергии.</w:t>
      </w:r>
    </w:p>
    <w:p w14:paraId="275BD5D3" w14:textId="1471F863" w:rsidR="000B006E" w:rsidRPr="00FB0A3A" w:rsidRDefault="000B006E"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 xml:space="preserve">Расходы на выплату процентов по кредитным договорам, связанным с рассрочкой платежа за технологическое присоединение энергопринимающих устройств, учитываются в тарифе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в фактическом объеме, но не выше ставки рефинансирования Центрального банка Российской Федерации, действовавшей на дату заключения кредитного договора, увеличенной на 2 процентных пункта. При применении метода доходности инвестированного капитала в тарифе на услуги по передаче электрической энергии в соответствии с методическими указаниями, предусмотренными пунктом 32 </w:t>
      </w:r>
      <w:r w:rsidR="008608F6" w:rsidRPr="00FB0A3A">
        <w:rPr>
          <w:rFonts w:ascii="Myriad Pro" w:eastAsia="Calibri" w:hAnsi="Myriad Pro" w:cs="Times New Roman"/>
          <w:sz w:val="26"/>
          <w:szCs w:val="26"/>
        </w:rPr>
        <w:t>Основ ценообразования № 1178</w:t>
      </w:r>
      <w:r w:rsidRPr="00FB0A3A">
        <w:rPr>
          <w:rFonts w:ascii="Myriad Pro" w:eastAsia="Calibri" w:hAnsi="Myriad Pro" w:cs="Times New Roman"/>
          <w:sz w:val="26"/>
          <w:szCs w:val="26"/>
        </w:rPr>
        <w:t>, учитывается размер превышения расходов на выплату процентов по кредитным договорам над величиной, равной произведению чистого оборотного капитала и нормы доходности инвестированного капитала, созданного после перехода к регулированию методом доходности инвестированного капитала.</w:t>
      </w:r>
    </w:p>
    <w:p w14:paraId="0FB1867D" w14:textId="77777777" w:rsidR="000B006E" w:rsidRPr="00FB0A3A" w:rsidRDefault="000B006E" w:rsidP="00A31747">
      <w:pPr>
        <w:tabs>
          <w:tab w:val="left" w:pos="1134"/>
        </w:tabs>
        <w:spacing w:after="0" w:line="360" w:lineRule="auto"/>
        <w:ind w:firstLine="567"/>
        <w:contextualSpacing/>
        <w:jc w:val="both"/>
        <w:rPr>
          <w:rFonts w:ascii="Myriad Pro" w:eastAsia="Calibri" w:hAnsi="Myriad Pro" w:cs="Times New Roman"/>
          <w:sz w:val="26"/>
          <w:szCs w:val="26"/>
        </w:rPr>
      </w:pPr>
    </w:p>
    <w:p w14:paraId="1494AF62" w14:textId="77777777" w:rsidR="00B81C09" w:rsidRPr="00FB0A3A" w:rsidRDefault="00B81C09" w:rsidP="004202EB">
      <w:pPr>
        <w:tabs>
          <w:tab w:val="left" w:pos="1134"/>
        </w:tabs>
        <w:spacing w:after="0" w:line="360" w:lineRule="auto"/>
        <w:contextualSpacing/>
        <w:jc w:val="both"/>
        <w:rPr>
          <w:rFonts w:ascii="Myriad Pro" w:eastAsia="Calibri" w:hAnsi="Myriad Pro" w:cs="Times New Roman"/>
          <w:b/>
          <w:sz w:val="26"/>
          <w:szCs w:val="26"/>
        </w:rPr>
      </w:pPr>
      <w:r w:rsidRPr="00FB0A3A">
        <w:rPr>
          <w:rFonts w:ascii="Myriad Pro" w:eastAsia="Calibri" w:hAnsi="Myriad Pro" w:cs="Times New Roman"/>
          <w:b/>
          <w:sz w:val="26"/>
          <w:szCs w:val="26"/>
        </w:rPr>
        <w:t>ПОЗИЦИЯ ТЕРРИТОРИАЛЬНОЙ СЕТЕВОЙ ОРГАНИЗАЦИИ</w:t>
      </w:r>
    </w:p>
    <w:p w14:paraId="7877D80B" w14:textId="0471051F" w:rsidR="00707EB2" w:rsidRPr="00FB0A3A" w:rsidRDefault="00707EB2" w:rsidP="00A31747">
      <w:pPr>
        <w:tabs>
          <w:tab w:val="left" w:pos="1134"/>
        </w:tabs>
        <w:spacing w:after="0" w:line="360" w:lineRule="auto"/>
        <w:ind w:firstLine="567"/>
        <w:contextualSpacing/>
        <w:jc w:val="both"/>
        <w:rPr>
          <w:rFonts w:ascii="Myriad Pro" w:hAnsi="Myriad Pro"/>
          <w:sz w:val="26"/>
          <w:szCs w:val="26"/>
        </w:rPr>
      </w:pPr>
      <w:r w:rsidRPr="00FB0A3A">
        <w:rPr>
          <w:rFonts w:ascii="Myriad Pro" w:hAnsi="Myriad Pro"/>
          <w:sz w:val="26"/>
          <w:szCs w:val="26"/>
        </w:rPr>
        <w:t>В пояснительной записке Филиала, приложенной к заявлению от 28.04.2018 №МР2/4/02/3129</w:t>
      </w:r>
      <w:r w:rsidR="007841B2" w:rsidRPr="00FB0A3A">
        <w:rPr>
          <w:rFonts w:ascii="Myriad Pro" w:hAnsi="Myriad Pro"/>
          <w:sz w:val="26"/>
          <w:szCs w:val="26"/>
        </w:rPr>
        <w:t>,</w:t>
      </w:r>
      <w:r w:rsidRPr="00FB0A3A">
        <w:rPr>
          <w:rFonts w:ascii="Myriad Pro" w:hAnsi="Myriad Pro"/>
          <w:sz w:val="26"/>
          <w:szCs w:val="26"/>
        </w:rPr>
        <w:t xml:space="preserve"> указано следующее пояснение.</w:t>
      </w:r>
    </w:p>
    <w:p w14:paraId="6E2A6BC9" w14:textId="23AA92AF" w:rsidR="00707EB2" w:rsidRPr="00FB0A3A" w:rsidRDefault="00707EB2" w:rsidP="00A31747">
      <w:pPr>
        <w:tabs>
          <w:tab w:val="left" w:pos="1134"/>
        </w:tabs>
        <w:spacing w:after="0" w:line="360" w:lineRule="auto"/>
        <w:ind w:firstLine="567"/>
        <w:contextualSpacing/>
        <w:jc w:val="both"/>
        <w:rPr>
          <w:rFonts w:ascii="Myriad Pro" w:hAnsi="Myriad Pro"/>
          <w:sz w:val="26"/>
          <w:szCs w:val="26"/>
        </w:rPr>
      </w:pPr>
      <w:r w:rsidRPr="00FB0A3A">
        <w:rPr>
          <w:rFonts w:ascii="Myriad Pro" w:hAnsi="Myriad Pro"/>
          <w:sz w:val="26"/>
          <w:szCs w:val="26"/>
        </w:rPr>
        <w:t xml:space="preserve">Расчет выпадающих доходов, произведенный на основании </w:t>
      </w:r>
      <w:r w:rsidR="00655FFA" w:rsidRPr="00FB0A3A">
        <w:rPr>
          <w:rFonts w:ascii="Myriad Pro" w:hAnsi="Myriad Pro"/>
          <w:sz w:val="26"/>
          <w:szCs w:val="26"/>
        </w:rPr>
        <w:t>«</w:t>
      </w:r>
      <w:r w:rsidRPr="00FB0A3A">
        <w:rPr>
          <w:rFonts w:ascii="Myriad Pro" w:hAnsi="Myriad Pro"/>
          <w:sz w:val="26"/>
          <w:szCs w:val="26"/>
        </w:rPr>
        <w:t>Методических указаний по определению выпадающих доходов, связанных с осуществлением технологического присоединения к электрическим сетям</w:t>
      </w:r>
      <w:r w:rsidR="00655FFA" w:rsidRPr="00FB0A3A">
        <w:rPr>
          <w:rFonts w:ascii="Myriad Pro" w:hAnsi="Myriad Pro"/>
          <w:sz w:val="26"/>
          <w:szCs w:val="26"/>
        </w:rPr>
        <w:t>»</w:t>
      </w:r>
      <w:r w:rsidRPr="00FB0A3A">
        <w:rPr>
          <w:rFonts w:ascii="Myriad Pro" w:hAnsi="Myriad Pro"/>
          <w:sz w:val="26"/>
          <w:szCs w:val="26"/>
        </w:rPr>
        <w:t xml:space="preserve">, утвержденных приказом ФСТ России от 11.09.2014 № 215-э/1, не отражает полного состава </w:t>
      </w:r>
      <w:r w:rsidRPr="00FB0A3A">
        <w:rPr>
          <w:rFonts w:ascii="Myriad Pro" w:hAnsi="Myriad Pro"/>
          <w:sz w:val="26"/>
          <w:szCs w:val="26"/>
        </w:rPr>
        <w:lastRenderedPageBreak/>
        <w:t xml:space="preserve">расходов по договорам технологического присоединения, некомпенсированных за счет платы за технологическое присоединение. </w:t>
      </w:r>
    </w:p>
    <w:p w14:paraId="6C75FB39" w14:textId="10522098" w:rsidR="00707EB2" w:rsidRPr="00FB0A3A" w:rsidRDefault="00707EB2" w:rsidP="00A31747">
      <w:pPr>
        <w:tabs>
          <w:tab w:val="left" w:pos="1134"/>
        </w:tabs>
        <w:spacing w:after="0" w:line="360" w:lineRule="auto"/>
        <w:ind w:firstLine="567"/>
        <w:contextualSpacing/>
        <w:jc w:val="both"/>
        <w:rPr>
          <w:rFonts w:ascii="Myriad Pro" w:hAnsi="Myriad Pro"/>
          <w:sz w:val="26"/>
          <w:szCs w:val="26"/>
        </w:rPr>
      </w:pPr>
      <w:r w:rsidRPr="00FB0A3A">
        <w:rPr>
          <w:rFonts w:ascii="Myriad Pro" w:hAnsi="Myriad Pro"/>
          <w:sz w:val="26"/>
          <w:szCs w:val="26"/>
        </w:rPr>
        <w:t xml:space="preserve">В соответствии с </w:t>
      </w:r>
      <w:hyperlink r:id="rId83" w:history="1">
        <w:r w:rsidRPr="00FB0A3A">
          <w:rPr>
            <w:rFonts w:ascii="Myriad Pro" w:hAnsi="Myriad Pro"/>
            <w:sz w:val="26"/>
            <w:szCs w:val="26"/>
          </w:rPr>
          <w:t>пунктами 32</w:t>
        </w:r>
      </w:hyperlink>
      <w:r w:rsidRPr="00FB0A3A">
        <w:rPr>
          <w:rFonts w:ascii="Myriad Pro" w:hAnsi="Myriad Pro"/>
          <w:sz w:val="26"/>
          <w:szCs w:val="26"/>
        </w:rPr>
        <w:t xml:space="preserve"> и </w:t>
      </w:r>
      <w:hyperlink r:id="rId84" w:history="1">
        <w:r w:rsidRPr="00FB0A3A">
          <w:rPr>
            <w:rFonts w:ascii="Myriad Pro" w:hAnsi="Myriad Pro"/>
            <w:sz w:val="26"/>
            <w:szCs w:val="26"/>
          </w:rPr>
          <w:t>38</w:t>
        </w:r>
      </w:hyperlink>
      <w:r w:rsidRPr="00FB0A3A">
        <w:rPr>
          <w:rFonts w:ascii="Myriad Pro" w:hAnsi="Myriad Pro"/>
          <w:sz w:val="26"/>
          <w:szCs w:val="26"/>
        </w:rPr>
        <w:t xml:space="preserve"> Основ ценообразования в области регулируемых цен (тарифов) в электроэнергетике, утвержденными постановлением Правительства Российской Федерации от 29.11.2011 N 1178 (далее - Основы ценообразования) при установлении тарифов на услуги по передаче электрической энергии учитываются фактические расходы из прибыли (направленные в том числе на погашение кредитов, привлеченных для осуществления регулируемой деятельности), признанных регулирующим органом экономически обоснованными, а также величина расходов на оплату технологического присоединения объектов электросетевого хозяйства к сетям смежной сетевой организации в размере, определенном исходя из утвержденной для такой смежной сетевой организации платы за технологическое присоединение.</w:t>
      </w:r>
    </w:p>
    <w:p w14:paraId="0DCCCB32" w14:textId="77777777" w:rsidR="00707EB2" w:rsidRPr="00FB0A3A" w:rsidRDefault="00707EB2" w:rsidP="00A31747">
      <w:pPr>
        <w:tabs>
          <w:tab w:val="left" w:pos="1134"/>
        </w:tabs>
        <w:spacing w:after="0" w:line="360" w:lineRule="auto"/>
        <w:ind w:firstLine="567"/>
        <w:contextualSpacing/>
        <w:jc w:val="both"/>
        <w:rPr>
          <w:rFonts w:ascii="Myriad Pro" w:hAnsi="Myriad Pro"/>
          <w:sz w:val="26"/>
          <w:szCs w:val="26"/>
        </w:rPr>
      </w:pPr>
      <w:r w:rsidRPr="00FB0A3A">
        <w:rPr>
          <w:rFonts w:ascii="Myriad Pro" w:hAnsi="Myriad Pro"/>
          <w:sz w:val="26"/>
          <w:szCs w:val="26"/>
        </w:rPr>
        <w:t>Учитывая вышеизложенное, Филиал включил в состав выпадающих доходов на 2019 год следующие расходы:</w:t>
      </w:r>
    </w:p>
    <w:p w14:paraId="522E3169" w14:textId="26E5C9FF" w:rsidR="00083F47" w:rsidRPr="00FB0A3A" w:rsidRDefault="00083F47" w:rsidP="009B0BC1">
      <w:pPr>
        <w:pStyle w:val="a4"/>
        <w:numPr>
          <w:ilvl w:val="0"/>
          <w:numId w:val="60"/>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Объем выпадающих доходов от предоставления льгот по технологическому присоединению заявителей от 0 до 15 кВт в размере 35 778,08 тыс. руб.;</w:t>
      </w:r>
    </w:p>
    <w:p w14:paraId="512A6BAD" w14:textId="7D558308" w:rsidR="00083F47" w:rsidRPr="00FB0A3A" w:rsidRDefault="00083F47" w:rsidP="009B0BC1">
      <w:pPr>
        <w:pStyle w:val="a4"/>
        <w:numPr>
          <w:ilvl w:val="0"/>
          <w:numId w:val="60"/>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Объём расходов, связанных с предоставлением беспроцентной рассрочки по заявителям от 15 до 150 кВт в размере 189,04 тыс. руб.;</w:t>
      </w:r>
    </w:p>
    <w:p w14:paraId="6371A037" w14:textId="6160E142" w:rsidR="00083F47" w:rsidRPr="00FB0A3A" w:rsidRDefault="00083F47" w:rsidP="009B0BC1">
      <w:pPr>
        <w:pStyle w:val="a4"/>
        <w:numPr>
          <w:ilvl w:val="0"/>
          <w:numId w:val="60"/>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 xml:space="preserve">Объём расходов по мероприятиям </w:t>
      </w:r>
      <w:r w:rsidR="00655FFA" w:rsidRPr="00FB0A3A">
        <w:rPr>
          <w:rFonts w:ascii="Myriad Pro" w:hAnsi="Myriad Pro"/>
          <w:sz w:val="26"/>
          <w:szCs w:val="26"/>
        </w:rPr>
        <w:t>«</w:t>
      </w:r>
      <w:r w:rsidRPr="00FB0A3A">
        <w:rPr>
          <w:rFonts w:ascii="Myriad Pro" w:hAnsi="Myriad Pro"/>
          <w:sz w:val="26"/>
          <w:szCs w:val="26"/>
        </w:rPr>
        <w:t>последней мили</w:t>
      </w:r>
      <w:r w:rsidR="00655FFA" w:rsidRPr="00FB0A3A">
        <w:rPr>
          <w:rFonts w:ascii="Myriad Pro" w:hAnsi="Myriad Pro"/>
          <w:sz w:val="26"/>
          <w:szCs w:val="26"/>
        </w:rPr>
        <w:t>»</w:t>
      </w:r>
      <w:r w:rsidRPr="00FB0A3A">
        <w:rPr>
          <w:rFonts w:ascii="Myriad Pro" w:hAnsi="Myriad Pro"/>
          <w:sz w:val="26"/>
          <w:szCs w:val="26"/>
        </w:rPr>
        <w:t>, связанный с осуществлением технологического присоединения энергопринимающих устройств максимальной мощностью до 150 кВт включительно в размере 8 320,30 тыс. руб.;</w:t>
      </w:r>
    </w:p>
    <w:p w14:paraId="191C4C0E" w14:textId="69E34B23" w:rsidR="00083F47" w:rsidRPr="00FB0A3A" w:rsidRDefault="00083F47" w:rsidP="009B0BC1">
      <w:pPr>
        <w:pStyle w:val="a4"/>
        <w:numPr>
          <w:ilvl w:val="0"/>
          <w:numId w:val="60"/>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Фактический объём расходов, некомпенсируемых за счет платы за ТП, в результате присоединения к ФСК, ТСО, ТГК за 2017 год составил 4 602,71тыс. руб.;</w:t>
      </w:r>
    </w:p>
    <w:p w14:paraId="765CAED8" w14:textId="052281E9" w:rsidR="004202EB" w:rsidRPr="00FB0A3A" w:rsidRDefault="004202EB" w:rsidP="009B0BC1">
      <w:pPr>
        <w:pStyle w:val="a4"/>
        <w:numPr>
          <w:ilvl w:val="0"/>
          <w:numId w:val="60"/>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Фактический объём доходов некомпенсируемых за счет платы за ТП в результате уплаты налога на прибыль в 2017 году составил 2 840,65 руб.</w:t>
      </w:r>
    </w:p>
    <w:p w14:paraId="5CAC945F" w14:textId="77777777" w:rsidR="004202EB" w:rsidRPr="00FB0A3A" w:rsidRDefault="004202EB" w:rsidP="004202EB">
      <w:pPr>
        <w:tabs>
          <w:tab w:val="left" w:pos="1134"/>
        </w:tabs>
        <w:spacing w:after="0" w:line="360" w:lineRule="auto"/>
        <w:ind w:firstLine="567"/>
        <w:contextualSpacing/>
        <w:jc w:val="both"/>
        <w:rPr>
          <w:rFonts w:ascii="Myriad Pro" w:hAnsi="Myriad Pro"/>
          <w:sz w:val="26"/>
          <w:szCs w:val="26"/>
        </w:rPr>
      </w:pPr>
      <w:r w:rsidRPr="00FB0A3A">
        <w:rPr>
          <w:rFonts w:ascii="Myriad Pro" w:hAnsi="Myriad Pro"/>
          <w:sz w:val="26"/>
          <w:szCs w:val="26"/>
        </w:rPr>
        <w:t xml:space="preserve">Итоговая сумма «выпадающих доходов» не компенсируемых за счет платы за технологическое присоединение составит 51 730,78 тыс. руб. </w:t>
      </w:r>
    </w:p>
    <w:p w14:paraId="63C4DCBF" w14:textId="77777777" w:rsidR="004202EB" w:rsidRPr="00FB0A3A" w:rsidRDefault="004202EB" w:rsidP="004202EB">
      <w:pPr>
        <w:tabs>
          <w:tab w:val="left" w:pos="1134"/>
        </w:tabs>
        <w:spacing w:after="0" w:line="360" w:lineRule="auto"/>
        <w:ind w:firstLine="567"/>
        <w:contextualSpacing/>
        <w:jc w:val="both"/>
        <w:rPr>
          <w:rFonts w:ascii="Myriad Pro" w:hAnsi="Myriad Pro"/>
          <w:sz w:val="26"/>
          <w:szCs w:val="26"/>
        </w:rPr>
      </w:pPr>
      <w:r w:rsidRPr="00FB0A3A">
        <w:rPr>
          <w:rFonts w:ascii="Myriad Pro" w:hAnsi="Myriad Pro"/>
          <w:sz w:val="26"/>
          <w:szCs w:val="26"/>
        </w:rPr>
        <w:lastRenderedPageBreak/>
        <w:t>Расчеты предоставлены в Приложении 3 с дополнительно обосновывающими расчетами.</w:t>
      </w:r>
    </w:p>
    <w:p w14:paraId="65EC9309" w14:textId="3BDF6B44" w:rsidR="004202EB" w:rsidRPr="00FB0A3A" w:rsidRDefault="004202EB" w:rsidP="004202EB">
      <w:pPr>
        <w:pStyle w:val="afff4"/>
        <w:rPr>
          <w:lang w:val="ru-RU"/>
        </w:rPr>
      </w:pPr>
      <w:r w:rsidRPr="00FB0A3A">
        <w:rPr>
          <w:lang w:val="ru-RU"/>
        </w:rPr>
        <w:t>Выпадающие доходы, связанные с осуществлением технологического присоединения к электрическим сетям филиала ПАО «МРСК Северо-Запада» «Колэнерго» на 2019 год</w:t>
      </w:r>
    </w:p>
    <w:tbl>
      <w:tblPr>
        <w:tblStyle w:val="afff6"/>
        <w:tblW w:w="5000" w:type="pct"/>
        <w:tblLayout w:type="fixed"/>
        <w:tblLook w:val="04A0" w:firstRow="1" w:lastRow="0" w:firstColumn="1" w:lastColumn="0" w:noHBand="0" w:noVBand="1"/>
      </w:tblPr>
      <w:tblGrid>
        <w:gridCol w:w="557"/>
        <w:gridCol w:w="6977"/>
        <w:gridCol w:w="1810"/>
      </w:tblGrid>
      <w:tr w:rsidR="00083F47" w:rsidRPr="00FB0A3A" w14:paraId="4CDCF1A3" w14:textId="77777777" w:rsidTr="002267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67E7F8D" w14:textId="77777777" w:rsidR="00083F47" w:rsidRPr="00FB0A3A" w:rsidRDefault="00083F47" w:rsidP="004202EB">
            <w:pPr>
              <w:tabs>
                <w:tab w:val="left" w:pos="1134"/>
              </w:tabs>
              <w:jc w:val="center"/>
            </w:pPr>
            <w:r w:rsidRPr="00FB0A3A">
              <w:t>№</w:t>
            </w:r>
            <w:r w:rsidRPr="00FB0A3A">
              <w:br/>
              <w:t>п/п</w:t>
            </w:r>
          </w:p>
        </w:tc>
        <w:tc>
          <w:tcPr>
            <w:tcW w:w="70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DF01871" w14:textId="77777777" w:rsidR="00083F47" w:rsidRPr="00FB0A3A" w:rsidRDefault="00083F47" w:rsidP="004202EB">
            <w:pPr>
              <w:tabs>
                <w:tab w:val="left" w:pos="1134"/>
              </w:tabs>
              <w:cnfStyle w:val="100000000000" w:firstRow="1" w:lastRow="0" w:firstColumn="0" w:lastColumn="0" w:oddVBand="0" w:evenVBand="0" w:oddHBand="0" w:evenHBand="0" w:firstRowFirstColumn="0" w:firstRowLastColumn="0" w:lastRowFirstColumn="0" w:lastRowLastColumn="0"/>
            </w:pPr>
            <w:r w:rsidRPr="00FB0A3A">
              <w:t>Наименование</w:t>
            </w:r>
          </w:p>
        </w:tc>
        <w:tc>
          <w:tcPr>
            <w:tcW w:w="18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EE6872F" w14:textId="1C03C233" w:rsidR="00083F47" w:rsidRPr="00FB0A3A" w:rsidRDefault="00083F47" w:rsidP="004202EB">
            <w:pPr>
              <w:tabs>
                <w:tab w:val="left" w:pos="1134"/>
              </w:tabs>
              <w:cnfStyle w:val="100000000000" w:firstRow="1" w:lastRow="0" w:firstColumn="0" w:lastColumn="0" w:oddVBand="0" w:evenVBand="0" w:oddHBand="0" w:evenHBand="0" w:firstRowFirstColumn="0" w:firstRowLastColumn="0" w:lastRowFirstColumn="0" w:lastRowLastColumn="0"/>
            </w:pPr>
            <w:r w:rsidRPr="00FB0A3A">
              <w:t xml:space="preserve">Сумма, </w:t>
            </w:r>
            <w:r w:rsidRPr="00FB0A3A">
              <w:br/>
              <w:t>тыс. руб. (без НДС)</w:t>
            </w:r>
          </w:p>
        </w:tc>
      </w:tr>
      <w:tr w:rsidR="004202EB" w:rsidRPr="00FB0A3A" w14:paraId="3FEEAC39" w14:textId="77777777" w:rsidTr="002267D7">
        <w:tc>
          <w:tcPr>
            <w:cnfStyle w:val="001000000000" w:firstRow="0" w:lastRow="0" w:firstColumn="1" w:lastColumn="0" w:oddVBand="0" w:evenVBand="0" w:oddHBand="0" w:evenHBand="0" w:firstRowFirstColumn="0" w:firstRowLastColumn="0" w:lastRowFirstColumn="0" w:lastRowLastColumn="0"/>
            <w:tcW w:w="7650" w:type="dxa"/>
            <w:gridSpan w:val="2"/>
            <w:tcBorders>
              <w:top w:val="single" w:sz="4" w:space="0" w:color="FFFFFF" w:themeColor="background1"/>
            </w:tcBorders>
            <w:hideMark/>
          </w:tcPr>
          <w:p w14:paraId="46563116" w14:textId="7F0F85CB" w:rsidR="004202EB" w:rsidRPr="00FB0A3A" w:rsidRDefault="004202EB" w:rsidP="004202EB">
            <w:pPr>
              <w:tabs>
                <w:tab w:val="left" w:pos="1134"/>
              </w:tabs>
              <w:ind w:left="306"/>
              <w:rPr>
                <w:b/>
              </w:rPr>
            </w:pPr>
            <w:r w:rsidRPr="00FB0A3A">
              <w:rPr>
                <w:b/>
              </w:rPr>
              <w:t>Выпадающие доходы, связанные с осуществлением технологического присоединения к электрическим сетям, всего,</w:t>
            </w:r>
            <w:r w:rsidRPr="00FB0A3A">
              <w:rPr>
                <w:b/>
              </w:rPr>
              <w:br/>
              <w:t>в том числе:</w:t>
            </w:r>
          </w:p>
        </w:tc>
        <w:tc>
          <w:tcPr>
            <w:tcW w:w="1836" w:type="dxa"/>
            <w:tcBorders>
              <w:top w:val="single" w:sz="4" w:space="0" w:color="FFFFFF" w:themeColor="background1"/>
            </w:tcBorders>
            <w:noWrap/>
            <w:hideMark/>
          </w:tcPr>
          <w:p w14:paraId="73A5EFD5" w14:textId="77777777" w:rsidR="004202EB" w:rsidRPr="00FB0A3A" w:rsidRDefault="004202EB" w:rsidP="004202EB">
            <w:pPr>
              <w:tabs>
                <w:tab w:val="left" w:pos="1134"/>
              </w:tabs>
              <w:cnfStyle w:val="000000000000" w:firstRow="0" w:lastRow="0" w:firstColumn="0" w:lastColumn="0" w:oddVBand="0" w:evenVBand="0" w:oddHBand="0" w:evenHBand="0" w:firstRowFirstColumn="0" w:firstRowLastColumn="0" w:lastRowFirstColumn="0" w:lastRowLastColumn="0"/>
              <w:rPr>
                <w:b/>
              </w:rPr>
            </w:pPr>
            <w:r w:rsidRPr="00FB0A3A">
              <w:rPr>
                <w:b/>
              </w:rPr>
              <w:t>51 730,78</w:t>
            </w:r>
          </w:p>
        </w:tc>
      </w:tr>
      <w:tr w:rsidR="00083F47" w:rsidRPr="00FB0A3A" w14:paraId="24B65C59" w14:textId="77777777" w:rsidTr="00EB2242">
        <w:tc>
          <w:tcPr>
            <w:cnfStyle w:val="001000000000" w:firstRow="0" w:lastRow="0" w:firstColumn="1" w:lastColumn="0" w:oddVBand="0" w:evenVBand="0" w:oddHBand="0" w:evenHBand="0" w:firstRowFirstColumn="0" w:firstRowLastColumn="0" w:lastRowFirstColumn="0" w:lastRowLastColumn="0"/>
            <w:tcW w:w="562" w:type="dxa"/>
            <w:hideMark/>
          </w:tcPr>
          <w:p w14:paraId="4251EBA3" w14:textId="77777777" w:rsidR="00083F47" w:rsidRPr="00FB0A3A" w:rsidRDefault="00083F47" w:rsidP="004202EB">
            <w:pPr>
              <w:tabs>
                <w:tab w:val="left" w:pos="1134"/>
              </w:tabs>
              <w:jc w:val="center"/>
            </w:pPr>
            <w:r w:rsidRPr="00FB0A3A">
              <w:t>1</w:t>
            </w:r>
          </w:p>
        </w:tc>
        <w:tc>
          <w:tcPr>
            <w:tcW w:w="7088" w:type="dxa"/>
            <w:hideMark/>
          </w:tcPr>
          <w:p w14:paraId="5BC99964" w14:textId="77777777" w:rsidR="00083F47" w:rsidRPr="00FB0A3A" w:rsidRDefault="00083F47" w:rsidP="004202EB">
            <w:pPr>
              <w:tabs>
                <w:tab w:val="left" w:pos="1134"/>
              </w:tabs>
              <w:jc w:val="left"/>
              <w:cnfStyle w:val="000000000000" w:firstRow="0" w:lastRow="0" w:firstColumn="0" w:lastColumn="0" w:oddVBand="0" w:evenVBand="0" w:oddHBand="0" w:evenHBand="0" w:firstRowFirstColumn="0" w:firstRowLastColumn="0" w:lastRowFirstColumn="0" w:lastRowLastColumn="0"/>
            </w:pPr>
            <w:r w:rsidRPr="00FB0A3A">
              <w:t>расходы, связанные с осуществлением технологического присоединения энергопринимающих устройств максимальной мощностью, не превышающей 15 кВт включительно, не включаемые в состав платы за технологическое присоединение</w:t>
            </w:r>
          </w:p>
        </w:tc>
        <w:tc>
          <w:tcPr>
            <w:tcW w:w="1836" w:type="dxa"/>
            <w:noWrap/>
            <w:hideMark/>
          </w:tcPr>
          <w:p w14:paraId="600E6E9D" w14:textId="77777777" w:rsidR="00083F47" w:rsidRPr="00FB0A3A" w:rsidRDefault="00083F47" w:rsidP="004202EB">
            <w:pPr>
              <w:tabs>
                <w:tab w:val="left" w:pos="1134"/>
              </w:tabs>
              <w:cnfStyle w:val="000000000000" w:firstRow="0" w:lastRow="0" w:firstColumn="0" w:lastColumn="0" w:oddVBand="0" w:evenVBand="0" w:oddHBand="0" w:evenHBand="0" w:firstRowFirstColumn="0" w:firstRowLastColumn="0" w:lastRowFirstColumn="0" w:lastRowLastColumn="0"/>
            </w:pPr>
            <w:r w:rsidRPr="00FB0A3A">
              <w:t>35 778,08</w:t>
            </w:r>
          </w:p>
        </w:tc>
      </w:tr>
      <w:tr w:rsidR="00083F47" w:rsidRPr="00FB0A3A" w14:paraId="2602DC84" w14:textId="77777777" w:rsidTr="00EB2242">
        <w:tc>
          <w:tcPr>
            <w:cnfStyle w:val="001000000000" w:firstRow="0" w:lastRow="0" w:firstColumn="1" w:lastColumn="0" w:oddVBand="0" w:evenVBand="0" w:oddHBand="0" w:evenHBand="0" w:firstRowFirstColumn="0" w:firstRowLastColumn="0" w:lastRowFirstColumn="0" w:lastRowLastColumn="0"/>
            <w:tcW w:w="562" w:type="dxa"/>
            <w:hideMark/>
          </w:tcPr>
          <w:p w14:paraId="0301779C" w14:textId="77777777" w:rsidR="00083F47" w:rsidRPr="00FB0A3A" w:rsidRDefault="00083F47" w:rsidP="004202EB">
            <w:pPr>
              <w:tabs>
                <w:tab w:val="left" w:pos="1134"/>
              </w:tabs>
              <w:jc w:val="center"/>
            </w:pPr>
            <w:r w:rsidRPr="00FB0A3A">
              <w:t>2</w:t>
            </w:r>
          </w:p>
        </w:tc>
        <w:tc>
          <w:tcPr>
            <w:tcW w:w="7088" w:type="dxa"/>
            <w:hideMark/>
          </w:tcPr>
          <w:p w14:paraId="6A5654C4" w14:textId="77777777" w:rsidR="00083F47" w:rsidRPr="00FB0A3A" w:rsidRDefault="00083F47" w:rsidP="004202EB">
            <w:pPr>
              <w:tabs>
                <w:tab w:val="left" w:pos="1134"/>
              </w:tabs>
              <w:jc w:val="left"/>
              <w:cnfStyle w:val="000000000000" w:firstRow="0" w:lastRow="0" w:firstColumn="0" w:lastColumn="0" w:oddVBand="0" w:evenVBand="0" w:oddHBand="0" w:evenHBand="0" w:firstRowFirstColumn="0" w:firstRowLastColumn="0" w:lastRowFirstColumn="0" w:lastRowLastColumn="0"/>
            </w:pPr>
            <w:r w:rsidRPr="00FB0A3A">
              <w:t>расходы на выплату процентов по кредитным договорам, связанным с рассрочкой по оплате технологического присоединения энергопринимающих устройств максимальной мощностью свыше 15 и до 150 кВт включительно (с учетом ранее присоединенной в данной точке присоединения энергопринимающих устройств), не включаемые в состав платы за технологическое присоединение</w:t>
            </w:r>
          </w:p>
        </w:tc>
        <w:tc>
          <w:tcPr>
            <w:tcW w:w="1836" w:type="dxa"/>
            <w:noWrap/>
            <w:hideMark/>
          </w:tcPr>
          <w:p w14:paraId="0CFECCC8" w14:textId="77777777" w:rsidR="00083F47" w:rsidRPr="00FB0A3A" w:rsidRDefault="00083F47" w:rsidP="004202EB">
            <w:pPr>
              <w:tabs>
                <w:tab w:val="left" w:pos="1134"/>
              </w:tabs>
              <w:cnfStyle w:val="000000000000" w:firstRow="0" w:lastRow="0" w:firstColumn="0" w:lastColumn="0" w:oddVBand="0" w:evenVBand="0" w:oddHBand="0" w:evenHBand="0" w:firstRowFirstColumn="0" w:firstRowLastColumn="0" w:lastRowFirstColumn="0" w:lastRowLastColumn="0"/>
            </w:pPr>
            <w:r w:rsidRPr="00FB0A3A">
              <w:t>189,04</w:t>
            </w:r>
          </w:p>
        </w:tc>
      </w:tr>
      <w:tr w:rsidR="00083F47" w:rsidRPr="00FB0A3A" w14:paraId="174434D3" w14:textId="77777777" w:rsidTr="00EB2242">
        <w:tc>
          <w:tcPr>
            <w:cnfStyle w:val="001000000000" w:firstRow="0" w:lastRow="0" w:firstColumn="1" w:lastColumn="0" w:oddVBand="0" w:evenVBand="0" w:oddHBand="0" w:evenHBand="0" w:firstRowFirstColumn="0" w:firstRowLastColumn="0" w:lastRowFirstColumn="0" w:lastRowLastColumn="0"/>
            <w:tcW w:w="562" w:type="dxa"/>
            <w:hideMark/>
          </w:tcPr>
          <w:p w14:paraId="56D26ED8" w14:textId="77777777" w:rsidR="00083F47" w:rsidRPr="00FB0A3A" w:rsidRDefault="00083F47" w:rsidP="004202EB">
            <w:pPr>
              <w:tabs>
                <w:tab w:val="left" w:pos="1134"/>
              </w:tabs>
              <w:jc w:val="center"/>
            </w:pPr>
            <w:r w:rsidRPr="00FB0A3A">
              <w:t>3</w:t>
            </w:r>
          </w:p>
        </w:tc>
        <w:tc>
          <w:tcPr>
            <w:tcW w:w="7088" w:type="dxa"/>
            <w:hideMark/>
          </w:tcPr>
          <w:p w14:paraId="61F34BD4" w14:textId="68B47F8F" w:rsidR="00083F47" w:rsidRPr="00FB0A3A" w:rsidRDefault="00083F47" w:rsidP="004202EB">
            <w:pPr>
              <w:tabs>
                <w:tab w:val="left" w:pos="1134"/>
              </w:tabs>
              <w:jc w:val="left"/>
              <w:cnfStyle w:val="000000000000" w:firstRow="0" w:lastRow="0" w:firstColumn="0" w:lastColumn="0" w:oddVBand="0" w:evenVBand="0" w:oddHBand="0" w:evenHBand="0" w:firstRowFirstColumn="0" w:firstRowLastColumn="0" w:lastRowFirstColumn="0" w:lastRowLastColumn="0"/>
            </w:pPr>
            <w:r w:rsidRPr="00FB0A3A">
              <w:t xml:space="preserve">расходы по мероприятиям </w:t>
            </w:r>
            <w:r w:rsidR="00655FFA" w:rsidRPr="00FB0A3A">
              <w:t>«</w:t>
            </w:r>
            <w:r w:rsidRPr="00FB0A3A">
              <w:t>последней мили</w:t>
            </w:r>
            <w:r w:rsidR="00655FFA" w:rsidRPr="00FB0A3A">
              <w:t>»</w:t>
            </w:r>
            <w:r w:rsidRPr="00FB0A3A">
              <w:t>, связанные с осуществлением технологического присоединения энергопринимающих устройств максимальной мощностью до 150 кВт включительно, не включаемые в состав платы за технологическое присоединение</w:t>
            </w:r>
          </w:p>
        </w:tc>
        <w:tc>
          <w:tcPr>
            <w:tcW w:w="1836" w:type="dxa"/>
            <w:noWrap/>
            <w:hideMark/>
          </w:tcPr>
          <w:p w14:paraId="4DB0EB6B" w14:textId="77777777" w:rsidR="00083F47" w:rsidRPr="00FB0A3A" w:rsidRDefault="00083F47" w:rsidP="004202EB">
            <w:pPr>
              <w:tabs>
                <w:tab w:val="left" w:pos="1134"/>
              </w:tabs>
              <w:cnfStyle w:val="000000000000" w:firstRow="0" w:lastRow="0" w:firstColumn="0" w:lastColumn="0" w:oddVBand="0" w:evenVBand="0" w:oddHBand="0" w:evenHBand="0" w:firstRowFirstColumn="0" w:firstRowLastColumn="0" w:lastRowFirstColumn="0" w:lastRowLastColumn="0"/>
            </w:pPr>
            <w:r w:rsidRPr="00FB0A3A">
              <w:t>8 320,30</w:t>
            </w:r>
          </w:p>
        </w:tc>
      </w:tr>
      <w:tr w:rsidR="00083F47" w:rsidRPr="00FB0A3A" w14:paraId="432D7AD1" w14:textId="77777777" w:rsidTr="00EB2242">
        <w:tc>
          <w:tcPr>
            <w:cnfStyle w:val="001000000000" w:firstRow="0" w:lastRow="0" w:firstColumn="1" w:lastColumn="0" w:oddVBand="0" w:evenVBand="0" w:oddHBand="0" w:evenHBand="0" w:firstRowFirstColumn="0" w:firstRowLastColumn="0" w:lastRowFirstColumn="0" w:lastRowLastColumn="0"/>
            <w:tcW w:w="562" w:type="dxa"/>
            <w:hideMark/>
          </w:tcPr>
          <w:p w14:paraId="2EAB4B09" w14:textId="77777777" w:rsidR="00083F47" w:rsidRPr="00FB0A3A" w:rsidRDefault="00083F47" w:rsidP="004202EB">
            <w:pPr>
              <w:tabs>
                <w:tab w:val="left" w:pos="1134"/>
              </w:tabs>
              <w:jc w:val="center"/>
            </w:pPr>
            <w:r w:rsidRPr="00FB0A3A">
              <w:t>4</w:t>
            </w:r>
          </w:p>
        </w:tc>
        <w:tc>
          <w:tcPr>
            <w:tcW w:w="7088" w:type="dxa"/>
            <w:hideMark/>
          </w:tcPr>
          <w:p w14:paraId="7C6A5D93" w14:textId="77777777" w:rsidR="00083F47" w:rsidRPr="00FB0A3A" w:rsidRDefault="00083F47" w:rsidP="004202EB">
            <w:pPr>
              <w:tabs>
                <w:tab w:val="left" w:pos="1134"/>
              </w:tabs>
              <w:jc w:val="left"/>
              <w:cnfStyle w:val="000000000000" w:firstRow="0" w:lastRow="0" w:firstColumn="0" w:lastColumn="0" w:oddVBand="0" w:evenVBand="0" w:oddHBand="0" w:evenHBand="0" w:firstRowFirstColumn="0" w:firstRowLastColumn="0" w:lastRowFirstColumn="0" w:lastRowLastColumn="0"/>
            </w:pPr>
            <w:r w:rsidRPr="00FB0A3A">
              <w:t>Объём расходов, некомпенсируемых за счет платы за ТП, в результате присоединения к ФСК, ТСО, ТГК</w:t>
            </w:r>
          </w:p>
        </w:tc>
        <w:tc>
          <w:tcPr>
            <w:tcW w:w="1836" w:type="dxa"/>
            <w:noWrap/>
            <w:hideMark/>
          </w:tcPr>
          <w:p w14:paraId="1794D148" w14:textId="77777777" w:rsidR="00083F47" w:rsidRPr="00FB0A3A" w:rsidRDefault="00083F47" w:rsidP="004202EB">
            <w:pPr>
              <w:tabs>
                <w:tab w:val="left" w:pos="1134"/>
              </w:tabs>
              <w:cnfStyle w:val="000000000000" w:firstRow="0" w:lastRow="0" w:firstColumn="0" w:lastColumn="0" w:oddVBand="0" w:evenVBand="0" w:oddHBand="0" w:evenHBand="0" w:firstRowFirstColumn="0" w:firstRowLastColumn="0" w:lastRowFirstColumn="0" w:lastRowLastColumn="0"/>
            </w:pPr>
            <w:r w:rsidRPr="00FB0A3A">
              <w:t>4 602,71</w:t>
            </w:r>
          </w:p>
        </w:tc>
      </w:tr>
      <w:tr w:rsidR="00083F47" w:rsidRPr="00FB0A3A" w14:paraId="2B4542A9" w14:textId="77777777" w:rsidTr="00EB2242">
        <w:tc>
          <w:tcPr>
            <w:cnfStyle w:val="001000000000" w:firstRow="0" w:lastRow="0" w:firstColumn="1" w:lastColumn="0" w:oddVBand="0" w:evenVBand="0" w:oddHBand="0" w:evenHBand="0" w:firstRowFirstColumn="0" w:firstRowLastColumn="0" w:lastRowFirstColumn="0" w:lastRowLastColumn="0"/>
            <w:tcW w:w="562" w:type="dxa"/>
            <w:hideMark/>
          </w:tcPr>
          <w:p w14:paraId="42CD7E97" w14:textId="77777777" w:rsidR="00083F47" w:rsidRPr="00FB0A3A" w:rsidRDefault="00083F47" w:rsidP="004202EB">
            <w:pPr>
              <w:tabs>
                <w:tab w:val="left" w:pos="1134"/>
              </w:tabs>
              <w:jc w:val="center"/>
            </w:pPr>
            <w:r w:rsidRPr="00FB0A3A">
              <w:t>5</w:t>
            </w:r>
          </w:p>
        </w:tc>
        <w:tc>
          <w:tcPr>
            <w:tcW w:w="7088" w:type="dxa"/>
            <w:hideMark/>
          </w:tcPr>
          <w:p w14:paraId="607E3873" w14:textId="77777777" w:rsidR="00083F47" w:rsidRPr="00FB0A3A" w:rsidRDefault="00083F47" w:rsidP="004202EB">
            <w:pPr>
              <w:tabs>
                <w:tab w:val="left" w:pos="1134"/>
              </w:tabs>
              <w:jc w:val="left"/>
              <w:cnfStyle w:val="000000000000" w:firstRow="0" w:lastRow="0" w:firstColumn="0" w:lastColumn="0" w:oddVBand="0" w:evenVBand="0" w:oddHBand="0" w:evenHBand="0" w:firstRowFirstColumn="0" w:firstRowLastColumn="0" w:lastRowFirstColumn="0" w:lastRowLastColumn="0"/>
            </w:pPr>
            <w:r w:rsidRPr="00FB0A3A">
              <w:t>Объём доходов некомпенсируемых за счет платы за ТП в результате уплаты налога на прибыль в 2017 году</w:t>
            </w:r>
          </w:p>
        </w:tc>
        <w:tc>
          <w:tcPr>
            <w:tcW w:w="1836" w:type="dxa"/>
            <w:noWrap/>
            <w:hideMark/>
          </w:tcPr>
          <w:p w14:paraId="65488C8F" w14:textId="77777777" w:rsidR="00083F47" w:rsidRPr="00FB0A3A" w:rsidRDefault="00083F47" w:rsidP="004202EB">
            <w:pPr>
              <w:tabs>
                <w:tab w:val="left" w:pos="1134"/>
              </w:tabs>
              <w:cnfStyle w:val="000000000000" w:firstRow="0" w:lastRow="0" w:firstColumn="0" w:lastColumn="0" w:oddVBand="0" w:evenVBand="0" w:oddHBand="0" w:evenHBand="0" w:firstRowFirstColumn="0" w:firstRowLastColumn="0" w:lastRowFirstColumn="0" w:lastRowLastColumn="0"/>
            </w:pPr>
            <w:r w:rsidRPr="00FB0A3A">
              <w:t>2 840,65</w:t>
            </w:r>
          </w:p>
        </w:tc>
      </w:tr>
    </w:tbl>
    <w:p w14:paraId="3CCC0936" w14:textId="08E47F5C" w:rsidR="00165C62" w:rsidRPr="00FB0A3A" w:rsidRDefault="00165C62" w:rsidP="004202EB">
      <w:pPr>
        <w:pStyle w:val="afff7"/>
      </w:pPr>
      <w:r w:rsidRPr="00FB0A3A">
        <w:t>Письмом от 20.11.2018 исх.№МР2/4/02-02/9210 филиал направил в Комитет по тарифному регулированию Мурманской области уточнение.</w:t>
      </w:r>
    </w:p>
    <w:p w14:paraId="59A53FC3" w14:textId="169DF7C7" w:rsidR="008B1242" w:rsidRPr="00FB0A3A" w:rsidRDefault="008B1242"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 xml:space="preserve">В подтверждение заявленной величины выпадающих доходов филиала </w:t>
      </w:r>
      <w:r w:rsidR="00655FFA" w:rsidRPr="00FB0A3A">
        <w:rPr>
          <w:rFonts w:ascii="Myriad Pro" w:eastAsia="Calibri" w:hAnsi="Myriad Pro" w:cs="Times New Roman"/>
          <w:sz w:val="26"/>
          <w:szCs w:val="26"/>
        </w:rPr>
        <w:t>ПАО</w:t>
      </w:r>
      <w:r w:rsidR="009808E8">
        <w:rPr>
          <w:rFonts w:ascii="Myriad Pro" w:eastAsia="Calibri" w:hAnsi="Myriad Pro" w:cs="Times New Roman"/>
          <w:sz w:val="26"/>
          <w:szCs w:val="26"/>
        </w:rPr>
        <w:t> </w:t>
      </w:r>
      <w:r w:rsidR="00655FFA" w:rsidRPr="00FB0A3A">
        <w:rPr>
          <w:rFonts w:ascii="Myriad Pro" w:eastAsia="Calibri" w:hAnsi="Myriad Pro" w:cs="Times New Roman"/>
          <w:sz w:val="26"/>
          <w:szCs w:val="26"/>
        </w:rPr>
        <w:t xml:space="preserve">«МРСК </w:t>
      </w:r>
      <w:r w:rsidRPr="00FB0A3A">
        <w:rPr>
          <w:rFonts w:ascii="Myriad Pro" w:eastAsia="Calibri" w:hAnsi="Myriad Pro" w:cs="Times New Roman"/>
          <w:sz w:val="26"/>
          <w:szCs w:val="26"/>
        </w:rPr>
        <w:t>Северо-Запада</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 xml:space="preserve"> </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Колэнерго</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 xml:space="preserve"> представлены:</w:t>
      </w:r>
    </w:p>
    <w:p w14:paraId="75ABD6EC" w14:textId="0A45EDC6" w:rsidR="008B1242" w:rsidRPr="00FB0A3A" w:rsidRDefault="008B1242"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Пояснительная записка;</w:t>
      </w:r>
    </w:p>
    <w:p w14:paraId="79F8FB6A" w14:textId="77777777" w:rsidR="008B1242" w:rsidRPr="00FB0A3A" w:rsidRDefault="008B1242"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Расчет выпадающих доходов в соответствии Методическими указаниями по определению выпадающих доходов, связанных с осуществлением технологического присоединения к электрическим сетям, утвержденных Приказом ФСТ России от 11.09.2014 № 215-э/1;</w:t>
      </w:r>
    </w:p>
    <w:p w14:paraId="5FD207BE" w14:textId="77777777" w:rsidR="008B1242" w:rsidRPr="00FB0A3A" w:rsidRDefault="008B1242"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Расчет расходов, некомпенсируемых за счет платы за технологическое присоединение по договорам на технологическое присоединение, планируемые к включению в тариф на услуги по передаче электрической энергии;</w:t>
      </w:r>
    </w:p>
    <w:p w14:paraId="177FF624" w14:textId="77777777" w:rsidR="008B1242" w:rsidRPr="00FB0A3A" w:rsidRDefault="008B1242"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lastRenderedPageBreak/>
        <w:t>Расчет размера расходов, связанные с осуществлением технологического присоединения энергопринимающих устройств максимальной мощностью, не превышающей 15 кВт включительно;</w:t>
      </w:r>
    </w:p>
    <w:p w14:paraId="23128F0F" w14:textId="77777777" w:rsidR="008B1242" w:rsidRPr="00FB0A3A" w:rsidRDefault="008B1242"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 xml:space="preserve"> Расчет размера расходов, связанные с осуществлением технологического присоединения энергопринимающих устройств максимальной мощностью 150 кВт включительно, не включенных в состав платы за технологическое присоединение;</w:t>
      </w:r>
    </w:p>
    <w:p w14:paraId="37BF8C3A" w14:textId="6A41C975" w:rsidR="008B1242" w:rsidRPr="00FB0A3A" w:rsidRDefault="008B1242"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 xml:space="preserve">Расчет размера расходов, связанных с предоставлением рассрочки. </w:t>
      </w:r>
    </w:p>
    <w:p w14:paraId="78DA6ED5" w14:textId="68002F3D" w:rsidR="008B1242" w:rsidRPr="00FB0A3A" w:rsidRDefault="008B1242"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Расходы на строительство введенных в эксплуатацию объектов электросетевого хозяйства для целей технологического присоединения и для целей реализации иных мероприятий инвестиционной программы территориальной сетевой организации на территории городских и сельских населенных пунктов за 2015-2017 годы;</w:t>
      </w:r>
    </w:p>
    <w:p w14:paraId="6A21187D" w14:textId="26487766" w:rsidR="008B1242" w:rsidRPr="00FB0A3A" w:rsidRDefault="008B1242"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 xml:space="preserve">Расходы на выполнение мероприятий по технологическому присоединению, предусмотренным подпунктами </w:t>
      </w:r>
      <w:r w:rsidR="00655FFA" w:rsidRPr="00FB0A3A">
        <w:rPr>
          <w:rFonts w:ascii="Myriad Pro" w:hAnsi="Myriad Pro"/>
          <w:sz w:val="26"/>
          <w:szCs w:val="26"/>
        </w:rPr>
        <w:t>«</w:t>
      </w:r>
      <w:r w:rsidRPr="00FB0A3A">
        <w:rPr>
          <w:rFonts w:ascii="Myriad Pro" w:hAnsi="Myriad Pro"/>
          <w:sz w:val="26"/>
          <w:szCs w:val="26"/>
        </w:rPr>
        <w:t>а</w:t>
      </w:r>
      <w:r w:rsidR="00655FFA" w:rsidRPr="00FB0A3A">
        <w:rPr>
          <w:rFonts w:ascii="Myriad Pro" w:hAnsi="Myriad Pro"/>
          <w:sz w:val="26"/>
          <w:szCs w:val="26"/>
        </w:rPr>
        <w:t>»</w:t>
      </w:r>
      <w:r w:rsidRPr="00FB0A3A">
        <w:rPr>
          <w:rFonts w:ascii="Myriad Pro" w:hAnsi="Myriad Pro"/>
          <w:sz w:val="26"/>
          <w:szCs w:val="26"/>
        </w:rPr>
        <w:t xml:space="preserve"> и </w:t>
      </w:r>
      <w:r w:rsidR="00655FFA" w:rsidRPr="00FB0A3A">
        <w:rPr>
          <w:rFonts w:ascii="Myriad Pro" w:hAnsi="Myriad Pro"/>
          <w:sz w:val="26"/>
          <w:szCs w:val="26"/>
        </w:rPr>
        <w:t>«</w:t>
      </w:r>
      <w:r w:rsidRPr="00FB0A3A">
        <w:rPr>
          <w:rFonts w:ascii="Myriad Pro" w:hAnsi="Myriad Pro"/>
          <w:sz w:val="26"/>
          <w:szCs w:val="26"/>
        </w:rPr>
        <w:t>в</w:t>
      </w:r>
      <w:r w:rsidR="00655FFA" w:rsidRPr="00FB0A3A">
        <w:rPr>
          <w:rFonts w:ascii="Myriad Pro" w:hAnsi="Myriad Pro"/>
          <w:sz w:val="26"/>
          <w:szCs w:val="26"/>
        </w:rPr>
        <w:t>»</w:t>
      </w:r>
      <w:r w:rsidRPr="00FB0A3A">
        <w:rPr>
          <w:rFonts w:ascii="Myriad Pro" w:hAnsi="Myriad Pro"/>
          <w:sz w:val="26"/>
          <w:szCs w:val="26"/>
        </w:rPr>
        <w:t xml:space="preserve"> пункта 16 Методических указаний за 2015-2017 гг.;</w:t>
      </w:r>
    </w:p>
    <w:p w14:paraId="2D9E8B77" w14:textId="4B2F11E1" w:rsidR="008B1242" w:rsidRPr="00FB0A3A" w:rsidRDefault="008B1242"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Информация о количестве заключенных и исполненных договоров на технологическое присоединение (включая временное) за период 2015-2017 гг.;</w:t>
      </w:r>
    </w:p>
    <w:p w14:paraId="67CDCC83" w14:textId="5C561C6D" w:rsidR="008B1242" w:rsidRPr="00FB0A3A" w:rsidRDefault="008B1242"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Расчет фактических расходов на выполнение мероприятий по технологическому присоединению, не связанных со строительством объектов электросетевого хозяйства за период 2015-2017 гг.;</w:t>
      </w:r>
    </w:p>
    <w:p w14:paraId="6E8D6B2B" w14:textId="13DFDCC6" w:rsidR="008B1242" w:rsidRPr="00FB0A3A" w:rsidRDefault="008B1242"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 xml:space="preserve">Сведения о строительстве линий электропередачи при технологическом присоединении энергопринимающих устройств максимальной мощностью менее 8 900 кВт и на уровне напряжения ниже 35 кВ на территории городских </w:t>
      </w:r>
      <w:r w:rsidR="00684618" w:rsidRPr="00FB0A3A">
        <w:rPr>
          <w:rFonts w:ascii="Myriad Pro" w:hAnsi="Myriad Pro"/>
          <w:sz w:val="26"/>
          <w:szCs w:val="26"/>
        </w:rPr>
        <w:t xml:space="preserve">и сельских </w:t>
      </w:r>
      <w:r w:rsidRPr="00FB0A3A">
        <w:rPr>
          <w:rFonts w:ascii="Myriad Pro" w:hAnsi="Myriad Pro"/>
          <w:sz w:val="26"/>
          <w:szCs w:val="26"/>
        </w:rPr>
        <w:t>населенных пунктов за 2015-2017 годы</w:t>
      </w:r>
      <w:r w:rsidR="00684618" w:rsidRPr="00FB0A3A">
        <w:rPr>
          <w:rFonts w:ascii="Myriad Pro" w:hAnsi="Myriad Pro"/>
          <w:sz w:val="26"/>
          <w:szCs w:val="26"/>
        </w:rPr>
        <w:t>;</w:t>
      </w:r>
    </w:p>
    <w:p w14:paraId="21556B51" w14:textId="5C5DF1F8" w:rsidR="00684618" w:rsidRPr="00FB0A3A" w:rsidRDefault="00684618"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Сведения о строительстве введенных в эксплуатацию объектов электросетевого хозяйства для целей технологического присоединения и по договорам на технологическое присоединение по льготным категориям заявителей до 15 кВт за 2015-2017 гг.;</w:t>
      </w:r>
    </w:p>
    <w:p w14:paraId="1B18A996" w14:textId="3B745B55" w:rsidR="00684618" w:rsidRPr="00FB0A3A" w:rsidRDefault="00684618" w:rsidP="009B0BC1">
      <w:pPr>
        <w:pStyle w:val="a4"/>
        <w:numPr>
          <w:ilvl w:val="0"/>
          <w:numId w:val="6"/>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Расчет средних значений за 3 года по льготной категории заявителей максимальной мощностью, не превышающей 15 кВт включительно;</w:t>
      </w:r>
    </w:p>
    <w:p w14:paraId="0A74C8E2" w14:textId="16BF686A" w:rsidR="00B81C09" w:rsidRPr="00FB0A3A" w:rsidRDefault="00B81C09" w:rsidP="004202EB">
      <w:pPr>
        <w:tabs>
          <w:tab w:val="left" w:pos="1134"/>
        </w:tabs>
        <w:spacing w:after="0" w:line="360" w:lineRule="auto"/>
        <w:contextualSpacing/>
        <w:jc w:val="both"/>
        <w:rPr>
          <w:rFonts w:ascii="Myriad Pro" w:eastAsia="Calibri" w:hAnsi="Myriad Pro" w:cs="Times New Roman"/>
          <w:b/>
          <w:sz w:val="26"/>
          <w:szCs w:val="26"/>
        </w:rPr>
      </w:pPr>
      <w:r w:rsidRPr="00FB0A3A">
        <w:rPr>
          <w:rFonts w:ascii="Myriad Pro" w:eastAsia="Calibri" w:hAnsi="Myriad Pro" w:cs="Times New Roman"/>
          <w:b/>
          <w:sz w:val="26"/>
          <w:szCs w:val="26"/>
        </w:rPr>
        <w:lastRenderedPageBreak/>
        <w:t>ПОЗИЦИЯ ОРГАНА РЕГУЛИРОВАНИЯ</w:t>
      </w:r>
    </w:p>
    <w:p w14:paraId="37D884DF" w14:textId="605C6B24" w:rsidR="00083F47" w:rsidRPr="00FB0A3A" w:rsidRDefault="00083F47" w:rsidP="00A31747">
      <w:pPr>
        <w:tabs>
          <w:tab w:val="left" w:pos="1134"/>
        </w:tabs>
        <w:spacing w:after="0" w:line="360" w:lineRule="auto"/>
        <w:ind w:firstLine="567"/>
        <w:contextualSpacing/>
        <w:jc w:val="both"/>
        <w:rPr>
          <w:rFonts w:ascii="Myriad Pro" w:hAnsi="Myriad Pro"/>
          <w:sz w:val="26"/>
          <w:szCs w:val="26"/>
        </w:rPr>
      </w:pPr>
      <w:r w:rsidRPr="00FB0A3A">
        <w:rPr>
          <w:rFonts w:ascii="Myriad Pro" w:hAnsi="Myriad Pro"/>
          <w:sz w:val="26"/>
          <w:szCs w:val="26"/>
        </w:rPr>
        <w:t>Выпадающие доходы в соответствии с Методическими указаниями №215-э/1 на 2019 год по предложению Филиала составили 192 869,54 тыс. руб.</w:t>
      </w:r>
    </w:p>
    <w:p w14:paraId="1F9AAF6A" w14:textId="235EB96C" w:rsidR="00B81C09" w:rsidRPr="00FB0A3A" w:rsidRDefault="002F2FA0" w:rsidP="00A31747">
      <w:pPr>
        <w:tabs>
          <w:tab w:val="left" w:pos="1134"/>
        </w:tabs>
        <w:spacing w:after="0" w:line="360" w:lineRule="auto"/>
        <w:ind w:firstLine="567"/>
        <w:contextualSpacing/>
        <w:jc w:val="both"/>
        <w:rPr>
          <w:rFonts w:ascii="Myriad Pro" w:hAnsi="Myriad Pro"/>
          <w:sz w:val="26"/>
          <w:szCs w:val="26"/>
        </w:rPr>
      </w:pPr>
      <w:r w:rsidRPr="00FB0A3A">
        <w:rPr>
          <w:rFonts w:ascii="Myriad Pro" w:hAnsi="Myriad Pro"/>
          <w:sz w:val="26"/>
          <w:szCs w:val="26"/>
        </w:rPr>
        <w:t>Выпадающие доходы Филиала, связанные с осуществлением технологического присоединения к электрическим сетям, на 2017 год установлены постановлением Комитета от 28.12.2016 №60/1 в размере 17 011,96 тыс. руб. Фактические выпадающие доходы от технологического присоединения приняты экспертной группой Комитета за 2017 год в размере 45 439,89 тыс. руб. Корректировка данных расходов на 2019 год исходя из фактических значений составляет 28 722,43 тыс. руб.</w:t>
      </w:r>
    </w:p>
    <w:p w14:paraId="03FC2700" w14:textId="7606FCDA" w:rsidR="002F2FA0" w:rsidRPr="00FB0A3A" w:rsidRDefault="002F2FA0" w:rsidP="00A31747">
      <w:pPr>
        <w:tabs>
          <w:tab w:val="left" w:pos="1134"/>
        </w:tabs>
        <w:spacing w:after="0" w:line="360" w:lineRule="auto"/>
        <w:ind w:firstLine="567"/>
        <w:contextualSpacing/>
        <w:jc w:val="both"/>
        <w:rPr>
          <w:rFonts w:ascii="Myriad Pro" w:hAnsi="Myriad Pro"/>
          <w:sz w:val="26"/>
          <w:szCs w:val="26"/>
        </w:rPr>
      </w:pPr>
      <w:r w:rsidRPr="00FB0A3A">
        <w:rPr>
          <w:rFonts w:ascii="Myriad Pro" w:hAnsi="Myriad Pro"/>
          <w:sz w:val="26"/>
          <w:szCs w:val="26"/>
        </w:rPr>
        <w:t>В соответствии с Методическими указаниями</w:t>
      </w:r>
      <w:r w:rsidR="004948DD" w:rsidRPr="00FB0A3A">
        <w:rPr>
          <w:rFonts w:ascii="Myriad Pro" w:hAnsi="Myriad Pro"/>
          <w:sz w:val="26"/>
          <w:szCs w:val="26"/>
        </w:rPr>
        <w:t>, утвержденными приказом ФСТ</w:t>
      </w:r>
      <w:r w:rsidR="009808E8">
        <w:rPr>
          <w:rFonts w:ascii="Myriad Pro" w:hAnsi="Myriad Pro"/>
          <w:sz w:val="26"/>
          <w:szCs w:val="26"/>
        </w:rPr>
        <w:t> </w:t>
      </w:r>
      <w:r w:rsidR="004948DD" w:rsidRPr="00FB0A3A">
        <w:rPr>
          <w:rFonts w:ascii="Myriad Pro" w:hAnsi="Myriad Pro"/>
          <w:sz w:val="26"/>
          <w:szCs w:val="26"/>
        </w:rPr>
        <w:t>России №215-э/1 от 11.09.2014</w:t>
      </w:r>
      <w:r w:rsidRPr="00FB0A3A">
        <w:rPr>
          <w:rFonts w:ascii="Myriad Pro" w:hAnsi="Myriad Pro"/>
          <w:sz w:val="26"/>
          <w:szCs w:val="26"/>
        </w:rPr>
        <w:t>, выпадающие доходы Филиала на 2019 год определены Комитетом в размере 146 526,75 тыс. руб.</w:t>
      </w:r>
    </w:p>
    <w:p w14:paraId="16CDD776" w14:textId="0EFC0E7B" w:rsidR="002F2FA0" w:rsidRPr="00FB0A3A" w:rsidRDefault="002F2FA0" w:rsidP="00A31747">
      <w:pPr>
        <w:tabs>
          <w:tab w:val="left" w:pos="1134"/>
        </w:tabs>
        <w:spacing w:after="0" w:line="360" w:lineRule="auto"/>
        <w:ind w:firstLine="567"/>
        <w:contextualSpacing/>
        <w:jc w:val="both"/>
        <w:rPr>
          <w:rFonts w:ascii="Myriad Pro" w:hAnsi="Myriad Pro"/>
          <w:sz w:val="26"/>
          <w:szCs w:val="26"/>
        </w:rPr>
      </w:pPr>
      <w:r w:rsidRPr="00FB0A3A">
        <w:rPr>
          <w:rFonts w:ascii="Myriad Pro" w:hAnsi="Myriad Pro"/>
          <w:sz w:val="26"/>
          <w:szCs w:val="26"/>
        </w:rPr>
        <w:t>Таким образом, расходы Филиала, связанные с осуществлением технологического присоединения к электрическим сетям, не включаемые в плату за технологическое присоединение, с учетом корректировки составляют 175 249,18 тыс. руб.</w:t>
      </w:r>
    </w:p>
    <w:p w14:paraId="76C446D8" w14:textId="77777777" w:rsidR="002F2FA0" w:rsidRPr="00FB0A3A" w:rsidRDefault="002F2FA0" w:rsidP="00A31747">
      <w:pPr>
        <w:tabs>
          <w:tab w:val="left" w:pos="1134"/>
        </w:tabs>
        <w:spacing w:after="0" w:line="360" w:lineRule="auto"/>
        <w:ind w:firstLine="567"/>
        <w:contextualSpacing/>
        <w:jc w:val="both"/>
        <w:rPr>
          <w:rFonts w:ascii="Myriad Pro" w:eastAsia="Calibri" w:hAnsi="Myriad Pro" w:cs="Times New Roman"/>
          <w:sz w:val="26"/>
          <w:szCs w:val="26"/>
        </w:rPr>
      </w:pPr>
    </w:p>
    <w:p w14:paraId="08714583" w14:textId="3A7CDC53" w:rsidR="00B81C09" w:rsidRPr="00FB0A3A" w:rsidRDefault="00B81C09" w:rsidP="004202EB">
      <w:pPr>
        <w:tabs>
          <w:tab w:val="left" w:pos="1134"/>
        </w:tabs>
        <w:spacing w:after="0" w:line="360" w:lineRule="auto"/>
        <w:contextualSpacing/>
        <w:jc w:val="both"/>
        <w:rPr>
          <w:rFonts w:ascii="Myriad Pro" w:eastAsia="Calibri" w:hAnsi="Myriad Pro" w:cs="Times New Roman"/>
          <w:b/>
          <w:sz w:val="26"/>
          <w:szCs w:val="26"/>
        </w:rPr>
      </w:pPr>
      <w:r w:rsidRPr="00297DA6">
        <w:rPr>
          <w:rFonts w:ascii="Myriad Pro" w:eastAsia="Calibri" w:hAnsi="Myriad Pro" w:cs="Times New Roman"/>
          <w:b/>
          <w:sz w:val="26"/>
          <w:szCs w:val="26"/>
        </w:rPr>
        <w:t>ПОЗИЦИЯ ИСПОЛНИТЕЛЯ</w:t>
      </w:r>
    </w:p>
    <w:p w14:paraId="56D24509" w14:textId="5756E7D7" w:rsidR="00165C62" w:rsidRPr="00FB0A3A" w:rsidRDefault="00165C62" w:rsidP="00A31747">
      <w:pPr>
        <w:tabs>
          <w:tab w:val="left" w:pos="1134"/>
        </w:tabs>
        <w:spacing w:after="0" w:line="360" w:lineRule="auto"/>
        <w:ind w:firstLine="567"/>
        <w:contextualSpacing/>
        <w:jc w:val="both"/>
        <w:rPr>
          <w:rFonts w:ascii="Myriad Pro" w:eastAsia="Calibri" w:hAnsi="Myriad Pro" w:cs="Times New Roman"/>
          <w:bCs/>
          <w:sz w:val="26"/>
          <w:szCs w:val="26"/>
        </w:rPr>
      </w:pPr>
      <w:r w:rsidRPr="00FB0A3A">
        <w:rPr>
          <w:rFonts w:ascii="Myriad Pro" w:eastAsia="Calibri" w:hAnsi="Myriad Pro" w:cs="Times New Roman"/>
          <w:bCs/>
          <w:sz w:val="26"/>
          <w:szCs w:val="26"/>
        </w:rPr>
        <w:t xml:space="preserve">В Протоколе от 28-29.12.2018 Комитетом по тарифному регулированию Мурманской области не представлен расчет выпадающих доходов, </w:t>
      </w:r>
      <w:r w:rsidRPr="00FB0A3A">
        <w:rPr>
          <w:rFonts w:ascii="Myriad Pro" w:eastAsia="Calibri" w:hAnsi="Myriad Pro" w:cs="Times New Roman"/>
          <w:sz w:val="26"/>
          <w:szCs w:val="26"/>
        </w:rPr>
        <w:t>связанных с осуществлением технологического присоединения к электрическим сетям</w:t>
      </w:r>
      <w:r w:rsidRPr="00FB0A3A">
        <w:rPr>
          <w:rFonts w:ascii="Myriad Pro" w:eastAsia="Calibri" w:hAnsi="Myriad Pro" w:cs="Times New Roman"/>
          <w:bCs/>
          <w:sz w:val="26"/>
          <w:szCs w:val="26"/>
        </w:rPr>
        <w:t xml:space="preserve"> </w:t>
      </w:r>
      <w:r w:rsidRPr="00FB0A3A">
        <w:rPr>
          <w:rFonts w:ascii="Myriad Pro" w:eastAsia="Calibri" w:hAnsi="Myriad Pro" w:cs="Times New Roman"/>
          <w:sz w:val="26"/>
          <w:szCs w:val="26"/>
        </w:rPr>
        <w:t xml:space="preserve">филиала ПАО </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МРСК Северо-Запада</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 xml:space="preserve"> </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Колэнерго</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 xml:space="preserve"> на 2019 год, не отражены </w:t>
      </w:r>
      <w:r w:rsidRPr="00FB0A3A">
        <w:rPr>
          <w:rFonts w:ascii="Myriad Pro" w:eastAsia="Calibri" w:hAnsi="Myriad Pro" w:cs="Times New Roman"/>
          <w:bCs/>
          <w:sz w:val="26"/>
          <w:szCs w:val="26"/>
        </w:rPr>
        <w:t xml:space="preserve">значения показателей, учтенных при определении суммы выпадающих доходов. В связи, с чем не представляется возможным провести анализ расчета выпадающих доходов, произведенного Комитетом. </w:t>
      </w:r>
    </w:p>
    <w:p w14:paraId="5BAF521E" w14:textId="6F438981" w:rsidR="00165C62" w:rsidRPr="00FB0A3A" w:rsidRDefault="00165C62"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 xml:space="preserve">По результатам анализа документов, предоставленных филиалом </w:t>
      </w:r>
      <w:r w:rsidR="009F0627" w:rsidRPr="00FB0A3A">
        <w:rPr>
          <w:rFonts w:ascii="Myriad Pro" w:eastAsia="Calibri" w:hAnsi="Myriad Pro" w:cs="Times New Roman"/>
          <w:sz w:val="26"/>
          <w:szCs w:val="26"/>
        </w:rPr>
        <w:t xml:space="preserve">ПАО </w:t>
      </w:r>
      <w:r w:rsidR="00655FFA" w:rsidRPr="00FB0A3A">
        <w:rPr>
          <w:rFonts w:ascii="Myriad Pro" w:eastAsia="Calibri" w:hAnsi="Myriad Pro" w:cs="Times New Roman"/>
          <w:sz w:val="26"/>
          <w:szCs w:val="26"/>
        </w:rPr>
        <w:t>«</w:t>
      </w:r>
      <w:r w:rsidR="009F0627" w:rsidRPr="00FB0A3A">
        <w:rPr>
          <w:rFonts w:ascii="Myriad Pro" w:eastAsia="Calibri" w:hAnsi="Myriad Pro" w:cs="Times New Roman"/>
          <w:sz w:val="26"/>
          <w:szCs w:val="26"/>
        </w:rPr>
        <w:t>МРСК Северо-Запада</w:t>
      </w:r>
      <w:r w:rsidR="00655FFA" w:rsidRPr="00FB0A3A">
        <w:rPr>
          <w:rFonts w:ascii="Myriad Pro" w:eastAsia="Calibri" w:hAnsi="Myriad Pro" w:cs="Times New Roman"/>
          <w:sz w:val="26"/>
          <w:szCs w:val="26"/>
        </w:rPr>
        <w:t>»</w:t>
      </w:r>
      <w:r w:rsidR="009F0627" w:rsidRPr="00FB0A3A">
        <w:rPr>
          <w:rFonts w:ascii="Myriad Pro" w:eastAsia="Calibri" w:hAnsi="Myriad Pro" w:cs="Times New Roman"/>
          <w:sz w:val="26"/>
          <w:szCs w:val="26"/>
        </w:rPr>
        <w:t xml:space="preserve"> </w:t>
      </w:r>
      <w:r w:rsidR="00655FFA" w:rsidRPr="00FB0A3A">
        <w:rPr>
          <w:rFonts w:ascii="Myriad Pro" w:eastAsia="Calibri" w:hAnsi="Myriad Pro" w:cs="Times New Roman"/>
          <w:sz w:val="26"/>
          <w:szCs w:val="26"/>
        </w:rPr>
        <w:t>«</w:t>
      </w:r>
      <w:r w:rsidR="009F0627" w:rsidRPr="00FB0A3A">
        <w:rPr>
          <w:rFonts w:ascii="Myriad Pro" w:eastAsia="Calibri" w:hAnsi="Myriad Pro" w:cs="Times New Roman"/>
          <w:sz w:val="26"/>
          <w:szCs w:val="26"/>
        </w:rPr>
        <w:t>Колэ</w:t>
      </w:r>
      <w:r w:rsidRPr="00FB0A3A">
        <w:rPr>
          <w:rFonts w:ascii="Myriad Pro" w:eastAsia="Calibri" w:hAnsi="Myriad Pro" w:cs="Times New Roman"/>
          <w:sz w:val="26"/>
          <w:szCs w:val="26"/>
        </w:rPr>
        <w:t>нерго</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 xml:space="preserve"> в Комитет для обоснования заявляемых выпадающих доходов, Исполнитель отмечает следующее.</w:t>
      </w:r>
    </w:p>
    <w:p w14:paraId="3E5D726E" w14:textId="1A0A50E4" w:rsidR="00165C62" w:rsidRPr="00FB0A3A" w:rsidRDefault="00165C62"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lastRenderedPageBreak/>
        <w:t xml:space="preserve">Расчет выпадающих доходов, связанных с осуществлением технологического присоединения к электрическим сетям, на 2019 год выполнен филиалом </w:t>
      </w:r>
      <w:r w:rsidR="009F0627" w:rsidRPr="00FB0A3A">
        <w:rPr>
          <w:rFonts w:ascii="Myriad Pro" w:eastAsia="Calibri" w:hAnsi="Myriad Pro" w:cs="Times New Roman"/>
          <w:sz w:val="26"/>
          <w:szCs w:val="26"/>
        </w:rPr>
        <w:t>ПАО</w:t>
      </w:r>
      <w:r w:rsidR="009808E8">
        <w:rPr>
          <w:rFonts w:ascii="Myriad Pro" w:eastAsia="Calibri" w:hAnsi="Myriad Pro" w:cs="Times New Roman"/>
          <w:sz w:val="26"/>
          <w:szCs w:val="26"/>
        </w:rPr>
        <w:t> </w:t>
      </w:r>
      <w:r w:rsidR="00655FFA" w:rsidRPr="00FB0A3A">
        <w:rPr>
          <w:rFonts w:ascii="Myriad Pro" w:eastAsia="Calibri" w:hAnsi="Myriad Pro" w:cs="Times New Roman"/>
          <w:sz w:val="26"/>
          <w:szCs w:val="26"/>
        </w:rPr>
        <w:t>«</w:t>
      </w:r>
      <w:r w:rsidR="009F0627" w:rsidRPr="00FB0A3A">
        <w:rPr>
          <w:rFonts w:ascii="Myriad Pro" w:eastAsia="Calibri" w:hAnsi="Myriad Pro" w:cs="Times New Roman"/>
          <w:sz w:val="26"/>
          <w:szCs w:val="26"/>
        </w:rPr>
        <w:t>МРСК Северо-Запада</w:t>
      </w:r>
      <w:r w:rsidR="00655FFA" w:rsidRPr="00FB0A3A">
        <w:rPr>
          <w:rFonts w:ascii="Myriad Pro" w:eastAsia="Calibri" w:hAnsi="Myriad Pro" w:cs="Times New Roman"/>
          <w:sz w:val="26"/>
          <w:szCs w:val="26"/>
        </w:rPr>
        <w:t>»</w:t>
      </w:r>
      <w:r w:rsidR="009F0627" w:rsidRPr="00FB0A3A">
        <w:rPr>
          <w:rFonts w:ascii="Myriad Pro" w:eastAsia="Calibri" w:hAnsi="Myriad Pro" w:cs="Times New Roman"/>
          <w:sz w:val="26"/>
          <w:szCs w:val="26"/>
        </w:rPr>
        <w:t xml:space="preserve"> </w:t>
      </w:r>
      <w:r w:rsidR="00655FFA" w:rsidRPr="00FB0A3A">
        <w:rPr>
          <w:rFonts w:ascii="Myriad Pro" w:eastAsia="Calibri" w:hAnsi="Myriad Pro" w:cs="Times New Roman"/>
          <w:sz w:val="26"/>
          <w:szCs w:val="26"/>
        </w:rPr>
        <w:t>«</w:t>
      </w:r>
      <w:r w:rsidR="009F0627" w:rsidRPr="00FB0A3A">
        <w:rPr>
          <w:rFonts w:ascii="Myriad Pro" w:eastAsia="Calibri" w:hAnsi="Myriad Pro" w:cs="Times New Roman"/>
          <w:sz w:val="26"/>
          <w:szCs w:val="26"/>
        </w:rPr>
        <w:t>Кол</w:t>
      </w:r>
      <w:r w:rsidRPr="00FB0A3A">
        <w:rPr>
          <w:rFonts w:ascii="Myriad Pro" w:eastAsia="Calibri" w:hAnsi="Myriad Pro" w:cs="Times New Roman"/>
          <w:sz w:val="26"/>
          <w:szCs w:val="26"/>
        </w:rPr>
        <w:t>энерго</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w:t>
      </w:r>
    </w:p>
    <w:p w14:paraId="21FBCBDE" w14:textId="2DE0B2AB" w:rsidR="00165C62" w:rsidRPr="00FB0A3A" w:rsidRDefault="00165C62" w:rsidP="009B0BC1">
      <w:pPr>
        <w:pStyle w:val="a4"/>
        <w:numPr>
          <w:ilvl w:val="0"/>
          <w:numId w:val="33"/>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 xml:space="preserve">в части плановых расходов по мероприятиям </w:t>
      </w:r>
      <w:r w:rsidR="00655FFA" w:rsidRPr="00FB0A3A">
        <w:rPr>
          <w:rFonts w:ascii="Myriad Pro" w:hAnsi="Myriad Pro"/>
          <w:sz w:val="26"/>
          <w:szCs w:val="26"/>
        </w:rPr>
        <w:t>«</w:t>
      </w:r>
      <w:r w:rsidRPr="00FB0A3A">
        <w:rPr>
          <w:rFonts w:ascii="Myriad Pro" w:hAnsi="Myriad Pro"/>
          <w:sz w:val="26"/>
          <w:szCs w:val="26"/>
        </w:rPr>
        <w:t>последней мили</w:t>
      </w:r>
      <w:r w:rsidR="00655FFA" w:rsidRPr="00FB0A3A">
        <w:rPr>
          <w:rFonts w:ascii="Myriad Pro" w:hAnsi="Myriad Pro"/>
          <w:sz w:val="26"/>
          <w:szCs w:val="26"/>
        </w:rPr>
        <w:t>»</w:t>
      </w:r>
      <w:r w:rsidRPr="00FB0A3A">
        <w:rPr>
          <w:rFonts w:ascii="Myriad Pro" w:hAnsi="Myriad Pro"/>
          <w:sz w:val="26"/>
          <w:szCs w:val="26"/>
        </w:rPr>
        <w:t>, исходя из:</w:t>
      </w:r>
    </w:p>
    <w:p w14:paraId="53C8B852" w14:textId="0993EF73" w:rsidR="00165C62" w:rsidRPr="00FB0A3A" w:rsidRDefault="00165C62" w:rsidP="009B0BC1">
      <w:pPr>
        <w:pStyle w:val="a4"/>
        <w:numPr>
          <w:ilvl w:val="1"/>
          <w:numId w:val="61"/>
        </w:numPr>
        <w:tabs>
          <w:tab w:val="left" w:pos="1701"/>
        </w:tabs>
        <w:spacing w:after="0" w:line="360" w:lineRule="auto"/>
        <w:ind w:left="567" w:firstLine="567"/>
        <w:jc w:val="both"/>
        <w:rPr>
          <w:rFonts w:ascii="Myriad Pro" w:hAnsi="Myriad Pro"/>
          <w:sz w:val="26"/>
          <w:szCs w:val="26"/>
        </w:rPr>
      </w:pPr>
      <w:r w:rsidRPr="00FB0A3A">
        <w:rPr>
          <w:rFonts w:ascii="Myriad Pro" w:hAnsi="Myriad Pro"/>
          <w:sz w:val="26"/>
          <w:szCs w:val="26"/>
        </w:rPr>
        <w:t xml:space="preserve">стандартизированных тарифных ставок, утвержденных на 2018 год постановлением Комитета </w:t>
      </w:r>
      <w:r w:rsidR="009F0627" w:rsidRPr="00FB0A3A">
        <w:rPr>
          <w:rFonts w:ascii="Myriad Pro" w:hAnsi="Myriad Pro"/>
          <w:bCs/>
          <w:sz w:val="26"/>
          <w:szCs w:val="26"/>
        </w:rPr>
        <w:t>по тарифному регулированию Мурманской области</w:t>
      </w:r>
      <w:r w:rsidRPr="00FB0A3A">
        <w:rPr>
          <w:rFonts w:ascii="Myriad Pro" w:hAnsi="Myriad Pro"/>
          <w:sz w:val="26"/>
          <w:szCs w:val="26"/>
        </w:rPr>
        <w:t xml:space="preserve"> от </w:t>
      </w:r>
      <w:r w:rsidR="009F0627" w:rsidRPr="00FB0A3A">
        <w:rPr>
          <w:rFonts w:ascii="Myriad Pro" w:hAnsi="Myriad Pro"/>
          <w:sz w:val="26"/>
          <w:szCs w:val="26"/>
        </w:rPr>
        <w:t>26.12.2017 №60/1</w:t>
      </w:r>
      <w:r w:rsidRPr="00FB0A3A">
        <w:rPr>
          <w:rFonts w:ascii="Myriad Pro" w:hAnsi="Myriad Pro"/>
          <w:sz w:val="26"/>
          <w:szCs w:val="26"/>
        </w:rPr>
        <w:t>;</w:t>
      </w:r>
    </w:p>
    <w:p w14:paraId="5654163A" w14:textId="7650A39F" w:rsidR="00165C62" w:rsidRPr="00FB0A3A" w:rsidRDefault="00165C62" w:rsidP="009B0BC1">
      <w:pPr>
        <w:pStyle w:val="a4"/>
        <w:numPr>
          <w:ilvl w:val="1"/>
          <w:numId w:val="61"/>
        </w:numPr>
        <w:tabs>
          <w:tab w:val="left" w:pos="1701"/>
        </w:tabs>
        <w:spacing w:after="0" w:line="360" w:lineRule="auto"/>
        <w:ind w:left="567" w:firstLine="567"/>
        <w:jc w:val="both"/>
        <w:rPr>
          <w:rFonts w:ascii="Myriad Pro" w:hAnsi="Myriad Pro"/>
          <w:sz w:val="26"/>
          <w:szCs w:val="26"/>
        </w:rPr>
      </w:pPr>
      <w:r w:rsidRPr="00FB0A3A">
        <w:rPr>
          <w:rFonts w:ascii="Myriad Pro" w:hAnsi="Myriad Pro"/>
          <w:sz w:val="26"/>
          <w:szCs w:val="26"/>
        </w:rPr>
        <w:t>плановых объемов максимальной мощности и длин линий на 2019 год, рассчитанных на основании фактических средних данных за три предыдущих года 2015-2017 гг.;</w:t>
      </w:r>
    </w:p>
    <w:p w14:paraId="72E5933F" w14:textId="77777777" w:rsidR="00165C62" w:rsidRPr="00FB0A3A" w:rsidRDefault="00165C62" w:rsidP="009B0BC1">
      <w:pPr>
        <w:pStyle w:val="a4"/>
        <w:numPr>
          <w:ilvl w:val="0"/>
          <w:numId w:val="33"/>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в части расходов на выполнение организационно-технических мероприятий, исходя из:</w:t>
      </w:r>
    </w:p>
    <w:p w14:paraId="6C4ED278" w14:textId="1698AF41" w:rsidR="00165C62" w:rsidRPr="00FB0A3A" w:rsidRDefault="00165C62" w:rsidP="009B0BC1">
      <w:pPr>
        <w:pStyle w:val="a4"/>
        <w:numPr>
          <w:ilvl w:val="1"/>
          <w:numId w:val="61"/>
        </w:numPr>
        <w:tabs>
          <w:tab w:val="left" w:pos="1701"/>
        </w:tabs>
        <w:spacing w:after="0" w:line="360" w:lineRule="auto"/>
        <w:ind w:left="567" w:firstLine="567"/>
        <w:jc w:val="both"/>
        <w:rPr>
          <w:rFonts w:ascii="Myriad Pro" w:hAnsi="Myriad Pro"/>
          <w:sz w:val="26"/>
          <w:szCs w:val="26"/>
        </w:rPr>
      </w:pPr>
      <w:r w:rsidRPr="00FB0A3A">
        <w:rPr>
          <w:rFonts w:ascii="Myriad Pro" w:hAnsi="Myriad Pro"/>
          <w:sz w:val="26"/>
          <w:szCs w:val="26"/>
        </w:rPr>
        <w:t>плановой присоединенной мощности заявителей до 15кВт на 2019 год, рассчитанной на основании фактических средних данных за три предыдущих года 2015-2017 гг.;</w:t>
      </w:r>
    </w:p>
    <w:p w14:paraId="26ED25BB" w14:textId="68B9BD69" w:rsidR="00165C62" w:rsidRPr="00FB0A3A" w:rsidRDefault="00165C62" w:rsidP="009B0BC1">
      <w:pPr>
        <w:pStyle w:val="a4"/>
        <w:numPr>
          <w:ilvl w:val="1"/>
          <w:numId w:val="61"/>
        </w:numPr>
        <w:tabs>
          <w:tab w:val="left" w:pos="1701"/>
        </w:tabs>
        <w:spacing w:after="0" w:line="360" w:lineRule="auto"/>
        <w:ind w:left="567" w:firstLine="567"/>
        <w:jc w:val="both"/>
        <w:rPr>
          <w:rFonts w:ascii="Myriad Pro" w:hAnsi="Myriad Pro"/>
          <w:sz w:val="26"/>
          <w:szCs w:val="26"/>
        </w:rPr>
      </w:pPr>
      <w:r w:rsidRPr="00FB0A3A">
        <w:rPr>
          <w:rFonts w:ascii="Myriad Pro" w:hAnsi="Myriad Pro"/>
          <w:sz w:val="26"/>
          <w:szCs w:val="26"/>
        </w:rPr>
        <w:t>плановых расходов на выполнение организационно-технических мероприятий на 2019 год на единицу мощности;</w:t>
      </w:r>
    </w:p>
    <w:p w14:paraId="72CD2C34" w14:textId="34FF003E" w:rsidR="00165C62" w:rsidRPr="00FB0A3A" w:rsidRDefault="00165C62" w:rsidP="009B0BC1">
      <w:pPr>
        <w:pStyle w:val="a4"/>
        <w:numPr>
          <w:ilvl w:val="0"/>
          <w:numId w:val="33"/>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в части расходов, связанных с предоставлением беспроцентной рассрочкой платежей по оплате технологического присоединения энергопринимающих устройств максимальной мощностью выше 15кВт и до 150кВт, выпада</w:t>
      </w:r>
      <w:r w:rsidR="009F0627" w:rsidRPr="00FB0A3A">
        <w:rPr>
          <w:rFonts w:ascii="Myriad Pro" w:hAnsi="Myriad Pro"/>
          <w:sz w:val="26"/>
          <w:szCs w:val="26"/>
        </w:rPr>
        <w:t>ющие доходы филиалом заявлены для присоединения одного потребителя ООО</w:t>
      </w:r>
      <w:r w:rsidR="00655FFA" w:rsidRPr="00FB0A3A">
        <w:rPr>
          <w:rFonts w:ascii="Myriad Pro" w:hAnsi="Myriad Pro"/>
          <w:sz w:val="26"/>
          <w:szCs w:val="26"/>
        </w:rPr>
        <w:t xml:space="preserve"> «</w:t>
      </w:r>
      <w:r w:rsidR="009F0627" w:rsidRPr="00FB0A3A">
        <w:rPr>
          <w:rFonts w:ascii="Myriad Pro" w:hAnsi="Myriad Pro"/>
          <w:sz w:val="26"/>
          <w:szCs w:val="26"/>
        </w:rPr>
        <w:t>Велл-Трайд Тулома</w:t>
      </w:r>
      <w:r w:rsidR="00655FFA" w:rsidRPr="00FB0A3A">
        <w:rPr>
          <w:rFonts w:ascii="Myriad Pro" w:hAnsi="Myriad Pro"/>
          <w:sz w:val="26"/>
          <w:szCs w:val="26"/>
        </w:rPr>
        <w:t>»</w:t>
      </w:r>
      <w:r w:rsidR="009F0627" w:rsidRPr="00FB0A3A">
        <w:rPr>
          <w:rFonts w:ascii="Myriad Pro" w:hAnsi="Myriad Pro"/>
          <w:sz w:val="26"/>
          <w:szCs w:val="26"/>
        </w:rPr>
        <w:t xml:space="preserve"> в размере 189,04 тыс. руб.</w:t>
      </w:r>
    </w:p>
    <w:p w14:paraId="4425CCB6" w14:textId="77777777" w:rsidR="00165C62" w:rsidRPr="00FB0A3A" w:rsidRDefault="00165C62" w:rsidP="009B0BC1">
      <w:pPr>
        <w:pStyle w:val="a4"/>
        <w:numPr>
          <w:ilvl w:val="0"/>
          <w:numId w:val="34"/>
        </w:numPr>
        <w:tabs>
          <w:tab w:val="left" w:pos="851"/>
          <w:tab w:val="left" w:pos="1134"/>
        </w:tabs>
        <w:autoSpaceDE w:val="0"/>
        <w:autoSpaceDN w:val="0"/>
        <w:adjustRightInd w:val="0"/>
        <w:spacing w:after="0" w:line="360" w:lineRule="auto"/>
        <w:ind w:left="0" w:firstLine="567"/>
        <w:jc w:val="both"/>
        <w:rPr>
          <w:rFonts w:ascii="Myriad Pro" w:hAnsi="Myriad Pro"/>
          <w:b/>
          <w:sz w:val="26"/>
          <w:szCs w:val="26"/>
        </w:rPr>
      </w:pPr>
      <w:r w:rsidRPr="00FB0A3A">
        <w:rPr>
          <w:rFonts w:ascii="Myriad Pro" w:hAnsi="Myriad Pro"/>
          <w:b/>
          <w:sz w:val="26"/>
          <w:szCs w:val="26"/>
        </w:rPr>
        <w:t xml:space="preserve">Расчет Исполнителя </w:t>
      </w:r>
      <w:r w:rsidRPr="00FB0A3A">
        <w:rPr>
          <w:rFonts w:ascii="Myriad Pro" w:hAnsi="Myriad Pro"/>
          <w:b/>
          <w:bCs/>
          <w:sz w:val="26"/>
          <w:szCs w:val="26"/>
        </w:rPr>
        <w:t>выпадающих доходов</w:t>
      </w:r>
      <w:r w:rsidRPr="00FB0A3A">
        <w:rPr>
          <w:rFonts w:ascii="Myriad Pro" w:hAnsi="Myriad Pro"/>
          <w:b/>
          <w:sz w:val="26"/>
          <w:szCs w:val="26"/>
        </w:rPr>
        <w:t>, связанных с осуществлением технологического присоединения энергопринимающих устройств максимальной мощностью, не превышающей 15 кВт включительно.</w:t>
      </w:r>
    </w:p>
    <w:p w14:paraId="792B4BD6" w14:textId="77777777" w:rsidR="00165C62" w:rsidRPr="00FB0A3A" w:rsidRDefault="00165C62" w:rsidP="00A31747">
      <w:pPr>
        <w:pStyle w:val="a4"/>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 xml:space="preserve">В соответствии с пунктом 3 Примечаний к Приложению №1 Методических указаний №215-э/1 плановое количество договоров об осуществлении технологического присоединения к электрическим сетям определяется на основании фактических средних данных по выполненным договорам об осуществлении технологического присоединения к электрическим сетям за три </w:t>
      </w:r>
      <w:r w:rsidRPr="00FB0A3A">
        <w:rPr>
          <w:rFonts w:ascii="Myriad Pro" w:hAnsi="Myriad Pro"/>
          <w:sz w:val="26"/>
          <w:szCs w:val="26"/>
        </w:rPr>
        <w:lastRenderedPageBreak/>
        <w:t>предыдущих года, но не ниже документально подтвержденного количества заявок на технологическое присоединение, поданных на следующий период регулирования. Сетевые организации указывают в виде примечания к представляемой в регулирующий орган таблице информацию о всех фактических параметрах за каждый год трехлетнего периода, которые были использованы для расчета планового количества договоров об осуществлении технологического присоединения к электрическим сетям на следующий период регулирования. </w:t>
      </w:r>
    </w:p>
    <w:p w14:paraId="0D095C43" w14:textId="1E62A5DB" w:rsidR="00165C62" w:rsidRPr="00FB0A3A" w:rsidRDefault="00165C62" w:rsidP="00A31747">
      <w:pPr>
        <w:pStyle w:val="a4"/>
        <w:tabs>
          <w:tab w:val="left" w:pos="1134"/>
        </w:tabs>
        <w:spacing w:after="0" w:line="360" w:lineRule="auto"/>
        <w:ind w:left="0" w:firstLine="567"/>
        <w:jc w:val="both"/>
        <w:rPr>
          <w:rFonts w:ascii="Myriad Pro" w:hAnsi="Myriad Pro"/>
          <w:bCs/>
          <w:sz w:val="26"/>
          <w:szCs w:val="26"/>
        </w:rPr>
      </w:pPr>
      <w:r w:rsidRPr="00FB0A3A">
        <w:rPr>
          <w:rFonts w:ascii="Myriad Pro" w:hAnsi="Myriad Pro"/>
          <w:sz w:val="26"/>
          <w:szCs w:val="26"/>
        </w:rPr>
        <w:t>Фили</w:t>
      </w:r>
      <w:r w:rsidR="009F0627" w:rsidRPr="00FB0A3A">
        <w:rPr>
          <w:rFonts w:ascii="Myriad Pro" w:hAnsi="Myriad Pro"/>
          <w:sz w:val="26"/>
          <w:szCs w:val="26"/>
        </w:rPr>
        <w:t xml:space="preserve">алом ПАО </w:t>
      </w:r>
      <w:r w:rsidR="00655FFA" w:rsidRPr="00FB0A3A">
        <w:rPr>
          <w:rFonts w:ascii="Myriad Pro" w:hAnsi="Myriad Pro"/>
          <w:sz w:val="26"/>
          <w:szCs w:val="26"/>
        </w:rPr>
        <w:t>«</w:t>
      </w:r>
      <w:r w:rsidR="009F0627" w:rsidRPr="00FB0A3A">
        <w:rPr>
          <w:rFonts w:ascii="Myriad Pro" w:hAnsi="Myriad Pro"/>
          <w:sz w:val="26"/>
          <w:szCs w:val="26"/>
        </w:rPr>
        <w:t>МРСК Северо-Запада</w:t>
      </w:r>
      <w:r w:rsidR="00655FFA" w:rsidRPr="00FB0A3A">
        <w:rPr>
          <w:rFonts w:ascii="Myriad Pro" w:hAnsi="Myriad Pro"/>
          <w:sz w:val="26"/>
          <w:szCs w:val="26"/>
        </w:rPr>
        <w:t>»</w:t>
      </w:r>
      <w:r w:rsidR="009F0627" w:rsidRPr="00FB0A3A">
        <w:rPr>
          <w:rFonts w:ascii="Myriad Pro" w:hAnsi="Myriad Pro"/>
          <w:sz w:val="26"/>
          <w:szCs w:val="26"/>
        </w:rPr>
        <w:t xml:space="preserve"> </w:t>
      </w:r>
      <w:r w:rsidR="00655FFA" w:rsidRPr="00FB0A3A">
        <w:rPr>
          <w:rFonts w:ascii="Myriad Pro" w:hAnsi="Myriad Pro"/>
          <w:sz w:val="26"/>
          <w:szCs w:val="26"/>
        </w:rPr>
        <w:t>«</w:t>
      </w:r>
      <w:r w:rsidR="009F0627" w:rsidRPr="00FB0A3A">
        <w:rPr>
          <w:rFonts w:ascii="Myriad Pro" w:hAnsi="Myriad Pro"/>
          <w:sz w:val="26"/>
          <w:szCs w:val="26"/>
        </w:rPr>
        <w:t>Кол</w:t>
      </w:r>
      <w:r w:rsidRPr="00FB0A3A">
        <w:rPr>
          <w:rFonts w:ascii="Myriad Pro" w:hAnsi="Myriad Pro"/>
          <w:sz w:val="26"/>
          <w:szCs w:val="26"/>
        </w:rPr>
        <w:t>энерго</w:t>
      </w:r>
      <w:r w:rsidR="00655FFA" w:rsidRPr="00FB0A3A">
        <w:rPr>
          <w:rFonts w:ascii="Myriad Pro" w:hAnsi="Myriad Pro"/>
          <w:sz w:val="26"/>
          <w:szCs w:val="26"/>
        </w:rPr>
        <w:t>»</w:t>
      </w:r>
      <w:r w:rsidRPr="00FB0A3A">
        <w:rPr>
          <w:rFonts w:ascii="Myriad Pro" w:hAnsi="Myriad Pro"/>
          <w:sz w:val="26"/>
          <w:szCs w:val="26"/>
        </w:rPr>
        <w:t xml:space="preserve"> в обоснование планового количества договоров об осуществлении технологического присоединения заявителей с присоединяемой мощностью до 15кВт на 2019 год </w:t>
      </w:r>
      <w:r w:rsidR="009F0627" w:rsidRPr="00FB0A3A">
        <w:rPr>
          <w:rFonts w:ascii="Myriad Pro" w:hAnsi="Myriad Pro"/>
          <w:sz w:val="26"/>
          <w:szCs w:val="26"/>
        </w:rPr>
        <w:t>в размере 239</w:t>
      </w:r>
      <w:r w:rsidRPr="00FB0A3A">
        <w:rPr>
          <w:rFonts w:ascii="Myriad Pro" w:hAnsi="Myriad Pro"/>
          <w:sz w:val="26"/>
          <w:szCs w:val="26"/>
        </w:rPr>
        <w:t xml:space="preserve"> шт. представлена в Комитет информация о количестве исполненных договоров за 2015-2017 гг. (</w:t>
      </w:r>
      <w:r w:rsidR="009F0627" w:rsidRPr="00FB0A3A">
        <w:rPr>
          <w:rFonts w:ascii="Myriad Pro" w:hAnsi="Myriad Pro"/>
          <w:sz w:val="26"/>
          <w:szCs w:val="26"/>
        </w:rPr>
        <w:t>262, 249, 207 шт. соответственно</w:t>
      </w:r>
      <w:r w:rsidRPr="00FB0A3A">
        <w:rPr>
          <w:rFonts w:ascii="Myriad Pro" w:hAnsi="Myriad Pro"/>
          <w:sz w:val="26"/>
          <w:szCs w:val="26"/>
        </w:rPr>
        <w:t xml:space="preserve">). </w:t>
      </w:r>
    </w:p>
    <w:p w14:paraId="3C9F02BA" w14:textId="7C13E3C4" w:rsidR="00165C62" w:rsidRPr="00FB0A3A" w:rsidRDefault="00165C62" w:rsidP="00A31747">
      <w:pPr>
        <w:tabs>
          <w:tab w:val="left" w:pos="1134"/>
        </w:tabs>
        <w:spacing w:after="0" w:line="360" w:lineRule="auto"/>
        <w:ind w:firstLine="567"/>
        <w:contextualSpacing/>
        <w:jc w:val="both"/>
        <w:rPr>
          <w:rFonts w:ascii="Myriad Pro" w:eastAsia="Calibri" w:hAnsi="Myriad Pro" w:cs="Times New Roman"/>
          <w:bCs/>
          <w:sz w:val="26"/>
          <w:szCs w:val="26"/>
        </w:rPr>
      </w:pPr>
      <w:r w:rsidRPr="00FB0A3A">
        <w:rPr>
          <w:rFonts w:ascii="Myriad Pro" w:eastAsia="Calibri" w:hAnsi="Myriad Pro" w:cs="Times New Roman"/>
          <w:sz w:val="26"/>
          <w:szCs w:val="26"/>
        </w:rPr>
        <w:t xml:space="preserve">В обоснование плановых объемов максимальной мощности и длин линий на 2019 год филиалом ПАО </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МРСК Северо-Запада</w:t>
      </w:r>
      <w:r w:rsidR="00655FFA" w:rsidRPr="00FB0A3A">
        <w:rPr>
          <w:rFonts w:ascii="Myriad Pro" w:eastAsia="Calibri" w:hAnsi="Myriad Pro" w:cs="Times New Roman"/>
          <w:sz w:val="26"/>
          <w:szCs w:val="26"/>
        </w:rPr>
        <w:t>»</w:t>
      </w:r>
      <w:r w:rsidR="006A4973" w:rsidRPr="00FB0A3A">
        <w:rPr>
          <w:rFonts w:ascii="Myriad Pro" w:eastAsia="Calibri" w:hAnsi="Myriad Pro" w:cs="Times New Roman"/>
          <w:sz w:val="26"/>
          <w:szCs w:val="26"/>
        </w:rPr>
        <w:t xml:space="preserve"> </w:t>
      </w:r>
      <w:r w:rsidR="00655FFA" w:rsidRPr="00FB0A3A">
        <w:rPr>
          <w:rFonts w:ascii="Myriad Pro" w:hAnsi="Myriad Pro"/>
          <w:sz w:val="26"/>
          <w:szCs w:val="26"/>
        </w:rPr>
        <w:t>«</w:t>
      </w:r>
      <w:r w:rsidR="006A4973" w:rsidRPr="00FB0A3A">
        <w:rPr>
          <w:rFonts w:ascii="Myriad Pro" w:hAnsi="Myriad Pro"/>
          <w:sz w:val="26"/>
          <w:szCs w:val="26"/>
        </w:rPr>
        <w:t>Колэнерго</w:t>
      </w:r>
      <w:r w:rsidR="00655FFA" w:rsidRPr="00FB0A3A">
        <w:rPr>
          <w:rFonts w:ascii="Myriad Pro" w:hAnsi="Myriad Pro"/>
          <w:sz w:val="26"/>
          <w:szCs w:val="26"/>
        </w:rPr>
        <w:t>»</w:t>
      </w:r>
      <w:r w:rsidR="006A4973" w:rsidRPr="00FB0A3A">
        <w:rPr>
          <w:rFonts w:ascii="Myriad Pro" w:hAnsi="Myriad Pro"/>
          <w:sz w:val="26"/>
          <w:szCs w:val="26"/>
        </w:rPr>
        <w:t xml:space="preserve"> </w:t>
      </w:r>
      <w:r w:rsidRPr="00FB0A3A">
        <w:rPr>
          <w:rFonts w:ascii="Myriad Pro" w:eastAsia="Calibri" w:hAnsi="Myriad Pro" w:cs="Times New Roman"/>
          <w:sz w:val="26"/>
          <w:szCs w:val="26"/>
        </w:rPr>
        <w:t xml:space="preserve">представлена информация о </w:t>
      </w:r>
      <w:r w:rsidRPr="00FB0A3A">
        <w:rPr>
          <w:rFonts w:ascii="Myriad Pro" w:eastAsia="Calibri" w:hAnsi="Myriad Pro" w:cs="Times New Roman"/>
          <w:bCs/>
          <w:sz w:val="26"/>
          <w:szCs w:val="26"/>
        </w:rPr>
        <w:t xml:space="preserve">расходах на строительство введенных в эксплуатацию объектов электросетевого хозяйства для целей технологического присоединения льготной категории заявителей </w:t>
      </w:r>
      <w:r w:rsidRPr="00FB0A3A">
        <w:rPr>
          <w:rFonts w:ascii="Myriad Pro" w:hAnsi="Myriad Pro"/>
          <w:sz w:val="26"/>
          <w:szCs w:val="26"/>
        </w:rPr>
        <w:t>с присоединяемой мощностью до 15кВт</w:t>
      </w:r>
      <w:r w:rsidRPr="00FB0A3A">
        <w:rPr>
          <w:rFonts w:ascii="Myriad Pro" w:eastAsia="Calibri" w:hAnsi="Myriad Pro" w:cs="Times New Roman"/>
          <w:bCs/>
          <w:sz w:val="26"/>
          <w:szCs w:val="26"/>
        </w:rPr>
        <w:t xml:space="preserve"> за 2015-2017 гг. (с указанием </w:t>
      </w:r>
      <w:r w:rsidRPr="00FB0A3A">
        <w:rPr>
          <w:rFonts w:ascii="Myriad Pro" w:eastAsia="Calibri" w:hAnsi="Myriad Pro" w:cs="Times New Roman"/>
          <w:sz w:val="26"/>
          <w:szCs w:val="26"/>
        </w:rPr>
        <w:t xml:space="preserve">длин линий электропередачи, объемов мощности КТП, РТП) </w:t>
      </w:r>
      <w:r w:rsidRPr="00FB0A3A">
        <w:rPr>
          <w:rFonts w:ascii="Myriad Pro" w:eastAsia="Calibri" w:hAnsi="Myriad Pro" w:cs="Times New Roman"/>
          <w:bCs/>
          <w:sz w:val="26"/>
          <w:szCs w:val="26"/>
        </w:rPr>
        <w:t>по форме Приложения № 1</w:t>
      </w:r>
      <w:r w:rsidRPr="00FB0A3A">
        <w:rPr>
          <w:rFonts w:ascii="Myriad Pro" w:hAnsi="Myriad Pro"/>
          <w:bCs/>
          <w:sz w:val="26"/>
          <w:szCs w:val="26"/>
        </w:rPr>
        <w:t xml:space="preserve"> </w:t>
      </w:r>
      <w:r w:rsidRPr="00FB0A3A">
        <w:rPr>
          <w:rFonts w:ascii="Myriad Pro" w:eastAsia="Calibri" w:hAnsi="Myriad Pro" w:cs="Times New Roman"/>
          <w:bCs/>
          <w:sz w:val="26"/>
          <w:szCs w:val="26"/>
        </w:rPr>
        <w:t>к</w:t>
      </w:r>
      <w:r w:rsidRPr="00FB0A3A">
        <w:rPr>
          <w:rFonts w:ascii="Myriad Pro" w:hAnsi="Myriad Pro"/>
          <w:bCs/>
          <w:sz w:val="26"/>
          <w:szCs w:val="26"/>
        </w:rPr>
        <w:t xml:space="preserve"> </w:t>
      </w:r>
      <w:hyperlink r:id="rId85" w:anchor="1000" w:history="1">
        <w:r w:rsidRPr="00FB0A3A">
          <w:rPr>
            <w:rFonts w:ascii="Myriad Pro" w:eastAsia="Calibri" w:hAnsi="Myriad Pro" w:cs="Times New Roman"/>
            <w:bCs/>
            <w:sz w:val="26"/>
            <w:szCs w:val="26"/>
          </w:rPr>
          <w:t>Методическим указаниям</w:t>
        </w:r>
      </w:hyperlink>
      <w:r w:rsidRPr="00FB0A3A">
        <w:rPr>
          <w:rFonts w:ascii="Myriad Pro" w:hAnsi="Myriad Pro"/>
          <w:bCs/>
          <w:sz w:val="26"/>
          <w:szCs w:val="26"/>
        </w:rPr>
        <w:t xml:space="preserve"> </w:t>
      </w:r>
      <w:r w:rsidRPr="00FB0A3A">
        <w:rPr>
          <w:rFonts w:ascii="Myriad Pro" w:eastAsia="Calibri" w:hAnsi="Myriad Pro" w:cs="Times New Roman"/>
          <w:bCs/>
          <w:sz w:val="26"/>
          <w:szCs w:val="26"/>
        </w:rPr>
        <w:t>№ 1135/17.</w:t>
      </w:r>
    </w:p>
    <w:p w14:paraId="3B386B65" w14:textId="10C5CF56" w:rsidR="00165C62" w:rsidRPr="00FB0A3A" w:rsidRDefault="00165C62" w:rsidP="00A31747">
      <w:pPr>
        <w:pStyle w:val="ConsPlusTitle"/>
        <w:tabs>
          <w:tab w:val="left" w:pos="1134"/>
        </w:tabs>
        <w:spacing w:line="360" w:lineRule="auto"/>
        <w:ind w:firstLine="567"/>
        <w:jc w:val="both"/>
        <w:rPr>
          <w:rFonts w:ascii="Myriad Pro" w:eastAsia="Calibri" w:hAnsi="Myriad Pro"/>
          <w:b w:val="0"/>
          <w:bCs w:val="0"/>
          <w:sz w:val="26"/>
          <w:szCs w:val="26"/>
          <w:lang w:eastAsia="en-US"/>
        </w:rPr>
      </w:pPr>
      <w:r w:rsidRPr="00FB0A3A">
        <w:rPr>
          <w:rFonts w:ascii="Myriad Pro" w:eastAsia="Calibri" w:hAnsi="Myriad Pro"/>
          <w:b w:val="0"/>
          <w:bCs w:val="0"/>
          <w:sz w:val="26"/>
          <w:szCs w:val="26"/>
          <w:lang w:eastAsia="en-US"/>
        </w:rPr>
        <w:t xml:space="preserve">При определении выпадающих доходов на 2019 год, Исполнителем приняты плановые объемы максимальной мощности и длины линий на 2019 год по предложению филиала ПАО </w:t>
      </w:r>
      <w:r w:rsidR="00655FFA" w:rsidRPr="00FB0A3A">
        <w:rPr>
          <w:rFonts w:ascii="Myriad Pro" w:eastAsia="Calibri" w:hAnsi="Myriad Pro"/>
          <w:b w:val="0"/>
          <w:bCs w:val="0"/>
          <w:sz w:val="26"/>
          <w:szCs w:val="26"/>
          <w:lang w:eastAsia="en-US"/>
        </w:rPr>
        <w:t>«</w:t>
      </w:r>
      <w:r w:rsidRPr="00FB0A3A">
        <w:rPr>
          <w:rFonts w:ascii="Myriad Pro" w:eastAsia="Calibri" w:hAnsi="Myriad Pro"/>
          <w:b w:val="0"/>
          <w:bCs w:val="0"/>
          <w:sz w:val="26"/>
          <w:szCs w:val="26"/>
          <w:lang w:eastAsia="en-US"/>
        </w:rPr>
        <w:t>МРСК Северо-Запада</w:t>
      </w:r>
      <w:r w:rsidR="00655FFA" w:rsidRPr="00FB0A3A">
        <w:rPr>
          <w:rFonts w:ascii="Myriad Pro" w:eastAsia="Calibri" w:hAnsi="Myriad Pro"/>
          <w:b w:val="0"/>
          <w:bCs w:val="0"/>
          <w:sz w:val="26"/>
          <w:szCs w:val="26"/>
          <w:lang w:eastAsia="en-US"/>
        </w:rPr>
        <w:t>»</w:t>
      </w:r>
      <w:r w:rsidRPr="00FB0A3A">
        <w:rPr>
          <w:rFonts w:ascii="Myriad Pro" w:eastAsia="Calibri" w:hAnsi="Myriad Pro"/>
          <w:b w:val="0"/>
          <w:bCs w:val="0"/>
          <w:sz w:val="26"/>
          <w:szCs w:val="26"/>
          <w:lang w:eastAsia="en-US"/>
        </w:rPr>
        <w:t xml:space="preserve"> </w:t>
      </w:r>
      <w:r w:rsidR="00655FFA" w:rsidRPr="00FB0A3A">
        <w:rPr>
          <w:rFonts w:ascii="Myriad Pro" w:eastAsia="Calibri" w:hAnsi="Myriad Pro"/>
          <w:b w:val="0"/>
          <w:bCs w:val="0"/>
          <w:sz w:val="26"/>
          <w:szCs w:val="26"/>
          <w:lang w:eastAsia="en-US"/>
        </w:rPr>
        <w:t>«</w:t>
      </w:r>
      <w:r w:rsidR="006A4973" w:rsidRPr="00FB0A3A">
        <w:rPr>
          <w:rFonts w:ascii="Myriad Pro" w:eastAsia="Calibri" w:hAnsi="Myriad Pro"/>
          <w:b w:val="0"/>
          <w:bCs w:val="0"/>
          <w:sz w:val="26"/>
          <w:szCs w:val="26"/>
          <w:lang w:eastAsia="en-US"/>
        </w:rPr>
        <w:t>Колэнерго</w:t>
      </w:r>
      <w:r w:rsidR="00655FFA" w:rsidRPr="00FB0A3A">
        <w:rPr>
          <w:rFonts w:ascii="Myriad Pro" w:eastAsia="Calibri" w:hAnsi="Myriad Pro"/>
          <w:b w:val="0"/>
          <w:bCs w:val="0"/>
          <w:sz w:val="26"/>
          <w:szCs w:val="26"/>
          <w:lang w:eastAsia="en-US"/>
        </w:rPr>
        <w:t>»</w:t>
      </w:r>
      <w:r w:rsidRPr="00FB0A3A">
        <w:rPr>
          <w:rFonts w:ascii="Myriad Pro" w:eastAsia="Calibri" w:hAnsi="Myriad Pro"/>
          <w:b w:val="0"/>
          <w:bCs w:val="0"/>
          <w:sz w:val="26"/>
          <w:szCs w:val="26"/>
          <w:lang w:eastAsia="en-US"/>
        </w:rPr>
        <w:t xml:space="preserve"> (рассчитаны филиалом на основании фактических средних данных за три предыдущих года 2015-2017 гг.) и применены стандартизированные тарифные ставки, утвержденные постановлением</w:t>
      </w:r>
      <w:r w:rsidR="006A4973" w:rsidRPr="00FB0A3A">
        <w:rPr>
          <w:rFonts w:ascii="Myriad Pro" w:eastAsia="Calibri" w:hAnsi="Myriad Pro"/>
          <w:b w:val="0"/>
          <w:bCs w:val="0"/>
          <w:sz w:val="26"/>
          <w:szCs w:val="26"/>
          <w:lang w:eastAsia="en-US"/>
        </w:rPr>
        <w:t xml:space="preserve"> Комитета </w:t>
      </w:r>
      <w:r w:rsidRPr="00FB0A3A">
        <w:rPr>
          <w:rFonts w:ascii="Myriad Pro" w:eastAsia="Calibri" w:hAnsi="Myriad Pro"/>
          <w:b w:val="0"/>
          <w:bCs w:val="0"/>
          <w:sz w:val="26"/>
          <w:szCs w:val="26"/>
          <w:lang w:eastAsia="en-US"/>
        </w:rPr>
        <w:t>тарифно</w:t>
      </w:r>
      <w:r w:rsidR="006A4973" w:rsidRPr="00FB0A3A">
        <w:rPr>
          <w:rFonts w:ascii="Myriad Pro" w:eastAsia="Calibri" w:hAnsi="Myriad Pro"/>
          <w:b w:val="0"/>
          <w:bCs w:val="0"/>
          <w:sz w:val="26"/>
          <w:szCs w:val="26"/>
          <w:lang w:eastAsia="en-US"/>
        </w:rPr>
        <w:t xml:space="preserve">го регулирования Мурманской области от 25.12.2018 N 53/4 </w:t>
      </w:r>
      <w:r w:rsidR="00655FFA" w:rsidRPr="00FB0A3A">
        <w:rPr>
          <w:rFonts w:ascii="Myriad Pro" w:eastAsia="Calibri" w:hAnsi="Myriad Pro"/>
          <w:b w:val="0"/>
          <w:bCs w:val="0"/>
          <w:sz w:val="26"/>
          <w:szCs w:val="26"/>
          <w:lang w:eastAsia="en-US"/>
        </w:rPr>
        <w:t>«</w:t>
      </w:r>
      <w:r w:rsidR="006A4973" w:rsidRPr="00FB0A3A">
        <w:rPr>
          <w:rFonts w:ascii="Myriad Pro" w:eastAsia="Calibri" w:hAnsi="Myriad Pro"/>
          <w:b w:val="0"/>
          <w:bCs w:val="0"/>
          <w:sz w:val="26"/>
          <w:szCs w:val="26"/>
          <w:lang w:eastAsia="en-US"/>
        </w:rPr>
        <w:t>Об установлении платы за технологическое присоединение к электрическим сетям территориальных сетевых организаций Мурманской области на 2019 год</w:t>
      </w:r>
      <w:r w:rsidR="00655FFA" w:rsidRPr="00FB0A3A">
        <w:rPr>
          <w:rFonts w:ascii="Myriad Pro" w:eastAsia="Calibri" w:hAnsi="Myriad Pro"/>
          <w:b w:val="0"/>
          <w:bCs w:val="0"/>
          <w:sz w:val="26"/>
          <w:szCs w:val="26"/>
          <w:lang w:eastAsia="en-US"/>
        </w:rPr>
        <w:t>»</w:t>
      </w:r>
      <w:r w:rsidRPr="00FB0A3A">
        <w:rPr>
          <w:rFonts w:ascii="Myriad Pro" w:eastAsia="Calibri" w:hAnsi="Myriad Pro"/>
          <w:b w:val="0"/>
          <w:bCs w:val="0"/>
          <w:sz w:val="26"/>
          <w:szCs w:val="26"/>
          <w:lang w:eastAsia="en-US"/>
        </w:rPr>
        <w:t>.</w:t>
      </w:r>
    </w:p>
    <w:p w14:paraId="4316FF1B" w14:textId="77777777" w:rsidR="00165C62" w:rsidRPr="00FB0A3A" w:rsidRDefault="00165C62" w:rsidP="00A31747">
      <w:pPr>
        <w:pStyle w:val="a4"/>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 xml:space="preserve">Исполнитель отмечает, что в расчете выпадающих доходов на 2019 год филиал неверно указал размер платы за технологическое присоединение </w:t>
      </w:r>
      <w:r w:rsidRPr="00FB0A3A">
        <w:rPr>
          <w:rFonts w:ascii="Myriad Pro" w:hAnsi="Myriad Pro"/>
          <w:bCs/>
          <w:sz w:val="26"/>
          <w:szCs w:val="26"/>
        </w:rPr>
        <w:t xml:space="preserve">заявителей </w:t>
      </w:r>
      <w:r w:rsidRPr="00FB0A3A">
        <w:rPr>
          <w:rFonts w:ascii="Myriad Pro" w:hAnsi="Myriad Pro"/>
          <w:sz w:val="26"/>
          <w:szCs w:val="26"/>
        </w:rPr>
        <w:t xml:space="preserve">с </w:t>
      </w:r>
      <w:r w:rsidRPr="00BD5670">
        <w:rPr>
          <w:rFonts w:ascii="Myriad Pro" w:hAnsi="Myriad Pro"/>
          <w:sz w:val="26"/>
          <w:szCs w:val="26"/>
        </w:rPr>
        <w:t xml:space="preserve">присоединяемой мощностью до 15кВт - 466,10 руб. без НДС (550 руб. </w:t>
      </w:r>
      <w:r w:rsidRPr="00BD5670">
        <w:rPr>
          <w:rFonts w:ascii="Myriad Pro" w:hAnsi="Myriad Pro"/>
          <w:sz w:val="26"/>
          <w:szCs w:val="26"/>
        </w:rPr>
        <w:lastRenderedPageBreak/>
        <w:t>– 18% НДС), тогда как размер платы на 2019 год составляет 458,33 руб. без НДС (550 руб. – 20% НДС).</w:t>
      </w:r>
    </w:p>
    <w:p w14:paraId="644581AD" w14:textId="5AF05421" w:rsidR="00165C62" w:rsidRPr="00FB0A3A" w:rsidRDefault="00165C62" w:rsidP="00A31747">
      <w:pPr>
        <w:tabs>
          <w:tab w:val="left" w:pos="1134"/>
        </w:tabs>
        <w:autoSpaceDE w:val="0"/>
        <w:autoSpaceDN w:val="0"/>
        <w:adjustRightInd w:val="0"/>
        <w:spacing w:after="0" w:line="360" w:lineRule="auto"/>
        <w:ind w:firstLine="567"/>
        <w:contextualSpacing/>
        <w:jc w:val="both"/>
        <w:rPr>
          <w:rFonts w:ascii="Myriad Pro" w:eastAsia="Calibri" w:hAnsi="Myriad Pro" w:cs="Times New Roman"/>
          <w:bCs/>
          <w:sz w:val="26"/>
          <w:szCs w:val="26"/>
        </w:rPr>
      </w:pPr>
      <w:r w:rsidRPr="00FB0A3A">
        <w:rPr>
          <w:rFonts w:ascii="Myriad Pro" w:eastAsia="Calibri" w:hAnsi="Myriad Pro" w:cs="Times New Roman"/>
          <w:sz w:val="26"/>
          <w:szCs w:val="26"/>
        </w:rPr>
        <w:t xml:space="preserve">Инвестиционная программа ПАО </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МРСК Северо-Запада</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 xml:space="preserve">, утвержденная </w:t>
      </w:r>
      <w:r w:rsidRPr="00297DA6">
        <w:rPr>
          <w:rFonts w:ascii="Myriad Pro" w:eastAsia="Calibri" w:hAnsi="Myriad Pro" w:cs="Times New Roman"/>
          <w:sz w:val="26"/>
          <w:szCs w:val="26"/>
        </w:rPr>
        <w:t xml:space="preserve">приказом Минэнерго России от 21.12.2018 №26@, по филиалу </w:t>
      </w:r>
      <w:r w:rsidR="00655FFA" w:rsidRPr="00297DA6">
        <w:rPr>
          <w:rFonts w:ascii="Myriad Pro" w:eastAsia="Calibri" w:hAnsi="Myriad Pro" w:cs="Times New Roman"/>
          <w:sz w:val="26"/>
          <w:szCs w:val="26"/>
        </w:rPr>
        <w:t>«</w:t>
      </w:r>
      <w:r w:rsidR="009F193E" w:rsidRPr="00297DA6">
        <w:rPr>
          <w:rFonts w:ascii="Myriad Pro" w:eastAsia="Calibri" w:hAnsi="Myriad Pro" w:cs="Times New Roman"/>
          <w:sz w:val="26"/>
          <w:szCs w:val="26"/>
        </w:rPr>
        <w:t>Кол</w:t>
      </w:r>
      <w:r w:rsidRPr="00297DA6">
        <w:rPr>
          <w:rFonts w:ascii="Myriad Pro" w:eastAsia="Calibri" w:hAnsi="Myriad Pro" w:cs="Times New Roman"/>
          <w:sz w:val="26"/>
          <w:szCs w:val="26"/>
        </w:rPr>
        <w:t>энерго</w:t>
      </w:r>
      <w:r w:rsidR="00655FFA" w:rsidRPr="00297DA6">
        <w:rPr>
          <w:rFonts w:ascii="Myriad Pro" w:eastAsia="Calibri" w:hAnsi="Myriad Pro" w:cs="Times New Roman"/>
          <w:sz w:val="26"/>
          <w:szCs w:val="26"/>
        </w:rPr>
        <w:t>»</w:t>
      </w:r>
      <w:r w:rsidRPr="00FB0A3A">
        <w:rPr>
          <w:rFonts w:ascii="Myriad Pro" w:eastAsia="Calibri" w:hAnsi="Myriad Pro" w:cs="Times New Roman"/>
          <w:sz w:val="26"/>
          <w:szCs w:val="26"/>
        </w:rPr>
        <w:t xml:space="preserve"> включает мероприятия по технологическому присоединению энергопринимающих устройств потребителей максимальной мощностью до 15</w:t>
      </w:r>
      <w:r w:rsidR="009808E8">
        <w:rPr>
          <w:rFonts w:ascii="Myriad Pro" w:eastAsia="Calibri" w:hAnsi="Myriad Pro" w:cs="Times New Roman"/>
          <w:sz w:val="26"/>
          <w:szCs w:val="26"/>
        </w:rPr>
        <w:t> </w:t>
      </w:r>
      <w:r w:rsidRPr="00FB0A3A">
        <w:rPr>
          <w:rFonts w:ascii="Myriad Pro" w:eastAsia="Calibri" w:hAnsi="Myriad Pro" w:cs="Times New Roman"/>
          <w:sz w:val="26"/>
          <w:szCs w:val="26"/>
        </w:rPr>
        <w:t xml:space="preserve">кВт включительно, связанных со строительством </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последней мили</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 xml:space="preserve">, общая величина затрат на выполнение указанных мероприятий в 2019 году составляет </w:t>
      </w:r>
      <w:r w:rsidR="00875219" w:rsidRPr="00FB0A3A">
        <w:rPr>
          <w:rFonts w:ascii="Myriad Pro" w:eastAsia="Calibri" w:hAnsi="Myriad Pro" w:cs="Times New Roman"/>
          <w:sz w:val="26"/>
          <w:szCs w:val="26"/>
        </w:rPr>
        <w:t>24,9</w:t>
      </w:r>
      <w:r w:rsidRPr="00FB0A3A">
        <w:rPr>
          <w:rFonts w:ascii="Myriad Pro" w:eastAsia="Calibri" w:hAnsi="Myriad Pro" w:cs="Times New Roman"/>
          <w:sz w:val="26"/>
          <w:szCs w:val="26"/>
        </w:rPr>
        <w:t xml:space="preserve"> млн. руб. (</w:t>
      </w:r>
      <w:r w:rsidRPr="00FB0A3A">
        <w:rPr>
          <w:rFonts w:ascii="Myriad Pro" w:eastAsia="Calibri" w:hAnsi="Myriad Pro" w:cs="Times New Roman"/>
          <w:bCs/>
          <w:sz w:val="26"/>
          <w:szCs w:val="26"/>
        </w:rPr>
        <w:t>без НДС).</w:t>
      </w:r>
    </w:p>
    <w:p w14:paraId="598CC601" w14:textId="5B13EC3F" w:rsidR="00165C62" w:rsidRPr="00FB0A3A" w:rsidRDefault="00165C62" w:rsidP="004202EB">
      <w:pPr>
        <w:pStyle w:val="afff4"/>
        <w:rPr>
          <w:lang w:val="ru-RU"/>
        </w:rPr>
      </w:pPr>
      <w:r w:rsidRPr="00FB0A3A">
        <w:rPr>
          <w:lang w:val="ru-RU"/>
        </w:rPr>
        <w:t xml:space="preserve">В соответствии с пунктом 5 Основ ценообразования в области регулируемых цен (тарифов) в электроэнергетике, утвержденных Постановлением Правительства РФ от 29.12.2011 № 1178, в целях исключения двойного учета затрат плановую величину выпадающих доходов по мероприятиям </w:t>
      </w:r>
      <w:r w:rsidR="00655FFA" w:rsidRPr="00FB0A3A">
        <w:rPr>
          <w:lang w:val="ru-RU"/>
        </w:rPr>
        <w:t>«</w:t>
      </w:r>
      <w:r w:rsidRPr="00FB0A3A">
        <w:rPr>
          <w:lang w:val="ru-RU"/>
        </w:rPr>
        <w:t>последней мили</w:t>
      </w:r>
      <w:r w:rsidR="00655FFA" w:rsidRPr="00FB0A3A">
        <w:rPr>
          <w:lang w:val="ru-RU"/>
        </w:rPr>
        <w:t>»</w:t>
      </w:r>
      <w:r w:rsidRPr="00FB0A3A">
        <w:rPr>
          <w:lang w:val="ru-RU"/>
        </w:rPr>
        <w:t xml:space="preserve"> на 2019 год следует скорректировать (уменьшить) с учетом мероприятий инвестиционной программы ПАО </w:t>
      </w:r>
      <w:r w:rsidR="00655FFA" w:rsidRPr="00FB0A3A">
        <w:rPr>
          <w:lang w:val="ru-RU"/>
        </w:rPr>
        <w:t>«</w:t>
      </w:r>
      <w:r w:rsidRPr="00FB0A3A">
        <w:rPr>
          <w:lang w:val="ru-RU"/>
        </w:rPr>
        <w:t>МРСК Северо-З</w:t>
      </w:r>
      <w:r w:rsidR="00875219" w:rsidRPr="00FB0A3A">
        <w:rPr>
          <w:lang w:val="ru-RU"/>
        </w:rPr>
        <w:t>апада</w:t>
      </w:r>
      <w:r w:rsidR="00655FFA" w:rsidRPr="00FB0A3A">
        <w:rPr>
          <w:lang w:val="ru-RU"/>
        </w:rPr>
        <w:t>»</w:t>
      </w:r>
      <w:r w:rsidR="00875219" w:rsidRPr="00FB0A3A">
        <w:rPr>
          <w:lang w:val="ru-RU"/>
        </w:rPr>
        <w:t xml:space="preserve"> в части филиала</w:t>
      </w:r>
      <w:r w:rsidR="004202EB" w:rsidRPr="00FB0A3A">
        <w:rPr>
          <w:lang w:val="ru-RU"/>
        </w:rPr>
        <w:t xml:space="preserve"> ПАО</w:t>
      </w:r>
      <w:r w:rsidR="009808E8">
        <w:rPr>
          <w:lang w:val="ru-RU"/>
        </w:rPr>
        <w:t> </w:t>
      </w:r>
      <w:r w:rsidR="004202EB" w:rsidRPr="00FB0A3A">
        <w:rPr>
          <w:lang w:val="ru-RU"/>
        </w:rPr>
        <w:t xml:space="preserve">«МРСК Северо-Запада» </w:t>
      </w:r>
      <w:r w:rsidR="00655FFA" w:rsidRPr="00FB0A3A">
        <w:rPr>
          <w:lang w:val="ru-RU"/>
        </w:rPr>
        <w:t>«</w:t>
      </w:r>
      <w:r w:rsidR="00875219" w:rsidRPr="00FB0A3A">
        <w:rPr>
          <w:lang w:val="ru-RU"/>
        </w:rPr>
        <w:t>Кол</w:t>
      </w:r>
      <w:r w:rsidRPr="00FB0A3A">
        <w:rPr>
          <w:lang w:val="ru-RU"/>
        </w:rPr>
        <w:t>энерго</w:t>
      </w:r>
      <w:r w:rsidR="00655FFA" w:rsidRPr="00FB0A3A">
        <w:rPr>
          <w:lang w:val="ru-RU"/>
        </w:rPr>
        <w:t>»</w:t>
      </w:r>
      <w:r w:rsidRPr="00FB0A3A">
        <w:rPr>
          <w:lang w:val="ru-RU"/>
        </w:rPr>
        <w:t>.</w:t>
      </w:r>
    </w:p>
    <w:tbl>
      <w:tblPr>
        <w:tblStyle w:val="afff6"/>
        <w:tblW w:w="5004" w:type="pct"/>
        <w:tblLayout w:type="fixed"/>
        <w:tblLook w:val="04A0" w:firstRow="1" w:lastRow="0" w:firstColumn="1" w:lastColumn="0" w:noHBand="0" w:noVBand="1"/>
      </w:tblPr>
      <w:tblGrid>
        <w:gridCol w:w="697"/>
        <w:gridCol w:w="3765"/>
        <w:gridCol w:w="1537"/>
        <w:gridCol w:w="1536"/>
        <w:gridCol w:w="1809"/>
        <w:gridCol w:w="7"/>
      </w:tblGrid>
      <w:tr w:rsidR="004202EB" w:rsidRPr="008A1FE3" w14:paraId="747D603A" w14:textId="77777777" w:rsidTr="002267D7">
        <w:trPr>
          <w:gridAfter w:val="1"/>
          <w:cnfStyle w:val="100000000000" w:firstRow="1" w:lastRow="0" w:firstColumn="0" w:lastColumn="0" w:oddVBand="0" w:evenVBand="0" w:oddHBand="0" w:evenHBand="0" w:firstRowFirstColumn="0" w:firstRowLastColumn="0" w:lastRowFirstColumn="0" w:lastRowLastColumn="0"/>
          <w:wAfter w:w="7" w:type="dxa"/>
        </w:trPr>
        <w:tc>
          <w:tcPr>
            <w:cnfStyle w:val="001000000000" w:firstRow="0" w:lastRow="0" w:firstColumn="1" w:lastColumn="0" w:oddVBand="0" w:evenVBand="0" w:oddHBand="0" w:evenHBand="0" w:firstRowFirstColumn="0" w:firstRowLastColumn="0" w:lastRowFirstColumn="0" w:lastRowLastColumn="0"/>
            <w:tcW w:w="70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505D1EC" w14:textId="0C0969C8" w:rsidR="002B6124" w:rsidRPr="008A1FE3" w:rsidRDefault="002B6124" w:rsidP="004202EB">
            <w:pPr>
              <w:jc w:val="center"/>
              <w:rPr>
                <w:sz w:val="20"/>
                <w:szCs w:val="20"/>
              </w:rPr>
            </w:pPr>
            <w:r w:rsidRPr="008A1FE3">
              <w:rPr>
                <w:sz w:val="20"/>
                <w:szCs w:val="20"/>
              </w:rPr>
              <w:t>№ п/п</w:t>
            </w:r>
          </w:p>
        </w:tc>
        <w:tc>
          <w:tcPr>
            <w:tcW w:w="382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B5326AC" w14:textId="77777777" w:rsidR="002B6124" w:rsidRPr="008A1FE3" w:rsidRDefault="002B6124" w:rsidP="004202EB">
            <w:pPr>
              <w:cnfStyle w:val="100000000000" w:firstRow="1" w:lastRow="0" w:firstColumn="0" w:lastColumn="0" w:oddVBand="0" w:evenVBand="0" w:oddHBand="0" w:evenHBand="0" w:firstRowFirstColumn="0" w:firstRowLastColumn="0" w:lastRowFirstColumn="0" w:lastRowLastColumn="0"/>
              <w:rPr>
                <w:sz w:val="20"/>
                <w:szCs w:val="20"/>
              </w:rPr>
            </w:pPr>
            <w:r w:rsidRPr="008A1FE3">
              <w:rPr>
                <w:sz w:val="20"/>
                <w:szCs w:val="20"/>
              </w:rPr>
              <w:t>Показатели</w:t>
            </w:r>
          </w:p>
        </w:tc>
        <w:tc>
          <w:tcPr>
            <w:tcW w:w="4956"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2FFF6974" w14:textId="77777777" w:rsidR="002B6124" w:rsidRPr="008A1FE3" w:rsidRDefault="002B6124" w:rsidP="004202EB">
            <w:pPr>
              <w:cnfStyle w:val="100000000000" w:firstRow="1" w:lastRow="0" w:firstColumn="0" w:lastColumn="0" w:oddVBand="0" w:evenVBand="0" w:oddHBand="0" w:evenHBand="0" w:firstRowFirstColumn="0" w:firstRowLastColumn="0" w:lastRowFirstColumn="0" w:lastRowLastColumn="0"/>
              <w:rPr>
                <w:sz w:val="20"/>
                <w:szCs w:val="20"/>
              </w:rPr>
            </w:pPr>
            <w:r w:rsidRPr="008A1FE3">
              <w:rPr>
                <w:sz w:val="20"/>
                <w:szCs w:val="20"/>
              </w:rPr>
              <w:t>2019</w:t>
            </w:r>
          </w:p>
        </w:tc>
      </w:tr>
      <w:tr w:rsidR="004202EB" w:rsidRPr="008A1FE3" w14:paraId="0F4D0EEE" w14:textId="77777777" w:rsidTr="002267D7">
        <w:trPr>
          <w:gridAfter w:val="1"/>
          <w:wAfter w:w="7" w:type="dxa"/>
        </w:trPr>
        <w:tc>
          <w:tcPr>
            <w:cnfStyle w:val="001000000000" w:firstRow="0" w:lastRow="0" w:firstColumn="1" w:lastColumn="0" w:oddVBand="0" w:evenVBand="0" w:oddHBand="0" w:evenHBand="0" w:firstRowFirstColumn="0" w:firstRowLastColumn="0" w:lastRowFirstColumn="0" w:lastRowLastColumn="0"/>
            <w:tcW w:w="70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08E19027" w14:textId="77777777" w:rsidR="002B6124" w:rsidRPr="008A1FE3" w:rsidRDefault="002B6124" w:rsidP="004202EB">
            <w:pPr>
              <w:jc w:val="center"/>
              <w:rPr>
                <w:color w:val="FFFFFF" w:themeColor="background1"/>
                <w:sz w:val="20"/>
                <w:szCs w:val="20"/>
              </w:rPr>
            </w:pPr>
          </w:p>
        </w:tc>
        <w:tc>
          <w:tcPr>
            <w:tcW w:w="382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5063DE0A" w14:textId="77777777" w:rsidR="002B6124" w:rsidRPr="008A1FE3" w:rsidRDefault="002B6124" w:rsidP="004202EB">
            <w:pPr>
              <w:cnfStyle w:val="000000000000" w:firstRow="0" w:lastRow="0" w:firstColumn="0" w:lastColumn="0" w:oddVBand="0" w:evenVBand="0" w:oddHBand="0" w:evenHBand="0" w:firstRowFirstColumn="0" w:firstRowLastColumn="0" w:lastRowFirstColumn="0" w:lastRowLastColumn="0"/>
              <w:rPr>
                <w:color w:val="FFFFFF" w:themeColor="background1"/>
                <w:sz w:val="20"/>
                <w:szCs w:val="20"/>
              </w:rPr>
            </w:pPr>
          </w:p>
        </w:tc>
        <w:tc>
          <w:tcPr>
            <w:tcW w:w="4956"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224A167A" w14:textId="77777777" w:rsidR="002B6124" w:rsidRPr="008A1FE3" w:rsidRDefault="002B6124" w:rsidP="004202EB">
            <w:pPr>
              <w:cnfStyle w:val="000000000000" w:firstRow="0" w:lastRow="0" w:firstColumn="0" w:lastColumn="0" w:oddVBand="0" w:evenVBand="0" w:oddHBand="0" w:evenHBand="0" w:firstRowFirstColumn="0" w:firstRowLastColumn="0" w:lastRowFirstColumn="0" w:lastRowLastColumn="0"/>
              <w:rPr>
                <w:color w:val="FFFFFF" w:themeColor="background1"/>
                <w:sz w:val="20"/>
                <w:szCs w:val="20"/>
              </w:rPr>
            </w:pPr>
            <w:r w:rsidRPr="008A1FE3">
              <w:rPr>
                <w:color w:val="FFFFFF" w:themeColor="background1"/>
                <w:sz w:val="20"/>
                <w:szCs w:val="20"/>
              </w:rPr>
              <w:t>Плановые показатели на следующий период регулирования</w:t>
            </w:r>
          </w:p>
        </w:tc>
      </w:tr>
      <w:tr w:rsidR="004202EB" w:rsidRPr="008A1FE3" w14:paraId="24975106" w14:textId="77777777" w:rsidTr="002267D7">
        <w:trPr>
          <w:gridAfter w:val="1"/>
          <w:wAfter w:w="7" w:type="dxa"/>
        </w:trPr>
        <w:tc>
          <w:tcPr>
            <w:cnfStyle w:val="001000000000" w:firstRow="0" w:lastRow="0" w:firstColumn="1" w:lastColumn="0" w:oddVBand="0" w:evenVBand="0" w:oddHBand="0" w:evenHBand="0" w:firstRowFirstColumn="0" w:firstRowLastColumn="0" w:lastRowFirstColumn="0" w:lastRowLastColumn="0"/>
            <w:tcW w:w="70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A427450" w14:textId="77777777" w:rsidR="002B6124" w:rsidRPr="008A1FE3" w:rsidRDefault="002B6124" w:rsidP="004202EB">
            <w:pPr>
              <w:jc w:val="center"/>
              <w:rPr>
                <w:color w:val="FFFFFF" w:themeColor="background1"/>
                <w:sz w:val="20"/>
                <w:szCs w:val="20"/>
              </w:rPr>
            </w:pPr>
          </w:p>
        </w:tc>
        <w:tc>
          <w:tcPr>
            <w:tcW w:w="382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0274EF37" w14:textId="77777777" w:rsidR="002B6124" w:rsidRPr="008A1FE3" w:rsidRDefault="002B6124" w:rsidP="004202EB">
            <w:pPr>
              <w:cnfStyle w:val="000000000000" w:firstRow="0" w:lastRow="0" w:firstColumn="0" w:lastColumn="0" w:oddVBand="0" w:evenVBand="0" w:oddHBand="0" w:evenHBand="0" w:firstRowFirstColumn="0" w:firstRowLastColumn="0" w:lastRowFirstColumn="0" w:lastRowLastColumn="0"/>
              <w:rPr>
                <w:color w:val="FFFFFF" w:themeColor="background1"/>
                <w:sz w:val="20"/>
                <w:szCs w:val="20"/>
              </w:rPr>
            </w:pPr>
          </w:p>
        </w:tc>
        <w:tc>
          <w:tcPr>
            <w:tcW w:w="15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5B09D5C3" w14:textId="77777777" w:rsidR="002B6124" w:rsidRPr="008A1FE3" w:rsidRDefault="002B6124" w:rsidP="004202EB">
            <w:pPr>
              <w:cnfStyle w:val="000000000000" w:firstRow="0" w:lastRow="0" w:firstColumn="0" w:lastColumn="0" w:oddVBand="0" w:evenVBand="0" w:oddHBand="0" w:evenHBand="0" w:firstRowFirstColumn="0" w:firstRowLastColumn="0" w:lastRowFirstColumn="0" w:lastRowLastColumn="0"/>
              <w:rPr>
                <w:color w:val="FFFFFF" w:themeColor="background1"/>
                <w:sz w:val="20"/>
                <w:szCs w:val="20"/>
              </w:rPr>
            </w:pPr>
            <w:r w:rsidRPr="008A1FE3">
              <w:rPr>
                <w:color w:val="FFFFFF" w:themeColor="background1"/>
                <w:sz w:val="20"/>
                <w:szCs w:val="20"/>
              </w:rPr>
              <w:t>стандарт, тариф, ставка (руб./кВт, руб./км, руб./шт.)</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235A904E" w14:textId="77777777" w:rsidR="002B6124" w:rsidRPr="008A1FE3" w:rsidRDefault="002B6124" w:rsidP="004202EB">
            <w:pPr>
              <w:cnfStyle w:val="000000000000" w:firstRow="0" w:lastRow="0" w:firstColumn="0" w:lastColumn="0" w:oddVBand="0" w:evenVBand="0" w:oddHBand="0" w:evenHBand="0" w:firstRowFirstColumn="0" w:firstRowLastColumn="0" w:lastRowFirstColumn="0" w:lastRowLastColumn="0"/>
              <w:rPr>
                <w:color w:val="FFFFFF" w:themeColor="background1"/>
                <w:sz w:val="20"/>
                <w:szCs w:val="20"/>
              </w:rPr>
            </w:pPr>
            <w:r w:rsidRPr="008A1FE3">
              <w:rPr>
                <w:color w:val="FFFFFF" w:themeColor="background1"/>
                <w:sz w:val="20"/>
                <w:szCs w:val="20"/>
              </w:rPr>
              <w:t>мощность, длина линий (кВт, км, шт.)</w:t>
            </w:r>
          </w:p>
        </w:tc>
        <w:tc>
          <w:tcPr>
            <w:tcW w:w="18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645ED17B" w14:textId="77777777" w:rsidR="002B6124" w:rsidRPr="008A1FE3" w:rsidRDefault="002B6124" w:rsidP="004202EB">
            <w:pPr>
              <w:cnfStyle w:val="000000000000" w:firstRow="0" w:lastRow="0" w:firstColumn="0" w:lastColumn="0" w:oddVBand="0" w:evenVBand="0" w:oddHBand="0" w:evenHBand="0" w:firstRowFirstColumn="0" w:firstRowLastColumn="0" w:lastRowFirstColumn="0" w:lastRowLastColumn="0"/>
              <w:rPr>
                <w:color w:val="FFFFFF" w:themeColor="background1"/>
                <w:sz w:val="20"/>
                <w:szCs w:val="20"/>
              </w:rPr>
            </w:pPr>
            <w:r w:rsidRPr="008A1FE3">
              <w:rPr>
                <w:color w:val="FFFFFF" w:themeColor="background1"/>
                <w:sz w:val="20"/>
                <w:szCs w:val="20"/>
              </w:rPr>
              <w:t>расходы на строительство объекта (тыс. руб.)</w:t>
            </w:r>
          </w:p>
        </w:tc>
      </w:tr>
      <w:tr w:rsidR="004202EB" w:rsidRPr="008A1FE3" w14:paraId="23719B05" w14:textId="77777777" w:rsidTr="002267D7">
        <w:trPr>
          <w:gridAfter w:val="1"/>
          <w:wAfter w:w="7" w:type="dxa"/>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FFFFFF" w:themeColor="background1"/>
            </w:tcBorders>
            <w:hideMark/>
          </w:tcPr>
          <w:p w14:paraId="5C0C17E3" w14:textId="77777777" w:rsidR="002B6124" w:rsidRPr="008A1FE3" w:rsidRDefault="002B6124" w:rsidP="004202EB">
            <w:pPr>
              <w:jc w:val="center"/>
              <w:rPr>
                <w:sz w:val="20"/>
                <w:szCs w:val="20"/>
              </w:rPr>
            </w:pPr>
            <w:r w:rsidRPr="008A1FE3">
              <w:rPr>
                <w:sz w:val="20"/>
                <w:szCs w:val="20"/>
              </w:rPr>
              <w:t>1.</w:t>
            </w:r>
          </w:p>
        </w:tc>
        <w:tc>
          <w:tcPr>
            <w:tcW w:w="3827" w:type="dxa"/>
            <w:tcBorders>
              <w:top w:val="single" w:sz="4" w:space="0" w:color="FFFFFF" w:themeColor="background1"/>
            </w:tcBorders>
            <w:hideMark/>
          </w:tcPr>
          <w:p w14:paraId="56FD4EF5" w14:textId="77777777" w:rsidR="002B6124" w:rsidRPr="008A1FE3" w:rsidRDefault="002B6124" w:rsidP="004202EB">
            <w:pPr>
              <w:jc w:val="left"/>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Расходы на выполнение организационно-технических мероприятий, связанные с осуществлением технологического присоединения [пункт 1.1 + пункт 1.2]:</w:t>
            </w:r>
          </w:p>
        </w:tc>
        <w:tc>
          <w:tcPr>
            <w:tcW w:w="1560" w:type="dxa"/>
            <w:tcBorders>
              <w:top w:val="single" w:sz="4" w:space="0" w:color="FFFFFF" w:themeColor="background1"/>
            </w:tcBorders>
            <w:hideMark/>
          </w:tcPr>
          <w:p w14:paraId="4ECAF1A2" w14:textId="77777777" w:rsidR="002B6124" w:rsidRPr="008A1FE3" w:rsidRDefault="002B6124" w:rsidP="004202EB">
            <w:pPr>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2 899</w:t>
            </w:r>
          </w:p>
        </w:tc>
        <w:tc>
          <w:tcPr>
            <w:tcW w:w="1559" w:type="dxa"/>
            <w:tcBorders>
              <w:top w:val="single" w:sz="4" w:space="0" w:color="FFFFFF" w:themeColor="background1"/>
            </w:tcBorders>
            <w:hideMark/>
          </w:tcPr>
          <w:p w14:paraId="5AA4AB84" w14:textId="77777777" w:rsidR="002B6124" w:rsidRPr="008A1FE3" w:rsidRDefault="002B6124" w:rsidP="004202EB">
            <w:pPr>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2 706,102</w:t>
            </w:r>
          </w:p>
        </w:tc>
        <w:tc>
          <w:tcPr>
            <w:tcW w:w="1837" w:type="dxa"/>
            <w:tcBorders>
              <w:top w:val="single" w:sz="4" w:space="0" w:color="FFFFFF" w:themeColor="background1"/>
            </w:tcBorders>
            <w:hideMark/>
          </w:tcPr>
          <w:p w14:paraId="7A54D4B8" w14:textId="77777777" w:rsidR="002B6124" w:rsidRPr="008A1FE3" w:rsidRDefault="002B6124" w:rsidP="004202EB">
            <w:pPr>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7 844,99</w:t>
            </w:r>
          </w:p>
        </w:tc>
      </w:tr>
      <w:tr w:rsidR="004202EB" w:rsidRPr="008A1FE3" w14:paraId="712C679B" w14:textId="77777777" w:rsidTr="004202EB">
        <w:trPr>
          <w:gridAfter w:val="1"/>
          <w:wAfter w:w="7" w:type="dxa"/>
        </w:trPr>
        <w:tc>
          <w:tcPr>
            <w:cnfStyle w:val="001000000000" w:firstRow="0" w:lastRow="0" w:firstColumn="1" w:lastColumn="0" w:oddVBand="0" w:evenVBand="0" w:oddHBand="0" w:evenHBand="0" w:firstRowFirstColumn="0" w:firstRowLastColumn="0" w:lastRowFirstColumn="0" w:lastRowLastColumn="0"/>
            <w:tcW w:w="704" w:type="dxa"/>
            <w:hideMark/>
          </w:tcPr>
          <w:p w14:paraId="5854D22D" w14:textId="77777777" w:rsidR="002B6124" w:rsidRPr="008A1FE3" w:rsidRDefault="002B6124" w:rsidP="004202EB">
            <w:pPr>
              <w:jc w:val="center"/>
              <w:rPr>
                <w:sz w:val="20"/>
                <w:szCs w:val="20"/>
              </w:rPr>
            </w:pPr>
            <w:r w:rsidRPr="008A1FE3">
              <w:rPr>
                <w:sz w:val="20"/>
                <w:szCs w:val="20"/>
              </w:rPr>
              <w:t>1.1.</w:t>
            </w:r>
          </w:p>
        </w:tc>
        <w:tc>
          <w:tcPr>
            <w:tcW w:w="3827" w:type="dxa"/>
            <w:hideMark/>
          </w:tcPr>
          <w:p w14:paraId="490FED80" w14:textId="77777777" w:rsidR="002B6124" w:rsidRPr="008A1FE3" w:rsidRDefault="002B6124" w:rsidP="004202EB">
            <w:pPr>
              <w:jc w:val="left"/>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подготовка и выдача сетевой организацией технических условий (ТУ) Заявителю, на уровне напряжения i и (или) диапазоне мощности j</w:t>
            </w:r>
          </w:p>
        </w:tc>
        <w:tc>
          <w:tcPr>
            <w:tcW w:w="1560" w:type="dxa"/>
            <w:hideMark/>
          </w:tcPr>
          <w:p w14:paraId="03172996" w14:textId="77777777" w:rsidR="002B6124" w:rsidRPr="008A1FE3" w:rsidRDefault="002B6124" w:rsidP="004202EB">
            <w:pPr>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1 163</w:t>
            </w:r>
          </w:p>
        </w:tc>
        <w:tc>
          <w:tcPr>
            <w:tcW w:w="1559" w:type="dxa"/>
            <w:hideMark/>
          </w:tcPr>
          <w:p w14:paraId="2AA30A0E" w14:textId="77777777" w:rsidR="002B6124" w:rsidRPr="008A1FE3" w:rsidRDefault="002B6124" w:rsidP="004202EB">
            <w:pPr>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2 706,102</w:t>
            </w:r>
          </w:p>
        </w:tc>
        <w:tc>
          <w:tcPr>
            <w:tcW w:w="1837" w:type="dxa"/>
            <w:hideMark/>
          </w:tcPr>
          <w:p w14:paraId="4BC57528" w14:textId="77777777" w:rsidR="002B6124" w:rsidRPr="008A1FE3" w:rsidRDefault="002B6124" w:rsidP="004202EB">
            <w:pPr>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3 147,20</w:t>
            </w:r>
          </w:p>
        </w:tc>
      </w:tr>
      <w:tr w:rsidR="004202EB" w:rsidRPr="008A1FE3" w14:paraId="3D868FDF" w14:textId="77777777" w:rsidTr="004202EB">
        <w:trPr>
          <w:gridAfter w:val="1"/>
          <w:wAfter w:w="7" w:type="dxa"/>
        </w:trPr>
        <w:tc>
          <w:tcPr>
            <w:cnfStyle w:val="001000000000" w:firstRow="0" w:lastRow="0" w:firstColumn="1" w:lastColumn="0" w:oddVBand="0" w:evenVBand="0" w:oddHBand="0" w:evenHBand="0" w:firstRowFirstColumn="0" w:firstRowLastColumn="0" w:lastRowFirstColumn="0" w:lastRowLastColumn="0"/>
            <w:tcW w:w="704" w:type="dxa"/>
            <w:hideMark/>
          </w:tcPr>
          <w:p w14:paraId="4F8F8A9C" w14:textId="77777777" w:rsidR="002B6124" w:rsidRPr="008A1FE3" w:rsidRDefault="002B6124" w:rsidP="004202EB">
            <w:pPr>
              <w:jc w:val="center"/>
              <w:rPr>
                <w:sz w:val="20"/>
                <w:szCs w:val="20"/>
              </w:rPr>
            </w:pPr>
            <w:r w:rsidRPr="008A1FE3">
              <w:rPr>
                <w:sz w:val="20"/>
                <w:szCs w:val="20"/>
              </w:rPr>
              <w:t>1.2.</w:t>
            </w:r>
          </w:p>
        </w:tc>
        <w:tc>
          <w:tcPr>
            <w:tcW w:w="3827" w:type="dxa"/>
            <w:hideMark/>
          </w:tcPr>
          <w:p w14:paraId="50C572B0" w14:textId="77777777" w:rsidR="002B6124" w:rsidRPr="008A1FE3" w:rsidRDefault="002B6124" w:rsidP="004202EB">
            <w:pPr>
              <w:jc w:val="left"/>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 xml:space="preserve">проверка сетевой организацией выполнения Заявителем ТУ, на уровне напряжения i и (или) диапазоне мощности j </w:t>
            </w:r>
          </w:p>
        </w:tc>
        <w:tc>
          <w:tcPr>
            <w:tcW w:w="1560" w:type="dxa"/>
            <w:hideMark/>
          </w:tcPr>
          <w:p w14:paraId="41CDB8FB" w14:textId="77777777" w:rsidR="002B6124" w:rsidRPr="008A1FE3" w:rsidRDefault="002B6124" w:rsidP="004202EB">
            <w:pPr>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1 736</w:t>
            </w:r>
          </w:p>
        </w:tc>
        <w:tc>
          <w:tcPr>
            <w:tcW w:w="1559" w:type="dxa"/>
            <w:hideMark/>
          </w:tcPr>
          <w:p w14:paraId="0C3E565E" w14:textId="77777777" w:rsidR="002B6124" w:rsidRPr="008A1FE3" w:rsidRDefault="002B6124" w:rsidP="004202EB">
            <w:pPr>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2 706,102</w:t>
            </w:r>
          </w:p>
        </w:tc>
        <w:tc>
          <w:tcPr>
            <w:tcW w:w="1837" w:type="dxa"/>
            <w:hideMark/>
          </w:tcPr>
          <w:p w14:paraId="4E841E2D" w14:textId="77777777" w:rsidR="002B6124" w:rsidRPr="008A1FE3" w:rsidRDefault="002B6124" w:rsidP="004202EB">
            <w:pPr>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4 697,79</w:t>
            </w:r>
          </w:p>
        </w:tc>
      </w:tr>
      <w:tr w:rsidR="004202EB" w:rsidRPr="008A1FE3" w14:paraId="3DD9CFAA" w14:textId="77777777" w:rsidTr="004202EB">
        <w:trPr>
          <w:gridAfter w:val="1"/>
          <w:wAfter w:w="7" w:type="dxa"/>
        </w:trPr>
        <w:tc>
          <w:tcPr>
            <w:cnfStyle w:val="001000000000" w:firstRow="0" w:lastRow="0" w:firstColumn="1" w:lastColumn="0" w:oddVBand="0" w:evenVBand="0" w:oddHBand="0" w:evenHBand="0" w:firstRowFirstColumn="0" w:firstRowLastColumn="0" w:lastRowFirstColumn="0" w:lastRowLastColumn="0"/>
            <w:tcW w:w="704" w:type="dxa"/>
            <w:hideMark/>
          </w:tcPr>
          <w:p w14:paraId="6E4A2A96" w14:textId="77777777" w:rsidR="002B6124" w:rsidRPr="008A1FE3" w:rsidRDefault="002B6124" w:rsidP="004202EB">
            <w:pPr>
              <w:jc w:val="center"/>
              <w:rPr>
                <w:sz w:val="20"/>
                <w:szCs w:val="20"/>
              </w:rPr>
            </w:pPr>
            <w:r w:rsidRPr="008A1FE3">
              <w:rPr>
                <w:sz w:val="20"/>
                <w:szCs w:val="20"/>
              </w:rPr>
              <w:t>2.</w:t>
            </w:r>
          </w:p>
        </w:tc>
        <w:tc>
          <w:tcPr>
            <w:tcW w:w="3827" w:type="dxa"/>
            <w:hideMark/>
          </w:tcPr>
          <w:p w14:paraId="2E50AEC2" w14:textId="4520C0A1" w:rsidR="002B6124" w:rsidRPr="008A1FE3" w:rsidRDefault="002B6124" w:rsidP="004202EB">
            <w:pPr>
              <w:jc w:val="left"/>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 xml:space="preserve">Расходы по мероприятиям </w:t>
            </w:r>
            <w:r w:rsidR="00655FFA" w:rsidRPr="008A1FE3">
              <w:rPr>
                <w:sz w:val="20"/>
                <w:szCs w:val="20"/>
              </w:rPr>
              <w:t>«</w:t>
            </w:r>
            <w:r w:rsidRPr="008A1FE3">
              <w:rPr>
                <w:sz w:val="20"/>
                <w:szCs w:val="20"/>
              </w:rPr>
              <w:t>последней мили</w:t>
            </w:r>
            <w:r w:rsidR="00655FFA" w:rsidRPr="008A1FE3">
              <w:rPr>
                <w:sz w:val="20"/>
                <w:szCs w:val="20"/>
              </w:rPr>
              <w:t>»</w:t>
            </w:r>
            <w:r w:rsidRPr="008A1FE3">
              <w:rPr>
                <w:sz w:val="20"/>
                <w:szCs w:val="20"/>
              </w:rPr>
              <w:t>, связанные с осуществлением технологического присоединения</w:t>
            </w:r>
          </w:p>
        </w:tc>
        <w:tc>
          <w:tcPr>
            <w:tcW w:w="1560" w:type="dxa"/>
            <w:hideMark/>
          </w:tcPr>
          <w:p w14:paraId="684D2277" w14:textId="77777777" w:rsidR="002B6124" w:rsidRPr="008A1FE3" w:rsidRDefault="002B6124" w:rsidP="004202EB">
            <w:pPr>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 </w:t>
            </w:r>
          </w:p>
        </w:tc>
        <w:tc>
          <w:tcPr>
            <w:tcW w:w="1559" w:type="dxa"/>
            <w:hideMark/>
          </w:tcPr>
          <w:p w14:paraId="72300ED6" w14:textId="77777777" w:rsidR="002B6124" w:rsidRPr="008A1FE3" w:rsidRDefault="002B6124" w:rsidP="004202EB">
            <w:pPr>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1 117,360</w:t>
            </w:r>
          </w:p>
        </w:tc>
        <w:tc>
          <w:tcPr>
            <w:tcW w:w="1837" w:type="dxa"/>
            <w:hideMark/>
          </w:tcPr>
          <w:p w14:paraId="38B61F41" w14:textId="77777777" w:rsidR="002B6124" w:rsidRPr="008A1FE3" w:rsidRDefault="002B6124" w:rsidP="004202EB">
            <w:pPr>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35 370,94</w:t>
            </w:r>
          </w:p>
        </w:tc>
      </w:tr>
      <w:tr w:rsidR="004202EB" w:rsidRPr="008A1FE3" w14:paraId="6A2F877B" w14:textId="77777777" w:rsidTr="004202EB">
        <w:trPr>
          <w:gridAfter w:val="1"/>
          <w:wAfter w:w="7" w:type="dxa"/>
        </w:trPr>
        <w:tc>
          <w:tcPr>
            <w:cnfStyle w:val="001000000000" w:firstRow="0" w:lastRow="0" w:firstColumn="1" w:lastColumn="0" w:oddVBand="0" w:evenVBand="0" w:oddHBand="0" w:evenHBand="0" w:firstRowFirstColumn="0" w:firstRowLastColumn="0" w:lastRowFirstColumn="0" w:lastRowLastColumn="0"/>
            <w:tcW w:w="704" w:type="dxa"/>
            <w:hideMark/>
          </w:tcPr>
          <w:p w14:paraId="6800786F" w14:textId="77777777" w:rsidR="002B6124" w:rsidRPr="008A1FE3" w:rsidRDefault="002B6124" w:rsidP="004202EB">
            <w:pPr>
              <w:jc w:val="center"/>
              <w:rPr>
                <w:sz w:val="20"/>
                <w:szCs w:val="20"/>
              </w:rPr>
            </w:pPr>
            <w:r w:rsidRPr="008A1FE3">
              <w:rPr>
                <w:sz w:val="20"/>
                <w:szCs w:val="20"/>
              </w:rPr>
              <w:lastRenderedPageBreak/>
              <w:t>3</w:t>
            </w:r>
          </w:p>
        </w:tc>
        <w:tc>
          <w:tcPr>
            <w:tcW w:w="3827" w:type="dxa"/>
            <w:hideMark/>
          </w:tcPr>
          <w:p w14:paraId="751925B2" w14:textId="77777777" w:rsidR="002B6124" w:rsidRPr="008A1FE3" w:rsidRDefault="002B6124" w:rsidP="004202EB">
            <w:pPr>
              <w:jc w:val="left"/>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Строительство воздушных линий</w:t>
            </w:r>
          </w:p>
        </w:tc>
        <w:tc>
          <w:tcPr>
            <w:tcW w:w="1560" w:type="dxa"/>
            <w:hideMark/>
          </w:tcPr>
          <w:p w14:paraId="60C802AA" w14:textId="77777777" w:rsidR="002B6124" w:rsidRPr="008A1FE3" w:rsidRDefault="002B6124" w:rsidP="004202EB">
            <w:pPr>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 </w:t>
            </w:r>
          </w:p>
        </w:tc>
        <w:tc>
          <w:tcPr>
            <w:tcW w:w="1559" w:type="dxa"/>
            <w:hideMark/>
          </w:tcPr>
          <w:p w14:paraId="741B2E43" w14:textId="77777777" w:rsidR="002B6124" w:rsidRPr="008A1FE3" w:rsidRDefault="002B6124" w:rsidP="004202EB">
            <w:pPr>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10,236</w:t>
            </w:r>
          </w:p>
        </w:tc>
        <w:tc>
          <w:tcPr>
            <w:tcW w:w="1837" w:type="dxa"/>
            <w:hideMark/>
          </w:tcPr>
          <w:p w14:paraId="51CABFDE" w14:textId="77777777" w:rsidR="002B6124" w:rsidRPr="008A1FE3" w:rsidRDefault="002B6124" w:rsidP="004202EB">
            <w:pPr>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19 780,85</w:t>
            </w:r>
          </w:p>
        </w:tc>
      </w:tr>
      <w:tr w:rsidR="004202EB" w:rsidRPr="008A1FE3" w14:paraId="7C1949CE" w14:textId="77777777" w:rsidTr="004202EB">
        <w:trPr>
          <w:gridAfter w:val="1"/>
          <w:wAfter w:w="7" w:type="dxa"/>
        </w:trPr>
        <w:tc>
          <w:tcPr>
            <w:cnfStyle w:val="001000000000" w:firstRow="0" w:lastRow="0" w:firstColumn="1" w:lastColumn="0" w:oddVBand="0" w:evenVBand="0" w:oddHBand="0" w:evenHBand="0" w:firstRowFirstColumn="0" w:firstRowLastColumn="0" w:lastRowFirstColumn="0" w:lastRowLastColumn="0"/>
            <w:tcW w:w="704" w:type="dxa"/>
            <w:hideMark/>
          </w:tcPr>
          <w:p w14:paraId="3C6D5FBD" w14:textId="1377B07E" w:rsidR="002B6124" w:rsidRPr="008A1FE3" w:rsidRDefault="002B6124" w:rsidP="004202EB">
            <w:pPr>
              <w:jc w:val="center"/>
              <w:rPr>
                <w:sz w:val="20"/>
                <w:szCs w:val="20"/>
              </w:rPr>
            </w:pPr>
          </w:p>
        </w:tc>
        <w:tc>
          <w:tcPr>
            <w:tcW w:w="3827" w:type="dxa"/>
            <w:hideMark/>
          </w:tcPr>
          <w:p w14:paraId="4AFE9845" w14:textId="77777777" w:rsidR="002B6124" w:rsidRPr="008A1FE3" w:rsidRDefault="002B6124" w:rsidP="004202EB">
            <w:pPr>
              <w:jc w:val="left"/>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 xml:space="preserve">Строительство воздушных линий </w:t>
            </w:r>
            <w:r w:rsidRPr="008A1FE3">
              <w:rPr>
                <w:sz w:val="20"/>
                <w:szCs w:val="20"/>
              </w:rPr>
              <w:br/>
              <w:t>Номинальное напряжение до 1 кВ</w:t>
            </w:r>
          </w:p>
        </w:tc>
        <w:tc>
          <w:tcPr>
            <w:tcW w:w="1560" w:type="dxa"/>
            <w:hideMark/>
          </w:tcPr>
          <w:p w14:paraId="24247B44" w14:textId="77777777" w:rsidR="002B6124" w:rsidRPr="008A1FE3" w:rsidRDefault="002B6124" w:rsidP="004202EB">
            <w:pPr>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952 700</w:t>
            </w:r>
          </w:p>
        </w:tc>
        <w:tc>
          <w:tcPr>
            <w:tcW w:w="1559" w:type="dxa"/>
            <w:hideMark/>
          </w:tcPr>
          <w:p w14:paraId="26999E45" w14:textId="77777777" w:rsidR="002B6124" w:rsidRPr="008A1FE3" w:rsidRDefault="002B6124" w:rsidP="004202EB">
            <w:pPr>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4,824</w:t>
            </w:r>
          </w:p>
        </w:tc>
        <w:tc>
          <w:tcPr>
            <w:tcW w:w="1837" w:type="dxa"/>
            <w:hideMark/>
          </w:tcPr>
          <w:p w14:paraId="6E598A3D" w14:textId="77777777" w:rsidR="002B6124" w:rsidRPr="008A1FE3" w:rsidRDefault="002B6124" w:rsidP="004202EB">
            <w:pPr>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6 079,17</w:t>
            </w:r>
          </w:p>
        </w:tc>
      </w:tr>
      <w:tr w:rsidR="004202EB" w:rsidRPr="008A1FE3" w14:paraId="6DD568FC" w14:textId="77777777" w:rsidTr="004202EB">
        <w:trPr>
          <w:gridAfter w:val="1"/>
          <w:wAfter w:w="7" w:type="dxa"/>
        </w:trPr>
        <w:tc>
          <w:tcPr>
            <w:cnfStyle w:val="001000000000" w:firstRow="0" w:lastRow="0" w:firstColumn="1" w:lastColumn="0" w:oddVBand="0" w:evenVBand="0" w:oddHBand="0" w:evenHBand="0" w:firstRowFirstColumn="0" w:firstRowLastColumn="0" w:lastRowFirstColumn="0" w:lastRowLastColumn="0"/>
            <w:tcW w:w="704" w:type="dxa"/>
            <w:hideMark/>
          </w:tcPr>
          <w:p w14:paraId="71316995" w14:textId="683D2E2D" w:rsidR="002B6124" w:rsidRPr="008A1FE3" w:rsidRDefault="002B6124" w:rsidP="004202EB">
            <w:pPr>
              <w:jc w:val="center"/>
              <w:rPr>
                <w:sz w:val="20"/>
                <w:szCs w:val="20"/>
              </w:rPr>
            </w:pPr>
            <w:r w:rsidRPr="008A1FE3">
              <w:rPr>
                <w:sz w:val="20"/>
                <w:szCs w:val="20"/>
              </w:rPr>
              <w:t>3.1.1.</w:t>
            </w:r>
          </w:p>
        </w:tc>
        <w:tc>
          <w:tcPr>
            <w:tcW w:w="3827" w:type="dxa"/>
            <w:hideMark/>
          </w:tcPr>
          <w:p w14:paraId="0FAC5BD0" w14:textId="4FCDBF8F" w:rsidR="002B6124" w:rsidRPr="008A1FE3" w:rsidRDefault="002B6124" w:rsidP="004202EB">
            <w:pPr>
              <w:jc w:val="left"/>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 xml:space="preserve">Город ВЛ 0,4 кВ; деревянные опоры; провод - изолированный, </w:t>
            </w:r>
            <w:r w:rsidR="00164398" w:rsidRPr="008A1FE3">
              <w:rPr>
                <w:sz w:val="20"/>
                <w:szCs w:val="20"/>
              </w:rPr>
              <w:t>сталеалюминевый</w:t>
            </w:r>
            <w:r w:rsidRPr="008A1FE3">
              <w:rPr>
                <w:sz w:val="20"/>
                <w:szCs w:val="20"/>
              </w:rPr>
              <w:t>, сечением до 50 мм2</w:t>
            </w:r>
          </w:p>
        </w:tc>
        <w:tc>
          <w:tcPr>
            <w:tcW w:w="1560" w:type="dxa"/>
            <w:hideMark/>
          </w:tcPr>
          <w:p w14:paraId="624AF694" w14:textId="77777777" w:rsidR="002B6124" w:rsidRPr="008A1FE3" w:rsidRDefault="002B6124" w:rsidP="004202EB">
            <w:pPr>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952 700</w:t>
            </w:r>
          </w:p>
        </w:tc>
        <w:tc>
          <w:tcPr>
            <w:tcW w:w="1559" w:type="dxa"/>
            <w:hideMark/>
          </w:tcPr>
          <w:p w14:paraId="70E2788F" w14:textId="77777777" w:rsidR="002B6124" w:rsidRPr="008A1FE3" w:rsidRDefault="002B6124" w:rsidP="004202EB">
            <w:pPr>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2,029</w:t>
            </w:r>
          </w:p>
        </w:tc>
        <w:tc>
          <w:tcPr>
            <w:tcW w:w="1837" w:type="dxa"/>
            <w:hideMark/>
          </w:tcPr>
          <w:p w14:paraId="3B37FC43" w14:textId="77777777" w:rsidR="002B6124" w:rsidRPr="008A1FE3" w:rsidRDefault="002B6124" w:rsidP="004202EB">
            <w:pPr>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1 933,03</w:t>
            </w:r>
          </w:p>
        </w:tc>
      </w:tr>
      <w:tr w:rsidR="004202EB" w:rsidRPr="008A1FE3" w14:paraId="262FFCA6" w14:textId="77777777" w:rsidTr="004202EB">
        <w:trPr>
          <w:gridAfter w:val="1"/>
          <w:wAfter w:w="7" w:type="dxa"/>
        </w:trPr>
        <w:tc>
          <w:tcPr>
            <w:cnfStyle w:val="001000000000" w:firstRow="0" w:lastRow="0" w:firstColumn="1" w:lastColumn="0" w:oddVBand="0" w:evenVBand="0" w:oddHBand="0" w:evenHBand="0" w:firstRowFirstColumn="0" w:firstRowLastColumn="0" w:lastRowFirstColumn="0" w:lastRowLastColumn="0"/>
            <w:tcW w:w="704" w:type="dxa"/>
            <w:hideMark/>
          </w:tcPr>
          <w:p w14:paraId="2F2972CD" w14:textId="0E2163C5" w:rsidR="002B6124" w:rsidRPr="008A1FE3" w:rsidRDefault="002B6124" w:rsidP="004202EB">
            <w:pPr>
              <w:jc w:val="center"/>
              <w:rPr>
                <w:sz w:val="20"/>
                <w:szCs w:val="20"/>
              </w:rPr>
            </w:pPr>
            <w:r w:rsidRPr="008A1FE3">
              <w:rPr>
                <w:sz w:val="20"/>
                <w:szCs w:val="20"/>
              </w:rPr>
              <w:t>3.1.</w:t>
            </w:r>
            <w:r w:rsidR="002E072E" w:rsidRPr="008A1FE3">
              <w:rPr>
                <w:sz w:val="20"/>
                <w:szCs w:val="20"/>
              </w:rPr>
              <w:t>2</w:t>
            </w:r>
            <w:r w:rsidRPr="008A1FE3">
              <w:rPr>
                <w:sz w:val="20"/>
                <w:szCs w:val="20"/>
              </w:rPr>
              <w:t>.</w:t>
            </w:r>
          </w:p>
        </w:tc>
        <w:tc>
          <w:tcPr>
            <w:tcW w:w="3827" w:type="dxa"/>
            <w:hideMark/>
          </w:tcPr>
          <w:p w14:paraId="6425E1A3" w14:textId="43C0C5E8" w:rsidR="002B6124" w:rsidRPr="008A1FE3" w:rsidRDefault="002B6124" w:rsidP="004202EB">
            <w:pPr>
              <w:jc w:val="left"/>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 xml:space="preserve">Область ВЛ 0,4 кВ; деревянные опоры; провод - изолированный, </w:t>
            </w:r>
            <w:r w:rsidR="00164398" w:rsidRPr="008A1FE3">
              <w:rPr>
                <w:sz w:val="20"/>
                <w:szCs w:val="20"/>
              </w:rPr>
              <w:t>сталеалюминевый</w:t>
            </w:r>
            <w:r w:rsidRPr="008A1FE3">
              <w:rPr>
                <w:sz w:val="20"/>
                <w:szCs w:val="20"/>
              </w:rPr>
              <w:t>, сечением до 50 мм2</w:t>
            </w:r>
          </w:p>
        </w:tc>
        <w:tc>
          <w:tcPr>
            <w:tcW w:w="1560" w:type="dxa"/>
            <w:hideMark/>
          </w:tcPr>
          <w:p w14:paraId="1C4E08C7" w14:textId="77777777" w:rsidR="002B6124" w:rsidRPr="008A1FE3" w:rsidRDefault="002B6124" w:rsidP="004202EB">
            <w:pPr>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1 581 237</w:t>
            </w:r>
          </w:p>
        </w:tc>
        <w:tc>
          <w:tcPr>
            <w:tcW w:w="1559" w:type="dxa"/>
            <w:hideMark/>
          </w:tcPr>
          <w:p w14:paraId="78B3769B" w14:textId="77777777" w:rsidR="002B6124" w:rsidRPr="008A1FE3" w:rsidRDefault="002B6124" w:rsidP="004202EB">
            <w:pPr>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1,984</w:t>
            </w:r>
          </w:p>
        </w:tc>
        <w:tc>
          <w:tcPr>
            <w:tcW w:w="1837" w:type="dxa"/>
            <w:hideMark/>
          </w:tcPr>
          <w:p w14:paraId="17DA20FB" w14:textId="77777777" w:rsidR="002B6124" w:rsidRPr="008A1FE3" w:rsidRDefault="002B6124" w:rsidP="004202EB">
            <w:pPr>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3 137,17</w:t>
            </w:r>
          </w:p>
        </w:tc>
      </w:tr>
      <w:tr w:rsidR="004202EB" w:rsidRPr="008A1FE3" w14:paraId="7ACFF19C" w14:textId="77777777" w:rsidTr="004202EB">
        <w:trPr>
          <w:gridAfter w:val="1"/>
          <w:wAfter w:w="7" w:type="dxa"/>
        </w:trPr>
        <w:tc>
          <w:tcPr>
            <w:cnfStyle w:val="001000000000" w:firstRow="0" w:lastRow="0" w:firstColumn="1" w:lastColumn="0" w:oddVBand="0" w:evenVBand="0" w:oddHBand="0" w:evenHBand="0" w:firstRowFirstColumn="0" w:firstRowLastColumn="0" w:lastRowFirstColumn="0" w:lastRowLastColumn="0"/>
            <w:tcW w:w="704" w:type="dxa"/>
            <w:hideMark/>
          </w:tcPr>
          <w:p w14:paraId="19FC4060" w14:textId="59BB8112" w:rsidR="002B6124" w:rsidRPr="008A1FE3" w:rsidRDefault="002B6124" w:rsidP="004202EB">
            <w:pPr>
              <w:jc w:val="center"/>
              <w:rPr>
                <w:sz w:val="20"/>
                <w:szCs w:val="20"/>
              </w:rPr>
            </w:pPr>
            <w:r w:rsidRPr="008A1FE3">
              <w:rPr>
                <w:sz w:val="20"/>
                <w:szCs w:val="20"/>
              </w:rPr>
              <w:t>3.1.3.</w:t>
            </w:r>
          </w:p>
        </w:tc>
        <w:tc>
          <w:tcPr>
            <w:tcW w:w="3827" w:type="dxa"/>
            <w:hideMark/>
          </w:tcPr>
          <w:p w14:paraId="7D3E7511" w14:textId="2ABCF08C" w:rsidR="002B6124" w:rsidRPr="008A1FE3" w:rsidRDefault="002B6124" w:rsidP="00164398">
            <w:pPr>
              <w:jc w:val="left"/>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 xml:space="preserve">Город ВЛ 0,4 кВ; деревянные опоры; провод - изолированный, </w:t>
            </w:r>
            <w:r w:rsidR="00164398" w:rsidRPr="008A1FE3">
              <w:rPr>
                <w:sz w:val="20"/>
                <w:szCs w:val="20"/>
              </w:rPr>
              <w:t>сталеалюминевый</w:t>
            </w:r>
            <w:r w:rsidRPr="008A1FE3">
              <w:rPr>
                <w:sz w:val="20"/>
                <w:szCs w:val="20"/>
              </w:rPr>
              <w:t>, сечением от  50 до 100 мм2</w:t>
            </w:r>
          </w:p>
        </w:tc>
        <w:tc>
          <w:tcPr>
            <w:tcW w:w="1560" w:type="dxa"/>
            <w:hideMark/>
          </w:tcPr>
          <w:p w14:paraId="601E1758" w14:textId="77777777" w:rsidR="002B6124" w:rsidRPr="008A1FE3" w:rsidRDefault="002B6124" w:rsidP="004202EB">
            <w:pPr>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952 700</w:t>
            </w:r>
          </w:p>
        </w:tc>
        <w:tc>
          <w:tcPr>
            <w:tcW w:w="1559" w:type="dxa"/>
            <w:hideMark/>
          </w:tcPr>
          <w:p w14:paraId="7D7262B5" w14:textId="77777777" w:rsidR="002B6124" w:rsidRPr="008A1FE3" w:rsidRDefault="002B6124" w:rsidP="004202EB">
            <w:pPr>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0,435</w:t>
            </w:r>
          </w:p>
        </w:tc>
        <w:tc>
          <w:tcPr>
            <w:tcW w:w="1837" w:type="dxa"/>
            <w:hideMark/>
          </w:tcPr>
          <w:p w14:paraId="2841AE7E" w14:textId="77777777" w:rsidR="002B6124" w:rsidRPr="008A1FE3" w:rsidRDefault="002B6124" w:rsidP="004202EB">
            <w:pPr>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414,42</w:t>
            </w:r>
          </w:p>
        </w:tc>
      </w:tr>
      <w:tr w:rsidR="004202EB" w:rsidRPr="008A1FE3" w14:paraId="4E43DF51" w14:textId="77777777" w:rsidTr="004202EB">
        <w:trPr>
          <w:gridAfter w:val="1"/>
          <w:wAfter w:w="7" w:type="dxa"/>
        </w:trPr>
        <w:tc>
          <w:tcPr>
            <w:cnfStyle w:val="001000000000" w:firstRow="0" w:lastRow="0" w:firstColumn="1" w:lastColumn="0" w:oddVBand="0" w:evenVBand="0" w:oddHBand="0" w:evenHBand="0" w:firstRowFirstColumn="0" w:firstRowLastColumn="0" w:lastRowFirstColumn="0" w:lastRowLastColumn="0"/>
            <w:tcW w:w="704" w:type="dxa"/>
            <w:hideMark/>
          </w:tcPr>
          <w:p w14:paraId="1674E5B6" w14:textId="09537CF0" w:rsidR="002B6124" w:rsidRPr="008A1FE3" w:rsidRDefault="002B6124" w:rsidP="004202EB">
            <w:pPr>
              <w:jc w:val="center"/>
              <w:rPr>
                <w:sz w:val="20"/>
                <w:szCs w:val="20"/>
              </w:rPr>
            </w:pPr>
            <w:r w:rsidRPr="008A1FE3">
              <w:rPr>
                <w:sz w:val="20"/>
                <w:szCs w:val="20"/>
              </w:rPr>
              <w:t>3.1.</w:t>
            </w:r>
            <w:r w:rsidR="002E072E" w:rsidRPr="008A1FE3">
              <w:rPr>
                <w:sz w:val="20"/>
                <w:szCs w:val="20"/>
              </w:rPr>
              <w:t>4.</w:t>
            </w:r>
            <w:r w:rsidRPr="008A1FE3">
              <w:rPr>
                <w:sz w:val="20"/>
                <w:szCs w:val="20"/>
              </w:rPr>
              <w:t>.</w:t>
            </w:r>
          </w:p>
        </w:tc>
        <w:tc>
          <w:tcPr>
            <w:tcW w:w="3827" w:type="dxa"/>
            <w:hideMark/>
          </w:tcPr>
          <w:p w14:paraId="1D9D2A4C" w14:textId="616905E0" w:rsidR="002B6124" w:rsidRPr="008A1FE3" w:rsidRDefault="002B6124" w:rsidP="004202EB">
            <w:pPr>
              <w:jc w:val="left"/>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 xml:space="preserve">Область ВЛ 0,4 кВ; деревянные опоры; провод - изолированный, </w:t>
            </w:r>
            <w:r w:rsidR="00164398" w:rsidRPr="008A1FE3">
              <w:rPr>
                <w:sz w:val="20"/>
                <w:szCs w:val="20"/>
              </w:rPr>
              <w:t>сталеалюминевый</w:t>
            </w:r>
            <w:r w:rsidRPr="008A1FE3">
              <w:rPr>
                <w:sz w:val="20"/>
                <w:szCs w:val="20"/>
              </w:rPr>
              <w:t>, сечением от 50 до 100 мм2</w:t>
            </w:r>
          </w:p>
        </w:tc>
        <w:tc>
          <w:tcPr>
            <w:tcW w:w="1560" w:type="dxa"/>
            <w:hideMark/>
          </w:tcPr>
          <w:p w14:paraId="316C5B69" w14:textId="77777777" w:rsidR="002B6124" w:rsidRPr="008A1FE3" w:rsidRDefault="002B6124" w:rsidP="004202EB">
            <w:pPr>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1 581 237</w:t>
            </w:r>
          </w:p>
        </w:tc>
        <w:tc>
          <w:tcPr>
            <w:tcW w:w="1559" w:type="dxa"/>
            <w:hideMark/>
          </w:tcPr>
          <w:p w14:paraId="24FB8EA8" w14:textId="77777777" w:rsidR="002B6124" w:rsidRPr="008A1FE3" w:rsidRDefault="002B6124" w:rsidP="004202EB">
            <w:pPr>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0,376</w:t>
            </w:r>
          </w:p>
        </w:tc>
        <w:tc>
          <w:tcPr>
            <w:tcW w:w="1837" w:type="dxa"/>
            <w:hideMark/>
          </w:tcPr>
          <w:p w14:paraId="619C8FC2" w14:textId="77777777" w:rsidR="002B6124" w:rsidRPr="008A1FE3" w:rsidRDefault="002B6124" w:rsidP="004202EB">
            <w:pPr>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594,55</w:t>
            </w:r>
          </w:p>
        </w:tc>
      </w:tr>
      <w:tr w:rsidR="004202EB" w:rsidRPr="008A1FE3" w14:paraId="06FAA74F" w14:textId="77777777" w:rsidTr="004202EB">
        <w:trPr>
          <w:gridAfter w:val="1"/>
          <w:wAfter w:w="7" w:type="dxa"/>
        </w:trPr>
        <w:tc>
          <w:tcPr>
            <w:cnfStyle w:val="001000000000" w:firstRow="0" w:lastRow="0" w:firstColumn="1" w:lastColumn="0" w:oddVBand="0" w:evenVBand="0" w:oddHBand="0" w:evenHBand="0" w:firstRowFirstColumn="0" w:firstRowLastColumn="0" w:lastRowFirstColumn="0" w:lastRowLastColumn="0"/>
            <w:tcW w:w="704" w:type="dxa"/>
            <w:hideMark/>
          </w:tcPr>
          <w:p w14:paraId="1CDAF81A" w14:textId="71BA8134" w:rsidR="002B6124" w:rsidRPr="008A1FE3" w:rsidRDefault="002B6124" w:rsidP="004202EB">
            <w:pPr>
              <w:jc w:val="center"/>
              <w:rPr>
                <w:sz w:val="20"/>
                <w:szCs w:val="20"/>
              </w:rPr>
            </w:pPr>
          </w:p>
        </w:tc>
        <w:tc>
          <w:tcPr>
            <w:tcW w:w="3827" w:type="dxa"/>
            <w:hideMark/>
          </w:tcPr>
          <w:p w14:paraId="176CB079" w14:textId="77777777" w:rsidR="002B6124" w:rsidRPr="008A1FE3" w:rsidRDefault="002B6124" w:rsidP="004202EB">
            <w:pPr>
              <w:jc w:val="left"/>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 xml:space="preserve">Строительство воздушных линий </w:t>
            </w:r>
            <w:r w:rsidRPr="008A1FE3">
              <w:rPr>
                <w:sz w:val="20"/>
                <w:szCs w:val="20"/>
              </w:rPr>
              <w:br/>
              <w:t>Номинальное напряжение свыше 1 кВ до 20 кВ включительно</w:t>
            </w:r>
          </w:p>
        </w:tc>
        <w:tc>
          <w:tcPr>
            <w:tcW w:w="1560" w:type="dxa"/>
            <w:hideMark/>
          </w:tcPr>
          <w:p w14:paraId="3FBAE02F" w14:textId="15705369" w:rsidR="002B6124" w:rsidRPr="008A1FE3" w:rsidRDefault="002B6124" w:rsidP="004202EB">
            <w:pPr>
              <w:cnfStyle w:val="000000000000" w:firstRow="0" w:lastRow="0" w:firstColumn="0" w:lastColumn="0" w:oddVBand="0" w:evenVBand="0" w:oddHBand="0" w:evenHBand="0" w:firstRowFirstColumn="0" w:firstRowLastColumn="0" w:lastRowFirstColumn="0" w:lastRowLastColumn="0"/>
              <w:rPr>
                <w:sz w:val="20"/>
                <w:szCs w:val="20"/>
              </w:rPr>
            </w:pPr>
          </w:p>
        </w:tc>
        <w:tc>
          <w:tcPr>
            <w:tcW w:w="1559" w:type="dxa"/>
            <w:hideMark/>
          </w:tcPr>
          <w:p w14:paraId="7F3736D3" w14:textId="77777777" w:rsidR="002B6124" w:rsidRPr="008A1FE3" w:rsidRDefault="002B6124" w:rsidP="004202EB">
            <w:pPr>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5,412</w:t>
            </w:r>
          </w:p>
        </w:tc>
        <w:tc>
          <w:tcPr>
            <w:tcW w:w="1837" w:type="dxa"/>
            <w:hideMark/>
          </w:tcPr>
          <w:p w14:paraId="043F2EFF" w14:textId="77777777" w:rsidR="002B6124" w:rsidRPr="008A1FE3" w:rsidRDefault="002B6124" w:rsidP="004202EB">
            <w:pPr>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13 701,68</w:t>
            </w:r>
          </w:p>
        </w:tc>
      </w:tr>
      <w:tr w:rsidR="004202EB" w:rsidRPr="008A1FE3" w14:paraId="6F3D4A0E" w14:textId="77777777" w:rsidTr="004202EB">
        <w:trPr>
          <w:gridAfter w:val="1"/>
          <w:wAfter w:w="7" w:type="dxa"/>
        </w:trPr>
        <w:tc>
          <w:tcPr>
            <w:cnfStyle w:val="001000000000" w:firstRow="0" w:lastRow="0" w:firstColumn="1" w:lastColumn="0" w:oddVBand="0" w:evenVBand="0" w:oddHBand="0" w:evenHBand="0" w:firstRowFirstColumn="0" w:firstRowLastColumn="0" w:lastRowFirstColumn="0" w:lastRowLastColumn="0"/>
            <w:tcW w:w="704" w:type="dxa"/>
            <w:hideMark/>
          </w:tcPr>
          <w:p w14:paraId="58F13DCA" w14:textId="62ECBE27" w:rsidR="002B6124" w:rsidRPr="008A1FE3" w:rsidRDefault="002B6124" w:rsidP="004202EB">
            <w:pPr>
              <w:jc w:val="center"/>
              <w:rPr>
                <w:sz w:val="20"/>
                <w:szCs w:val="20"/>
              </w:rPr>
            </w:pPr>
            <w:r w:rsidRPr="008A1FE3">
              <w:rPr>
                <w:sz w:val="20"/>
                <w:szCs w:val="20"/>
              </w:rPr>
              <w:t>3.</w:t>
            </w:r>
            <w:r w:rsidR="002E072E" w:rsidRPr="008A1FE3">
              <w:rPr>
                <w:sz w:val="20"/>
                <w:szCs w:val="20"/>
              </w:rPr>
              <w:t>2.</w:t>
            </w:r>
            <w:r w:rsidRPr="008A1FE3">
              <w:rPr>
                <w:sz w:val="20"/>
                <w:szCs w:val="20"/>
              </w:rPr>
              <w:t>1</w:t>
            </w:r>
            <w:r w:rsidR="002E072E" w:rsidRPr="008A1FE3">
              <w:rPr>
                <w:sz w:val="20"/>
                <w:szCs w:val="20"/>
              </w:rPr>
              <w:t>.</w:t>
            </w:r>
          </w:p>
        </w:tc>
        <w:tc>
          <w:tcPr>
            <w:tcW w:w="3827" w:type="dxa"/>
            <w:hideMark/>
          </w:tcPr>
          <w:p w14:paraId="39DC6226" w14:textId="519F576F" w:rsidR="002B6124" w:rsidRPr="008A1FE3" w:rsidRDefault="002B6124" w:rsidP="004202EB">
            <w:pPr>
              <w:jc w:val="left"/>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 xml:space="preserve">Город ВЛ 6-10 кВ; деревянные опоры; провод - изолированный, </w:t>
            </w:r>
            <w:r w:rsidR="00164398" w:rsidRPr="008A1FE3">
              <w:rPr>
                <w:sz w:val="20"/>
                <w:szCs w:val="20"/>
              </w:rPr>
              <w:t>сталеалюминевый</w:t>
            </w:r>
            <w:r w:rsidRPr="008A1FE3">
              <w:rPr>
                <w:sz w:val="20"/>
                <w:szCs w:val="20"/>
              </w:rPr>
              <w:t>, сечением до 50 мм2</w:t>
            </w:r>
          </w:p>
        </w:tc>
        <w:tc>
          <w:tcPr>
            <w:tcW w:w="1560" w:type="dxa"/>
            <w:hideMark/>
          </w:tcPr>
          <w:p w14:paraId="56AE17A2" w14:textId="77777777" w:rsidR="002B6124" w:rsidRPr="008A1FE3" w:rsidRDefault="002B6124" w:rsidP="004202EB">
            <w:pPr>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2 683 895</w:t>
            </w:r>
          </w:p>
        </w:tc>
        <w:tc>
          <w:tcPr>
            <w:tcW w:w="1559" w:type="dxa"/>
            <w:hideMark/>
          </w:tcPr>
          <w:p w14:paraId="6FCD74CB" w14:textId="77777777" w:rsidR="002B6124" w:rsidRPr="008A1FE3" w:rsidRDefault="002B6124" w:rsidP="004202EB">
            <w:pPr>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2,273</w:t>
            </w:r>
          </w:p>
        </w:tc>
        <w:tc>
          <w:tcPr>
            <w:tcW w:w="1837" w:type="dxa"/>
            <w:hideMark/>
          </w:tcPr>
          <w:p w14:paraId="380692DF" w14:textId="77777777" w:rsidR="002B6124" w:rsidRPr="008A1FE3" w:rsidRDefault="002B6124" w:rsidP="004202EB">
            <w:pPr>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6 100,49</w:t>
            </w:r>
          </w:p>
        </w:tc>
      </w:tr>
      <w:tr w:rsidR="004202EB" w:rsidRPr="008A1FE3" w14:paraId="2CC1542C" w14:textId="77777777" w:rsidTr="004202EB">
        <w:trPr>
          <w:gridAfter w:val="1"/>
          <w:wAfter w:w="7" w:type="dxa"/>
        </w:trPr>
        <w:tc>
          <w:tcPr>
            <w:cnfStyle w:val="001000000000" w:firstRow="0" w:lastRow="0" w:firstColumn="1" w:lastColumn="0" w:oddVBand="0" w:evenVBand="0" w:oddHBand="0" w:evenHBand="0" w:firstRowFirstColumn="0" w:firstRowLastColumn="0" w:lastRowFirstColumn="0" w:lastRowLastColumn="0"/>
            <w:tcW w:w="704" w:type="dxa"/>
            <w:hideMark/>
          </w:tcPr>
          <w:p w14:paraId="1D4EDB25" w14:textId="2F47DC80" w:rsidR="002B6124" w:rsidRPr="008A1FE3" w:rsidRDefault="002B6124" w:rsidP="004202EB">
            <w:pPr>
              <w:jc w:val="center"/>
              <w:rPr>
                <w:sz w:val="20"/>
                <w:szCs w:val="20"/>
              </w:rPr>
            </w:pPr>
            <w:r w:rsidRPr="008A1FE3">
              <w:rPr>
                <w:sz w:val="20"/>
                <w:szCs w:val="20"/>
              </w:rPr>
              <w:t>3.</w:t>
            </w:r>
            <w:r w:rsidR="002E072E" w:rsidRPr="008A1FE3">
              <w:rPr>
                <w:sz w:val="20"/>
                <w:szCs w:val="20"/>
              </w:rPr>
              <w:t>2</w:t>
            </w:r>
            <w:r w:rsidRPr="008A1FE3">
              <w:rPr>
                <w:sz w:val="20"/>
                <w:szCs w:val="20"/>
              </w:rPr>
              <w:t>.</w:t>
            </w:r>
            <w:r w:rsidR="002E072E" w:rsidRPr="008A1FE3">
              <w:rPr>
                <w:sz w:val="20"/>
                <w:szCs w:val="20"/>
              </w:rPr>
              <w:t>2.</w:t>
            </w:r>
          </w:p>
        </w:tc>
        <w:tc>
          <w:tcPr>
            <w:tcW w:w="3827" w:type="dxa"/>
            <w:hideMark/>
          </w:tcPr>
          <w:p w14:paraId="7539EF2F" w14:textId="6519B8FD" w:rsidR="002B6124" w:rsidRPr="008A1FE3" w:rsidRDefault="002B6124" w:rsidP="004202EB">
            <w:pPr>
              <w:jc w:val="left"/>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 xml:space="preserve">Область ВЛ 6-10 кВ; деревянные опоры; провод - изолированный, </w:t>
            </w:r>
            <w:r w:rsidR="00164398" w:rsidRPr="008A1FE3">
              <w:rPr>
                <w:sz w:val="20"/>
                <w:szCs w:val="20"/>
              </w:rPr>
              <w:t>сталеалюминевый</w:t>
            </w:r>
            <w:r w:rsidRPr="008A1FE3">
              <w:rPr>
                <w:sz w:val="20"/>
                <w:szCs w:val="20"/>
              </w:rPr>
              <w:t>, сечением до 50 мм2</w:t>
            </w:r>
          </w:p>
        </w:tc>
        <w:tc>
          <w:tcPr>
            <w:tcW w:w="1560" w:type="dxa"/>
            <w:hideMark/>
          </w:tcPr>
          <w:p w14:paraId="4A99C89F" w14:textId="77777777" w:rsidR="002B6124" w:rsidRPr="008A1FE3" w:rsidRDefault="002B6124" w:rsidP="004202EB">
            <w:pPr>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2 258 500</w:t>
            </w:r>
          </w:p>
        </w:tc>
        <w:tc>
          <w:tcPr>
            <w:tcW w:w="1559" w:type="dxa"/>
            <w:hideMark/>
          </w:tcPr>
          <w:p w14:paraId="08B260FE" w14:textId="77777777" w:rsidR="002B6124" w:rsidRPr="008A1FE3" w:rsidRDefault="002B6124" w:rsidP="004202EB">
            <w:pPr>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1,366</w:t>
            </w:r>
          </w:p>
        </w:tc>
        <w:tc>
          <w:tcPr>
            <w:tcW w:w="1837" w:type="dxa"/>
            <w:hideMark/>
          </w:tcPr>
          <w:p w14:paraId="3E3FB2F6" w14:textId="77777777" w:rsidR="002B6124" w:rsidRPr="008A1FE3" w:rsidRDefault="002B6124" w:rsidP="004202EB">
            <w:pPr>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3 085,11</w:t>
            </w:r>
          </w:p>
        </w:tc>
      </w:tr>
      <w:tr w:rsidR="004202EB" w:rsidRPr="008A1FE3" w14:paraId="3E1EFB8C" w14:textId="77777777" w:rsidTr="004202EB">
        <w:trPr>
          <w:gridAfter w:val="1"/>
          <w:wAfter w:w="7" w:type="dxa"/>
        </w:trPr>
        <w:tc>
          <w:tcPr>
            <w:cnfStyle w:val="001000000000" w:firstRow="0" w:lastRow="0" w:firstColumn="1" w:lastColumn="0" w:oddVBand="0" w:evenVBand="0" w:oddHBand="0" w:evenHBand="0" w:firstRowFirstColumn="0" w:firstRowLastColumn="0" w:lastRowFirstColumn="0" w:lastRowLastColumn="0"/>
            <w:tcW w:w="704" w:type="dxa"/>
            <w:hideMark/>
          </w:tcPr>
          <w:p w14:paraId="0FC6D66F" w14:textId="036EF133" w:rsidR="002B6124" w:rsidRPr="008A1FE3" w:rsidRDefault="002B6124" w:rsidP="004202EB">
            <w:pPr>
              <w:jc w:val="center"/>
              <w:rPr>
                <w:sz w:val="20"/>
                <w:szCs w:val="20"/>
              </w:rPr>
            </w:pPr>
            <w:r w:rsidRPr="008A1FE3">
              <w:rPr>
                <w:sz w:val="20"/>
                <w:szCs w:val="20"/>
              </w:rPr>
              <w:t>3.</w:t>
            </w:r>
            <w:r w:rsidR="002E072E" w:rsidRPr="008A1FE3">
              <w:rPr>
                <w:sz w:val="20"/>
                <w:szCs w:val="20"/>
              </w:rPr>
              <w:t>2.</w:t>
            </w:r>
            <w:r w:rsidRPr="008A1FE3">
              <w:rPr>
                <w:sz w:val="20"/>
                <w:szCs w:val="20"/>
              </w:rPr>
              <w:t>3.</w:t>
            </w:r>
          </w:p>
        </w:tc>
        <w:tc>
          <w:tcPr>
            <w:tcW w:w="3827" w:type="dxa"/>
            <w:hideMark/>
          </w:tcPr>
          <w:p w14:paraId="5A1D0783" w14:textId="287CE16D" w:rsidR="002B6124" w:rsidRPr="008A1FE3" w:rsidRDefault="002B6124" w:rsidP="004202EB">
            <w:pPr>
              <w:jc w:val="left"/>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 xml:space="preserve">Город ВЛ 6-10 кВ; деревянные опоры; провод - изолированный, </w:t>
            </w:r>
            <w:r w:rsidR="00164398" w:rsidRPr="008A1FE3">
              <w:rPr>
                <w:sz w:val="20"/>
                <w:szCs w:val="20"/>
              </w:rPr>
              <w:t>сталеалюминевый</w:t>
            </w:r>
            <w:r w:rsidRPr="008A1FE3">
              <w:rPr>
                <w:sz w:val="20"/>
                <w:szCs w:val="20"/>
              </w:rPr>
              <w:t>, сечением  от 50 до 100 мм2</w:t>
            </w:r>
          </w:p>
        </w:tc>
        <w:tc>
          <w:tcPr>
            <w:tcW w:w="1560" w:type="dxa"/>
            <w:hideMark/>
          </w:tcPr>
          <w:p w14:paraId="26B6065B" w14:textId="77777777" w:rsidR="002B6124" w:rsidRPr="008A1FE3" w:rsidRDefault="002B6124" w:rsidP="004202EB">
            <w:pPr>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2 683 895</w:t>
            </w:r>
          </w:p>
        </w:tc>
        <w:tc>
          <w:tcPr>
            <w:tcW w:w="1559" w:type="dxa"/>
            <w:hideMark/>
          </w:tcPr>
          <w:p w14:paraId="301E9BC3" w14:textId="77777777" w:rsidR="002B6124" w:rsidRPr="008A1FE3" w:rsidRDefault="002B6124" w:rsidP="004202EB">
            <w:pPr>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1,203</w:t>
            </w:r>
          </w:p>
        </w:tc>
        <w:tc>
          <w:tcPr>
            <w:tcW w:w="1837" w:type="dxa"/>
            <w:hideMark/>
          </w:tcPr>
          <w:p w14:paraId="214A655A" w14:textId="77777777" w:rsidR="002B6124" w:rsidRPr="008A1FE3" w:rsidRDefault="002B6124" w:rsidP="004202EB">
            <w:pPr>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3 228,73</w:t>
            </w:r>
          </w:p>
        </w:tc>
      </w:tr>
      <w:tr w:rsidR="004202EB" w:rsidRPr="008A1FE3" w14:paraId="1C2EFBEA" w14:textId="77777777" w:rsidTr="004202EB">
        <w:trPr>
          <w:gridAfter w:val="1"/>
          <w:wAfter w:w="7" w:type="dxa"/>
        </w:trPr>
        <w:tc>
          <w:tcPr>
            <w:cnfStyle w:val="001000000000" w:firstRow="0" w:lastRow="0" w:firstColumn="1" w:lastColumn="0" w:oddVBand="0" w:evenVBand="0" w:oddHBand="0" w:evenHBand="0" w:firstRowFirstColumn="0" w:firstRowLastColumn="0" w:lastRowFirstColumn="0" w:lastRowLastColumn="0"/>
            <w:tcW w:w="704" w:type="dxa"/>
            <w:hideMark/>
          </w:tcPr>
          <w:p w14:paraId="45A4F922" w14:textId="5227F663" w:rsidR="002B6124" w:rsidRPr="008A1FE3" w:rsidRDefault="002B6124" w:rsidP="004202EB">
            <w:pPr>
              <w:jc w:val="center"/>
              <w:rPr>
                <w:sz w:val="20"/>
                <w:szCs w:val="20"/>
              </w:rPr>
            </w:pPr>
            <w:r w:rsidRPr="008A1FE3">
              <w:rPr>
                <w:sz w:val="20"/>
                <w:szCs w:val="20"/>
              </w:rPr>
              <w:t>3.</w:t>
            </w:r>
            <w:r w:rsidR="002E072E" w:rsidRPr="008A1FE3">
              <w:rPr>
                <w:sz w:val="20"/>
                <w:szCs w:val="20"/>
              </w:rPr>
              <w:t>2.4</w:t>
            </w:r>
            <w:r w:rsidRPr="008A1FE3">
              <w:rPr>
                <w:sz w:val="20"/>
                <w:szCs w:val="20"/>
              </w:rPr>
              <w:t>.</w:t>
            </w:r>
          </w:p>
        </w:tc>
        <w:tc>
          <w:tcPr>
            <w:tcW w:w="3827" w:type="dxa"/>
            <w:hideMark/>
          </w:tcPr>
          <w:p w14:paraId="64F66DEF" w14:textId="4435CAC6" w:rsidR="002B6124" w:rsidRPr="008A1FE3" w:rsidRDefault="002B6124" w:rsidP="004202EB">
            <w:pPr>
              <w:jc w:val="left"/>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 xml:space="preserve">Область ВЛ 6-10 кВ; деревянные опоры; провод - изолированный, </w:t>
            </w:r>
            <w:r w:rsidR="00164398" w:rsidRPr="008A1FE3">
              <w:rPr>
                <w:sz w:val="20"/>
                <w:szCs w:val="20"/>
              </w:rPr>
              <w:t>сталеалюминевый</w:t>
            </w:r>
            <w:r w:rsidRPr="008A1FE3">
              <w:rPr>
                <w:sz w:val="20"/>
                <w:szCs w:val="20"/>
              </w:rPr>
              <w:t>, сечением  от 50 до 100 мм2</w:t>
            </w:r>
          </w:p>
        </w:tc>
        <w:tc>
          <w:tcPr>
            <w:tcW w:w="1560" w:type="dxa"/>
            <w:hideMark/>
          </w:tcPr>
          <w:p w14:paraId="5CE448D5" w14:textId="77777777" w:rsidR="002B6124" w:rsidRPr="008A1FE3" w:rsidRDefault="002B6124" w:rsidP="004202EB">
            <w:pPr>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2 258 500</w:t>
            </w:r>
          </w:p>
        </w:tc>
        <w:tc>
          <w:tcPr>
            <w:tcW w:w="1559" w:type="dxa"/>
            <w:hideMark/>
          </w:tcPr>
          <w:p w14:paraId="3CCAF982" w14:textId="77777777" w:rsidR="002B6124" w:rsidRPr="008A1FE3" w:rsidRDefault="002B6124" w:rsidP="004202EB">
            <w:pPr>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0,570</w:t>
            </w:r>
          </w:p>
        </w:tc>
        <w:tc>
          <w:tcPr>
            <w:tcW w:w="1837" w:type="dxa"/>
            <w:hideMark/>
          </w:tcPr>
          <w:p w14:paraId="51D2B9CE" w14:textId="77777777" w:rsidR="002B6124" w:rsidRPr="008A1FE3" w:rsidRDefault="002B6124" w:rsidP="004202EB">
            <w:pPr>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1 287,35</w:t>
            </w:r>
          </w:p>
        </w:tc>
      </w:tr>
      <w:tr w:rsidR="004202EB" w:rsidRPr="008A1FE3" w14:paraId="3DCC76FD" w14:textId="77777777" w:rsidTr="004202EB">
        <w:trPr>
          <w:gridAfter w:val="1"/>
          <w:wAfter w:w="7" w:type="dxa"/>
        </w:trPr>
        <w:tc>
          <w:tcPr>
            <w:cnfStyle w:val="001000000000" w:firstRow="0" w:lastRow="0" w:firstColumn="1" w:lastColumn="0" w:oddVBand="0" w:evenVBand="0" w:oddHBand="0" w:evenHBand="0" w:firstRowFirstColumn="0" w:firstRowLastColumn="0" w:lastRowFirstColumn="0" w:lastRowLastColumn="0"/>
            <w:tcW w:w="704" w:type="dxa"/>
            <w:hideMark/>
          </w:tcPr>
          <w:p w14:paraId="5182FEF2" w14:textId="77777777" w:rsidR="002B6124" w:rsidRPr="008A1FE3" w:rsidRDefault="002B6124" w:rsidP="004202EB">
            <w:pPr>
              <w:jc w:val="center"/>
              <w:rPr>
                <w:sz w:val="20"/>
                <w:szCs w:val="20"/>
              </w:rPr>
            </w:pPr>
            <w:r w:rsidRPr="008A1FE3">
              <w:rPr>
                <w:sz w:val="20"/>
                <w:szCs w:val="20"/>
              </w:rPr>
              <w:t>4</w:t>
            </w:r>
          </w:p>
        </w:tc>
        <w:tc>
          <w:tcPr>
            <w:tcW w:w="3827" w:type="dxa"/>
            <w:hideMark/>
          </w:tcPr>
          <w:p w14:paraId="297B79EF" w14:textId="77777777" w:rsidR="002B6124" w:rsidRPr="008A1FE3" w:rsidRDefault="002B6124" w:rsidP="004202EB">
            <w:pPr>
              <w:jc w:val="left"/>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Строительство кабельных линий</w:t>
            </w:r>
          </w:p>
        </w:tc>
        <w:tc>
          <w:tcPr>
            <w:tcW w:w="1560" w:type="dxa"/>
            <w:hideMark/>
          </w:tcPr>
          <w:p w14:paraId="01018E82" w14:textId="77777777" w:rsidR="002B6124" w:rsidRPr="008A1FE3" w:rsidRDefault="002B6124" w:rsidP="004202EB">
            <w:pPr>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 </w:t>
            </w:r>
          </w:p>
        </w:tc>
        <w:tc>
          <w:tcPr>
            <w:tcW w:w="1559" w:type="dxa"/>
            <w:hideMark/>
          </w:tcPr>
          <w:p w14:paraId="33C4CC0C" w14:textId="77777777" w:rsidR="002B6124" w:rsidRPr="008A1FE3" w:rsidRDefault="002B6124" w:rsidP="004202EB">
            <w:pPr>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0,457</w:t>
            </w:r>
          </w:p>
        </w:tc>
        <w:tc>
          <w:tcPr>
            <w:tcW w:w="1837" w:type="dxa"/>
            <w:hideMark/>
          </w:tcPr>
          <w:p w14:paraId="1FD4B264" w14:textId="77777777" w:rsidR="002B6124" w:rsidRPr="008A1FE3" w:rsidRDefault="002B6124" w:rsidP="004202EB">
            <w:pPr>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1 031,64</w:t>
            </w:r>
          </w:p>
        </w:tc>
      </w:tr>
      <w:tr w:rsidR="004202EB" w:rsidRPr="008A1FE3" w14:paraId="4E871DD7" w14:textId="77777777" w:rsidTr="004202EB">
        <w:trPr>
          <w:gridAfter w:val="1"/>
          <w:wAfter w:w="7" w:type="dxa"/>
        </w:trPr>
        <w:tc>
          <w:tcPr>
            <w:cnfStyle w:val="001000000000" w:firstRow="0" w:lastRow="0" w:firstColumn="1" w:lastColumn="0" w:oddVBand="0" w:evenVBand="0" w:oddHBand="0" w:evenHBand="0" w:firstRowFirstColumn="0" w:firstRowLastColumn="0" w:lastRowFirstColumn="0" w:lastRowLastColumn="0"/>
            <w:tcW w:w="704" w:type="dxa"/>
            <w:hideMark/>
          </w:tcPr>
          <w:p w14:paraId="67FDA322" w14:textId="62240B08" w:rsidR="002B6124" w:rsidRPr="008A1FE3" w:rsidRDefault="002B6124" w:rsidP="004202EB">
            <w:pPr>
              <w:jc w:val="center"/>
              <w:rPr>
                <w:sz w:val="20"/>
                <w:szCs w:val="20"/>
              </w:rPr>
            </w:pPr>
            <w:r w:rsidRPr="008A1FE3">
              <w:rPr>
                <w:sz w:val="20"/>
                <w:szCs w:val="20"/>
              </w:rPr>
              <w:t>4.1</w:t>
            </w:r>
            <w:r w:rsidR="002E072E" w:rsidRPr="008A1FE3">
              <w:rPr>
                <w:sz w:val="20"/>
                <w:szCs w:val="20"/>
              </w:rPr>
              <w:t>.</w:t>
            </w:r>
          </w:p>
        </w:tc>
        <w:tc>
          <w:tcPr>
            <w:tcW w:w="3827" w:type="dxa"/>
            <w:hideMark/>
          </w:tcPr>
          <w:p w14:paraId="086841FF" w14:textId="7DEC6984" w:rsidR="002B6124" w:rsidRPr="008A1FE3" w:rsidRDefault="002B6124" w:rsidP="004202EB">
            <w:pPr>
              <w:jc w:val="left"/>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 xml:space="preserve">Область КЛ 0,4 кВ, способ прокладки  - в траншеях, многожильные, с резиновой и пластмассовой изоляцией, </w:t>
            </w:r>
            <w:r w:rsidR="00164398" w:rsidRPr="008A1FE3">
              <w:rPr>
                <w:sz w:val="20"/>
                <w:szCs w:val="20"/>
              </w:rPr>
              <w:t>сечением</w:t>
            </w:r>
            <w:r w:rsidRPr="008A1FE3">
              <w:rPr>
                <w:sz w:val="20"/>
                <w:szCs w:val="20"/>
              </w:rPr>
              <w:t xml:space="preserve"> до 50 мм2</w:t>
            </w:r>
          </w:p>
        </w:tc>
        <w:tc>
          <w:tcPr>
            <w:tcW w:w="1560" w:type="dxa"/>
            <w:hideMark/>
          </w:tcPr>
          <w:p w14:paraId="22B883AB" w14:textId="77777777" w:rsidR="002B6124" w:rsidRPr="008A1FE3" w:rsidRDefault="002B6124" w:rsidP="004202EB">
            <w:pPr>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1 848 750</w:t>
            </w:r>
          </w:p>
        </w:tc>
        <w:tc>
          <w:tcPr>
            <w:tcW w:w="1559" w:type="dxa"/>
            <w:hideMark/>
          </w:tcPr>
          <w:p w14:paraId="1B9FFB29" w14:textId="77777777" w:rsidR="002B6124" w:rsidRPr="008A1FE3" w:rsidRDefault="002B6124" w:rsidP="004202EB">
            <w:pPr>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0,178</w:t>
            </w:r>
          </w:p>
        </w:tc>
        <w:tc>
          <w:tcPr>
            <w:tcW w:w="1837" w:type="dxa"/>
            <w:hideMark/>
          </w:tcPr>
          <w:p w14:paraId="637304AC" w14:textId="77777777" w:rsidR="002B6124" w:rsidRPr="008A1FE3" w:rsidRDefault="002B6124" w:rsidP="004202EB">
            <w:pPr>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329,08</w:t>
            </w:r>
          </w:p>
        </w:tc>
      </w:tr>
      <w:tr w:rsidR="004202EB" w:rsidRPr="008A1FE3" w14:paraId="59F1C7F7" w14:textId="77777777" w:rsidTr="004202EB">
        <w:trPr>
          <w:gridAfter w:val="1"/>
          <w:wAfter w:w="7" w:type="dxa"/>
        </w:trPr>
        <w:tc>
          <w:tcPr>
            <w:cnfStyle w:val="001000000000" w:firstRow="0" w:lastRow="0" w:firstColumn="1" w:lastColumn="0" w:oddVBand="0" w:evenVBand="0" w:oddHBand="0" w:evenHBand="0" w:firstRowFirstColumn="0" w:firstRowLastColumn="0" w:lastRowFirstColumn="0" w:lastRowLastColumn="0"/>
            <w:tcW w:w="704" w:type="dxa"/>
            <w:hideMark/>
          </w:tcPr>
          <w:p w14:paraId="30909567" w14:textId="64D92BA9" w:rsidR="002B6124" w:rsidRPr="008A1FE3" w:rsidRDefault="002B6124" w:rsidP="004202EB">
            <w:pPr>
              <w:jc w:val="center"/>
              <w:rPr>
                <w:sz w:val="20"/>
                <w:szCs w:val="20"/>
              </w:rPr>
            </w:pPr>
            <w:r w:rsidRPr="008A1FE3">
              <w:rPr>
                <w:sz w:val="20"/>
                <w:szCs w:val="20"/>
              </w:rPr>
              <w:t>4.2.</w:t>
            </w:r>
          </w:p>
        </w:tc>
        <w:tc>
          <w:tcPr>
            <w:tcW w:w="3827" w:type="dxa"/>
            <w:hideMark/>
          </w:tcPr>
          <w:p w14:paraId="35C05128" w14:textId="1202B0D8" w:rsidR="002B6124" w:rsidRPr="008A1FE3" w:rsidRDefault="002B6124" w:rsidP="004202EB">
            <w:pPr>
              <w:jc w:val="left"/>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 xml:space="preserve">Город КЛ 0,4 кВ, способ прокладки  - в траншеях, многожильные, с резиновой и пластмассовой изоляцией, </w:t>
            </w:r>
            <w:r w:rsidR="00164398" w:rsidRPr="008A1FE3">
              <w:rPr>
                <w:sz w:val="20"/>
                <w:szCs w:val="20"/>
              </w:rPr>
              <w:t>сечением</w:t>
            </w:r>
            <w:r w:rsidRPr="008A1FE3">
              <w:rPr>
                <w:sz w:val="20"/>
                <w:szCs w:val="20"/>
              </w:rPr>
              <w:t xml:space="preserve"> от 50 до 100 мм2</w:t>
            </w:r>
          </w:p>
        </w:tc>
        <w:tc>
          <w:tcPr>
            <w:tcW w:w="1560" w:type="dxa"/>
            <w:hideMark/>
          </w:tcPr>
          <w:p w14:paraId="2DF642F9" w14:textId="77777777" w:rsidR="002B6124" w:rsidRPr="008A1FE3" w:rsidRDefault="002B6124" w:rsidP="004202EB">
            <w:pPr>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2 393 639</w:t>
            </w:r>
          </w:p>
        </w:tc>
        <w:tc>
          <w:tcPr>
            <w:tcW w:w="1559" w:type="dxa"/>
            <w:hideMark/>
          </w:tcPr>
          <w:p w14:paraId="5B742352" w14:textId="77777777" w:rsidR="002B6124" w:rsidRPr="008A1FE3" w:rsidRDefault="002B6124" w:rsidP="004202EB">
            <w:pPr>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0,040</w:t>
            </w:r>
          </w:p>
        </w:tc>
        <w:tc>
          <w:tcPr>
            <w:tcW w:w="1837" w:type="dxa"/>
            <w:hideMark/>
          </w:tcPr>
          <w:p w14:paraId="117BEAF7" w14:textId="77777777" w:rsidR="002B6124" w:rsidRPr="008A1FE3" w:rsidRDefault="002B6124" w:rsidP="004202EB">
            <w:pPr>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95,75</w:t>
            </w:r>
          </w:p>
        </w:tc>
      </w:tr>
      <w:tr w:rsidR="004202EB" w:rsidRPr="008A1FE3" w14:paraId="74B076BD" w14:textId="77777777" w:rsidTr="004202EB">
        <w:trPr>
          <w:gridAfter w:val="1"/>
          <w:wAfter w:w="7" w:type="dxa"/>
        </w:trPr>
        <w:tc>
          <w:tcPr>
            <w:cnfStyle w:val="001000000000" w:firstRow="0" w:lastRow="0" w:firstColumn="1" w:lastColumn="0" w:oddVBand="0" w:evenVBand="0" w:oddHBand="0" w:evenHBand="0" w:firstRowFirstColumn="0" w:firstRowLastColumn="0" w:lastRowFirstColumn="0" w:lastRowLastColumn="0"/>
            <w:tcW w:w="704" w:type="dxa"/>
            <w:hideMark/>
          </w:tcPr>
          <w:p w14:paraId="2B913E73" w14:textId="6C1C5953" w:rsidR="002B6124" w:rsidRPr="008A1FE3" w:rsidRDefault="002B6124" w:rsidP="004202EB">
            <w:pPr>
              <w:jc w:val="center"/>
              <w:rPr>
                <w:sz w:val="20"/>
                <w:szCs w:val="20"/>
              </w:rPr>
            </w:pPr>
            <w:r w:rsidRPr="008A1FE3">
              <w:rPr>
                <w:sz w:val="20"/>
                <w:szCs w:val="20"/>
              </w:rPr>
              <w:lastRenderedPageBreak/>
              <w:t>4.</w:t>
            </w:r>
            <w:r w:rsidR="002E072E" w:rsidRPr="008A1FE3">
              <w:rPr>
                <w:sz w:val="20"/>
                <w:szCs w:val="20"/>
              </w:rPr>
              <w:t>3</w:t>
            </w:r>
            <w:r w:rsidRPr="008A1FE3">
              <w:rPr>
                <w:sz w:val="20"/>
                <w:szCs w:val="20"/>
              </w:rPr>
              <w:t>.</w:t>
            </w:r>
          </w:p>
        </w:tc>
        <w:tc>
          <w:tcPr>
            <w:tcW w:w="3827" w:type="dxa"/>
            <w:hideMark/>
          </w:tcPr>
          <w:p w14:paraId="7E1594F2" w14:textId="0B7E1BD1" w:rsidR="002B6124" w:rsidRPr="008A1FE3" w:rsidRDefault="002B6124" w:rsidP="004202EB">
            <w:pPr>
              <w:jc w:val="left"/>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 xml:space="preserve">Область КЛ 6-10 кВ, способ прокладки  - в траншеях, многожильные, с бумажной изоляцией, </w:t>
            </w:r>
            <w:r w:rsidR="00164398" w:rsidRPr="008A1FE3">
              <w:rPr>
                <w:sz w:val="20"/>
                <w:szCs w:val="20"/>
              </w:rPr>
              <w:t>сечением</w:t>
            </w:r>
            <w:r w:rsidRPr="008A1FE3">
              <w:rPr>
                <w:sz w:val="20"/>
                <w:szCs w:val="20"/>
              </w:rPr>
              <w:t xml:space="preserve"> до 50  мм2</w:t>
            </w:r>
          </w:p>
        </w:tc>
        <w:tc>
          <w:tcPr>
            <w:tcW w:w="1560" w:type="dxa"/>
            <w:hideMark/>
          </w:tcPr>
          <w:p w14:paraId="1CFFF995" w14:textId="77777777" w:rsidR="002B6124" w:rsidRPr="008A1FE3" w:rsidRDefault="002B6124" w:rsidP="004202EB">
            <w:pPr>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2 538 971</w:t>
            </w:r>
          </w:p>
        </w:tc>
        <w:tc>
          <w:tcPr>
            <w:tcW w:w="1559" w:type="dxa"/>
            <w:hideMark/>
          </w:tcPr>
          <w:p w14:paraId="231691BD" w14:textId="77777777" w:rsidR="002B6124" w:rsidRPr="008A1FE3" w:rsidRDefault="002B6124" w:rsidP="004202EB">
            <w:pPr>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0,119</w:t>
            </w:r>
          </w:p>
        </w:tc>
        <w:tc>
          <w:tcPr>
            <w:tcW w:w="1837" w:type="dxa"/>
            <w:hideMark/>
          </w:tcPr>
          <w:p w14:paraId="33E1B383" w14:textId="77777777" w:rsidR="002B6124" w:rsidRPr="008A1FE3" w:rsidRDefault="002B6124" w:rsidP="004202EB">
            <w:pPr>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302,14</w:t>
            </w:r>
          </w:p>
        </w:tc>
      </w:tr>
      <w:tr w:rsidR="004202EB" w:rsidRPr="008A1FE3" w14:paraId="72CBBBA1" w14:textId="77777777" w:rsidTr="004202EB">
        <w:trPr>
          <w:gridAfter w:val="1"/>
          <w:wAfter w:w="7" w:type="dxa"/>
        </w:trPr>
        <w:tc>
          <w:tcPr>
            <w:cnfStyle w:val="001000000000" w:firstRow="0" w:lastRow="0" w:firstColumn="1" w:lastColumn="0" w:oddVBand="0" w:evenVBand="0" w:oddHBand="0" w:evenHBand="0" w:firstRowFirstColumn="0" w:firstRowLastColumn="0" w:lastRowFirstColumn="0" w:lastRowLastColumn="0"/>
            <w:tcW w:w="704" w:type="dxa"/>
            <w:hideMark/>
          </w:tcPr>
          <w:p w14:paraId="30C81BCF" w14:textId="169BBB64" w:rsidR="002B6124" w:rsidRPr="008A1FE3" w:rsidRDefault="002B6124" w:rsidP="004202EB">
            <w:pPr>
              <w:jc w:val="center"/>
              <w:rPr>
                <w:sz w:val="20"/>
                <w:szCs w:val="20"/>
              </w:rPr>
            </w:pPr>
            <w:r w:rsidRPr="008A1FE3">
              <w:rPr>
                <w:sz w:val="20"/>
                <w:szCs w:val="20"/>
              </w:rPr>
              <w:t>4.</w:t>
            </w:r>
            <w:r w:rsidR="002E072E" w:rsidRPr="008A1FE3">
              <w:rPr>
                <w:sz w:val="20"/>
                <w:szCs w:val="20"/>
              </w:rPr>
              <w:t>4.</w:t>
            </w:r>
          </w:p>
        </w:tc>
        <w:tc>
          <w:tcPr>
            <w:tcW w:w="3827" w:type="dxa"/>
            <w:hideMark/>
          </w:tcPr>
          <w:p w14:paraId="07DFA474" w14:textId="7DE8F957" w:rsidR="002B6124" w:rsidRPr="008A1FE3" w:rsidRDefault="002B6124" w:rsidP="004202EB">
            <w:pPr>
              <w:jc w:val="left"/>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 xml:space="preserve">Область КЛ 6-10 кВ, способ прокладки  - в траншеях, многожильные,  с резиновой и пластмассовой изоляцией , </w:t>
            </w:r>
            <w:r w:rsidR="00164398" w:rsidRPr="008A1FE3">
              <w:rPr>
                <w:sz w:val="20"/>
                <w:szCs w:val="20"/>
              </w:rPr>
              <w:t>сечением</w:t>
            </w:r>
            <w:r w:rsidRPr="008A1FE3">
              <w:rPr>
                <w:sz w:val="20"/>
                <w:szCs w:val="20"/>
              </w:rPr>
              <w:t xml:space="preserve">  от 50 до 100 мм2  </w:t>
            </w:r>
          </w:p>
        </w:tc>
        <w:tc>
          <w:tcPr>
            <w:tcW w:w="1560" w:type="dxa"/>
            <w:hideMark/>
          </w:tcPr>
          <w:p w14:paraId="29B497DC" w14:textId="77777777" w:rsidR="002B6124" w:rsidRPr="008A1FE3" w:rsidRDefault="002B6124" w:rsidP="004202EB">
            <w:pPr>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2 538 971</w:t>
            </w:r>
          </w:p>
        </w:tc>
        <w:tc>
          <w:tcPr>
            <w:tcW w:w="1559" w:type="dxa"/>
            <w:hideMark/>
          </w:tcPr>
          <w:p w14:paraId="1032A2B9" w14:textId="77777777" w:rsidR="002B6124" w:rsidRPr="008A1FE3" w:rsidRDefault="002B6124" w:rsidP="004202EB">
            <w:pPr>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0,120</w:t>
            </w:r>
          </w:p>
        </w:tc>
        <w:tc>
          <w:tcPr>
            <w:tcW w:w="1837" w:type="dxa"/>
            <w:hideMark/>
          </w:tcPr>
          <w:p w14:paraId="019957D8" w14:textId="77777777" w:rsidR="002B6124" w:rsidRPr="008A1FE3" w:rsidRDefault="002B6124" w:rsidP="004202EB">
            <w:pPr>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304,68</w:t>
            </w:r>
          </w:p>
        </w:tc>
      </w:tr>
      <w:tr w:rsidR="004202EB" w:rsidRPr="008A1FE3" w14:paraId="489A38FA" w14:textId="77777777" w:rsidTr="004202EB">
        <w:trPr>
          <w:gridAfter w:val="1"/>
          <w:wAfter w:w="7" w:type="dxa"/>
        </w:trPr>
        <w:tc>
          <w:tcPr>
            <w:cnfStyle w:val="001000000000" w:firstRow="0" w:lastRow="0" w:firstColumn="1" w:lastColumn="0" w:oddVBand="0" w:evenVBand="0" w:oddHBand="0" w:evenHBand="0" w:firstRowFirstColumn="0" w:firstRowLastColumn="0" w:lastRowFirstColumn="0" w:lastRowLastColumn="0"/>
            <w:tcW w:w="704" w:type="dxa"/>
            <w:hideMark/>
          </w:tcPr>
          <w:p w14:paraId="0CE9F83E" w14:textId="77777777" w:rsidR="002B6124" w:rsidRPr="008A1FE3" w:rsidRDefault="002B6124" w:rsidP="004202EB">
            <w:pPr>
              <w:jc w:val="center"/>
              <w:rPr>
                <w:sz w:val="20"/>
                <w:szCs w:val="20"/>
              </w:rPr>
            </w:pPr>
            <w:r w:rsidRPr="008A1FE3">
              <w:rPr>
                <w:sz w:val="20"/>
                <w:szCs w:val="20"/>
              </w:rPr>
              <w:t>5</w:t>
            </w:r>
          </w:p>
        </w:tc>
        <w:tc>
          <w:tcPr>
            <w:tcW w:w="3827" w:type="dxa"/>
            <w:hideMark/>
          </w:tcPr>
          <w:p w14:paraId="06E51EFF" w14:textId="77777777" w:rsidR="002B6124" w:rsidRPr="008A1FE3" w:rsidRDefault="002B6124" w:rsidP="004202EB">
            <w:pPr>
              <w:jc w:val="left"/>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Строительство пунктов секционирования</w:t>
            </w:r>
          </w:p>
        </w:tc>
        <w:tc>
          <w:tcPr>
            <w:tcW w:w="1560" w:type="dxa"/>
            <w:hideMark/>
          </w:tcPr>
          <w:p w14:paraId="1EE2C028" w14:textId="77777777" w:rsidR="002B6124" w:rsidRPr="008A1FE3" w:rsidRDefault="002B6124" w:rsidP="004202EB">
            <w:pPr>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 </w:t>
            </w:r>
          </w:p>
        </w:tc>
        <w:tc>
          <w:tcPr>
            <w:tcW w:w="1559" w:type="dxa"/>
            <w:hideMark/>
          </w:tcPr>
          <w:p w14:paraId="7BF275C0" w14:textId="77777777" w:rsidR="002B6124" w:rsidRPr="008A1FE3" w:rsidRDefault="002B6124" w:rsidP="004202EB">
            <w:pPr>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 </w:t>
            </w:r>
          </w:p>
        </w:tc>
        <w:tc>
          <w:tcPr>
            <w:tcW w:w="1837" w:type="dxa"/>
            <w:hideMark/>
          </w:tcPr>
          <w:p w14:paraId="1F9C41EF" w14:textId="77777777" w:rsidR="002B6124" w:rsidRPr="008A1FE3" w:rsidRDefault="002B6124" w:rsidP="004202EB">
            <w:pPr>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 </w:t>
            </w:r>
          </w:p>
        </w:tc>
      </w:tr>
      <w:tr w:rsidR="004202EB" w:rsidRPr="008A1FE3" w14:paraId="148D0994" w14:textId="77777777" w:rsidTr="004202EB">
        <w:trPr>
          <w:gridAfter w:val="1"/>
          <w:wAfter w:w="7" w:type="dxa"/>
        </w:trPr>
        <w:tc>
          <w:tcPr>
            <w:cnfStyle w:val="001000000000" w:firstRow="0" w:lastRow="0" w:firstColumn="1" w:lastColumn="0" w:oddVBand="0" w:evenVBand="0" w:oddHBand="0" w:evenHBand="0" w:firstRowFirstColumn="0" w:firstRowLastColumn="0" w:lastRowFirstColumn="0" w:lastRowLastColumn="0"/>
            <w:tcW w:w="704" w:type="dxa"/>
            <w:hideMark/>
          </w:tcPr>
          <w:p w14:paraId="5F88AFC7" w14:textId="77777777" w:rsidR="002B6124" w:rsidRPr="008A1FE3" w:rsidRDefault="002B6124" w:rsidP="004202EB">
            <w:pPr>
              <w:jc w:val="center"/>
              <w:rPr>
                <w:sz w:val="20"/>
                <w:szCs w:val="20"/>
              </w:rPr>
            </w:pPr>
            <w:r w:rsidRPr="008A1FE3">
              <w:rPr>
                <w:sz w:val="20"/>
                <w:szCs w:val="20"/>
              </w:rPr>
              <w:t>6</w:t>
            </w:r>
          </w:p>
        </w:tc>
        <w:tc>
          <w:tcPr>
            <w:tcW w:w="3827" w:type="dxa"/>
            <w:hideMark/>
          </w:tcPr>
          <w:p w14:paraId="19CC40C8" w14:textId="77777777" w:rsidR="002B6124" w:rsidRPr="008A1FE3" w:rsidRDefault="002B6124" w:rsidP="004202EB">
            <w:pPr>
              <w:jc w:val="left"/>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Строительство трансформаторных подстанций (ТП), за исключением распределительных трансформаторных подстанций (РТП), с уровнем напряжения до 35 кВ</w:t>
            </w:r>
          </w:p>
        </w:tc>
        <w:tc>
          <w:tcPr>
            <w:tcW w:w="1560" w:type="dxa"/>
            <w:hideMark/>
          </w:tcPr>
          <w:p w14:paraId="4BDE0A2E" w14:textId="77777777" w:rsidR="002B6124" w:rsidRPr="008A1FE3" w:rsidRDefault="002B6124" w:rsidP="004202EB">
            <w:pPr>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 </w:t>
            </w:r>
          </w:p>
        </w:tc>
        <w:tc>
          <w:tcPr>
            <w:tcW w:w="1559" w:type="dxa"/>
            <w:hideMark/>
          </w:tcPr>
          <w:p w14:paraId="2039522A" w14:textId="77777777" w:rsidR="002B6124" w:rsidRPr="008A1FE3" w:rsidRDefault="002B6124" w:rsidP="004202EB">
            <w:pPr>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1 106,667</w:t>
            </w:r>
          </w:p>
        </w:tc>
        <w:tc>
          <w:tcPr>
            <w:tcW w:w="1837" w:type="dxa"/>
            <w:hideMark/>
          </w:tcPr>
          <w:p w14:paraId="5211EBB9" w14:textId="77777777" w:rsidR="002B6124" w:rsidRPr="008A1FE3" w:rsidRDefault="002B6124" w:rsidP="004202EB">
            <w:pPr>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14 558,46</w:t>
            </w:r>
          </w:p>
        </w:tc>
      </w:tr>
      <w:tr w:rsidR="004202EB" w:rsidRPr="008A1FE3" w14:paraId="3861185A" w14:textId="77777777" w:rsidTr="004202EB">
        <w:trPr>
          <w:gridAfter w:val="1"/>
          <w:wAfter w:w="7" w:type="dxa"/>
        </w:trPr>
        <w:tc>
          <w:tcPr>
            <w:cnfStyle w:val="001000000000" w:firstRow="0" w:lastRow="0" w:firstColumn="1" w:lastColumn="0" w:oddVBand="0" w:evenVBand="0" w:oddHBand="0" w:evenHBand="0" w:firstRowFirstColumn="0" w:firstRowLastColumn="0" w:lastRowFirstColumn="0" w:lastRowLastColumn="0"/>
            <w:tcW w:w="704" w:type="dxa"/>
            <w:hideMark/>
          </w:tcPr>
          <w:p w14:paraId="01B51F6D" w14:textId="6F70B714" w:rsidR="002B6124" w:rsidRPr="008A1FE3" w:rsidRDefault="002B6124" w:rsidP="004202EB">
            <w:pPr>
              <w:jc w:val="center"/>
              <w:rPr>
                <w:sz w:val="20"/>
                <w:szCs w:val="20"/>
              </w:rPr>
            </w:pPr>
            <w:r w:rsidRPr="008A1FE3">
              <w:rPr>
                <w:sz w:val="20"/>
                <w:szCs w:val="20"/>
              </w:rPr>
              <w:t>6.1.</w:t>
            </w:r>
          </w:p>
        </w:tc>
        <w:tc>
          <w:tcPr>
            <w:tcW w:w="3827" w:type="dxa"/>
            <w:hideMark/>
          </w:tcPr>
          <w:p w14:paraId="1C8355F7" w14:textId="77777777" w:rsidR="002B6124" w:rsidRPr="008A1FE3" w:rsidRDefault="002B6124" w:rsidP="004202EB">
            <w:pPr>
              <w:jc w:val="left"/>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 xml:space="preserve">Город Однотрансформаторные Трансформаторная мощность до 25 кВА включительно  </w:t>
            </w:r>
          </w:p>
        </w:tc>
        <w:tc>
          <w:tcPr>
            <w:tcW w:w="1560" w:type="dxa"/>
            <w:hideMark/>
          </w:tcPr>
          <w:p w14:paraId="7585B581" w14:textId="77777777" w:rsidR="002B6124" w:rsidRPr="008A1FE3" w:rsidRDefault="002B6124" w:rsidP="004202EB">
            <w:pPr>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38 012</w:t>
            </w:r>
          </w:p>
        </w:tc>
        <w:tc>
          <w:tcPr>
            <w:tcW w:w="1559" w:type="dxa"/>
            <w:hideMark/>
          </w:tcPr>
          <w:p w14:paraId="2590FF5D" w14:textId="3A980FC4" w:rsidR="002B6124" w:rsidRPr="008A1FE3" w:rsidRDefault="002B6124" w:rsidP="004202EB">
            <w:pPr>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15,0</w:t>
            </w:r>
          </w:p>
        </w:tc>
        <w:tc>
          <w:tcPr>
            <w:tcW w:w="1837" w:type="dxa"/>
            <w:hideMark/>
          </w:tcPr>
          <w:p w14:paraId="46A16309" w14:textId="77777777" w:rsidR="002B6124" w:rsidRPr="008A1FE3" w:rsidRDefault="002B6124" w:rsidP="004202EB">
            <w:pPr>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570,18</w:t>
            </w:r>
          </w:p>
        </w:tc>
      </w:tr>
      <w:tr w:rsidR="004202EB" w:rsidRPr="008A1FE3" w14:paraId="5DDD005F" w14:textId="77777777" w:rsidTr="004202EB">
        <w:trPr>
          <w:gridAfter w:val="1"/>
          <w:wAfter w:w="7" w:type="dxa"/>
        </w:trPr>
        <w:tc>
          <w:tcPr>
            <w:cnfStyle w:val="001000000000" w:firstRow="0" w:lastRow="0" w:firstColumn="1" w:lastColumn="0" w:oddVBand="0" w:evenVBand="0" w:oddHBand="0" w:evenHBand="0" w:firstRowFirstColumn="0" w:firstRowLastColumn="0" w:lastRowFirstColumn="0" w:lastRowLastColumn="0"/>
            <w:tcW w:w="704" w:type="dxa"/>
            <w:hideMark/>
          </w:tcPr>
          <w:p w14:paraId="7FF0047E" w14:textId="522C6C9B" w:rsidR="002B6124" w:rsidRPr="008A1FE3" w:rsidRDefault="002B6124" w:rsidP="004202EB">
            <w:pPr>
              <w:jc w:val="center"/>
              <w:rPr>
                <w:sz w:val="20"/>
                <w:szCs w:val="20"/>
              </w:rPr>
            </w:pPr>
            <w:r w:rsidRPr="008A1FE3">
              <w:rPr>
                <w:sz w:val="20"/>
                <w:szCs w:val="20"/>
              </w:rPr>
              <w:t>6.</w:t>
            </w:r>
            <w:r w:rsidR="002E072E" w:rsidRPr="008A1FE3">
              <w:rPr>
                <w:sz w:val="20"/>
                <w:szCs w:val="20"/>
              </w:rPr>
              <w:t>2</w:t>
            </w:r>
            <w:r w:rsidRPr="008A1FE3">
              <w:rPr>
                <w:sz w:val="20"/>
                <w:szCs w:val="20"/>
              </w:rPr>
              <w:t>.</w:t>
            </w:r>
          </w:p>
        </w:tc>
        <w:tc>
          <w:tcPr>
            <w:tcW w:w="3827" w:type="dxa"/>
            <w:hideMark/>
          </w:tcPr>
          <w:p w14:paraId="35E940C6" w14:textId="77777777" w:rsidR="002B6124" w:rsidRPr="008A1FE3" w:rsidRDefault="002B6124" w:rsidP="004202EB">
            <w:pPr>
              <w:jc w:val="left"/>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 xml:space="preserve">Область Однотрансформаторные Трансформаторная мощность до 25 кВА включительно  </w:t>
            </w:r>
          </w:p>
        </w:tc>
        <w:tc>
          <w:tcPr>
            <w:tcW w:w="1560" w:type="dxa"/>
            <w:hideMark/>
          </w:tcPr>
          <w:p w14:paraId="5066AE17" w14:textId="77777777" w:rsidR="002B6124" w:rsidRPr="008A1FE3" w:rsidRDefault="002B6124" w:rsidP="004202EB">
            <w:pPr>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38 012</w:t>
            </w:r>
          </w:p>
        </w:tc>
        <w:tc>
          <w:tcPr>
            <w:tcW w:w="1559" w:type="dxa"/>
            <w:hideMark/>
          </w:tcPr>
          <w:p w14:paraId="0E31911C" w14:textId="6A0C1553" w:rsidR="002B6124" w:rsidRPr="008A1FE3" w:rsidRDefault="002B6124" w:rsidP="004202EB">
            <w:pPr>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30,0</w:t>
            </w:r>
          </w:p>
        </w:tc>
        <w:tc>
          <w:tcPr>
            <w:tcW w:w="1837" w:type="dxa"/>
            <w:hideMark/>
          </w:tcPr>
          <w:p w14:paraId="1E98901A" w14:textId="77777777" w:rsidR="002B6124" w:rsidRPr="008A1FE3" w:rsidRDefault="002B6124" w:rsidP="004202EB">
            <w:pPr>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1 140,36</w:t>
            </w:r>
          </w:p>
        </w:tc>
      </w:tr>
      <w:tr w:rsidR="004202EB" w:rsidRPr="008A1FE3" w14:paraId="21117439" w14:textId="77777777" w:rsidTr="004202EB">
        <w:trPr>
          <w:gridAfter w:val="1"/>
          <w:wAfter w:w="7" w:type="dxa"/>
        </w:trPr>
        <w:tc>
          <w:tcPr>
            <w:cnfStyle w:val="001000000000" w:firstRow="0" w:lastRow="0" w:firstColumn="1" w:lastColumn="0" w:oddVBand="0" w:evenVBand="0" w:oddHBand="0" w:evenHBand="0" w:firstRowFirstColumn="0" w:firstRowLastColumn="0" w:lastRowFirstColumn="0" w:lastRowLastColumn="0"/>
            <w:tcW w:w="704" w:type="dxa"/>
            <w:hideMark/>
          </w:tcPr>
          <w:p w14:paraId="02642EEE" w14:textId="0D4F5758" w:rsidR="002B6124" w:rsidRPr="008A1FE3" w:rsidRDefault="002B6124" w:rsidP="004202EB">
            <w:pPr>
              <w:jc w:val="center"/>
              <w:rPr>
                <w:sz w:val="20"/>
                <w:szCs w:val="20"/>
              </w:rPr>
            </w:pPr>
            <w:r w:rsidRPr="008A1FE3">
              <w:rPr>
                <w:sz w:val="20"/>
                <w:szCs w:val="20"/>
              </w:rPr>
              <w:t>6.</w:t>
            </w:r>
            <w:r w:rsidR="002E072E" w:rsidRPr="008A1FE3">
              <w:rPr>
                <w:sz w:val="20"/>
                <w:szCs w:val="20"/>
              </w:rPr>
              <w:t>3</w:t>
            </w:r>
            <w:r w:rsidRPr="008A1FE3">
              <w:rPr>
                <w:sz w:val="20"/>
                <w:szCs w:val="20"/>
              </w:rPr>
              <w:t>.</w:t>
            </w:r>
          </w:p>
        </w:tc>
        <w:tc>
          <w:tcPr>
            <w:tcW w:w="3827" w:type="dxa"/>
            <w:hideMark/>
          </w:tcPr>
          <w:p w14:paraId="586921F2" w14:textId="77777777" w:rsidR="002B6124" w:rsidRPr="008A1FE3" w:rsidRDefault="002B6124" w:rsidP="004202EB">
            <w:pPr>
              <w:jc w:val="left"/>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 xml:space="preserve">Город Однотрансформаторные Трансформаторная мощность от 25 до 100 кВА включительно  </w:t>
            </w:r>
          </w:p>
        </w:tc>
        <w:tc>
          <w:tcPr>
            <w:tcW w:w="1560" w:type="dxa"/>
            <w:hideMark/>
          </w:tcPr>
          <w:p w14:paraId="544837AD" w14:textId="77777777" w:rsidR="002B6124" w:rsidRPr="008A1FE3" w:rsidRDefault="002B6124" w:rsidP="004202EB">
            <w:pPr>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10 089</w:t>
            </w:r>
          </w:p>
        </w:tc>
        <w:tc>
          <w:tcPr>
            <w:tcW w:w="1559" w:type="dxa"/>
            <w:hideMark/>
          </w:tcPr>
          <w:p w14:paraId="718CD4DE" w14:textId="274A9DC5" w:rsidR="002B6124" w:rsidRPr="008A1FE3" w:rsidRDefault="002B6124" w:rsidP="004202EB">
            <w:pPr>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35,0</w:t>
            </w:r>
          </w:p>
        </w:tc>
        <w:tc>
          <w:tcPr>
            <w:tcW w:w="1837" w:type="dxa"/>
            <w:hideMark/>
          </w:tcPr>
          <w:p w14:paraId="42CF2D81" w14:textId="77777777" w:rsidR="002B6124" w:rsidRPr="008A1FE3" w:rsidRDefault="002B6124" w:rsidP="004202EB">
            <w:pPr>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353,12</w:t>
            </w:r>
          </w:p>
        </w:tc>
      </w:tr>
      <w:tr w:rsidR="004202EB" w:rsidRPr="008A1FE3" w14:paraId="15F59CD1" w14:textId="77777777" w:rsidTr="004202EB">
        <w:trPr>
          <w:gridAfter w:val="1"/>
          <w:wAfter w:w="7" w:type="dxa"/>
        </w:trPr>
        <w:tc>
          <w:tcPr>
            <w:cnfStyle w:val="001000000000" w:firstRow="0" w:lastRow="0" w:firstColumn="1" w:lastColumn="0" w:oddVBand="0" w:evenVBand="0" w:oddHBand="0" w:evenHBand="0" w:firstRowFirstColumn="0" w:firstRowLastColumn="0" w:lastRowFirstColumn="0" w:lastRowLastColumn="0"/>
            <w:tcW w:w="704" w:type="dxa"/>
            <w:hideMark/>
          </w:tcPr>
          <w:p w14:paraId="35A477B0" w14:textId="37D68710" w:rsidR="002B6124" w:rsidRPr="008A1FE3" w:rsidRDefault="002B6124" w:rsidP="004202EB">
            <w:pPr>
              <w:jc w:val="center"/>
              <w:rPr>
                <w:sz w:val="20"/>
                <w:szCs w:val="20"/>
              </w:rPr>
            </w:pPr>
            <w:r w:rsidRPr="008A1FE3">
              <w:rPr>
                <w:sz w:val="20"/>
                <w:szCs w:val="20"/>
              </w:rPr>
              <w:t>6.</w:t>
            </w:r>
            <w:r w:rsidR="002E072E" w:rsidRPr="008A1FE3">
              <w:rPr>
                <w:sz w:val="20"/>
                <w:szCs w:val="20"/>
              </w:rPr>
              <w:t>4</w:t>
            </w:r>
            <w:r w:rsidRPr="008A1FE3">
              <w:rPr>
                <w:sz w:val="20"/>
                <w:szCs w:val="20"/>
              </w:rPr>
              <w:t>.</w:t>
            </w:r>
          </w:p>
        </w:tc>
        <w:tc>
          <w:tcPr>
            <w:tcW w:w="3827" w:type="dxa"/>
            <w:hideMark/>
          </w:tcPr>
          <w:p w14:paraId="019071A2" w14:textId="77777777" w:rsidR="002B6124" w:rsidRPr="008A1FE3" w:rsidRDefault="002B6124" w:rsidP="004202EB">
            <w:pPr>
              <w:jc w:val="left"/>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 xml:space="preserve">Область Однотрансформаторные Трансформаторная мощность от 25 до 100 кВА включительно  </w:t>
            </w:r>
          </w:p>
        </w:tc>
        <w:tc>
          <w:tcPr>
            <w:tcW w:w="1560" w:type="dxa"/>
            <w:hideMark/>
          </w:tcPr>
          <w:p w14:paraId="1D640D66" w14:textId="77777777" w:rsidR="002B6124" w:rsidRPr="008A1FE3" w:rsidRDefault="002B6124" w:rsidP="004202EB">
            <w:pPr>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17 357</w:t>
            </w:r>
          </w:p>
        </w:tc>
        <w:tc>
          <w:tcPr>
            <w:tcW w:w="1559" w:type="dxa"/>
            <w:hideMark/>
          </w:tcPr>
          <w:p w14:paraId="2262C8B7" w14:textId="3165FA4A" w:rsidR="002B6124" w:rsidRPr="008A1FE3" w:rsidRDefault="002B6124" w:rsidP="004202EB">
            <w:pPr>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55,0</w:t>
            </w:r>
          </w:p>
        </w:tc>
        <w:tc>
          <w:tcPr>
            <w:tcW w:w="1837" w:type="dxa"/>
            <w:hideMark/>
          </w:tcPr>
          <w:p w14:paraId="42BADE79" w14:textId="77777777" w:rsidR="002B6124" w:rsidRPr="008A1FE3" w:rsidRDefault="002B6124" w:rsidP="004202EB">
            <w:pPr>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954,64</w:t>
            </w:r>
          </w:p>
        </w:tc>
      </w:tr>
      <w:tr w:rsidR="004202EB" w:rsidRPr="008A1FE3" w14:paraId="2E90CC5A" w14:textId="77777777" w:rsidTr="004202EB">
        <w:trPr>
          <w:gridAfter w:val="1"/>
          <w:wAfter w:w="7" w:type="dxa"/>
        </w:trPr>
        <w:tc>
          <w:tcPr>
            <w:cnfStyle w:val="001000000000" w:firstRow="0" w:lastRow="0" w:firstColumn="1" w:lastColumn="0" w:oddVBand="0" w:evenVBand="0" w:oddHBand="0" w:evenHBand="0" w:firstRowFirstColumn="0" w:firstRowLastColumn="0" w:lastRowFirstColumn="0" w:lastRowLastColumn="0"/>
            <w:tcW w:w="704" w:type="dxa"/>
            <w:hideMark/>
          </w:tcPr>
          <w:p w14:paraId="0A8DB96C" w14:textId="23478FCF" w:rsidR="002B6124" w:rsidRPr="008A1FE3" w:rsidRDefault="002B6124" w:rsidP="004202EB">
            <w:pPr>
              <w:jc w:val="center"/>
              <w:rPr>
                <w:sz w:val="20"/>
                <w:szCs w:val="20"/>
              </w:rPr>
            </w:pPr>
            <w:r w:rsidRPr="008A1FE3">
              <w:rPr>
                <w:sz w:val="20"/>
                <w:szCs w:val="20"/>
              </w:rPr>
              <w:t>6.</w:t>
            </w:r>
            <w:r w:rsidR="002E072E" w:rsidRPr="008A1FE3">
              <w:rPr>
                <w:sz w:val="20"/>
                <w:szCs w:val="20"/>
              </w:rPr>
              <w:t>5</w:t>
            </w:r>
            <w:r w:rsidRPr="008A1FE3">
              <w:rPr>
                <w:sz w:val="20"/>
                <w:szCs w:val="20"/>
              </w:rPr>
              <w:t>.</w:t>
            </w:r>
          </w:p>
        </w:tc>
        <w:tc>
          <w:tcPr>
            <w:tcW w:w="3827" w:type="dxa"/>
            <w:hideMark/>
          </w:tcPr>
          <w:p w14:paraId="7A0F2040" w14:textId="77777777" w:rsidR="002B6124" w:rsidRPr="008A1FE3" w:rsidRDefault="002B6124" w:rsidP="004202EB">
            <w:pPr>
              <w:jc w:val="left"/>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Область Однотрансформаторные Трансформаторная мощность от 100 до 250 кВА включительно</w:t>
            </w:r>
          </w:p>
        </w:tc>
        <w:tc>
          <w:tcPr>
            <w:tcW w:w="1560" w:type="dxa"/>
            <w:hideMark/>
          </w:tcPr>
          <w:p w14:paraId="3155240C" w14:textId="77777777" w:rsidR="002B6124" w:rsidRPr="008A1FE3" w:rsidRDefault="002B6124" w:rsidP="004202EB">
            <w:pPr>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15 197</w:t>
            </w:r>
          </w:p>
        </w:tc>
        <w:tc>
          <w:tcPr>
            <w:tcW w:w="1559" w:type="dxa"/>
            <w:hideMark/>
          </w:tcPr>
          <w:p w14:paraId="2A54B04F" w14:textId="3E30B1A6" w:rsidR="002B6124" w:rsidRPr="008A1FE3" w:rsidRDefault="002B6124" w:rsidP="004202EB">
            <w:pPr>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555,0</w:t>
            </w:r>
          </w:p>
        </w:tc>
        <w:tc>
          <w:tcPr>
            <w:tcW w:w="1837" w:type="dxa"/>
            <w:hideMark/>
          </w:tcPr>
          <w:p w14:paraId="0DFC9946" w14:textId="77777777" w:rsidR="002B6124" w:rsidRPr="008A1FE3" w:rsidRDefault="002B6124" w:rsidP="004202EB">
            <w:pPr>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8 434,34</w:t>
            </w:r>
          </w:p>
        </w:tc>
      </w:tr>
      <w:tr w:rsidR="004202EB" w:rsidRPr="008A1FE3" w14:paraId="6346490E" w14:textId="77777777" w:rsidTr="004202EB">
        <w:trPr>
          <w:gridAfter w:val="1"/>
          <w:wAfter w:w="7" w:type="dxa"/>
        </w:trPr>
        <w:tc>
          <w:tcPr>
            <w:cnfStyle w:val="001000000000" w:firstRow="0" w:lastRow="0" w:firstColumn="1" w:lastColumn="0" w:oddVBand="0" w:evenVBand="0" w:oddHBand="0" w:evenHBand="0" w:firstRowFirstColumn="0" w:firstRowLastColumn="0" w:lastRowFirstColumn="0" w:lastRowLastColumn="0"/>
            <w:tcW w:w="704" w:type="dxa"/>
            <w:hideMark/>
          </w:tcPr>
          <w:p w14:paraId="03FC5BD6" w14:textId="0B64CB26" w:rsidR="002B6124" w:rsidRPr="008A1FE3" w:rsidRDefault="002B6124" w:rsidP="004202EB">
            <w:pPr>
              <w:jc w:val="center"/>
              <w:rPr>
                <w:sz w:val="20"/>
                <w:szCs w:val="20"/>
              </w:rPr>
            </w:pPr>
            <w:r w:rsidRPr="008A1FE3">
              <w:rPr>
                <w:sz w:val="20"/>
                <w:szCs w:val="20"/>
              </w:rPr>
              <w:t>6.</w:t>
            </w:r>
            <w:r w:rsidR="002E072E" w:rsidRPr="008A1FE3">
              <w:rPr>
                <w:sz w:val="20"/>
                <w:szCs w:val="20"/>
              </w:rPr>
              <w:t>6</w:t>
            </w:r>
            <w:r w:rsidRPr="008A1FE3">
              <w:rPr>
                <w:sz w:val="20"/>
                <w:szCs w:val="20"/>
              </w:rPr>
              <w:t>.</w:t>
            </w:r>
          </w:p>
        </w:tc>
        <w:tc>
          <w:tcPr>
            <w:tcW w:w="3827" w:type="dxa"/>
            <w:hideMark/>
          </w:tcPr>
          <w:p w14:paraId="035BCAA2" w14:textId="77777777" w:rsidR="002B6124" w:rsidRPr="008A1FE3" w:rsidRDefault="002B6124" w:rsidP="004202EB">
            <w:pPr>
              <w:jc w:val="left"/>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Город Однотрансформаторные Трансформаторная мощность от 100 до 250 кВА включительно</w:t>
            </w:r>
          </w:p>
        </w:tc>
        <w:tc>
          <w:tcPr>
            <w:tcW w:w="1560" w:type="dxa"/>
            <w:hideMark/>
          </w:tcPr>
          <w:p w14:paraId="73794A91" w14:textId="77777777" w:rsidR="002B6124" w:rsidRPr="008A1FE3" w:rsidRDefault="002B6124" w:rsidP="004202EB">
            <w:pPr>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6 892</w:t>
            </w:r>
          </w:p>
        </w:tc>
        <w:tc>
          <w:tcPr>
            <w:tcW w:w="1559" w:type="dxa"/>
            <w:hideMark/>
          </w:tcPr>
          <w:p w14:paraId="0F2E92D7" w14:textId="164C60A5" w:rsidR="002B6124" w:rsidRPr="008A1FE3" w:rsidRDefault="002B6124" w:rsidP="004202EB">
            <w:pPr>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30,0</w:t>
            </w:r>
          </w:p>
        </w:tc>
        <w:tc>
          <w:tcPr>
            <w:tcW w:w="1837" w:type="dxa"/>
            <w:hideMark/>
          </w:tcPr>
          <w:p w14:paraId="08C406D2" w14:textId="77777777" w:rsidR="002B6124" w:rsidRPr="008A1FE3" w:rsidRDefault="002B6124" w:rsidP="004202EB">
            <w:pPr>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206,76</w:t>
            </w:r>
          </w:p>
        </w:tc>
      </w:tr>
      <w:tr w:rsidR="004202EB" w:rsidRPr="008A1FE3" w14:paraId="10A813D6" w14:textId="77777777" w:rsidTr="004202EB">
        <w:trPr>
          <w:gridAfter w:val="1"/>
          <w:wAfter w:w="7" w:type="dxa"/>
        </w:trPr>
        <w:tc>
          <w:tcPr>
            <w:cnfStyle w:val="001000000000" w:firstRow="0" w:lastRow="0" w:firstColumn="1" w:lastColumn="0" w:oddVBand="0" w:evenVBand="0" w:oddHBand="0" w:evenHBand="0" w:firstRowFirstColumn="0" w:firstRowLastColumn="0" w:lastRowFirstColumn="0" w:lastRowLastColumn="0"/>
            <w:tcW w:w="704" w:type="dxa"/>
            <w:hideMark/>
          </w:tcPr>
          <w:p w14:paraId="1A6D82B8" w14:textId="7D36CAC8" w:rsidR="002B6124" w:rsidRPr="008A1FE3" w:rsidRDefault="002B6124" w:rsidP="004202EB">
            <w:pPr>
              <w:jc w:val="center"/>
              <w:rPr>
                <w:sz w:val="20"/>
                <w:szCs w:val="20"/>
              </w:rPr>
            </w:pPr>
            <w:r w:rsidRPr="008A1FE3">
              <w:rPr>
                <w:sz w:val="20"/>
                <w:szCs w:val="20"/>
              </w:rPr>
              <w:t>6.</w:t>
            </w:r>
            <w:r w:rsidR="002E072E" w:rsidRPr="008A1FE3">
              <w:rPr>
                <w:sz w:val="20"/>
                <w:szCs w:val="20"/>
              </w:rPr>
              <w:t>7</w:t>
            </w:r>
            <w:r w:rsidRPr="008A1FE3">
              <w:rPr>
                <w:sz w:val="20"/>
                <w:szCs w:val="20"/>
              </w:rPr>
              <w:t>.</w:t>
            </w:r>
          </w:p>
        </w:tc>
        <w:tc>
          <w:tcPr>
            <w:tcW w:w="3827" w:type="dxa"/>
            <w:hideMark/>
          </w:tcPr>
          <w:p w14:paraId="763C7E25" w14:textId="77777777" w:rsidR="002B6124" w:rsidRPr="008A1FE3" w:rsidRDefault="002B6124" w:rsidP="004202EB">
            <w:pPr>
              <w:jc w:val="left"/>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Область Однотрансформаторные Трансформаторная мощность от 250 до 500 кВА включительно</w:t>
            </w:r>
          </w:p>
        </w:tc>
        <w:tc>
          <w:tcPr>
            <w:tcW w:w="1560" w:type="dxa"/>
            <w:hideMark/>
          </w:tcPr>
          <w:p w14:paraId="09C03F37" w14:textId="77777777" w:rsidR="002B6124" w:rsidRPr="008A1FE3" w:rsidRDefault="002B6124" w:rsidP="004202EB">
            <w:pPr>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8 181</w:t>
            </w:r>
          </w:p>
        </w:tc>
        <w:tc>
          <w:tcPr>
            <w:tcW w:w="1559" w:type="dxa"/>
            <w:hideMark/>
          </w:tcPr>
          <w:p w14:paraId="2F45D881" w14:textId="77777777" w:rsidR="002B6124" w:rsidRPr="008A1FE3" w:rsidRDefault="002B6124" w:rsidP="004202EB">
            <w:pPr>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191,667</w:t>
            </w:r>
          </w:p>
        </w:tc>
        <w:tc>
          <w:tcPr>
            <w:tcW w:w="1837" w:type="dxa"/>
            <w:hideMark/>
          </w:tcPr>
          <w:p w14:paraId="258F9732" w14:textId="77777777" w:rsidR="002B6124" w:rsidRPr="008A1FE3" w:rsidRDefault="002B6124" w:rsidP="004202EB">
            <w:pPr>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1 568,03</w:t>
            </w:r>
          </w:p>
        </w:tc>
      </w:tr>
      <w:tr w:rsidR="004202EB" w:rsidRPr="008A1FE3" w14:paraId="3F7D9317" w14:textId="77777777" w:rsidTr="004202EB">
        <w:tc>
          <w:tcPr>
            <w:cnfStyle w:val="001000000000" w:firstRow="0" w:lastRow="0" w:firstColumn="1" w:lastColumn="0" w:oddVBand="0" w:evenVBand="0" w:oddHBand="0" w:evenHBand="0" w:firstRowFirstColumn="0" w:firstRowLastColumn="0" w:lastRowFirstColumn="0" w:lastRowLastColumn="0"/>
            <w:tcW w:w="704" w:type="dxa"/>
            <w:hideMark/>
          </w:tcPr>
          <w:p w14:paraId="1B0DB4D6" w14:textId="3A0E5324" w:rsidR="002B6124" w:rsidRPr="008A1FE3" w:rsidRDefault="002B6124" w:rsidP="004202EB">
            <w:pPr>
              <w:jc w:val="center"/>
              <w:rPr>
                <w:sz w:val="20"/>
                <w:szCs w:val="20"/>
              </w:rPr>
            </w:pPr>
            <w:r w:rsidRPr="008A1FE3">
              <w:rPr>
                <w:sz w:val="20"/>
                <w:szCs w:val="20"/>
              </w:rPr>
              <w:t>6.</w:t>
            </w:r>
            <w:r w:rsidR="002E072E" w:rsidRPr="008A1FE3">
              <w:rPr>
                <w:sz w:val="20"/>
                <w:szCs w:val="20"/>
              </w:rPr>
              <w:t>8</w:t>
            </w:r>
            <w:r w:rsidRPr="008A1FE3">
              <w:rPr>
                <w:sz w:val="20"/>
                <w:szCs w:val="20"/>
              </w:rPr>
              <w:t>.</w:t>
            </w:r>
          </w:p>
        </w:tc>
        <w:tc>
          <w:tcPr>
            <w:tcW w:w="3827" w:type="dxa"/>
            <w:hideMark/>
          </w:tcPr>
          <w:p w14:paraId="77DF4324" w14:textId="77777777" w:rsidR="002B6124" w:rsidRPr="008A1FE3" w:rsidRDefault="002B6124" w:rsidP="004202EB">
            <w:pPr>
              <w:jc w:val="left"/>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Город Однотрансформаторные Трансформаторная мощность от 250 до 500 кВА включительно</w:t>
            </w:r>
          </w:p>
        </w:tc>
        <w:tc>
          <w:tcPr>
            <w:tcW w:w="1560" w:type="dxa"/>
            <w:hideMark/>
          </w:tcPr>
          <w:p w14:paraId="4B1FAE45" w14:textId="77777777" w:rsidR="002B6124" w:rsidRPr="008A1FE3" w:rsidRDefault="002B6124" w:rsidP="004202EB">
            <w:pPr>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6 881</w:t>
            </w:r>
          </w:p>
        </w:tc>
        <w:tc>
          <w:tcPr>
            <w:tcW w:w="1559" w:type="dxa"/>
            <w:hideMark/>
          </w:tcPr>
          <w:p w14:paraId="196D6004" w14:textId="1E511541" w:rsidR="002B6124" w:rsidRPr="008A1FE3" w:rsidRDefault="002B6124" w:rsidP="004202EB">
            <w:pPr>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85,0</w:t>
            </w:r>
          </w:p>
        </w:tc>
        <w:tc>
          <w:tcPr>
            <w:tcW w:w="1844" w:type="dxa"/>
            <w:gridSpan w:val="2"/>
            <w:hideMark/>
          </w:tcPr>
          <w:p w14:paraId="14092FDB" w14:textId="77777777" w:rsidR="002B6124" w:rsidRPr="008A1FE3" w:rsidRDefault="002B6124" w:rsidP="004202EB">
            <w:pPr>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584,89</w:t>
            </w:r>
          </w:p>
        </w:tc>
      </w:tr>
      <w:tr w:rsidR="004202EB" w:rsidRPr="008A1FE3" w14:paraId="57F1A6EE" w14:textId="77777777" w:rsidTr="004202EB">
        <w:tc>
          <w:tcPr>
            <w:cnfStyle w:val="001000000000" w:firstRow="0" w:lastRow="0" w:firstColumn="1" w:lastColumn="0" w:oddVBand="0" w:evenVBand="0" w:oddHBand="0" w:evenHBand="0" w:firstRowFirstColumn="0" w:firstRowLastColumn="0" w:lastRowFirstColumn="0" w:lastRowLastColumn="0"/>
            <w:tcW w:w="704" w:type="dxa"/>
            <w:hideMark/>
          </w:tcPr>
          <w:p w14:paraId="4F80AB7A" w14:textId="529868EA" w:rsidR="002B6124" w:rsidRPr="008A1FE3" w:rsidRDefault="002B6124" w:rsidP="004202EB">
            <w:pPr>
              <w:jc w:val="center"/>
              <w:rPr>
                <w:sz w:val="20"/>
                <w:szCs w:val="20"/>
              </w:rPr>
            </w:pPr>
            <w:r w:rsidRPr="008A1FE3">
              <w:rPr>
                <w:sz w:val="20"/>
                <w:szCs w:val="20"/>
              </w:rPr>
              <w:t>6.</w:t>
            </w:r>
            <w:r w:rsidR="002E072E" w:rsidRPr="008A1FE3">
              <w:rPr>
                <w:sz w:val="20"/>
                <w:szCs w:val="20"/>
              </w:rPr>
              <w:t>9</w:t>
            </w:r>
            <w:r w:rsidRPr="008A1FE3">
              <w:rPr>
                <w:sz w:val="20"/>
                <w:szCs w:val="20"/>
              </w:rPr>
              <w:t>.</w:t>
            </w:r>
          </w:p>
        </w:tc>
        <w:tc>
          <w:tcPr>
            <w:tcW w:w="3827" w:type="dxa"/>
            <w:hideMark/>
          </w:tcPr>
          <w:p w14:paraId="163F4429" w14:textId="77777777" w:rsidR="002B6124" w:rsidRPr="008A1FE3" w:rsidRDefault="002B6124" w:rsidP="004202EB">
            <w:pPr>
              <w:jc w:val="left"/>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 xml:space="preserve">Город Однотрансформаторные Трансформаторная мощность от 500 до 1000 кВА включительно </w:t>
            </w:r>
          </w:p>
        </w:tc>
        <w:tc>
          <w:tcPr>
            <w:tcW w:w="1560" w:type="dxa"/>
            <w:hideMark/>
          </w:tcPr>
          <w:p w14:paraId="14268E65" w14:textId="77777777" w:rsidR="002B6124" w:rsidRPr="008A1FE3" w:rsidRDefault="002B6124" w:rsidP="004202EB">
            <w:pPr>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4 283</w:t>
            </w:r>
          </w:p>
        </w:tc>
        <w:tc>
          <w:tcPr>
            <w:tcW w:w="1559" w:type="dxa"/>
            <w:hideMark/>
          </w:tcPr>
          <w:p w14:paraId="263186B2" w14:textId="57989C19" w:rsidR="002B6124" w:rsidRPr="008A1FE3" w:rsidRDefault="002B6124" w:rsidP="004202EB">
            <w:pPr>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40,0</w:t>
            </w:r>
          </w:p>
        </w:tc>
        <w:tc>
          <w:tcPr>
            <w:tcW w:w="1844" w:type="dxa"/>
            <w:gridSpan w:val="2"/>
            <w:hideMark/>
          </w:tcPr>
          <w:p w14:paraId="55091183" w14:textId="77777777" w:rsidR="002B6124" w:rsidRPr="008A1FE3" w:rsidRDefault="002B6124" w:rsidP="004202EB">
            <w:pPr>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171,32</w:t>
            </w:r>
          </w:p>
        </w:tc>
      </w:tr>
      <w:tr w:rsidR="004202EB" w:rsidRPr="008A1FE3" w14:paraId="185F91FF" w14:textId="77777777" w:rsidTr="004202EB">
        <w:tc>
          <w:tcPr>
            <w:cnfStyle w:val="001000000000" w:firstRow="0" w:lastRow="0" w:firstColumn="1" w:lastColumn="0" w:oddVBand="0" w:evenVBand="0" w:oddHBand="0" w:evenHBand="0" w:firstRowFirstColumn="0" w:firstRowLastColumn="0" w:lastRowFirstColumn="0" w:lastRowLastColumn="0"/>
            <w:tcW w:w="704" w:type="dxa"/>
            <w:hideMark/>
          </w:tcPr>
          <w:p w14:paraId="6C9DD838" w14:textId="0F109D04" w:rsidR="002B6124" w:rsidRPr="008A1FE3" w:rsidRDefault="002B6124" w:rsidP="004202EB">
            <w:pPr>
              <w:jc w:val="center"/>
              <w:rPr>
                <w:sz w:val="20"/>
                <w:szCs w:val="20"/>
              </w:rPr>
            </w:pPr>
            <w:r w:rsidRPr="008A1FE3">
              <w:rPr>
                <w:sz w:val="20"/>
                <w:szCs w:val="20"/>
              </w:rPr>
              <w:lastRenderedPageBreak/>
              <w:t>6.1</w:t>
            </w:r>
            <w:r w:rsidR="002E072E" w:rsidRPr="008A1FE3">
              <w:rPr>
                <w:sz w:val="20"/>
                <w:szCs w:val="20"/>
              </w:rPr>
              <w:t>0</w:t>
            </w:r>
            <w:r w:rsidRPr="008A1FE3">
              <w:rPr>
                <w:sz w:val="20"/>
                <w:szCs w:val="20"/>
              </w:rPr>
              <w:t>.</w:t>
            </w:r>
          </w:p>
        </w:tc>
        <w:tc>
          <w:tcPr>
            <w:tcW w:w="3827" w:type="dxa"/>
            <w:hideMark/>
          </w:tcPr>
          <w:p w14:paraId="7E7CBB6D" w14:textId="77777777" w:rsidR="002B6124" w:rsidRPr="008A1FE3" w:rsidRDefault="002B6124" w:rsidP="004202EB">
            <w:pPr>
              <w:jc w:val="left"/>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 xml:space="preserve">Область Однотрансформаторные Трансформаторная мощность от 500 до 1000 кВА включительно </w:t>
            </w:r>
          </w:p>
        </w:tc>
        <w:tc>
          <w:tcPr>
            <w:tcW w:w="1560" w:type="dxa"/>
            <w:hideMark/>
          </w:tcPr>
          <w:p w14:paraId="122F31C5" w14:textId="77777777" w:rsidR="002B6124" w:rsidRPr="008A1FE3" w:rsidRDefault="002B6124" w:rsidP="004202EB">
            <w:pPr>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8 212</w:t>
            </w:r>
          </w:p>
        </w:tc>
        <w:tc>
          <w:tcPr>
            <w:tcW w:w="1559" w:type="dxa"/>
            <w:hideMark/>
          </w:tcPr>
          <w:p w14:paraId="37951F12" w14:textId="13805CC5" w:rsidR="002B6124" w:rsidRPr="008A1FE3" w:rsidRDefault="002B6124" w:rsidP="004202EB">
            <w:pPr>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45,0</w:t>
            </w:r>
          </w:p>
        </w:tc>
        <w:tc>
          <w:tcPr>
            <w:tcW w:w="1844" w:type="dxa"/>
            <w:gridSpan w:val="2"/>
            <w:hideMark/>
          </w:tcPr>
          <w:p w14:paraId="6ED5BA78" w14:textId="77777777" w:rsidR="002B6124" w:rsidRPr="008A1FE3" w:rsidRDefault="002B6124" w:rsidP="004202EB">
            <w:pPr>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369,54</w:t>
            </w:r>
          </w:p>
        </w:tc>
      </w:tr>
      <w:tr w:rsidR="004202EB" w:rsidRPr="008A1FE3" w14:paraId="0E90569E" w14:textId="77777777" w:rsidTr="004202EB">
        <w:tc>
          <w:tcPr>
            <w:cnfStyle w:val="001000000000" w:firstRow="0" w:lastRow="0" w:firstColumn="1" w:lastColumn="0" w:oddVBand="0" w:evenVBand="0" w:oddHBand="0" w:evenHBand="0" w:firstRowFirstColumn="0" w:firstRowLastColumn="0" w:lastRowFirstColumn="0" w:lastRowLastColumn="0"/>
            <w:tcW w:w="704" w:type="dxa"/>
            <w:hideMark/>
          </w:tcPr>
          <w:p w14:paraId="2570959E" w14:textId="0B64594E" w:rsidR="002B6124" w:rsidRPr="008A1FE3" w:rsidRDefault="002B6124" w:rsidP="004202EB">
            <w:pPr>
              <w:jc w:val="center"/>
              <w:rPr>
                <w:sz w:val="20"/>
                <w:szCs w:val="20"/>
              </w:rPr>
            </w:pPr>
            <w:r w:rsidRPr="008A1FE3">
              <w:rPr>
                <w:sz w:val="20"/>
                <w:szCs w:val="20"/>
              </w:rPr>
              <w:t>6.1</w:t>
            </w:r>
            <w:r w:rsidR="002E072E" w:rsidRPr="008A1FE3">
              <w:rPr>
                <w:sz w:val="20"/>
                <w:szCs w:val="20"/>
              </w:rPr>
              <w:t>1</w:t>
            </w:r>
            <w:r w:rsidRPr="008A1FE3">
              <w:rPr>
                <w:sz w:val="20"/>
                <w:szCs w:val="20"/>
              </w:rPr>
              <w:t>.</w:t>
            </w:r>
          </w:p>
        </w:tc>
        <w:tc>
          <w:tcPr>
            <w:tcW w:w="3827" w:type="dxa"/>
            <w:hideMark/>
          </w:tcPr>
          <w:p w14:paraId="6B2887CB" w14:textId="77777777" w:rsidR="002B6124" w:rsidRPr="008A1FE3" w:rsidRDefault="002B6124" w:rsidP="004202EB">
            <w:pPr>
              <w:jc w:val="left"/>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 xml:space="preserve">Область Двухтрансформаторные Трансформаторная мощность от 500 до 1000 кВА включительно </w:t>
            </w:r>
          </w:p>
        </w:tc>
        <w:tc>
          <w:tcPr>
            <w:tcW w:w="1560" w:type="dxa"/>
            <w:hideMark/>
          </w:tcPr>
          <w:p w14:paraId="0CEE55D5" w14:textId="77777777" w:rsidR="002B6124" w:rsidRPr="008A1FE3" w:rsidRDefault="002B6124" w:rsidP="004202EB">
            <w:pPr>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8 212</w:t>
            </w:r>
          </w:p>
        </w:tc>
        <w:tc>
          <w:tcPr>
            <w:tcW w:w="1559" w:type="dxa"/>
            <w:hideMark/>
          </w:tcPr>
          <w:p w14:paraId="2E5F9330" w14:textId="01DD4892" w:rsidR="002B6124" w:rsidRPr="008A1FE3" w:rsidRDefault="002B6124" w:rsidP="004202EB">
            <w:pPr>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25,0</w:t>
            </w:r>
          </w:p>
        </w:tc>
        <w:tc>
          <w:tcPr>
            <w:tcW w:w="1844" w:type="dxa"/>
            <w:gridSpan w:val="2"/>
            <w:hideMark/>
          </w:tcPr>
          <w:p w14:paraId="239E64DE" w14:textId="77777777" w:rsidR="002B6124" w:rsidRPr="008A1FE3" w:rsidRDefault="002B6124" w:rsidP="004202EB">
            <w:pPr>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205,30</w:t>
            </w:r>
          </w:p>
        </w:tc>
      </w:tr>
      <w:tr w:rsidR="004202EB" w:rsidRPr="008A1FE3" w14:paraId="31BD8CFF" w14:textId="77777777" w:rsidTr="004202EB">
        <w:tc>
          <w:tcPr>
            <w:cnfStyle w:val="001000000000" w:firstRow="0" w:lastRow="0" w:firstColumn="1" w:lastColumn="0" w:oddVBand="0" w:evenVBand="0" w:oddHBand="0" w:evenHBand="0" w:firstRowFirstColumn="0" w:firstRowLastColumn="0" w:lastRowFirstColumn="0" w:lastRowLastColumn="0"/>
            <w:tcW w:w="704" w:type="dxa"/>
            <w:hideMark/>
          </w:tcPr>
          <w:p w14:paraId="5257A731" w14:textId="77777777" w:rsidR="002B6124" w:rsidRPr="008A1FE3" w:rsidRDefault="002B6124" w:rsidP="004202EB">
            <w:pPr>
              <w:jc w:val="center"/>
              <w:rPr>
                <w:sz w:val="20"/>
                <w:szCs w:val="20"/>
              </w:rPr>
            </w:pPr>
            <w:r w:rsidRPr="008A1FE3">
              <w:rPr>
                <w:sz w:val="20"/>
                <w:szCs w:val="20"/>
              </w:rPr>
              <w:t>7</w:t>
            </w:r>
          </w:p>
        </w:tc>
        <w:tc>
          <w:tcPr>
            <w:tcW w:w="3827" w:type="dxa"/>
            <w:hideMark/>
          </w:tcPr>
          <w:p w14:paraId="07B5DAB2" w14:textId="77777777" w:rsidR="002B6124" w:rsidRPr="008A1FE3" w:rsidRDefault="002B6124" w:rsidP="004202EB">
            <w:pPr>
              <w:jc w:val="left"/>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Строительство распределительных трансформаторных подстанций (РТП) с уровнем напряжения до 35 кВ</w:t>
            </w:r>
          </w:p>
        </w:tc>
        <w:tc>
          <w:tcPr>
            <w:tcW w:w="1560" w:type="dxa"/>
            <w:hideMark/>
          </w:tcPr>
          <w:p w14:paraId="6693949C" w14:textId="77777777" w:rsidR="002B6124" w:rsidRPr="008A1FE3" w:rsidRDefault="002B6124" w:rsidP="004202EB">
            <w:pPr>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 </w:t>
            </w:r>
          </w:p>
        </w:tc>
        <w:tc>
          <w:tcPr>
            <w:tcW w:w="1559" w:type="dxa"/>
            <w:hideMark/>
          </w:tcPr>
          <w:p w14:paraId="46B91C7B" w14:textId="77777777" w:rsidR="002B6124" w:rsidRPr="008A1FE3" w:rsidRDefault="002B6124" w:rsidP="004202EB">
            <w:pPr>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 </w:t>
            </w:r>
          </w:p>
        </w:tc>
        <w:tc>
          <w:tcPr>
            <w:tcW w:w="1844" w:type="dxa"/>
            <w:gridSpan w:val="2"/>
            <w:hideMark/>
          </w:tcPr>
          <w:p w14:paraId="46868588" w14:textId="77777777" w:rsidR="002B6124" w:rsidRPr="008A1FE3" w:rsidRDefault="002B6124" w:rsidP="004202EB">
            <w:pPr>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 </w:t>
            </w:r>
          </w:p>
        </w:tc>
      </w:tr>
      <w:tr w:rsidR="004202EB" w:rsidRPr="008A1FE3" w14:paraId="6A8CA80D" w14:textId="77777777" w:rsidTr="004202EB">
        <w:tc>
          <w:tcPr>
            <w:cnfStyle w:val="001000000000" w:firstRow="0" w:lastRow="0" w:firstColumn="1" w:lastColumn="0" w:oddVBand="0" w:evenVBand="0" w:oddHBand="0" w:evenHBand="0" w:firstRowFirstColumn="0" w:firstRowLastColumn="0" w:lastRowFirstColumn="0" w:lastRowLastColumn="0"/>
            <w:tcW w:w="704" w:type="dxa"/>
            <w:hideMark/>
          </w:tcPr>
          <w:p w14:paraId="4FD6DD44" w14:textId="77777777" w:rsidR="002B6124" w:rsidRPr="008A1FE3" w:rsidRDefault="002B6124" w:rsidP="004202EB">
            <w:pPr>
              <w:jc w:val="center"/>
              <w:rPr>
                <w:sz w:val="20"/>
                <w:szCs w:val="20"/>
              </w:rPr>
            </w:pPr>
            <w:r w:rsidRPr="008A1FE3">
              <w:rPr>
                <w:sz w:val="20"/>
                <w:szCs w:val="20"/>
              </w:rPr>
              <w:t>8.</w:t>
            </w:r>
          </w:p>
        </w:tc>
        <w:tc>
          <w:tcPr>
            <w:tcW w:w="3827" w:type="dxa"/>
            <w:hideMark/>
          </w:tcPr>
          <w:p w14:paraId="00F35040" w14:textId="77777777" w:rsidR="002B6124" w:rsidRPr="008A1FE3" w:rsidRDefault="002B6124" w:rsidP="004202EB">
            <w:pPr>
              <w:jc w:val="left"/>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Строительство центров питания, подстанций уровнем напряжения 35 кВ и выше (ПС)</w:t>
            </w:r>
          </w:p>
        </w:tc>
        <w:tc>
          <w:tcPr>
            <w:tcW w:w="1560" w:type="dxa"/>
            <w:hideMark/>
          </w:tcPr>
          <w:p w14:paraId="115A52DD" w14:textId="77777777" w:rsidR="002B6124" w:rsidRPr="008A1FE3" w:rsidRDefault="002B6124" w:rsidP="004202EB">
            <w:pPr>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 </w:t>
            </w:r>
          </w:p>
        </w:tc>
        <w:tc>
          <w:tcPr>
            <w:tcW w:w="1559" w:type="dxa"/>
            <w:hideMark/>
          </w:tcPr>
          <w:p w14:paraId="512990D2" w14:textId="77777777" w:rsidR="002B6124" w:rsidRPr="008A1FE3" w:rsidRDefault="002B6124" w:rsidP="004202EB">
            <w:pPr>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 </w:t>
            </w:r>
          </w:p>
        </w:tc>
        <w:tc>
          <w:tcPr>
            <w:tcW w:w="1844" w:type="dxa"/>
            <w:gridSpan w:val="2"/>
            <w:hideMark/>
          </w:tcPr>
          <w:p w14:paraId="42A5B7E5" w14:textId="77777777" w:rsidR="002B6124" w:rsidRPr="008A1FE3" w:rsidRDefault="002B6124" w:rsidP="004202EB">
            <w:pPr>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 </w:t>
            </w:r>
          </w:p>
        </w:tc>
      </w:tr>
      <w:tr w:rsidR="004202EB" w:rsidRPr="008A1FE3" w14:paraId="66146D3C" w14:textId="77777777" w:rsidTr="004202EB">
        <w:tc>
          <w:tcPr>
            <w:cnfStyle w:val="001000000000" w:firstRow="0" w:lastRow="0" w:firstColumn="1" w:lastColumn="0" w:oddVBand="0" w:evenVBand="0" w:oddHBand="0" w:evenHBand="0" w:firstRowFirstColumn="0" w:firstRowLastColumn="0" w:lastRowFirstColumn="0" w:lastRowLastColumn="0"/>
            <w:tcW w:w="704" w:type="dxa"/>
            <w:hideMark/>
          </w:tcPr>
          <w:p w14:paraId="3117EF16" w14:textId="77777777" w:rsidR="002B6124" w:rsidRPr="008A1FE3" w:rsidRDefault="002B6124" w:rsidP="004202EB">
            <w:pPr>
              <w:jc w:val="center"/>
              <w:rPr>
                <w:sz w:val="20"/>
                <w:szCs w:val="20"/>
              </w:rPr>
            </w:pPr>
            <w:r w:rsidRPr="008A1FE3">
              <w:rPr>
                <w:sz w:val="20"/>
                <w:szCs w:val="20"/>
              </w:rPr>
              <w:t>9.</w:t>
            </w:r>
          </w:p>
        </w:tc>
        <w:tc>
          <w:tcPr>
            <w:tcW w:w="3827" w:type="dxa"/>
            <w:hideMark/>
          </w:tcPr>
          <w:p w14:paraId="7E3BFC33" w14:textId="77777777" w:rsidR="002B6124" w:rsidRPr="008A1FE3" w:rsidRDefault="002B6124" w:rsidP="004202EB">
            <w:pPr>
              <w:jc w:val="left"/>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Суммарный размер платы за технологическое присоединение [п. 9.1 * п. 9.2 / 1000]:</w:t>
            </w:r>
          </w:p>
        </w:tc>
        <w:tc>
          <w:tcPr>
            <w:tcW w:w="1560" w:type="dxa"/>
            <w:hideMark/>
          </w:tcPr>
          <w:p w14:paraId="5E472F3B" w14:textId="77777777" w:rsidR="002B6124" w:rsidRPr="008A1FE3" w:rsidRDefault="002B6124" w:rsidP="004202EB">
            <w:pPr>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 </w:t>
            </w:r>
          </w:p>
        </w:tc>
        <w:tc>
          <w:tcPr>
            <w:tcW w:w="1559" w:type="dxa"/>
            <w:hideMark/>
          </w:tcPr>
          <w:p w14:paraId="6BEBCA44" w14:textId="77777777" w:rsidR="002B6124" w:rsidRPr="008A1FE3" w:rsidRDefault="002B6124" w:rsidP="004202EB">
            <w:pPr>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 </w:t>
            </w:r>
          </w:p>
        </w:tc>
        <w:tc>
          <w:tcPr>
            <w:tcW w:w="1844" w:type="dxa"/>
            <w:gridSpan w:val="2"/>
            <w:hideMark/>
          </w:tcPr>
          <w:p w14:paraId="4FBB78C1" w14:textId="77777777" w:rsidR="002B6124" w:rsidRPr="008A1FE3" w:rsidRDefault="002B6124" w:rsidP="004202EB">
            <w:pPr>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109,69</w:t>
            </w:r>
          </w:p>
        </w:tc>
      </w:tr>
      <w:tr w:rsidR="004202EB" w:rsidRPr="008A1FE3" w14:paraId="04739496" w14:textId="77777777" w:rsidTr="004202EB">
        <w:tc>
          <w:tcPr>
            <w:cnfStyle w:val="001000000000" w:firstRow="0" w:lastRow="0" w:firstColumn="1" w:lastColumn="0" w:oddVBand="0" w:evenVBand="0" w:oddHBand="0" w:evenHBand="0" w:firstRowFirstColumn="0" w:firstRowLastColumn="0" w:lastRowFirstColumn="0" w:lastRowLastColumn="0"/>
            <w:tcW w:w="704" w:type="dxa"/>
            <w:hideMark/>
          </w:tcPr>
          <w:p w14:paraId="38AF90EE" w14:textId="77777777" w:rsidR="002B6124" w:rsidRPr="008A1FE3" w:rsidRDefault="002B6124" w:rsidP="004202EB">
            <w:pPr>
              <w:jc w:val="center"/>
              <w:rPr>
                <w:sz w:val="20"/>
                <w:szCs w:val="20"/>
              </w:rPr>
            </w:pPr>
            <w:r w:rsidRPr="008A1FE3">
              <w:rPr>
                <w:sz w:val="20"/>
                <w:szCs w:val="20"/>
              </w:rPr>
              <w:t>9.1.</w:t>
            </w:r>
          </w:p>
        </w:tc>
        <w:tc>
          <w:tcPr>
            <w:tcW w:w="3827" w:type="dxa"/>
            <w:hideMark/>
          </w:tcPr>
          <w:p w14:paraId="4257D726" w14:textId="77777777" w:rsidR="002B6124" w:rsidRPr="008A1FE3" w:rsidRDefault="002B6124" w:rsidP="004202EB">
            <w:pPr>
              <w:jc w:val="left"/>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Размер платы за технологическое присоединение (руб. без НДС)</w:t>
            </w:r>
          </w:p>
        </w:tc>
        <w:tc>
          <w:tcPr>
            <w:tcW w:w="1560" w:type="dxa"/>
            <w:hideMark/>
          </w:tcPr>
          <w:p w14:paraId="3EE59ABB" w14:textId="77777777" w:rsidR="002B6124" w:rsidRPr="008A1FE3" w:rsidRDefault="002B6124" w:rsidP="004202EB">
            <w:pPr>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458,33</w:t>
            </w:r>
          </w:p>
        </w:tc>
        <w:tc>
          <w:tcPr>
            <w:tcW w:w="1559" w:type="dxa"/>
            <w:hideMark/>
          </w:tcPr>
          <w:p w14:paraId="096DCE2E" w14:textId="77777777" w:rsidR="002B6124" w:rsidRPr="008A1FE3" w:rsidRDefault="002B6124" w:rsidP="004202EB">
            <w:pPr>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 </w:t>
            </w:r>
          </w:p>
        </w:tc>
        <w:tc>
          <w:tcPr>
            <w:tcW w:w="1844" w:type="dxa"/>
            <w:gridSpan w:val="2"/>
            <w:hideMark/>
          </w:tcPr>
          <w:p w14:paraId="548B70CF" w14:textId="77777777" w:rsidR="002B6124" w:rsidRPr="008A1FE3" w:rsidRDefault="002B6124" w:rsidP="004202EB">
            <w:pPr>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458,33</w:t>
            </w:r>
          </w:p>
        </w:tc>
      </w:tr>
      <w:tr w:rsidR="004202EB" w:rsidRPr="008A1FE3" w14:paraId="38127F70" w14:textId="77777777" w:rsidTr="004202EB">
        <w:tc>
          <w:tcPr>
            <w:cnfStyle w:val="001000000000" w:firstRow="0" w:lastRow="0" w:firstColumn="1" w:lastColumn="0" w:oddVBand="0" w:evenVBand="0" w:oddHBand="0" w:evenHBand="0" w:firstRowFirstColumn="0" w:firstRowLastColumn="0" w:lastRowFirstColumn="0" w:lastRowLastColumn="0"/>
            <w:tcW w:w="704" w:type="dxa"/>
            <w:hideMark/>
          </w:tcPr>
          <w:p w14:paraId="6117FABC" w14:textId="77777777" w:rsidR="002B6124" w:rsidRPr="008A1FE3" w:rsidRDefault="002B6124" w:rsidP="004202EB">
            <w:pPr>
              <w:jc w:val="center"/>
              <w:rPr>
                <w:sz w:val="20"/>
                <w:szCs w:val="20"/>
              </w:rPr>
            </w:pPr>
            <w:r w:rsidRPr="008A1FE3">
              <w:rPr>
                <w:sz w:val="20"/>
                <w:szCs w:val="20"/>
              </w:rPr>
              <w:t>9.2.</w:t>
            </w:r>
          </w:p>
        </w:tc>
        <w:tc>
          <w:tcPr>
            <w:tcW w:w="3827" w:type="dxa"/>
            <w:hideMark/>
          </w:tcPr>
          <w:p w14:paraId="6FFAD9A2" w14:textId="77777777" w:rsidR="002B6124" w:rsidRPr="008A1FE3" w:rsidRDefault="002B6124" w:rsidP="004202EB">
            <w:pPr>
              <w:jc w:val="left"/>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Плановое количество договоров на осуществление технологическое присоединение к электрическим сетям (плановое количество членов объединений (организаций), указанных в п. 9 Методических указаний по определению размера платы за технологическое присоединение к электрическим сетям, утвержденных приказом ФАС России от 29.08.2017 N 1135/17 (зарегистрирован Минюстом России 19.10.2017 N 48609) (шт.)</w:t>
            </w:r>
          </w:p>
        </w:tc>
        <w:tc>
          <w:tcPr>
            <w:tcW w:w="1560" w:type="dxa"/>
            <w:hideMark/>
          </w:tcPr>
          <w:p w14:paraId="057C05CE" w14:textId="77777777" w:rsidR="002B6124" w:rsidRPr="008A1FE3" w:rsidRDefault="002B6124" w:rsidP="004202EB">
            <w:pPr>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 </w:t>
            </w:r>
          </w:p>
        </w:tc>
        <w:tc>
          <w:tcPr>
            <w:tcW w:w="1559" w:type="dxa"/>
            <w:hideMark/>
          </w:tcPr>
          <w:p w14:paraId="01F75D52" w14:textId="77777777" w:rsidR="002B6124" w:rsidRPr="008A1FE3" w:rsidRDefault="002B6124" w:rsidP="004202EB">
            <w:pPr>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 </w:t>
            </w:r>
          </w:p>
        </w:tc>
        <w:tc>
          <w:tcPr>
            <w:tcW w:w="1844" w:type="dxa"/>
            <w:gridSpan w:val="2"/>
            <w:hideMark/>
          </w:tcPr>
          <w:p w14:paraId="09C3D016" w14:textId="77777777" w:rsidR="002B6124" w:rsidRPr="008A1FE3" w:rsidRDefault="002B6124" w:rsidP="004202EB">
            <w:pPr>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239,33</w:t>
            </w:r>
          </w:p>
        </w:tc>
      </w:tr>
      <w:tr w:rsidR="004202EB" w:rsidRPr="008A1FE3" w14:paraId="074D0D11" w14:textId="77777777" w:rsidTr="004202EB">
        <w:tc>
          <w:tcPr>
            <w:cnfStyle w:val="001000000000" w:firstRow="0" w:lastRow="0" w:firstColumn="1" w:lastColumn="0" w:oddVBand="0" w:evenVBand="0" w:oddHBand="0" w:evenHBand="0" w:firstRowFirstColumn="0" w:firstRowLastColumn="0" w:lastRowFirstColumn="0" w:lastRowLastColumn="0"/>
            <w:tcW w:w="704" w:type="dxa"/>
            <w:hideMark/>
          </w:tcPr>
          <w:p w14:paraId="38AFB2F0" w14:textId="77777777" w:rsidR="002B6124" w:rsidRPr="008A1FE3" w:rsidRDefault="002B6124" w:rsidP="004202EB">
            <w:pPr>
              <w:jc w:val="center"/>
              <w:rPr>
                <w:sz w:val="20"/>
                <w:szCs w:val="20"/>
              </w:rPr>
            </w:pPr>
            <w:r w:rsidRPr="008A1FE3">
              <w:rPr>
                <w:sz w:val="20"/>
                <w:szCs w:val="20"/>
              </w:rPr>
              <w:t>10.</w:t>
            </w:r>
          </w:p>
        </w:tc>
        <w:tc>
          <w:tcPr>
            <w:tcW w:w="3827" w:type="dxa"/>
            <w:hideMark/>
          </w:tcPr>
          <w:p w14:paraId="477061C7" w14:textId="77777777" w:rsidR="002B6124" w:rsidRPr="008A1FE3" w:rsidRDefault="002B6124" w:rsidP="004202EB">
            <w:pPr>
              <w:jc w:val="left"/>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Размер расходов, связанных с осуществлением технологического присоединения к электрическим сетям, не включаемых в состав платы за технологическое присоединение (п. 1+ п. 2 - п. 9)</w:t>
            </w:r>
          </w:p>
        </w:tc>
        <w:tc>
          <w:tcPr>
            <w:tcW w:w="1560" w:type="dxa"/>
            <w:hideMark/>
          </w:tcPr>
          <w:p w14:paraId="3D63D8CC" w14:textId="77777777" w:rsidR="002B6124" w:rsidRPr="008A1FE3" w:rsidRDefault="002B6124" w:rsidP="004202EB">
            <w:pPr>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 </w:t>
            </w:r>
          </w:p>
        </w:tc>
        <w:tc>
          <w:tcPr>
            <w:tcW w:w="1559" w:type="dxa"/>
            <w:hideMark/>
          </w:tcPr>
          <w:p w14:paraId="3A80EB38" w14:textId="77777777" w:rsidR="002B6124" w:rsidRPr="008A1FE3" w:rsidRDefault="002B6124" w:rsidP="004202EB">
            <w:pPr>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 </w:t>
            </w:r>
          </w:p>
        </w:tc>
        <w:tc>
          <w:tcPr>
            <w:tcW w:w="1844" w:type="dxa"/>
            <w:gridSpan w:val="2"/>
            <w:hideMark/>
          </w:tcPr>
          <w:p w14:paraId="7ECC8667" w14:textId="77777777" w:rsidR="002B6124" w:rsidRPr="008A1FE3" w:rsidRDefault="002B6124" w:rsidP="004202EB">
            <w:pPr>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43 106,24</w:t>
            </w:r>
          </w:p>
        </w:tc>
      </w:tr>
      <w:tr w:rsidR="004202EB" w:rsidRPr="008A1FE3" w14:paraId="755C38BF" w14:textId="77777777" w:rsidTr="004202EB">
        <w:tc>
          <w:tcPr>
            <w:cnfStyle w:val="001000000000" w:firstRow="0" w:lastRow="0" w:firstColumn="1" w:lastColumn="0" w:oddVBand="0" w:evenVBand="0" w:oddHBand="0" w:evenHBand="0" w:firstRowFirstColumn="0" w:firstRowLastColumn="0" w:lastRowFirstColumn="0" w:lastRowLastColumn="0"/>
            <w:tcW w:w="704" w:type="dxa"/>
            <w:hideMark/>
          </w:tcPr>
          <w:p w14:paraId="31FAEB2A" w14:textId="77777777" w:rsidR="002B6124" w:rsidRPr="008A1FE3" w:rsidRDefault="002B6124" w:rsidP="004202EB">
            <w:pPr>
              <w:jc w:val="center"/>
              <w:rPr>
                <w:sz w:val="20"/>
                <w:szCs w:val="20"/>
              </w:rPr>
            </w:pPr>
            <w:r w:rsidRPr="008A1FE3">
              <w:rPr>
                <w:sz w:val="20"/>
                <w:szCs w:val="20"/>
              </w:rPr>
              <w:t>11.</w:t>
            </w:r>
          </w:p>
        </w:tc>
        <w:tc>
          <w:tcPr>
            <w:tcW w:w="3827" w:type="dxa"/>
            <w:hideMark/>
          </w:tcPr>
          <w:p w14:paraId="021C879F" w14:textId="77777777" w:rsidR="002B6124" w:rsidRPr="008A1FE3" w:rsidRDefault="002B6124" w:rsidP="004202EB">
            <w:pPr>
              <w:jc w:val="left"/>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Учтено в Инвестиционной программе</w:t>
            </w:r>
          </w:p>
        </w:tc>
        <w:tc>
          <w:tcPr>
            <w:tcW w:w="1560" w:type="dxa"/>
            <w:noWrap/>
            <w:hideMark/>
          </w:tcPr>
          <w:p w14:paraId="1B8B9EAE" w14:textId="77777777" w:rsidR="002B6124" w:rsidRPr="008A1FE3" w:rsidRDefault="002B6124" w:rsidP="004202EB">
            <w:pPr>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 </w:t>
            </w:r>
          </w:p>
        </w:tc>
        <w:tc>
          <w:tcPr>
            <w:tcW w:w="1559" w:type="dxa"/>
            <w:noWrap/>
            <w:hideMark/>
          </w:tcPr>
          <w:p w14:paraId="56532A5D" w14:textId="77777777" w:rsidR="002B6124" w:rsidRPr="008A1FE3" w:rsidRDefault="002B6124" w:rsidP="004202EB">
            <w:pPr>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 </w:t>
            </w:r>
          </w:p>
        </w:tc>
        <w:tc>
          <w:tcPr>
            <w:tcW w:w="1844" w:type="dxa"/>
            <w:gridSpan w:val="2"/>
            <w:hideMark/>
          </w:tcPr>
          <w:p w14:paraId="4F8D289F" w14:textId="77777777" w:rsidR="002B6124" w:rsidRPr="008A1FE3" w:rsidRDefault="002B6124" w:rsidP="004202EB">
            <w:pPr>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24 897,00</w:t>
            </w:r>
          </w:p>
        </w:tc>
      </w:tr>
      <w:tr w:rsidR="004202EB" w:rsidRPr="008A1FE3" w14:paraId="53173AF9" w14:textId="77777777" w:rsidTr="004202EB">
        <w:tc>
          <w:tcPr>
            <w:cnfStyle w:val="001000000000" w:firstRow="0" w:lastRow="0" w:firstColumn="1" w:lastColumn="0" w:oddVBand="0" w:evenVBand="0" w:oddHBand="0" w:evenHBand="0" w:firstRowFirstColumn="0" w:firstRowLastColumn="0" w:lastRowFirstColumn="0" w:lastRowLastColumn="0"/>
            <w:tcW w:w="704" w:type="dxa"/>
            <w:hideMark/>
          </w:tcPr>
          <w:p w14:paraId="6DF9E12F" w14:textId="77777777" w:rsidR="002B6124" w:rsidRPr="008A1FE3" w:rsidRDefault="002B6124" w:rsidP="004202EB">
            <w:pPr>
              <w:jc w:val="center"/>
              <w:rPr>
                <w:b/>
                <w:sz w:val="20"/>
                <w:szCs w:val="20"/>
              </w:rPr>
            </w:pPr>
            <w:r w:rsidRPr="008A1FE3">
              <w:rPr>
                <w:b/>
                <w:sz w:val="20"/>
                <w:szCs w:val="20"/>
              </w:rPr>
              <w:t>12.</w:t>
            </w:r>
          </w:p>
        </w:tc>
        <w:tc>
          <w:tcPr>
            <w:tcW w:w="3827" w:type="dxa"/>
            <w:hideMark/>
          </w:tcPr>
          <w:p w14:paraId="2640B433" w14:textId="77777777" w:rsidR="002B6124" w:rsidRPr="008A1FE3" w:rsidRDefault="002B6124" w:rsidP="004202EB">
            <w:pPr>
              <w:jc w:val="left"/>
              <w:cnfStyle w:val="000000000000" w:firstRow="0" w:lastRow="0" w:firstColumn="0" w:lastColumn="0" w:oddVBand="0" w:evenVBand="0" w:oddHBand="0" w:evenHBand="0" w:firstRowFirstColumn="0" w:firstRowLastColumn="0" w:lastRowFirstColumn="0" w:lastRowLastColumn="0"/>
              <w:rPr>
                <w:b/>
                <w:sz w:val="20"/>
                <w:szCs w:val="20"/>
              </w:rPr>
            </w:pPr>
            <w:r w:rsidRPr="008A1FE3">
              <w:rPr>
                <w:b/>
                <w:sz w:val="20"/>
                <w:szCs w:val="20"/>
              </w:rPr>
              <w:t>Итого расходов для учета в НВВ 2019 года</w:t>
            </w:r>
          </w:p>
        </w:tc>
        <w:tc>
          <w:tcPr>
            <w:tcW w:w="1560" w:type="dxa"/>
            <w:noWrap/>
            <w:hideMark/>
          </w:tcPr>
          <w:p w14:paraId="1B4DC034" w14:textId="77777777" w:rsidR="002B6124" w:rsidRPr="008A1FE3" w:rsidRDefault="002B6124" w:rsidP="004202EB">
            <w:pPr>
              <w:cnfStyle w:val="000000000000" w:firstRow="0" w:lastRow="0" w:firstColumn="0" w:lastColumn="0" w:oddVBand="0" w:evenVBand="0" w:oddHBand="0" w:evenHBand="0" w:firstRowFirstColumn="0" w:firstRowLastColumn="0" w:lastRowFirstColumn="0" w:lastRowLastColumn="0"/>
              <w:rPr>
                <w:b/>
                <w:sz w:val="20"/>
                <w:szCs w:val="20"/>
              </w:rPr>
            </w:pPr>
            <w:r w:rsidRPr="008A1FE3">
              <w:rPr>
                <w:b/>
                <w:sz w:val="20"/>
                <w:szCs w:val="20"/>
              </w:rPr>
              <w:t> </w:t>
            </w:r>
          </w:p>
        </w:tc>
        <w:tc>
          <w:tcPr>
            <w:tcW w:w="1559" w:type="dxa"/>
            <w:noWrap/>
            <w:hideMark/>
          </w:tcPr>
          <w:p w14:paraId="10D33CCC" w14:textId="77777777" w:rsidR="002B6124" w:rsidRPr="008A1FE3" w:rsidRDefault="002B6124" w:rsidP="004202EB">
            <w:pPr>
              <w:cnfStyle w:val="000000000000" w:firstRow="0" w:lastRow="0" w:firstColumn="0" w:lastColumn="0" w:oddVBand="0" w:evenVBand="0" w:oddHBand="0" w:evenHBand="0" w:firstRowFirstColumn="0" w:firstRowLastColumn="0" w:lastRowFirstColumn="0" w:lastRowLastColumn="0"/>
              <w:rPr>
                <w:b/>
                <w:sz w:val="20"/>
                <w:szCs w:val="20"/>
              </w:rPr>
            </w:pPr>
            <w:r w:rsidRPr="008A1FE3">
              <w:rPr>
                <w:b/>
                <w:sz w:val="20"/>
                <w:szCs w:val="20"/>
              </w:rPr>
              <w:t> </w:t>
            </w:r>
          </w:p>
        </w:tc>
        <w:tc>
          <w:tcPr>
            <w:tcW w:w="1844" w:type="dxa"/>
            <w:gridSpan w:val="2"/>
            <w:hideMark/>
          </w:tcPr>
          <w:p w14:paraId="12D0108A" w14:textId="77777777" w:rsidR="002B6124" w:rsidRPr="008A1FE3" w:rsidRDefault="002B6124" w:rsidP="004202EB">
            <w:pPr>
              <w:cnfStyle w:val="000000000000" w:firstRow="0" w:lastRow="0" w:firstColumn="0" w:lastColumn="0" w:oddVBand="0" w:evenVBand="0" w:oddHBand="0" w:evenHBand="0" w:firstRowFirstColumn="0" w:firstRowLastColumn="0" w:lastRowFirstColumn="0" w:lastRowLastColumn="0"/>
              <w:rPr>
                <w:b/>
                <w:sz w:val="20"/>
                <w:szCs w:val="20"/>
              </w:rPr>
            </w:pPr>
            <w:r w:rsidRPr="008A1FE3">
              <w:rPr>
                <w:b/>
                <w:sz w:val="20"/>
                <w:szCs w:val="20"/>
              </w:rPr>
              <w:t>18 209,24</w:t>
            </w:r>
          </w:p>
        </w:tc>
      </w:tr>
    </w:tbl>
    <w:p w14:paraId="77AEF4E3" w14:textId="08CC60DE" w:rsidR="00B11C26" w:rsidRPr="00FB0A3A" w:rsidRDefault="00280FF3" w:rsidP="00B11C26">
      <w:pPr>
        <w:pStyle w:val="afff7"/>
        <w:rPr>
          <w:bCs/>
        </w:rPr>
      </w:pPr>
      <w:r w:rsidRPr="00FB0A3A">
        <w:t xml:space="preserve">Принимая во внимание, что в утвержденной инвестиционной программе ПАО </w:t>
      </w:r>
      <w:r w:rsidR="00655FFA" w:rsidRPr="00FB0A3A">
        <w:t>«</w:t>
      </w:r>
      <w:r w:rsidRPr="00FB0A3A">
        <w:t>МРСК Северо-Запада</w:t>
      </w:r>
      <w:r w:rsidR="00655FFA" w:rsidRPr="00FB0A3A">
        <w:t>»</w:t>
      </w:r>
      <w:r w:rsidRPr="00FB0A3A">
        <w:t xml:space="preserve"> по филиалу </w:t>
      </w:r>
      <w:r w:rsidR="00994DAE" w:rsidRPr="00FB0A3A">
        <w:t xml:space="preserve">ПАО «МРСК Северо-Запада» </w:t>
      </w:r>
      <w:r w:rsidR="00655FFA" w:rsidRPr="00FB0A3A">
        <w:t>«</w:t>
      </w:r>
      <w:r w:rsidRPr="00FB0A3A">
        <w:t>Колэнерго</w:t>
      </w:r>
      <w:r w:rsidR="00655FFA" w:rsidRPr="00FB0A3A">
        <w:t>»</w:t>
      </w:r>
      <w:r w:rsidRPr="00FB0A3A">
        <w:t xml:space="preserve"> на 2019 год предусмотрены мероприятия, связанные со строительством </w:t>
      </w:r>
      <w:r w:rsidR="00655FFA" w:rsidRPr="00FB0A3A">
        <w:lastRenderedPageBreak/>
        <w:t>«</w:t>
      </w:r>
      <w:r w:rsidRPr="00FB0A3A">
        <w:t>последней мили</w:t>
      </w:r>
      <w:r w:rsidR="00655FFA" w:rsidRPr="00FB0A3A">
        <w:t>»</w:t>
      </w:r>
      <w:r w:rsidRPr="00FB0A3A">
        <w:t xml:space="preserve"> для возможности технологического присоединения энергопринимающих устройств потребителей максимальной мощностью до 15 кВт включительно, на сумму 24,9 млн. руб. (</w:t>
      </w:r>
      <w:r w:rsidRPr="00FB0A3A">
        <w:rPr>
          <w:bCs/>
        </w:rPr>
        <w:t xml:space="preserve">без НДС), Исполнитель считает обоснованным учитывать плановые расходы по мероприятиям </w:t>
      </w:r>
      <w:r w:rsidR="00655FFA" w:rsidRPr="00FB0A3A">
        <w:rPr>
          <w:bCs/>
        </w:rPr>
        <w:t>«</w:t>
      </w:r>
      <w:r w:rsidRPr="00FB0A3A">
        <w:rPr>
          <w:bCs/>
        </w:rPr>
        <w:t>последней мили</w:t>
      </w:r>
      <w:r w:rsidR="00655FFA" w:rsidRPr="00FB0A3A">
        <w:rPr>
          <w:bCs/>
        </w:rPr>
        <w:t>»</w:t>
      </w:r>
      <w:r w:rsidRPr="00FB0A3A">
        <w:rPr>
          <w:bCs/>
        </w:rPr>
        <w:t xml:space="preserve"> в размере 18 209,24 тыс. руб. в составе выпадающих доходов от </w:t>
      </w:r>
      <w:r w:rsidRPr="00FB0A3A">
        <w:t xml:space="preserve">технологического присоединения </w:t>
      </w:r>
      <w:r w:rsidRPr="00FB0A3A">
        <w:rPr>
          <w:bCs/>
        </w:rPr>
        <w:t>для включения в НВВ</w:t>
      </w:r>
      <w:r w:rsidR="00B11C26" w:rsidRPr="00FB0A3A">
        <w:rPr>
          <w:bCs/>
        </w:rPr>
        <w:t xml:space="preserve"> филиала на 2019 год.</w:t>
      </w:r>
    </w:p>
    <w:p w14:paraId="4BC77733" w14:textId="0914A29C" w:rsidR="00105888" w:rsidRPr="00FB0A3A" w:rsidRDefault="00105888" w:rsidP="009B0BC1">
      <w:pPr>
        <w:pStyle w:val="a4"/>
        <w:numPr>
          <w:ilvl w:val="0"/>
          <w:numId w:val="34"/>
        </w:numPr>
        <w:tabs>
          <w:tab w:val="left" w:pos="851"/>
          <w:tab w:val="left" w:pos="1134"/>
        </w:tabs>
        <w:autoSpaceDE w:val="0"/>
        <w:autoSpaceDN w:val="0"/>
        <w:adjustRightInd w:val="0"/>
        <w:spacing w:after="0" w:line="360" w:lineRule="auto"/>
        <w:ind w:left="0" w:firstLine="567"/>
        <w:jc w:val="both"/>
        <w:rPr>
          <w:rFonts w:ascii="Myriad Pro" w:hAnsi="Myriad Pro"/>
          <w:b/>
          <w:sz w:val="26"/>
          <w:szCs w:val="26"/>
        </w:rPr>
      </w:pPr>
      <w:r w:rsidRPr="00FB0A3A">
        <w:rPr>
          <w:rFonts w:ascii="Myriad Pro" w:hAnsi="Myriad Pro"/>
          <w:b/>
          <w:sz w:val="26"/>
          <w:szCs w:val="26"/>
        </w:rPr>
        <w:t>Расчет Исполнителя выпадающих доходов, связанных с осуществлением технологического присоединения энергопринимающих устройств максимальной мощностью, не превышающей 150 кВт включительно.</w:t>
      </w:r>
    </w:p>
    <w:p w14:paraId="3E34C9DA" w14:textId="3B14C3A5" w:rsidR="00105888" w:rsidRPr="00FB0A3A" w:rsidRDefault="00105888" w:rsidP="00A31747">
      <w:pPr>
        <w:pStyle w:val="ConsPlusTitle"/>
        <w:tabs>
          <w:tab w:val="left" w:pos="1134"/>
        </w:tabs>
        <w:spacing w:line="360" w:lineRule="auto"/>
        <w:ind w:firstLine="567"/>
        <w:jc w:val="both"/>
        <w:rPr>
          <w:rFonts w:ascii="Myriad Pro" w:eastAsia="Calibri" w:hAnsi="Myriad Pro"/>
          <w:b w:val="0"/>
          <w:bCs w:val="0"/>
          <w:sz w:val="26"/>
          <w:szCs w:val="26"/>
          <w:lang w:eastAsia="en-US"/>
        </w:rPr>
      </w:pPr>
      <w:r w:rsidRPr="00FB0A3A">
        <w:rPr>
          <w:rFonts w:ascii="Myriad Pro" w:eastAsia="Calibri" w:hAnsi="Myriad Pro"/>
          <w:b w:val="0"/>
          <w:bCs w:val="0"/>
          <w:sz w:val="26"/>
          <w:szCs w:val="26"/>
          <w:lang w:eastAsia="en-US"/>
        </w:rPr>
        <w:t xml:space="preserve">При определении выпадающих доходов на 2019 год, Исполнителем приняты плановые объемы максимальной мощности и длины линий на 2019 год по предложению филиала ПАО </w:t>
      </w:r>
      <w:r w:rsidR="00655FFA" w:rsidRPr="00FB0A3A">
        <w:rPr>
          <w:rFonts w:ascii="Myriad Pro" w:eastAsia="Calibri" w:hAnsi="Myriad Pro"/>
          <w:b w:val="0"/>
          <w:bCs w:val="0"/>
          <w:sz w:val="26"/>
          <w:szCs w:val="26"/>
          <w:lang w:eastAsia="en-US"/>
        </w:rPr>
        <w:t>«</w:t>
      </w:r>
      <w:r w:rsidRPr="00FB0A3A">
        <w:rPr>
          <w:rFonts w:ascii="Myriad Pro" w:eastAsia="Calibri" w:hAnsi="Myriad Pro"/>
          <w:b w:val="0"/>
          <w:bCs w:val="0"/>
          <w:sz w:val="26"/>
          <w:szCs w:val="26"/>
          <w:lang w:eastAsia="en-US"/>
        </w:rPr>
        <w:t>МРСК Северо-Запада</w:t>
      </w:r>
      <w:r w:rsidR="00655FFA" w:rsidRPr="00FB0A3A">
        <w:rPr>
          <w:rFonts w:ascii="Myriad Pro" w:eastAsia="Calibri" w:hAnsi="Myriad Pro"/>
          <w:b w:val="0"/>
          <w:bCs w:val="0"/>
          <w:sz w:val="26"/>
          <w:szCs w:val="26"/>
          <w:lang w:eastAsia="en-US"/>
        </w:rPr>
        <w:t>»</w:t>
      </w:r>
      <w:r w:rsidRPr="00FB0A3A">
        <w:rPr>
          <w:rFonts w:ascii="Myriad Pro" w:eastAsia="Calibri" w:hAnsi="Myriad Pro"/>
          <w:b w:val="0"/>
          <w:bCs w:val="0"/>
          <w:sz w:val="26"/>
          <w:szCs w:val="26"/>
          <w:lang w:eastAsia="en-US"/>
        </w:rPr>
        <w:t xml:space="preserve"> </w:t>
      </w:r>
      <w:r w:rsidR="00655FFA" w:rsidRPr="00FB0A3A">
        <w:rPr>
          <w:rFonts w:ascii="Myriad Pro" w:eastAsia="Calibri" w:hAnsi="Myriad Pro"/>
          <w:b w:val="0"/>
          <w:bCs w:val="0"/>
          <w:sz w:val="26"/>
          <w:szCs w:val="26"/>
          <w:lang w:eastAsia="en-US"/>
        </w:rPr>
        <w:t>«</w:t>
      </w:r>
      <w:r w:rsidRPr="00FB0A3A">
        <w:rPr>
          <w:rFonts w:ascii="Myriad Pro" w:eastAsia="Calibri" w:hAnsi="Myriad Pro"/>
          <w:b w:val="0"/>
          <w:bCs w:val="0"/>
          <w:sz w:val="26"/>
          <w:szCs w:val="26"/>
          <w:lang w:eastAsia="en-US"/>
        </w:rPr>
        <w:t>Колэнерго</w:t>
      </w:r>
      <w:r w:rsidR="00655FFA" w:rsidRPr="00FB0A3A">
        <w:rPr>
          <w:rFonts w:ascii="Myriad Pro" w:eastAsia="Calibri" w:hAnsi="Myriad Pro"/>
          <w:b w:val="0"/>
          <w:bCs w:val="0"/>
          <w:sz w:val="26"/>
          <w:szCs w:val="26"/>
          <w:lang w:eastAsia="en-US"/>
        </w:rPr>
        <w:t>»</w:t>
      </w:r>
      <w:r w:rsidRPr="00FB0A3A">
        <w:rPr>
          <w:rFonts w:ascii="Myriad Pro" w:eastAsia="Calibri" w:hAnsi="Myriad Pro"/>
          <w:b w:val="0"/>
          <w:bCs w:val="0"/>
          <w:sz w:val="26"/>
          <w:szCs w:val="26"/>
          <w:lang w:eastAsia="en-US"/>
        </w:rPr>
        <w:t xml:space="preserve"> (рассчитаны филиалом на основании фактических средних данных за три предыдущих года 2015-2017 гг.) и применены стандартизированные тарифные ставки, утвержденные постановлением Комитета п</w:t>
      </w:r>
      <w:r w:rsidR="00DE37A4">
        <w:rPr>
          <w:rFonts w:ascii="Myriad Pro" w:eastAsia="Calibri" w:hAnsi="Myriad Pro"/>
          <w:b w:val="0"/>
          <w:bCs w:val="0"/>
          <w:sz w:val="26"/>
          <w:szCs w:val="26"/>
          <w:lang w:eastAsia="en-US"/>
        </w:rPr>
        <w:t>о тарифному регулированию Мурманской</w:t>
      </w:r>
      <w:r w:rsidRPr="00FB0A3A">
        <w:rPr>
          <w:rFonts w:ascii="Myriad Pro" w:eastAsia="Calibri" w:hAnsi="Myriad Pro"/>
          <w:b w:val="0"/>
          <w:bCs w:val="0"/>
          <w:sz w:val="26"/>
          <w:szCs w:val="26"/>
          <w:lang w:eastAsia="en-US"/>
        </w:rPr>
        <w:t xml:space="preserve"> области от 25.12.2018 N 53/4.</w:t>
      </w:r>
    </w:p>
    <w:p w14:paraId="0A30805F" w14:textId="06A8A0F1" w:rsidR="00105888" w:rsidRPr="00FB0A3A" w:rsidRDefault="00105888" w:rsidP="00A31747">
      <w:pPr>
        <w:tabs>
          <w:tab w:val="left" w:pos="1134"/>
        </w:tabs>
        <w:autoSpaceDE w:val="0"/>
        <w:autoSpaceDN w:val="0"/>
        <w:adjustRightInd w:val="0"/>
        <w:spacing w:after="0" w:line="360" w:lineRule="auto"/>
        <w:ind w:firstLine="567"/>
        <w:contextualSpacing/>
        <w:jc w:val="both"/>
        <w:rPr>
          <w:rFonts w:ascii="Myriad Pro" w:eastAsia="Calibri" w:hAnsi="Myriad Pro" w:cs="Times New Roman"/>
          <w:bCs/>
          <w:sz w:val="26"/>
          <w:szCs w:val="26"/>
        </w:rPr>
      </w:pPr>
      <w:r w:rsidRPr="00FB0A3A">
        <w:rPr>
          <w:rFonts w:ascii="Myriad Pro" w:eastAsia="Calibri" w:hAnsi="Myriad Pro" w:cs="Times New Roman"/>
          <w:sz w:val="26"/>
          <w:szCs w:val="26"/>
        </w:rPr>
        <w:t xml:space="preserve">Инвестиционная программа ПАО </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МРСК Северо-Запада</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 xml:space="preserve">, утвержденная приказом Минэнерго России от 21.12.2018 №26@, по филиалу </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Колэнерго</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 xml:space="preserve"> включает мероприятия по технологическому присоединению энергопринимающих устройств потребителей максимальной мощностью до 150 кВт включительно, связанных со строительством </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последней мили</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 общая величина затрат на выполнение указанных мероприятий в 2019 году составляет 6,62 млн. руб. (</w:t>
      </w:r>
      <w:r w:rsidRPr="00FB0A3A">
        <w:rPr>
          <w:rFonts w:ascii="Myriad Pro" w:eastAsia="Calibri" w:hAnsi="Myriad Pro" w:cs="Times New Roman"/>
          <w:bCs/>
          <w:sz w:val="26"/>
          <w:szCs w:val="26"/>
        </w:rPr>
        <w:t>без НДС).</w:t>
      </w:r>
    </w:p>
    <w:p w14:paraId="01B97DA1" w14:textId="10009E02" w:rsidR="00105888" w:rsidRPr="00FB0A3A" w:rsidRDefault="00105888" w:rsidP="00B11C26">
      <w:pPr>
        <w:spacing w:after="0" w:line="360" w:lineRule="auto"/>
        <w:ind w:firstLine="567"/>
        <w:jc w:val="both"/>
        <w:rPr>
          <w:rFonts w:ascii="Myriad Pro" w:hAnsi="Myriad Pro"/>
          <w:sz w:val="26"/>
          <w:szCs w:val="26"/>
        </w:rPr>
      </w:pPr>
      <w:r w:rsidRPr="00FB0A3A">
        <w:rPr>
          <w:rFonts w:ascii="Myriad Pro" w:hAnsi="Myriad Pro"/>
          <w:sz w:val="26"/>
          <w:szCs w:val="26"/>
        </w:rPr>
        <w:t xml:space="preserve">В соответствии с пунктом 5 Основ ценообразования в области регулируемых цен (тарифов) в электроэнергетике, утвержденных Постановлением Правительства РФ от 29.12.2011 № 1178, в целях исключения двойного учета затрат плановую величину выпадающих доходов по мероприятиям </w:t>
      </w:r>
      <w:r w:rsidR="00655FFA" w:rsidRPr="00FB0A3A">
        <w:rPr>
          <w:rFonts w:ascii="Myriad Pro" w:hAnsi="Myriad Pro"/>
          <w:sz w:val="26"/>
          <w:szCs w:val="26"/>
        </w:rPr>
        <w:t>«</w:t>
      </w:r>
      <w:r w:rsidRPr="00FB0A3A">
        <w:rPr>
          <w:rFonts w:ascii="Myriad Pro" w:hAnsi="Myriad Pro"/>
          <w:sz w:val="26"/>
          <w:szCs w:val="26"/>
        </w:rPr>
        <w:t>последней мили</w:t>
      </w:r>
      <w:r w:rsidR="00655FFA" w:rsidRPr="00FB0A3A">
        <w:rPr>
          <w:rFonts w:ascii="Myriad Pro" w:hAnsi="Myriad Pro"/>
          <w:sz w:val="26"/>
          <w:szCs w:val="26"/>
        </w:rPr>
        <w:t>»</w:t>
      </w:r>
      <w:r w:rsidRPr="00FB0A3A">
        <w:rPr>
          <w:rFonts w:ascii="Myriad Pro" w:hAnsi="Myriad Pro"/>
          <w:sz w:val="26"/>
          <w:szCs w:val="26"/>
        </w:rPr>
        <w:t xml:space="preserve"> на 2019 год следует скорректировать (уменьшить) с учетом мероприятий инвестиционной программы ПАО </w:t>
      </w:r>
      <w:r w:rsidR="00655FFA" w:rsidRPr="00FB0A3A">
        <w:rPr>
          <w:rFonts w:ascii="Myriad Pro" w:hAnsi="Myriad Pro"/>
          <w:sz w:val="26"/>
          <w:szCs w:val="26"/>
        </w:rPr>
        <w:t>«</w:t>
      </w:r>
      <w:r w:rsidRPr="00FB0A3A">
        <w:rPr>
          <w:rFonts w:ascii="Myriad Pro" w:hAnsi="Myriad Pro"/>
          <w:sz w:val="26"/>
          <w:szCs w:val="26"/>
        </w:rPr>
        <w:t>МРСК Северо-Запада</w:t>
      </w:r>
      <w:r w:rsidR="00655FFA" w:rsidRPr="00FB0A3A">
        <w:rPr>
          <w:rFonts w:ascii="Myriad Pro" w:hAnsi="Myriad Pro"/>
          <w:sz w:val="26"/>
          <w:szCs w:val="26"/>
        </w:rPr>
        <w:t>»</w:t>
      </w:r>
      <w:r w:rsidRPr="00FB0A3A">
        <w:rPr>
          <w:rFonts w:ascii="Myriad Pro" w:hAnsi="Myriad Pro"/>
          <w:sz w:val="26"/>
          <w:szCs w:val="26"/>
        </w:rPr>
        <w:t xml:space="preserve"> в части филиала </w:t>
      </w:r>
      <w:r w:rsidR="00994DAE" w:rsidRPr="00FB0A3A">
        <w:rPr>
          <w:rFonts w:ascii="Myriad Pro" w:hAnsi="Myriad Pro"/>
          <w:sz w:val="26"/>
          <w:szCs w:val="26"/>
        </w:rPr>
        <w:t>ПАО</w:t>
      </w:r>
      <w:r w:rsidR="009808E8">
        <w:rPr>
          <w:rFonts w:ascii="Myriad Pro" w:hAnsi="Myriad Pro"/>
          <w:sz w:val="26"/>
          <w:szCs w:val="26"/>
        </w:rPr>
        <w:t> </w:t>
      </w:r>
      <w:r w:rsidR="00994DAE" w:rsidRPr="00FB0A3A">
        <w:rPr>
          <w:rFonts w:ascii="Myriad Pro" w:hAnsi="Myriad Pro"/>
          <w:sz w:val="26"/>
          <w:szCs w:val="26"/>
        </w:rPr>
        <w:t xml:space="preserve">«МРСК Северо-Запада» </w:t>
      </w:r>
      <w:r w:rsidR="00655FFA" w:rsidRPr="00FB0A3A">
        <w:rPr>
          <w:rFonts w:ascii="Myriad Pro" w:hAnsi="Myriad Pro"/>
          <w:sz w:val="26"/>
          <w:szCs w:val="26"/>
        </w:rPr>
        <w:t>«</w:t>
      </w:r>
      <w:r w:rsidRPr="00FB0A3A">
        <w:rPr>
          <w:rFonts w:ascii="Myriad Pro" w:hAnsi="Myriad Pro"/>
          <w:sz w:val="26"/>
          <w:szCs w:val="26"/>
        </w:rPr>
        <w:t>Колэнерго</w:t>
      </w:r>
      <w:r w:rsidR="00655FFA" w:rsidRPr="00FB0A3A">
        <w:rPr>
          <w:rFonts w:ascii="Myriad Pro" w:hAnsi="Myriad Pro"/>
          <w:sz w:val="26"/>
          <w:szCs w:val="26"/>
        </w:rPr>
        <w:t>»</w:t>
      </w:r>
      <w:r w:rsidRPr="00FB0A3A">
        <w:rPr>
          <w:rFonts w:ascii="Myriad Pro" w:hAnsi="Myriad Pro"/>
          <w:sz w:val="26"/>
          <w:szCs w:val="26"/>
        </w:rPr>
        <w:t>.</w:t>
      </w:r>
    </w:p>
    <w:p w14:paraId="4415370B" w14:textId="4EB768D6" w:rsidR="00105888" w:rsidRPr="00FB0A3A" w:rsidRDefault="00105888" w:rsidP="00B11C26">
      <w:pPr>
        <w:spacing w:after="0" w:line="360" w:lineRule="auto"/>
        <w:ind w:firstLine="567"/>
        <w:jc w:val="both"/>
        <w:rPr>
          <w:rFonts w:ascii="Myriad Pro" w:hAnsi="Myriad Pro"/>
          <w:sz w:val="26"/>
          <w:szCs w:val="26"/>
        </w:rPr>
      </w:pPr>
      <w:r w:rsidRPr="00FB0A3A">
        <w:rPr>
          <w:rFonts w:ascii="Myriad Pro" w:hAnsi="Myriad Pro"/>
          <w:sz w:val="26"/>
          <w:szCs w:val="26"/>
        </w:rPr>
        <w:lastRenderedPageBreak/>
        <w:t xml:space="preserve">Расчет плановых выпадающих доходов на 2019 год, связанных с осуществлением технологического присоединения до 150 кВт к электрическим сетям филиала ПАО </w:t>
      </w:r>
      <w:r w:rsidR="00655FFA" w:rsidRPr="00FB0A3A">
        <w:rPr>
          <w:rFonts w:ascii="Myriad Pro" w:hAnsi="Myriad Pro"/>
          <w:sz w:val="26"/>
          <w:szCs w:val="26"/>
        </w:rPr>
        <w:t>«</w:t>
      </w:r>
      <w:r w:rsidRPr="00FB0A3A">
        <w:rPr>
          <w:rFonts w:ascii="Myriad Pro" w:hAnsi="Myriad Pro"/>
          <w:sz w:val="26"/>
          <w:szCs w:val="26"/>
        </w:rPr>
        <w:t>МРСК Северо-Запада</w:t>
      </w:r>
      <w:r w:rsidR="00655FFA" w:rsidRPr="00FB0A3A">
        <w:rPr>
          <w:rFonts w:ascii="Myriad Pro" w:hAnsi="Myriad Pro"/>
          <w:sz w:val="26"/>
          <w:szCs w:val="26"/>
        </w:rPr>
        <w:t>»</w:t>
      </w:r>
      <w:r w:rsidRPr="00FB0A3A">
        <w:rPr>
          <w:rFonts w:ascii="Myriad Pro" w:hAnsi="Myriad Pro"/>
          <w:sz w:val="26"/>
          <w:szCs w:val="26"/>
        </w:rPr>
        <w:t xml:space="preserve"> </w:t>
      </w:r>
      <w:r w:rsidR="00655FFA" w:rsidRPr="00FB0A3A">
        <w:rPr>
          <w:rFonts w:ascii="Myriad Pro" w:hAnsi="Myriad Pro"/>
          <w:sz w:val="26"/>
          <w:szCs w:val="26"/>
        </w:rPr>
        <w:t>«</w:t>
      </w:r>
      <w:r w:rsidRPr="00FB0A3A">
        <w:rPr>
          <w:rFonts w:ascii="Myriad Pro" w:hAnsi="Myriad Pro"/>
          <w:sz w:val="26"/>
          <w:szCs w:val="26"/>
        </w:rPr>
        <w:t>Колэнерго</w:t>
      </w:r>
      <w:r w:rsidR="00655FFA" w:rsidRPr="00FB0A3A">
        <w:rPr>
          <w:rFonts w:ascii="Myriad Pro" w:hAnsi="Myriad Pro"/>
          <w:sz w:val="26"/>
          <w:szCs w:val="26"/>
        </w:rPr>
        <w:t>»</w:t>
      </w:r>
      <w:r w:rsidR="00B11C26" w:rsidRPr="00FB0A3A">
        <w:rPr>
          <w:rFonts w:ascii="Myriad Pro" w:hAnsi="Myriad Pro"/>
          <w:sz w:val="26"/>
          <w:szCs w:val="26"/>
        </w:rPr>
        <w:t>.</w:t>
      </w:r>
    </w:p>
    <w:tbl>
      <w:tblPr>
        <w:tblStyle w:val="afff6"/>
        <w:tblW w:w="5000" w:type="pct"/>
        <w:jc w:val="center"/>
        <w:tblLook w:val="04A0" w:firstRow="1" w:lastRow="0" w:firstColumn="1" w:lastColumn="0" w:noHBand="0" w:noVBand="1"/>
      </w:tblPr>
      <w:tblGrid>
        <w:gridCol w:w="528"/>
        <w:gridCol w:w="4444"/>
        <w:gridCol w:w="1512"/>
        <w:gridCol w:w="1372"/>
        <w:gridCol w:w="1488"/>
      </w:tblGrid>
      <w:tr w:rsidR="002E072E" w:rsidRPr="008A1FE3" w14:paraId="17FC7C8D" w14:textId="77777777" w:rsidTr="002267D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2B0BD995" w14:textId="1FE19D89" w:rsidR="003D5051" w:rsidRPr="008A1FE3" w:rsidRDefault="003D5051" w:rsidP="00B11C26">
            <w:pPr>
              <w:tabs>
                <w:tab w:val="left" w:pos="1134"/>
              </w:tabs>
              <w:jc w:val="center"/>
              <w:rPr>
                <w:sz w:val="20"/>
                <w:szCs w:val="20"/>
              </w:rPr>
            </w:pPr>
            <w:r w:rsidRPr="008A1FE3">
              <w:rPr>
                <w:sz w:val="20"/>
                <w:szCs w:val="20"/>
              </w:rPr>
              <w:t>№ п/п</w:t>
            </w:r>
          </w:p>
        </w:tc>
        <w:tc>
          <w:tcPr>
            <w:tcW w:w="239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00A6F54C" w14:textId="77777777" w:rsidR="003D5051" w:rsidRPr="008A1FE3" w:rsidRDefault="003D5051" w:rsidP="00B11C26">
            <w:pPr>
              <w:tabs>
                <w:tab w:val="left" w:pos="1134"/>
              </w:tabs>
              <w:cnfStyle w:val="100000000000" w:firstRow="1" w:lastRow="0" w:firstColumn="0" w:lastColumn="0" w:oddVBand="0" w:evenVBand="0" w:oddHBand="0" w:evenHBand="0" w:firstRowFirstColumn="0" w:firstRowLastColumn="0" w:lastRowFirstColumn="0" w:lastRowLastColumn="0"/>
              <w:rPr>
                <w:sz w:val="20"/>
                <w:szCs w:val="20"/>
              </w:rPr>
            </w:pPr>
            <w:r w:rsidRPr="008A1FE3">
              <w:rPr>
                <w:sz w:val="20"/>
                <w:szCs w:val="20"/>
              </w:rPr>
              <w:t>Показатели</w:t>
            </w:r>
          </w:p>
        </w:tc>
        <w:tc>
          <w:tcPr>
            <w:tcW w:w="2313"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201D1D5F" w14:textId="77777777" w:rsidR="003D5051" w:rsidRPr="008A1FE3" w:rsidRDefault="003D5051" w:rsidP="00B11C26">
            <w:pPr>
              <w:tabs>
                <w:tab w:val="left" w:pos="1134"/>
              </w:tabs>
              <w:cnfStyle w:val="100000000000" w:firstRow="1" w:lastRow="0" w:firstColumn="0" w:lastColumn="0" w:oddVBand="0" w:evenVBand="0" w:oddHBand="0" w:evenHBand="0" w:firstRowFirstColumn="0" w:firstRowLastColumn="0" w:lastRowFirstColumn="0" w:lastRowLastColumn="0"/>
              <w:rPr>
                <w:sz w:val="20"/>
                <w:szCs w:val="20"/>
              </w:rPr>
            </w:pPr>
            <w:r w:rsidRPr="008A1FE3">
              <w:rPr>
                <w:sz w:val="20"/>
                <w:szCs w:val="20"/>
              </w:rPr>
              <w:t>Плановые показатели на период регулирования 2019 года</w:t>
            </w:r>
          </w:p>
        </w:tc>
      </w:tr>
      <w:tr w:rsidR="00B11C26" w:rsidRPr="008A1FE3" w14:paraId="5CE42E6D" w14:textId="77777777" w:rsidTr="002267D7">
        <w:trPr>
          <w:jc w:val="center"/>
        </w:trPr>
        <w:tc>
          <w:tcPr>
            <w:cnfStyle w:val="001000000000" w:firstRow="0" w:lastRow="0" w:firstColumn="1" w:lastColumn="0" w:oddVBand="0" w:evenVBand="0" w:oddHBand="0" w:evenHBand="0" w:firstRowFirstColumn="0" w:firstRowLastColumn="0" w:lastRowFirstColumn="0" w:lastRowLastColumn="0"/>
            <w:tcW w:w="29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C42E8F1" w14:textId="77777777" w:rsidR="003D5051" w:rsidRPr="008A1FE3" w:rsidRDefault="003D5051" w:rsidP="00B11C26">
            <w:pPr>
              <w:tabs>
                <w:tab w:val="left" w:pos="1134"/>
              </w:tabs>
              <w:rPr>
                <w:sz w:val="20"/>
                <w:szCs w:val="20"/>
              </w:rPr>
            </w:pPr>
          </w:p>
        </w:tc>
        <w:tc>
          <w:tcPr>
            <w:tcW w:w="239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DEF3679" w14:textId="77777777" w:rsidR="003D5051" w:rsidRPr="008A1FE3" w:rsidRDefault="003D5051" w:rsidP="00B11C26">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p>
        </w:tc>
        <w:tc>
          <w:tcPr>
            <w:tcW w:w="8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1D09A064" w14:textId="77777777" w:rsidR="003D5051" w:rsidRPr="008A1FE3" w:rsidRDefault="003D5051" w:rsidP="00B11C26">
            <w:pPr>
              <w:tabs>
                <w:tab w:val="left" w:pos="1134"/>
              </w:tabs>
              <w:cnfStyle w:val="000000000000" w:firstRow="0" w:lastRow="0" w:firstColumn="0" w:lastColumn="0" w:oddVBand="0" w:evenVBand="0" w:oddHBand="0" w:evenHBand="0" w:firstRowFirstColumn="0" w:firstRowLastColumn="0" w:lastRowFirstColumn="0" w:lastRowLastColumn="0"/>
              <w:rPr>
                <w:color w:val="FFFFFF" w:themeColor="background1"/>
                <w:sz w:val="20"/>
                <w:szCs w:val="20"/>
              </w:rPr>
            </w:pPr>
            <w:r w:rsidRPr="008A1FE3">
              <w:rPr>
                <w:color w:val="FFFFFF" w:themeColor="background1"/>
                <w:sz w:val="20"/>
                <w:szCs w:val="20"/>
              </w:rPr>
              <w:t>стандарт, тариф, ставка (руб./кВт, руб./км, руб./шт.)</w:t>
            </w:r>
          </w:p>
        </w:tc>
        <w:tc>
          <w:tcPr>
            <w:tcW w:w="7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155AED67" w14:textId="77777777" w:rsidR="003D5051" w:rsidRPr="008A1FE3" w:rsidRDefault="003D5051" w:rsidP="00B11C26">
            <w:pPr>
              <w:tabs>
                <w:tab w:val="left" w:pos="1134"/>
              </w:tabs>
              <w:cnfStyle w:val="000000000000" w:firstRow="0" w:lastRow="0" w:firstColumn="0" w:lastColumn="0" w:oddVBand="0" w:evenVBand="0" w:oddHBand="0" w:evenHBand="0" w:firstRowFirstColumn="0" w:firstRowLastColumn="0" w:lastRowFirstColumn="0" w:lastRowLastColumn="0"/>
              <w:rPr>
                <w:color w:val="FFFFFF" w:themeColor="background1"/>
                <w:sz w:val="20"/>
                <w:szCs w:val="20"/>
              </w:rPr>
            </w:pPr>
            <w:r w:rsidRPr="008A1FE3">
              <w:rPr>
                <w:color w:val="FFFFFF" w:themeColor="background1"/>
                <w:sz w:val="20"/>
                <w:szCs w:val="20"/>
              </w:rPr>
              <w:t>мощность, длина линий (кВт, км, шт.)</w:t>
            </w:r>
          </w:p>
        </w:tc>
        <w:tc>
          <w:tcPr>
            <w:tcW w:w="7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C52506C" w14:textId="77777777" w:rsidR="003D5051" w:rsidRPr="008A1FE3" w:rsidRDefault="003D5051" w:rsidP="00B11C26">
            <w:pPr>
              <w:tabs>
                <w:tab w:val="left" w:pos="1134"/>
              </w:tabs>
              <w:cnfStyle w:val="000000000000" w:firstRow="0" w:lastRow="0" w:firstColumn="0" w:lastColumn="0" w:oddVBand="0" w:evenVBand="0" w:oddHBand="0" w:evenHBand="0" w:firstRowFirstColumn="0" w:firstRowLastColumn="0" w:lastRowFirstColumn="0" w:lastRowLastColumn="0"/>
              <w:rPr>
                <w:color w:val="FFFFFF" w:themeColor="background1"/>
                <w:sz w:val="20"/>
                <w:szCs w:val="20"/>
              </w:rPr>
            </w:pPr>
            <w:r w:rsidRPr="008A1FE3">
              <w:rPr>
                <w:color w:val="FFFFFF" w:themeColor="background1"/>
                <w:sz w:val="20"/>
                <w:szCs w:val="20"/>
              </w:rPr>
              <w:t>расходы на строительство объекта (тыс. руб.)</w:t>
            </w:r>
          </w:p>
        </w:tc>
      </w:tr>
      <w:tr w:rsidR="00B11C26" w:rsidRPr="008A1FE3" w14:paraId="2A64AB33" w14:textId="77777777" w:rsidTr="002267D7">
        <w:trPr>
          <w:jc w:val="center"/>
        </w:trPr>
        <w:tc>
          <w:tcPr>
            <w:cnfStyle w:val="001000000000" w:firstRow="0" w:lastRow="0" w:firstColumn="1" w:lastColumn="0" w:oddVBand="0" w:evenVBand="0" w:oddHBand="0" w:evenHBand="0" w:firstRowFirstColumn="0" w:firstRowLastColumn="0" w:lastRowFirstColumn="0" w:lastRowLastColumn="0"/>
            <w:tcW w:w="296" w:type="pct"/>
            <w:tcBorders>
              <w:top w:val="single" w:sz="4" w:space="0" w:color="FFFFFF" w:themeColor="background1"/>
            </w:tcBorders>
            <w:hideMark/>
          </w:tcPr>
          <w:p w14:paraId="01569C0E" w14:textId="77777777" w:rsidR="003D5051" w:rsidRPr="008A1FE3" w:rsidRDefault="003D5051" w:rsidP="00B11C26">
            <w:pPr>
              <w:tabs>
                <w:tab w:val="left" w:pos="1134"/>
              </w:tabs>
              <w:jc w:val="center"/>
              <w:rPr>
                <w:b/>
                <w:sz w:val="20"/>
                <w:szCs w:val="20"/>
              </w:rPr>
            </w:pPr>
            <w:r w:rsidRPr="008A1FE3">
              <w:rPr>
                <w:b/>
                <w:sz w:val="20"/>
                <w:szCs w:val="20"/>
              </w:rPr>
              <w:t>1.</w:t>
            </w:r>
          </w:p>
        </w:tc>
        <w:tc>
          <w:tcPr>
            <w:tcW w:w="2391" w:type="pct"/>
            <w:tcBorders>
              <w:top w:val="single" w:sz="4" w:space="0" w:color="FFFFFF" w:themeColor="background1"/>
            </w:tcBorders>
            <w:hideMark/>
          </w:tcPr>
          <w:p w14:paraId="72AD65C0" w14:textId="505B19CA" w:rsidR="003D5051" w:rsidRPr="008A1FE3" w:rsidRDefault="003D5051" w:rsidP="00B11C26">
            <w:pPr>
              <w:tabs>
                <w:tab w:val="left" w:pos="1134"/>
              </w:tabs>
              <w:jc w:val="left"/>
              <w:cnfStyle w:val="000000000000" w:firstRow="0" w:lastRow="0" w:firstColumn="0" w:lastColumn="0" w:oddVBand="0" w:evenVBand="0" w:oddHBand="0" w:evenHBand="0" w:firstRowFirstColumn="0" w:firstRowLastColumn="0" w:lastRowFirstColumn="0" w:lastRowLastColumn="0"/>
              <w:rPr>
                <w:b/>
                <w:sz w:val="20"/>
                <w:szCs w:val="20"/>
              </w:rPr>
            </w:pPr>
            <w:r w:rsidRPr="008A1FE3">
              <w:rPr>
                <w:b/>
                <w:sz w:val="20"/>
                <w:szCs w:val="20"/>
              </w:rPr>
              <w:t xml:space="preserve">Расходы по мероприятиям </w:t>
            </w:r>
            <w:r w:rsidR="00655FFA" w:rsidRPr="008A1FE3">
              <w:rPr>
                <w:b/>
                <w:sz w:val="20"/>
                <w:szCs w:val="20"/>
              </w:rPr>
              <w:t>«</w:t>
            </w:r>
            <w:r w:rsidRPr="008A1FE3">
              <w:rPr>
                <w:b/>
                <w:sz w:val="20"/>
                <w:szCs w:val="20"/>
              </w:rPr>
              <w:t>последней мили</w:t>
            </w:r>
            <w:r w:rsidR="00655FFA" w:rsidRPr="008A1FE3">
              <w:rPr>
                <w:b/>
                <w:sz w:val="20"/>
                <w:szCs w:val="20"/>
              </w:rPr>
              <w:t>»</w:t>
            </w:r>
            <w:r w:rsidRPr="008A1FE3">
              <w:rPr>
                <w:b/>
                <w:sz w:val="20"/>
                <w:szCs w:val="20"/>
              </w:rPr>
              <w:t>, связанные с осуществлением технологического присоединения к электрическим сетям [пункт 2 + пункт 3 + пункт 4 + пункт 5 + пункт 6 + пункт 7]:</w:t>
            </w:r>
          </w:p>
        </w:tc>
        <w:tc>
          <w:tcPr>
            <w:tcW w:w="822" w:type="pct"/>
            <w:tcBorders>
              <w:top w:val="single" w:sz="4" w:space="0" w:color="FFFFFF" w:themeColor="background1"/>
            </w:tcBorders>
            <w:hideMark/>
          </w:tcPr>
          <w:p w14:paraId="01257E73" w14:textId="77777777" w:rsidR="003D5051" w:rsidRPr="008A1FE3" w:rsidRDefault="003D5051" w:rsidP="00B11C26">
            <w:pPr>
              <w:tabs>
                <w:tab w:val="left" w:pos="1134"/>
              </w:tabs>
              <w:cnfStyle w:val="000000000000" w:firstRow="0" w:lastRow="0" w:firstColumn="0" w:lastColumn="0" w:oddVBand="0" w:evenVBand="0" w:oddHBand="0" w:evenHBand="0" w:firstRowFirstColumn="0" w:firstRowLastColumn="0" w:lastRowFirstColumn="0" w:lastRowLastColumn="0"/>
              <w:rPr>
                <w:b/>
                <w:sz w:val="20"/>
                <w:szCs w:val="20"/>
              </w:rPr>
            </w:pPr>
            <w:r w:rsidRPr="008A1FE3">
              <w:rPr>
                <w:b/>
                <w:sz w:val="20"/>
                <w:szCs w:val="20"/>
              </w:rPr>
              <w:t>х</w:t>
            </w:r>
          </w:p>
        </w:tc>
        <w:tc>
          <w:tcPr>
            <w:tcW w:w="747" w:type="pct"/>
            <w:tcBorders>
              <w:top w:val="single" w:sz="4" w:space="0" w:color="FFFFFF" w:themeColor="background1"/>
            </w:tcBorders>
            <w:hideMark/>
          </w:tcPr>
          <w:p w14:paraId="1670BEFF" w14:textId="77777777" w:rsidR="003D5051" w:rsidRPr="008A1FE3" w:rsidRDefault="003D5051" w:rsidP="00B11C26">
            <w:pPr>
              <w:tabs>
                <w:tab w:val="left" w:pos="1134"/>
              </w:tabs>
              <w:cnfStyle w:val="000000000000" w:firstRow="0" w:lastRow="0" w:firstColumn="0" w:lastColumn="0" w:oddVBand="0" w:evenVBand="0" w:oddHBand="0" w:evenHBand="0" w:firstRowFirstColumn="0" w:firstRowLastColumn="0" w:lastRowFirstColumn="0" w:lastRowLastColumn="0"/>
              <w:rPr>
                <w:b/>
                <w:sz w:val="20"/>
                <w:szCs w:val="20"/>
              </w:rPr>
            </w:pPr>
            <w:r w:rsidRPr="008A1FE3">
              <w:rPr>
                <w:b/>
                <w:sz w:val="20"/>
                <w:szCs w:val="20"/>
              </w:rPr>
              <w:t>х</w:t>
            </w:r>
          </w:p>
        </w:tc>
        <w:tc>
          <w:tcPr>
            <w:tcW w:w="744" w:type="pct"/>
            <w:tcBorders>
              <w:top w:val="single" w:sz="4" w:space="0" w:color="FFFFFF" w:themeColor="background1"/>
            </w:tcBorders>
            <w:hideMark/>
          </w:tcPr>
          <w:p w14:paraId="7E5BFF78" w14:textId="77777777" w:rsidR="003D5051" w:rsidRPr="008A1FE3" w:rsidRDefault="003D5051" w:rsidP="00B11C26">
            <w:pPr>
              <w:tabs>
                <w:tab w:val="left" w:pos="1134"/>
              </w:tabs>
              <w:cnfStyle w:val="000000000000" w:firstRow="0" w:lastRow="0" w:firstColumn="0" w:lastColumn="0" w:oddVBand="0" w:evenVBand="0" w:oddHBand="0" w:evenHBand="0" w:firstRowFirstColumn="0" w:firstRowLastColumn="0" w:lastRowFirstColumn="0" w:lastRowLastColumn="0"/>
              <w:rPr>
                <w:b/>
                <w:sz w:val="20"/>
                <w:szCs w:val="20"/>
              </w:rPr>
            </w:pPr>
            <w:r w:rsidRPr="008A1FE3">
              <w:rPr>
                <w:b/>
                <w:sz w:val="20"/>
                <w:szCs w:val="20"/>
              </w:rPr>
              <w:t>99 713,3</w:t>
            </w:r>
          </w:p>
        </w:tc>
      </w:tr>
      <w:tr w:rsidR="00B11C26" w:rsidRPr="008A1FE3" w14:paraId="25C4887F" w14:textId="77777777" w:rsidTr="00B11C26">
        <w:trPr>
          <w:jc w:val="center"/>
        </w:trPr>
        <w:tc>
          <w:tcPr>
            <w:cnfStyle w:val="001000000000" w:firstRow="0" w:lastRow="0" w:firstColumn="1" w:lastColumn="0" w:oddVBand="0" w:evenVBand="0" w:oddHBand="0" w:evenHBand="0" w:firstRowFirstColumn="0" w:firstRowLastColumn="0" w:lastRowFirstColumn="0" w:lastRowLastColumn="0"/>
            <w:tcW w:w="296" w:type="pct"/>
            <w:hideMark/>
          </w:tcPr>
          <w:p w14:paraId="7308847D" w14:textId="77777777" w:rsidR="003D5051" w:rsidRPr="008A1FE3" w:rsidRDefault="003D5051" w:rsidP="00B11C26">
            <w:pPr>
              <w:tabs>
                <w:tab w:val="left" w:pos="1134"/>
              </w:tabs>
              <w:jc w:val="center"/>
              <w:rPr>
                <w:b/>
                <w:sz w:val="20"/>
                <w:szCs w:val="20"/>
              </w:rPr>
            </w:pPr>
            <w:r w:rsidRPr="008A1FE3">
              <w:rPr>
                <w:b/>
                <w:sz w:val="20"/>
                <w:szCs w:val="20"/>
              </w:rPr>
              <w:t>2.</w:t>
            </w:r>
          </w:p>
        </w:tc>
        <w:tc>
          <w:tcPr>
            <w:tcW w:w="2391" w:type="pct"/>
            <w:hideMark/>
          </w:tcPr>
          <w:p w14:paraId="28CF9BC2" w14:textId="77777777" w:rsidR="003D5051" w:rsidRPr="008A1FE3" w:rsidRDefault="003D5051" w:rsidP="00B11C26">
            <w:pPr>
              <w:tabs>
                <w:tab w:val="left" w:pos="1134"/>
              </w:tabs>
              <w:jc w:val="left"/>
              <w:cnfStyle w:val="000000000000" w:firstRow="0" w:lastRow="0" w:firstColumn="0" w:lastColumn="0" w:oddVBand="0" w:evenVBand="0" w:oddHBand="0" w:evenHBand="0" w:firstRowFirstColumn="0" w:firstRowLastColumn="0" w:lastRowFirstColumn="0" w:lastRowLastColumn="0"/>
              <w:rPr>
                <w:b/>
                <w:sz w:val="20"/>
                <w:szCs w:val="20"/>
              </w:rPr>
            </w:pPr>
            <w:r w:rsidRPr="008A1FE3">
              <w:rPr>
                <w:b/>
                <w:sz w:val="20"/>
                <w:szCs w:val="20"/>
              </w:rPr>
              <w:t>Строительство воздушных линий</w:t>
            </w:r>
          </w:p>
        </w:tc>
        <w:tc>
          <w:tcPr>
            <w:tcW w:w="822" w:type="pct"/>
            <w:hideMark/>
          </w:tcPr>
          <w:p w14:paraId="3F972E21" w14:textId="77777777" w:rsidR="003D5051" w:rsidRPr="008A1FE3" w:rsidRDefault="003D5051" w:rsidP="00B11C26">
            <w:pPr>
              <w:tabs>
                <w:tab w:val="left" w:pos="1134"/>
              </w:tabs>
              <w:cnfStyle w:val="000000000000" w:firstRow="0" w:lastRow="0" w:firstColumn="0" w:lastColumn="0" w:oddVBand="0" w:evenVBand="0" w:oddHBand="0" w:evenHBand="0" w:firstRowFirstColumn="0" w:firstRowLastColumn="0" w:lastRowFirstColumn="0" w:lastRowLastColumn="0"/>
              <w:rPr>
                <w:b/>
                <w:sz w:val="20"/>
                <w:szCs w:val="20"/>
              </w:rPr>
            </w:pPr>
            <w:r w:rsidRPr="008A1FE3">
              <w:rPr>
                <w:b/>
                <w:sz w:val="20"/>
                <w:szCs w:val="20"/>
              </w:rPr>
              <w:t> </w:t>
            </w:r>
          </w:p>
        </w:tc>
        <w:tc>
          <w:tcPr>
            <w:tcW w:w="747" w:type="pct"/>
            <w:hideMark/>
          </w:tcPr>
          <w:p w14:paraId="25D17ADC" w14:textId="77777777" w:rsidR="003D5051" w:rsidRPr="008A1FE3" w:rsidRDefault="003D5051" w:rsidP="00B11C26">
            <w:pPr>
              <w:tabs>
                <w:tab w:val="left" w:pos="1134"/>
              </w:tabs>
              <w:cnfStyle w:val="000000000000" w:firstRow="0" w:lastRow="0" w:firstColumn="0" w:lastColumn="0" w:oddVBand="0" w:evenVBand="0" w:oddHBand="0" w:evenHBand="0" w:firstRowFirstColumn="0" w:firstRowLastColumn="0" w:lastRowFirstColumn="0" w:lastRowLastColumn="0"/>
              <w:rPr>
                <w:b/>
                <w:sz w:val="20"/>
                <w:szCs w:val="20"/>
              </w:rPr>
            </w:pPr>
            <w:r w:rsidRPr="008A1FE3">
              <w:rPr>
                <w:b/>
                <w:sz w:val="20"/>
                <w:szCs w:val="20"/>
              </w:rPr>
              <w:t>40,24</w:t>
            </w:r>
          </w:p>
        </w:tc>
        <w:tc>
          <w:tcPr>
            <w:tcW w:w="744" w:type="pct"/>
            <w:hideMark/>
          </w:tcPr>
          <w:p w14:paraId="70631FB6" w14:textId="77777777" w:rsidR="003D5051" w:rsidRPr="008A1FE3" w:rsidRDefault="003D5051" w:rsidP="00B11C26">
            <w:pPr>
              <w:tabs>
                <w:tab w:val="left" w:pos="1134"/>
              </w:tabs>
              <w:cnfStyle w:val="000000000000" w:firstRow="0" w:lastRow="0" w:firstColumn="0" w:lastColumn="0" w:oddVBand="0" w:evenVBand="0" w:oddHBand="0" w:evenHBand="0" w:firstRowFirstColumn="0" w:firstRowLastColumn="0" w:lastRowFirstColumn="0" w:lastRowLastColumn="0"/>
              <w:rPr>
                <w:b/>
                <w:sz w:val="20"/>
                <w:szCs w:val="20"/>
              </w:rPr>
            </w:pPr>
            <w:r w:rsidRPr="008A1FE3">
              <w:rPr>
                <w:b/>
                <w:sz w:val="20"/>
                <w:szCs w:val="20"/>
              </w:rPr>
              <w:t>90 785,7</w:t>
            </w:r>
          </w:p>
        </w:tc>
      </w:tr>
      <w:tr w:rsidR="00B11C26" w:rsidRPr="008A1FE3" w14:paraId="77E57B6C" w14:textId="77777777" w:rsidTr="00B11C26">
        <w:trPr>
          <w:jc w:val="center"/>
        </w:trPr>
        <w:tc>
          <w:tcPr>
            <w:cnfStyle w:val="001000000000" w:firstRow="0" w:lastRow="0" w:firstColumn="1" w:lastColumn="0" w:oddVBand="0" w:evenVBand="0" w:oddHBand="0" w:evenHBand="0" w:firstRowFirstColumn="0" w:firstRowLastColumn="0" w:lastRowFirstColumn="0" w:lastRowLastColumn="0"/>
            <w:tcW w:w="296" w:type="pct"/>
            <w:hideMark/>
          </w:tcPr>
          <w:p w14:paraId="7FB541E1" w14:textId="77777777" w:rsidR="003D5051" w:rsidRPr="008A1FE3" w:rsidRDefault="003D5051" w:rsidP="00B11C26">
            <w:pPr>
              <w:tabs>
                <w:tab w:val="left" w:pos="1134"/>
              </w:tabs>
              <w:jc w:val="center"/>
              <w:rPr>
                <w:sz w:val="20"/>
                <w:szCs w:val="20"/>
              </w:rPr>
            </w:pPr>
            <w:r w:rsidRPr="008A1FE3">
              <w:rPr>
                <w:sz w:val="20"/>
                <w:szCs w:val="20"/>
              </w:rPr>
              <w:t>2.1.</w:t>
            </w:r>
          </w:p>
        </w:tc>
        <w:tc>
          <w:tcPr>
            <w:tcW w:w="2391" w:type="pct"/>
            <w:hideMark/>
          </w:tcPr>
          <w:p w14:paraId="67AD5B75" w14:textId="272E21C9" w:rsidR="003D5051" w:rsidRPr="008A1FE3" w:rsidRDefault="003D5051" w:rsidP="00B11C26">
            <w:pPr>
              <w:tabs>
                <w:tab w:val="left" w:pos="1134"/>
              </w:tabs>
              <w:jc w:val="left"/>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 xml:space="preserve">Область ВЛ 0,4 кВ; деревянные опоры; провод - изолированный, </w:t>
            </w:r>
            <w:r w:rsidR="00164398" w:rsidRPr="008A1FE3">
              <w:rPr>
                <w:sz w:val="20"/>
                <w:szCs w:val="20"/>
              </w:rPr>
              <w:t>сталеалюминевый</w:t>
            </w:r>
            <w:r w:rsidRPr="008A1FE3">
              <w:rPr>
                <w:sz w:val="20"/>
                <w:szCs w:val="20"/>
              </w:rPr>
              <w:t>, сечением до 50 мм2</w:t>
            </w:r>
          </w:p>
        </w:tc>
        <w:tc>
          <w:tcPr>
            <w:tcW w:w="822" w:type="pct"/>
            <w:hideMark/>
          </w:tcPr>
          <w:p w14:paraId="009A8820" w14:textId="77777777" w:rsidR="003D5051" w:rsidRPr="008A1FE3" w:rsidRDefault="003D5051" w:rsidP="00B11C26">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1 581 237,00</w:t>
            </w:r>
          </w:p>
        </w:tc>
        <w:tc>
          <w:tcPr>
            <w:tcW w:w="747" w:type="pct"/>
            <w:hideMark/>
          </w:tcPr>
          <w:p w14:paraId="4364E753" w14:textId="77777777" w:rsidR="003D5051" w:rsidRPr="008A1FE3" w:rsidRDefault="003D5051" w:rsidP="00B11C26">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0,10</w:t>
            </w:r>
          </w:p>
        </w:tc>
        <w:tc>
          <w:tcPr>
            <w:tcW w:w="744" w:type="pct"/>
            <w:hideMark/>
          </w:tcPr>
          <w:p w14:paraId="110B41BC" w14:textId="77777777" w:rsidR="003D5051" w:rsidRPr="008A1FE3" w:rsidRDefault="003D5051" w:rsidP="00B11C26">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161,3</w:t>
            </w:r>
          </w:p>
        </w:tc>
      </w:tr>
      <w:tr w:rsidR="00B11C26" w:rsidRPr="008A1FE3" w14:paraId="4A0594CD" w14:textId="77777777" w:rsidTr="00B11C26">
        <w:trPr>
          <w:jc w:val="center"/>
        </w:trPr>
        <w:tc>
          <w:tcPr>
            <w:cnfStyle w:val="001000000000" w:firstRow="0" w:lastRow="0" w:firstColumn="1" w:lastColumn="0" w:oddVBand="0" w:evenVBand="0" w:oddHBand="0" w:evenHBand="0" w:firstRowFirstColumn="0" w:firstRowLastColumn="0" w:lastRowFirstColumn="0" w:lastRowLastColumn="0"/>
            <w:tcW w:w="296" w:type="pct"/>
            <w:hideMark/>
          </w:tcPr>
          <w:p w14:paraId="39BCCBEE" w14:textId="77777777" w:rsidR="003D5051" w:rsidRPr="008A1FE3" w:rsidRDefault="003D5051" w:rsidP="00B11C26">
            <w:pPr>
              <w:tabs>
                <w:tab w:val="left" w:pos="1134"/>
              </w:tabs>
              <w:jc w:val="center"/>
              <w:rPr>
                <w:sz w:val="20"/>
                <w:szCs w:val="20"/>
              </w:rPr>
            </w:pPr>
            <w:r w:rsidRPr="008A1FE3">
              <w:rPr>
                <w:sz w:val="20"/>
                <w:szCs w:val="20"/>
              </w:rPr>
              <w:t>2.2</w:t>
            </w:r>
          </w:p>
        </w:tc>
        <w:tc>
          <w:tcPr>
            <w:tcW w:w="2391" w:type="pct"/>
            <w:hideMark/>
          </w:tcPr>
          <w:p w14:paraId="1AE8404E" w14:textId="5AD9DD39" w:rsidR="003D5051" w:rsidRPr="008A1FE3" w:rsidRDefault="003D5051" w:rsidP="00B11C26">
            <w:pPr>
              <w:tabs>
                <w:tab w:val="left" w:pos="1134"/>
              </w:tabs>
              <w:jc w:val="left"/>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 xml:space="preserve">Область ВЛ 0,4 кВ; деревянные опоры; провод - изолированный, </w:t>
            </w:r>
            <w:r w:rsidR="00164398" w:rsidRPr="008A1FE3">
              <w:rPr>
                <w:sz w:val="20"/>
                <w:szCs w:val="20"/>
              </w:rPr>
              <w:t>сталеалюминевый</w:t>
            </w:r>
            <w:r w:rsidRPr="008A1FE3">
              <w:rPr>
                <w:sz w:val="20"/>
                <w:szCs w:val="20"/>
              </w:rPr>
              <w:t>, сечением от 50 до 100 мм2</w:t>
            </w:r>
          </w:p>
        </w:tc>
        <w:tc>
          <w:tcPr>
            <w:tcW w:w="822" w:type="pct"/>
            <w:hideMark/>
          </w:tcPr>
          <w:p w14:paraId="5AF7B7D1" w14:textId="77777777" w:rsidR="003D5051" w:rsidRPr="008A1FE3" w:rsidRDefault="003D5051" w:rsidP="00B11C26">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1 581 237,00</w:t>
            </w:r>
          </w:p>
        </w:tc>
        <w:tc>
          <w:tcPr>
            <w:tcW w:w="747" w:type="pct"/>
            <w:hideMark/>
          </w:tcPr>
          <w:p w14:paraId="6C53B1B4" w14:textId="77777777" w:rsidR="003D5051" w:rsidRPr="008A1FE3" w:rsidRDefault="003D5051" w:rsidP="00B11C26">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0,65</w:t>
            </w:r>
          </w:p>
        </w:tc>
        <w:tc>
          <w:tcPr>
            <w:tcW w:w="744" w:type="pct"/>
            <w:hideMark/>
          </w:tcPr>
          <w:p w14:paraId="61D52BFE" w14:textId="77777777" w:rsidR="003D5051" w:rsidRPr="008A1FE3" w:rsidRDefault="003D5051" w:rsidP="00B11C26">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1 027,8</w:t>
            </w:r>
          </w:p>
        </w:tc>
      </w:tr>
      <w:tr w:rsidR="00B11C26" w:rsidRPr="008A1FE3" w14:paraId="3E7DF40B" w14:textId="77777777" w:rsidTr="00B11C26">
        <w:trPr>
          <w:jc w:val="center"/>
        </w:trPr>
        <w:tc>
          <w:tcPr>
            <w:cnfStyle w:val="001000000000" w:firstRow="0" w:lastRow="0" w:firstColumn="1" w:lastColumn="0" w:oddVBand="0" w:evenVBand="0" w:oddHBand="0" w:evenHBand="0" w:firstRowFirstColumn="0" w:firstRowLastColumn="0" w:lastRowFirstColumn="0" w:lastRowLastColumn="0"/>
            <w:tcW w:w="296" w:type="pct"/>
            <w:hideMark/>
          </w:tcPr>
          <w:p w14:paraId="532A5B08" w14:textId="77777777" w:rsidR="003D5051" w:rsidRPr="008A1FE3" w:rsidRDefault="003D5051" w:rsidP="00B11C26">
            <w:pPr>
              <w:tabs>
                <w:tab w:val="left" w:pos="1134"/>
              </w:tabs>
              <w:jc w:val="center"/>
              <w:rPr>
                <w:sz w:val="20"/>
                <w:szCs w:val="20"/>
              </w:rPr>
            </w:pPr>
            <w:r w:rsidRPr="008A1FE3">
              <w:rPr>
                <w:sz w:val="20"/>
                <w:szCs w:val="20"/>
              </w:rPr>
              <w:t>2.3</w:t>
            </w:r>
          </w:p>
        </w:tc>
        <w:tc>
          <w:tcPr>
            <w:tcW w:w="2391" w:type="pct"/>
            <w:hideMark/>
          </w:tcPr>
          <w:p w14:paraId="1AF32497" w14:textId="512CC689" w:rsidR="003D5051" w:rsidRPr="008A1FE3" w:rsidRDefault="003D5051" w:rsidP="00B11C26">
            <w:pPr>
              <w:tabs>
                <w:tab w:val="left" w:pos="1134"/>
              </w:tabs>
              <w:jc w:val="left"/>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 xml:space="preserve">Город ВЛ 6-10 кВ; деревянные опоры; провод - изолированный, </w:t>
            </w:r>
            <w:r w:rsidR="00164398" w:rsidRPr="008A1FE3">
              <w:rPr>
                <w:sz w:val="20"/>
                <w:szCs w:val="20"/>
              </w:rPr>
              <w:t>сталеалюминевый</w:t>
            </w:r>
            <w:r w:rsidRPr="008A1FE3">
              <w:rPr>
                <w:sz w:val="20"/>
                <w:szCs w:val="20"/>
              </w:rPr>
              <w:t>, сечением до 50 мм2</w:t>
            </w:r>
          </w:p>
        </w:tc>
        <w:tc>
          <w:tcPr>
            <w:tcW w:w="822" w:type="pct"/>
            <w:hideMark/>
          </w:tcPr>
          <w:p w14:paraId="7CCF70CB" w14:textId="77777777" w:rsidR="003D5051" w:rsidRPr="008A1FE3" w:rsidRDefault="003D5051" w:rsidP="00B11C26">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2 683 895,00</w:t>
            </w:r>
          </w:p>
        </w:tc>
        <w:tc>
          <w:tcPr>
            <w:tcW w:w="747" w:type="pct"/>
            <w:hideMark/>
          </w:tcPr>
          <w:p w14:paraId="3D2727F0" w14:textId="77777777" w:rsidR="003D5051" w:rsidRPr="008A1FE3" w:rsidRDefault="003D5051" w:rsidP="00B11C26">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0,99</w:t>
            </w:r>
          </w:p>
        </w:tc>
        <w:tc>
          <w:tcPr>
            <w:tcW w:w="744" w:type="pct"/>
            <w:hideMark/>
          </w:tcPr>
          <w:p w14:paraId="2233F656" w14:textId="77777777" w:rsidR="003D5051" w:rsidRPr="008A1FE3" w:rsidRDefault="003D5051" w:rsidP="00B11C26">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2 662,4</w:t>
            </w:r>
          </w:p>
        </w:tc>
      </w:tr>
      <w:tr w:rsidR="00B11C26" w:rsidRPr="008A1FE3" w14:paraId="2C0B2B14" w14:textId="77777777" w:rsidTr="00B11C26">
        <w:trPr>
          <w:jc w:val="center"/>
        </w:trPr>
        <w:tc>
          <w:tcPr>
            <w:cnfStyle w:val="001000000000" w:firstRow="0" w:lastRow="0" w:firstColumn="1" w:lastColumn="0" w:oddVBand="0" w:evenVBand="0" w:oddHBand="0" w:evenHBand="0" w:firstRowFirstColumn="0" w:firstRowLastColumn="0" w:lastRowFirstColumn="0" w:lastRowLastColumn="0"/>
            <w:tcW w:w="296" w:type="pct"/>
            <w:hideMark/>
          </w:tcPr>
          <w:p w14:paraId="010829AF" w14:textId="77777777" w:rsidR="003D5051" w:rsidRPr="008A1FE3" w:rsidRDefault="003D5051" w:rsidP="00B11C26">
            <w:pPr>
              <w:tabs>
                <w:tab w:val="left" w:pos="1134"/>
              </w:tabs>
              <w:jc w:val="center"/>
              <w:rPr>
                <w:sz w:val="20"/>
                <w:szCs w:val="20"/>
              </w:rPr>
            </w:pPr>
            <w:r w:rsidRPr="008A1FE3">
              <w:rPr>
                <w:sz w:val="20"/>
                <w:szCs w:val="20"/>
              </w:rPr>
              <w:t>2.4</w:t>
            </w:r>
          </w:p>
        </w:tc>
        <w:tc>
          <w:tcPr>
            <w:tcW w:w="2391" w:type="pct"/>
            <w:hideMark/>
          </w:tcPr>
          <w:p w14:paraId="3133D054" w14:textId="565A05A3" w:rsidR="003D5051" w:rsidRPr="008A1FE3" w:rsidRDefault="003D5051" w:rsidP="00B11C26">
            <w:pPr>
              <w:tabs>
                <w:tab w:val="left" w:pos="1134"/>
              </w:tabs>
              <w:jc w:val="left"/>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 xml:space="preserve">Область ВЛ 6-10 кВ; деревянные опоры; провод - изолированный, </w:t>
            </w:r>
            <w:r w:rsidR="00164398" w:rsidRPr="008A1FE3">
              <w:rPr>
                <w:sz w:val="20"/>
                <w:szCs w:val="20"/>
              </w:rPr>
              <w:t>сталеалюминевый</w:t>
            </w:r>
            <w:r w:rsidRPr="008A1FE3">
              <w:rPr>
                <w:sz w:val="20"/>
                <w:szCs w:val="20"/>
              </w:rPr>
              <w:t>, сечением до 50 мм2</w:t>
            </w:r>
          </w:p>
        </w:tc>
        <w:tc>
          <w:tcPr>
            <w:tcW w:w="822" w:type="pct"/>
            <w:hideMark/>
          </w:tcPr>
          <w:p w14:paraId="2BCBF15F" w14:textId="77777777" w:rsidR="003D5051" w:rsidRPr="008A1FE3" w:rsidRDefault="003D5051" w:rsidP="00B11C26">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2 258 500,00</w:t>
            </w:r>
          </w:p>
        </w:tc>
        <w:tc>
          <w:tcPr>
            <w:tcW w:w="747" w:type="pct"/>
            <w:hideMark/>
          </w:tcPr>
          <w:p w14:paraId="49F79A19" w14:textId="77777777" w:rsidR="003D5051" w:rsidRPr="008A1FE3" w:rsidRDefault="003D5051" w:rsidP="00B11C26">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1,54</w:t>
            </w:r>
          </w:p>
        </w:tc>
        <w:tc>
          <w:tcPr>
            <w:tcW w:w="744" w:type="pct"/>
            <w:hideMark/>
          </w:tcPr>
          <w:p w14:paraId="3ADF8557" w14:textId="77777777" w:rsidR="003D5051" w:rsidRPr="008A1FE3" w:rsidRDefault="003D5051" w:rsidP="00B11C26">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3 487,1</w:t>
            </w:r>
          </w:p>
        </w:tc>
      </w:tr>
      <w:tr w:rsidR="00B11C26" w:rsidRPr="008A1FE3" w14:paraId="119FF413" w14:textId="77777777" w:rsidTr="00B11C26">
        <w:trPr>
          <w:jc w:val="center"/>
        </w:trPr>
        <w:tc>
          <w:tcPr>
            <w:cnfStyle w:val="001000000000" w:firstRow="0" w:lastRow="0" w:firstColumn="1" w:lastColumn="0" w:oddVBand="0" w:evenVBand="0" w:oddHBand="0" w:evenHBand="0" w:firstRowFirstColumn="0" w:firstRowLastColumn="0" w:lastRowFirstColumn="0" w:lastRowLastColumn="0"/>
            <w:tcW w:w="296" w:type="pct"/>
            <w:hideMark/>
          </w:tcPr>
          <w:p w14:paraId="43807B40" w14:textId="77777777" w:rsidR="003D5051" w:rsidRPr="008A1FE3" w:rsidRDefault="003D5051" w:rsidP="00B11C26">
            <w:pPr>
              <w:tabs>
                <w:tab w:val="left" w:pos="1134"/>
              </w:tabs>
              <w:jc w:val="center"/>
              <w:rPr>
                <w:sz w:val="20"/>
                <w:szCs w:val="20"/>
              </w:rPr>
            </w:pPr>
            <w:r w:rsidRPr="008A1FE3">
              <w:rPr>
                <w:sz w:val="20"/>
                <w:szCs w:val="20"/>
              </w:rPr>
              <w:t>2.5</w:t>
            </w:r>
          </w:p>
        </w:tc>
        <w:tc>
          <w:tcPr>
            <w:tcW w:w="2391" w:type="pct"/>
            <w:hideMark/>
          </w:tcPr>
          <w:p w14:paraId="3305300D" w14:textId="4DAEEDE9" w:rsidR="003D5051" w:rsidRPr="008A1FE3" w:rsidRDefault="003D5051" w:rsidP="00B11C26">
            <w:pPr>
              <w:tabs>
                <w:tab w:val="left" w:pos="1134"/>
              </w:tabs>
              <w:jc w:val="left"/>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 xml:space="preserve">Область ВЛ 6-10 кВ; деревянные опоры; провод - изолированный, </w:t>
            </w:r>
            <w:r w:rsidR="00164398" w:rsidRPr="008A1FE3">
              <w:rPr>
                <w:sz w:val="20"/>
                <w:szCs w:val="20"/>
              </w:rPr>
              <w:t>сталеалюминевый</w:t>
            </w:r>
            <w:r w:rsidRPr="008A1FE3">
              <w:rPr>
                <w:sz w:val="20"/>
                <w:szCs w:val="20"/>
              </w:rPr>
              <w:t>, сечением  от 50 до 100 мм2</w:t>
            </w:r>
          </w:p>
        </w:tc>
        <w:tc>
          <w:tcPr>
            <w:tcW w:w="822" w:type="pct"/>
            <w:hideMark/>
          </w:tcPr>
          <w:p w14:paraId="6911287B" w14:textId="77777777" w:rsidR="003D5051" w:rsidRPr="008A1FE3" w:rsidRDefault="003D5051" w:rsidP="00B11C26">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2 258 500,00</w:t>
            </w:r>
          </w:p>
        </w:tc>
        <w:tc>
          <w:tcPr>
            <w:tcW w:w="747" w:type="pct"/>
            <w:hideMark/>
          </w:tcPr>
          <w:p w14:paraId="524AD4A5" w14:textId="77777777" w:rsidR="003D5051" w:rsidRPr="008A1FE3" w:rsidRDefault="003D5051" w:rsidP="00B11C26">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36,95</w:t>
            </w:r>
          </w:p>
        </w:tc>
        <w:tc>
          <w:tcPr>
            <w:tcW w:w="744" w:type="pct"/>
            <w:hideMark/>
          </w:tcPr>
          <w:p w14:paraId="1BCC8F3E" w14:textId="77777777" w:rsidR="003D5051" w:rsidRPr="008A1FE3" w:rsidRDefault="003D5051" w:rsidP="00B11C26">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83 447,1</w:t>
            </w:r>
          </w:p>
        </w:tc>
      </w:tr>
      <w:tr w:rsidR="00B11C26" w:rsidRPr="008A1FE3" w14:paraId="43945794" w14:textId="77777777" w:rsidTr="00B11C26">
        <w:trPr>
          <w:jc w:val="center"/>
        </w:trPr>
        <w:tc>
          <w:tcPr>
            <w:cnfStyle w:val="001000000000" w:firstRow="0" w:lastRow="0" w:firstColumn="1" w:lastColumn="0" w:oddVBand="0" w:evenVBand="0" w:oddHBand="0" w:evenHBand="0" w:firstRowFirstColumn="0" w:firstRowLastColumn="0" w:lastRowFirstColumn="0" w:lastRowLastColumn="0"/>
            <w:tcW w:w="296" w:type="pct"/>
            <w:hideMark/>
          </w:tcPr>
          <w:p w14:paraId="4063395F" w14:textId="77777777" w:rsidR="003D5051" w:rsidRPr="008A1FE3" w:rsidRDefault="003D5051" w:rsidP="00B11C26">
            <w:pPr>
              <w:tabs>
                <w:tab w:val="left" w:pos="1134"/>
              </w:tabs>
              <w:jc w:val="center"/>
              <w:rPr>
                <w:b/>
                <w:sz w:val="20"/>
                <w:szCs w:val="20"/>
              </w:rPr>
            </w:pPr>
            <w:r w:rsidRPr="008A1FE3">
              <w:rPr>
                <w:b/>
                <w:sz w:val="20"/>
                <w:szCs w:val="20"/>
              </w:rPr>
              <w:t>3</w:t>
            </w:r>
          </w:p>
        </w:tc>
        <w:tc>
          <w:tcPr>
            <w:tcW w:w="2391" w:type="pct"/>
            <w:hideMark/>
          </w:tcPr>
          <w:p w14:paraId="399CBB64" w14:textId="77777777" w:rsidR="003D5051" w:rsidRPr="008A1FE3" w:rsidRDefault="003D5051" w:rsidP="00B11C26">
            <w:pPr>
              <w:tabs>
                <w:tab w:val="left" w:pos="1134"/>
              </w:tabs>
              <w:jc w:val="left"/>
              <w:cnfStyle w:val="000000000000" w:firstRow="0" w:lastRow="0" w:firstColumn="0" w:lastColumn="0" w:oddVBand="0" w:evenVBand="0" w:oddHBand="0" w:evenHBand="0" w:firstRowFirstColumn="0" w:firstRowLastColumn="0" w:lastRowFirstColumn="0" w:lastRowLastColumn="0"/>
              <w:rPr>
                <w:b/>
                <w:sz w:val="20"/>
                <w:szCs w:val="20"/>
              </w:rPr>
            </w:pPr>
            <w:r w:rsidRPr="008A1FE3">
              <w:rPr>
                <w:b/>
                <w:sz w:val="20"/>
                <w:szCs w:val="20"/>
              </w:rPr>
              <w:t>Строительство кабельных линий</w:t>
            </w:r>
          </w:p>
        </w:tc>
        <w:tc>
          <w:tcPr>
            <w:tcW w:w="822" w:type="pct"/>
            <w:hideMark/>
          </w:tcPr>
          <w:p w14:paraId="4CCDC8EA" w14:textId="77777777" w:rsidR="003D5051" w:rsidRPr="008A1FE3" w:rsidRDefault="003D5051" w:rsidP="00B11C26">
            <w:pPr>
              <w:tabs>
                <w:tab w:val="left" w:pos="1134"/>
              </w:tabs>
              <w:cnfStyle w:val="000000000000" w:firstRow="0" w:lastRow="0" w:firstColumn="0" w:lastColumn="0" w:oddVBand="0" w:evenVBand="0" w:oddHBand="0" w:evenHBand="0" w:firstRowFirstColumn="0" w:firstRowLastColumn="0" w:lastRowFirstColumn="0" w:lastRowLastColumn="0"/>
              <w:rPr>
                <w:b/>
                <w:sz w:val="20"/>
                <w:szCs w:val="20"/>
              </w:rPr>
            </w:pPr>
            <w:r w:rsidRPr="008A1FE3">
              <w:rPr>
                <w:b/>
                <w:sz w:val="20"/>
                <w:szCs w:val="20"/>
              </w:rPr>
              <w:t> </w:t>
            </w:r>
          </w:p>
        </w:tc>
        <w:tc>
          <w:tcPr>
            <w:tcW w:w="747" w:type="pct"/>
            <w:hideMark/>
          </w:tcPr>
          <w:p w14:paraId="0DA18DD4" w14:textId="77777777" w:rsidR="003D5051" w:rsidRPr="008A1FE3" w:rsidRDefault="003D5051" w:rsidP="00B11C26">
            <w:pPr>
              <w:tabs>
                <w:tab w:val="left" w:pos="1134"/>
              </w:tabs>
              <w:cnfStyle w:val="000000000000" w:firstRow="0" w:lastRow="0" w:firstColumn="0" w:lastColumn="0" w:oddVBand="0" w:evenVBand="0" w:oddHBand="0" w:evenHBand="0" w:firstRowFirstColumn="0" w:firstRowLastColumn="0" w:lastRowFirstColumn="0" w:lastRowLastColumn="0"/>
              <w:rPr>
                <w:b/>
                <w:sz w:val="20"/>
                <w:szCs w:val="20"/>
              </w:rPr>
            </w:pPr>
            <w:r w:rsidRPr="008A1FE3">
              <w:rPr>
                <w:b/>
                <w:sz w:val="20"/>
                <w:szCs w:val="20"/>
              </w:rPr>
              <w:t>0,04</w:t>
            </w:r>
          </w:p>
        </w:tc>
        <w:tc>
          <w:tcPr>
            <w:tcW w:w="744" w:type="pct"/>
            <w:hideMark/>
          </w:tcPr>
          <w:p w14:paraId="09CAC92C" w14:textId="77777777" w:rsidR="003D5051" w:rsidRPr="008A1FE3" w:rsidRDefault="003D5051" w:rsidP="00B11C26">
            <w:pPr>
              <w:tabs>
                <w:tab w:val="left" w:pos="1134"/>
              </w:tabs>
              <w:cnfStyle w:val="000000000000" w:firstRow="0" w:lastRow="0" w:firstColumn="0" w:lastColumn="0" w:oddVBand="0" w:evenVBand="0" w:oddHBand="0" w:evenHBand="0" w:firstRowFirstColumn="0" w:firstRowLastColumn="0" w:lastRowFirstColumn="0" w:lastRowLastColumn="0"/>
              <w:rPr>
                <w:b/>
                <w:sz w:val="20"/>
                <w:szCs w:val="20"/>
              </w:rPr>
            </w:pPr>
            <w:r w:rsidRPr="008A1FE3">
              <w:rPr>
                <w:b/>
                <w:sz w:val="20"/>
                <w:szCs w:val="20"/>
              </w:rPr>
              <w:t>91,0</w:t>
            </w:r>
          </w:p>
        </w:tc>
      </w:tr>
      <w:tr w:rsidR="00B11C26" w:rsidRPr="008A1FE3" w14:paraId="48B01271" w14:textId="77777777" w:rsidTr="00B11C26">
        <w:trPr>
          <w:jc w:val="center"/>
        </w:trPr>
        <w:tc>
          <w:tcPr>
            <w:cnfStyle w:val="001000000000" w:firstRow="0" w:lastRow="0" w:firstColumn="1" w:lastColumn="0" w:oddVBand="0" w:evenVBand="0" w:oddHBand="0" w:evenHBand="0" w:firstRowFirstColumn="0" w:firstRowLastColumn="0" w:lastRowFirstColumn="0" w:lastRowLastColumn="0"/>
            <w:tcW w:w="296" w:type="pct"/>
            <w:hideMark/>
          </w:tcPr>
          <w:p w14:paraId="2CF0A441" w14:textId="77777777" w:rsidR="003D5051" w:rsidRPr="008A1FE3" w:rsidRDefault="003D5051" w:rsidP="00B11C26">
            <w:pPr>
              <w:tabs>
                <w:tab w:val="left" w:pos="1134"/>
              </w:tabs>
              <w:jc w:val="center"/>
              <w:rPr>
                <w:sz w:val="20"/>
                <w:szCs w:val="20"/>
              </w:rPr>
            </w:pPr>
            <w:r w:rsidRPr="008A1FE3">
              <w:rPr>
                <w:sz w:val="20"/>
                <w:szCs w:val="20"/>
              </w:rPr>
              <w:t>3.1.</w:t>
            </w:r>
          </w:p>
        </w:tc>
        <w:tc>
          <w:tcPr>
            <w:tcW w:w="2391" w:type="pct"/>
            <w:hideMark/>
          </w:tcPr>
          <w:p w14:paraId="26DA2323" w14:textId="77777777" w:rsidR="003D5051" w:rsidRPr="008A1FE3" w:rsidRDefault="003D5051" w:rsidP="00B11C26">
            <w:pPr>
              <w:tabs>
                <w:tab w:val="left" w:pos="1134"/>
              </w:tabs>
              <w:jc w:val="left"/>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Город КЛ 0,4 кВ, способ прокладки - в траншеях, многожильные, с резиновой и пластмассовой изоляцией, от 100 до 200 кв. мм включительно</w:t>
            </w:r>
          </w:p>
        </w:tc>
        <w:tc>
          <w:tcPr>
            <w:tcW w:w="822" w:type="pct"/>
            <w:hideMark/>
          </w:tcPr>
          <w:p w14:paraId="1982C12C" w14:textId="77777777" w:rsidR="003D5051" w:rsidRPr="008A1FE3" w:rsidRDefault="003D5051" w:rsidP="00B11C26">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2 393 639,00</w:t>
            </w:r>
          </w:p>
        </w:tc>
        <w:tc>
          <w:tcPr>
            <w:tcW w:w="747" w:type="pct"/>
            <w:hideMark/>
          </w:tcPr>
          <w:p w14:paraId="48396517" w14:textId="77777777" w:rsidR="003D5051" w:rsidRPr="008A1FE3" w:rsidRDefault="003D5051" w:rsidP="00B11C26">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0,04</w:t>
            </w:r>
          </w:p>
        </w:tc>
        <w:tc>
          <w:tcPr>
            <w:tcW w:w="744" w:type="pct"/>
            <w:hideMark/>
          </w:tcPr>
          <w:p w14:paraId="5CE7EE5B" w14:textId="77777777" w:rsidR="003D5051" w:rsidRPr="008A1FE3" w:rsidRDefault="003D5051" w:rsidP="00B11C26">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91,0</w:t>
            </w:r>
          </w:p>
        </w:tc>
      </w:tr>
      <w:tr w:rsidR="00B11C26" w:rsidRPr="008A1FE3" w14:paraId="1CFAA1BC" w14:textId="77777777" w:rsidTr="00B11C26">
        <w:trPr>
          <w:jc w:val="center"/>
        </w:trPr>
        <w:tc>
          <w:tcPr>
            <w:cnfStyle w:val="001000000000" w:firstRow="0" w:lastRow="0" w:firstColumn="1" w:lastColumn="0" w:oddVBand="0" w:evenVBand="0" w:oddHBand="0" w:evenHBand="0" w:firstRowFirstColumn="0" w:firstRowLastColumn="0" w:lastRowFirstColumn="0" w:lastRowLastColumn="0"/>
            <w:tcW w:w="296" w:type="pct"/>
            <w:hideMark/>
          </w:tcPr>
          <w:p w14:paraId="25C05CC8" w14:textId="77777777" w:rsidR="003D5051" w:rsidRPr="008A1FE3" w:rsidRDefault="003D5051" w:rsidP="00B11C26">
            <w:pPr>
              <w:tabs>
                <w:tab w:val="left" w:pos="1134"/>
              </w:tabs>
              <w:jc w:val="center"/>
              <w:rPr>
                <w:b/>
                <w:sz w:val="20"/>
                <w:szCs w:val="20"/>
              </w:rPr>
            </w:pPr>
            <w:r w:rsidRPr="008A1FE3">
              <w:rPr>
                <w:b/>
                <w:sz w:val="20"/>
                <w:szCs w:val="20"/>
              </w:rPr>
              <w:t>4.</w:t>
            </w:r>
          </w:p>
        </w:tc>
        <w:tc>
          <w:tcPr>
            <w:tcW w:w="2391" w:type="pct"/>
            <w:hideMark/>
          </w:tcPr>
          <w:p w14:paraId="5FB4356D" w14:textId="77777777" w:rsidR="003D5051" w:rsidRPr="008A1FE3" w:rsidRDefault="003D5051" w:rsidP="00B11C26">
            <w:pPr>
              <w:tabs>
                <w:tab w:val="left" w:pos="1134"/>
              </w:tabs>
              <w:jc w:val="left"/>
              <w:cnfStyle w:val="000000000000" w:firstRow="0" w:lastRow="0" w:firstColumn="0" w:lastColumn="0" w:oddVBand="0" w:evenVBand="0" w:oddHBand="0" w:evenHBand="0" w:firstRowFirstColumn="0" w:firstRowLastColumn="0" w:lastRowFirstColumn="0" w:lastRowLastColumn="0"/>
              <w:rPr>
                <w:b/>
                <w:sz w:val="20"/>
                <w:szCs w:val="20"/>
              </w:rPr>
            </w:pPr>
            <w:r w:rsidRPr="008A1FE3">
              <w:rPr>
                <w:b/>
                <w:sz w:val="20"/>
                <w:szCs w:val="20"/>
              </w:rPr>
              <w:t>Строительство пунктов секционирования</w:t>
            </w:r>
          </w:p>
        </w:tc>
        <w:tc>
          <w:tcPr>
            <w:tcW w:w="822" w:type="pct"/>
            <w:hideMark/>
          </w:tcPr>
          <w:p w14:paraId="1F728F76" w14:textId="77777777" w:rsidR="003D5051" w:rsidRPr="008A1FE3" w:rsidRDefault="003D5051" w:rsidP="00B11C26">
            <w:pPr>
              <w:tabs>
                <w:tab w:val="left" w:pos="1134"/>
              </w:tabs>
              <w:cnfStyle w:val="000000000000" w:firstRow="0" w:lastRow="0" w:firstColumn="0" w:lastColumn="0" w:oddVBand="0" w:evenVBand="0" w:oddHBand="0" w:evenHBand="0" w:firstRowFirstColumn="0" w:firstRowLastColumn="0" w:lastRowFirstColumn="0" w:lastRowLastColumn="0"/>
              <w:rPr>
                <w:b/>
                <w:sz w:val="20"/>
                <w:szCs w:val="20"/>
              </w:rPr>
            </w:pPr>
            <w:r w:rsidRPr="008A1FE3">
              <w:rPr>
                <w:b/>
                <w:sz w:val="20"/>
                <w:szCs w:val="20"/>
              </w:rPr>
              <w:t> </w:t>
            </w:r>
          </w:p>
        </w:tc>
        <w:tc>
          <w:tcPr>
            <w:tcW w:w="747" w:type="pct"/>
            <w:hideMark/>
          </w:tcPr>
          <w:p w14:paraId="08F654D2" w14:textId="77777777" w:rsidR="003D5051" w:rsidRPr="008A1FE3" w:rsidRDefault="003D5051" w:rsidP="00B11C26">
            <w:pPr>
              <w:tabs>
                <w:tab w:val="left" w:pos="1134"/>
              </w:tabs>
              <w:cnfStyle w:val="000000000000" w:firstRow="0" w:lastRow="0" w:firstColumn="0" w:lastColumn="0" w:oddVBand="0" w:evenVBand="0" w:oddHBand="0" w:evenHBand="0" w:firstRowFirstColumn="0" w:firstRowLastColumn="0" w:lastRowFirstColumn="0" w:lastRowLastColumn="0"/>
              <w:rPr>
                <w:b/>
                <w:sz w:val="20"/>
                <w:szCs w:val="20"/>
              </w:rPr>
            </w:pPr>
            <w:r w:rsidRPr="008A1FE3">
              <w:rPr>
                <w:b/>
                <w:sz w:val="20"/>
                <w:szCs w:val="20"/>
              </w:rPr>
              <w:t>35,0</w:t>
            </w:r>
          </w:p>
        </w:tc>
        <w:tc>
          <w:tcPr>
            <w:tcW w:w="744" w:type="pct"/>
            <w:hideMark/>
          </w:tcPr>
          <w:p w14:paraId="6D20C38B" w14:textId="77777777" w:rsidR="003D5051" w:rsidRPr="008A1FE3" w:rsidRDefault="003D5051" w:rsidP="00B11C26">
            <w:pPr>
              <w:tabs>
                <w:tab w:val="left" w:pos="1134"/>
              </w:tabs>
              <w:cnfStyle w:val="000000000000" w:firstRow="0" w:lastRow="0" w:firstColumn="0" w:lastColumn="0" w:oddVBand="0" w:evenVBand="0" w:oddHBand="0" w:evenHBand="0" w:firstRowFirstColumn="0" w:firstRowLastColumn="0" w:lastRowFirstColumn="0" w:lastRowLastColumn="0"/>
              <w:rPr>
                <w:b/>
                <w:sz w:val="20"/>
                <w:szCs w:val="20"/>
              </w:rPr>
            </w:pPr>
            <w:r w:rsidRPr="008A1FE3">
              <w:rPr>
                <w:b/>
                <w:sz w:val="20"/>
                <w:szCs w:val="20"/>
              </w:rPr>
              <w:t>313,0</w:t>
            </w:r>
          </w:p>
        </w:tc>
      </w:tr>
      <w:tr w:rsidR="00B11C26" w:rsidRPr="008A1FE3" w14:paraId="111957E4" w14:textId="77777777" w:rsidTr="00B11C26">
        <w:trPr>
          <w:jc w:val="center"/>
        </w:trPr>
        <w:tc>
          <w:tcPr>
            <w:cnfStyle w:val="001000000000" w:firstRow="0" w:lastRow="0" w:firstColumn="1" w:lastColumn="0" w:oddVBand="0" w:evenVBand="0" w:oddHBand="0" w:evenHBand="0" w:firstRowFirstColumn="0" w:firstRowLastColumn="0" w:lastRowFirstColumn="0" w:lastRowLastColumn="0"/>
            <w:tcW w:w="296" w:type="pct"/>
            <w:hideMark/>
          </w:tcPr>
          <w:p w14:paraId="561B750C" w14:textId="77777777" w:rsidR="003D5051" w:rsidRPr="008A1FE3" w:rsidRDefault="003D5051" w:rsidP="00B11C26">
            <w:pPr>
              <w:tabs>
                <w:tab w:val="left" w:pos="1134"/>
              </w:tabs>
              <w:jc w:val="center"/>
              <w:rPr>
                <w:sz w:val="20"/>
                <w:szCs w:val="20"/>
              </w:rPr>
            </w:pPr>
            <w:r w:rsidRPr="008A1FE3">
              <w:rPr>
                <w:sz w:val="20"/>
                <w:szCs w:val="20"/>
              </w:rPr>
              <w:t>4.1.</w:t>
            </w:r>
          </w:p>
        </w:tc>
        <w:tc>
          <w:tcPr>
            <w:tcW w:w="2391" w:type="pct"/>
            <w:hideMark/>
          </w:tcPr>
          <w:p w14:paraId="76663FB2" w14:textId="77777777" w:rsidR="003D5051" w:rsidRPr="008A1FE3" w:rsidRDefault="003D5051" w:rsidP="00B11C26">
            <w:pPr>
              <w:tabs>
                <w:tab w:val="left" w:pos="1134"/>
              </w:tabs>
              <w:jc w:val="left"/>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Город Номинальный ток  от 500 А до 1 000 А включительно (k = 4)</w:t>
            </w:r>
          </w:p>
        </w:tc>
        <w:tc>
          <w:tcPr>
            <w:tcW w:w="822" w:type="pct"/>
            <w:hideMark/>
          </w:tcPr>
          <w:p w14:paraId="4BA696E9" w14:textId="77777777" w:rsidR="003D5051" w:rsidRPr="008A1FE3" w:rsidRDefault="003D5051" w:rsidP="00B11C26">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313 002,30</w:t>
            </w:r>
          </w:p>
        </w:tc>
        <w:tc>
          <w:tcPr>
            <w:tcW w:w="747" w:type="pct"/>
            <w:hideMark/>
          </w:tcPr>
          <w:p w14:paraId="50F83D3D" w14:textId="77777777" w:rsidR="003D5051" w:rsidRPr="008A1FE3" w:rsidRDefault="003D5051" w:rsidP="00B11C26">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35,0</w:t>
            </w:r>
          </w:p>
        </w:tc>
        <w:tc>
          <w:tcPr>
            <w:tcW w:w="744" w:type="pct"/>
            <w:hideMark/>
          </w:tcPr>
          <w:p w14:paraId="5E5229C5" w14:textId="77777777" w:rsidR="003D5051" w:rsidRPr="008A1FE3" w:rsidRDefault="003D5051" w:rsidP="00B11C26">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313,0</w:t>
            </w:r>
          </w:p>
        </w:tc>
      </w:tr>
      <w:tr w:rsidR="00B11C26" w:rsidRPr="008A1FE3" w14:paraId="49FA5EB6" w14:textId="77777777" w:rsidTr="00B11C26">
        <w:trPr>
          <w:jc w:val="center"/>
        </w:trPr>
        <w:tc>
          <w:tcPr>
            <w:cnfStyle w:val="001000000000" w:firstRow="0" w:lastRow="0" w:firstColumn="1" w:lastColumn="0" w:oddVBand="0" w:evenVBand="0" w:oddHBand="0" w:evenHBand="0" w:firstRowFirstColumn="0" w:firstRowLastColumn="0" w:lastRowFirstColumn="0" w:lastRowLastColumn="0"/>
            <w:tcW w:w="296" w:type="pct"/>
            <w:hideMark/>
          </w:tcPr>
          <w:p w14:paraId="144D79D5" w14:textId="77777777" w:rsidR="003D5051" w:rsidRPr="008A1FE3" w:rsidRDefault="003D5051" w:rsidP="00B11C26">
            <w:pPr>
              <w:tabs>
                <w:tab w:val="left" w:pos="1134"/>
              </w:tabs>
              <w:jc w:val="center"/>
              <w:rPr>
                <w:b/>
                <w:sz w:val="20"/>
                <w:szCs w:val="20"/>
              </w:rPr>
            </w:pPr>
            <w:r w:rsidRPr="008A1FE3">
              <w:rPr>
                <w:b/>
                <w:sz w:val="20"/>
                <w:szCs w:val="20"/>
              </w:rPr>
              <w:t>5.</w:t>
            </w:r>
          </w:p>
        </w:tc>
        <w:tc>
          <w:tcPr>
            <w:tcW w:w="2391" w:type="pct"/>
            <w:hideMark/>
          </w:tcPr>
          <w:p w14:paraId="7B479619" w14:textId="77777777" w:rsidR="003D5051" w:rsidRPr="008A1FE3" w:rsidRDefault="003D5051" w:rsidP="00B11C26">
            <w:pPr>
              <w:tabs>
                <w:tab w:val="left" w:pos="1134"/>
              </w:tabs>
              <w:jc w:val="left"/>
              <w:cnfStyle w:val="000000000000" w:firstRow="0" w:lastRow="0" w:firstColumn="0" w:lastColumn="0" w:oddVBand="0" w:evenVBand="0" w:oddHBand="0" w:evenHBand="0" w:firstRowFirstColumn="0" w:firstRowLastColumn="0" w:lastRowFirstColumn="0" w:lastRowLastColumn="0"/>
              <w:rPr>
                <w:b/>
                <w:sz w:val="20"/>
                <w:szCs w:val="20"/>
              </w:rPr>
            </w:pPr>
            <w:r w:rsidRPr="008A1FE3">
              <w:rPr>
                <w:b/>
                <w:sz w:val="20"/>
                <w:szCs w:val="20"/>
              </w:rPr>
              <w:t>Строительство трансформаторных подстанций (ТП), за исключением распределительных трансформаторных подстанций (РТП), с уровнем напряжения до 35 кВ</w:t>
            </w:r>
          </w:p>
        </w:tc>
        <w:tc>
          <w:tcPr>
            <w:tcW w:w="822" w:type="pct"/>
            <w:hideMark/>
          </w:tcPr>
          <w:p w14:paraId="0456465B" w14:textId="77777777" w:rsidR="003D5051" w:rsidRPr="008A1FE3" w:rsidRDefault="003D5051" w:rsidP="00B11C26">
            <w:pPr>
              <w:tabs>
                <w:tab w:val="left" w:pos="1134"/>
              </w:tabs>
              <w:cnfStyle w:val="000000000000" w:firstRow="0" w:lastRow="0" w:firstColumn="0" w:lastColumn="0" w:oddVBand="0" w:evenVBand="0" w:oddHBand="0" w:evenHBand="0" w:firstRowFirstColumn="0" w:firstRowLastColumn="0" w:lastRowFirstColumn="0" w:lastRowLastColumn="0"/>
              <w:rPr>
                <w:b/>
                <w:sz w:val="20"/>
                <w:szCs w:val="20"/>
              </w:rPr>
            </w:pPr>
            <w:r w:rsidRPr="008A1FE3">
              <w:rPr>
                <w:b/>
                <w:sz w:val="20"/>
                <w:szCs w:val="20"/>
              </w:rPr>
              <w:t> </w:t>
            </w:r>
          </w:p>
        </w:tc>
        <w:tc>
          <w:tcPr>
            <w:tcW w:w="747" w:type="pct"/>
            <w:hideMark/>
          </w:tcPr>
          <w:p w14:paraId="7CD5BB8A" w14:textId="77777777" w:rsidR="003D5051" w:rsidRPr="008A1FE3" w:rsidRDefault="003D5051" w:rsidP="00B11C26">
            <w:pPr>
              <w:tabs>
                <w:tab w:val="left" w:pos="1134"/>
              </w:tabs>
              <w:cnfStyle w:val="000000000000" w:firstRow="0" w:lastRow="0" w:firstColumn="0" w:lastColumn="0" w:oddVBand="0" w:evenVBand="0" w:oddHBand="0" w:evenHBand="0" w:firstRowFirstColumn="0" w:firstRowLastColumn="0" w:lastRowFirstColumn="0" w:lastRowLastColumn="0"/>
              <w:rPr>
                <w:b/>
                <w:sz w:val="20"/>
                <w:szCs w:val="20"/>
              </w:rPr>
            </w:pPr>
            <w:r w:rsidRPr="008A1FE3">
              <w:rPr>
                <w:b/>
                <w:sz w:val="20"/>
                <w:szCs w:val="20"/>
              </w:rPr>
              <w:t>1 167,83</w:t>
            </w:r>
          </w:p>
        </w:tc>
        <w:tc>
          <w:tcPr>
            <w:tcW w:w="744" w:type="pct"/>
            <w:hideMark/>
          </w:tcPr>
          <w:p w14:paraId="2E889CF6" w14:textId="77777777" w:rsidR="003D5051" w:rsidRPr="008A1FE3" w:rsidRDefault="003D5051" w:rsidP="00B11C26">
            <w:pPr>
              <w:tabs>
                <w:tab w:val="left" w:pos="1134"/>
              </w:tabs>
              <w:cnfStyle w:val="000000000000" w:firstRow="0" w:lastRow="0" w:firstColumn="0" w:lastColumn="0" w:oddVBand="0" w:evenVBand="0" w:oddHBand="0" w:evenHBand="0" w:firstRowFirstColumn="0" w:firstRowLastColumn="0" w:lastRowFirstColumn="0" w:lastRowLastColumn="0"/>
              <w:rPr>
                <w:b/>
                <w:sz w:val="20"/>
                <w:szCs w:val="20"/>
              </w:rPr>
            </w:pPr>
            <w:r w:rsidRPr="008A1FE3">
              <w:rPr>
                <w:b/>
                <w:sz w:val="20"/>
                <w:szCs w:val="20"/>
              </w:rPr>
              <w:t>8 523,6</w:t>
            </w:r>
          </w:p>
        </w:tc>
      </w:tr>
      <w:tr w:rsidR="00B11C26" w:rsidRPr="008A1FE3" w14:paraId="438DBF27" w14:textId="77777777" w:rsidTr="00B11C26">
        <w:trPr>
          <w:jc w:val="center"/>
        </w:trPr>
        <w:tc>
          <w:tcPr>
            <w:cnfStyle w:val="001000000000" w:firstRow="0" w:lastRow="0" w:firstColumn="1" w:lastColumn="0" w:oddVBand="0" w:evenVBand="0" w:oddHBand="0" w:evenHBand="0" w:firstRowFirstColumn="0" w:firstRowLastColumn="0" w:lastRowFirstColumn="0" w:lastRowLastColumn="0"/>
            <w:tcW w:w="296" w:type="pct"/>
            <w:hideMark/>
          </w:tcPr>
          <w:p w14:paraId="251041B0" w14:textId="77777777" w:rsidR="003D5051" w:rsidRPr="008A1FE3" w:rsidRDefault="003D5051" w:rsidP="00B11C26">
            <w:pPr>
              <w:tabs>
                <w:tab w:val="left" w:pos="1134"/>
              </w:tabs>
              <w:jc w:val="center"/>
              <w:rPr>
                <w:sz w:val="20"/>
                <w:szCs w:val="20"/>
              </w:rPr>
            </w:pPr>
            <w:r w:rsidRPr="008A1FE3">
              <w:rPr>
                <w:sz w:val="20"/>
                <w:szCs w:val="20"/>
              </w:rPr>
              <w:t>5.1.</w:t>
            </w:r>
          </w:p>
        </w:tc>
        <w:tc>
          <w:tcPr>
            <w:tcW w:w="2391" w:type="pct"/>
            <w:hideMark/>
          </w:tcPr>
          <w:p w14:paraId="7BB4C10B" w14:textId="77777777" w:rsidR="003D5051" w:rsidRPr="008A1FE3" w:rsidRDefault="003D5051" w:rsidP="00B11C26">
            <w:pPr>
              <w:tabs>
                <w:tab w:val="left" w:pos="1134"/>
              </w:tabs>
              <w:jc w:val="left"/>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Город Однотрансформаторные Трансформаторная мощность до 25 кВА включительно</w:t>
            </w:r>
          </w:p>
        </w:tc>
        <w:tc>
          <w:tcPr>
            <w:tcW w:w="822" w:type="pct"/>
            <w:hideMark/>
          </w:tcPr>
          <w:p w14:paraId="605EC778" w14:textId="77777777" w:rsidR="003D5051" w:rsidRPr="008A1FE3" w:rsidRDefault="003D5051" w:rsidP="00B11C26">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38 012,00</w:t>
            </w:r>
          </w:p>
        </w:tc>
        <w:tc>
          <w:tcPr>
            <w:tcW w:w="747" w:type="pct"/>
            <w:hideMark/>
          </w:tcPr>
          <w:p w14:paraId="2F1725D4" w14:textId="77777777" w:rsidR="003D5051" w:rsidRPr="008A1FE3" w:rsidRDefault="003D5051" w:rsidP="00B11C26">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2,67</w:t>
            </w:r>
          </w:p>
        </w:tc>
        <w:tc>
          <w:tcPr>
            <w:tcW w:w="744" w:type="pct"/>
            <w:hideMark/>
          </w:tcPr>
          <w:p w14:paraId="26130AB0" w14:textId="77777777" w:rsidR="003D5051" w:rsidRPr="008A1FE3" w:rsidRDefault="003D5051" w:rsidP="00B11C26">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101,4</w:t>
            </w:r>
          </w:p>
        </w:tc>
      </w:tr>
      <w:tr w:rsidR="00B11C26" w:rsidRPr="008A1FE3" w14:paraId="7D38479B" w14:textId="77777777" w:rsidTr="00B11C26">
        <w:trPr>
          <w:jc w:val="center"/>
        </w:trPr>
        <w:tc>
          <w:tcPr>
            <w:cnfStyle w:val="001000000000" w:firstRow="0" w:lastRow="0" w:firstColumn="1" w:lastColumn="0" w:oddVBand="0" w:evenVBand="0" w:oddHBand="0" w:evenHBand="0" w:firstRowFirstColumn="0" w:firstRowLastColumn="0" w:lastRowFirstColumn="0" w:lastRowLastColumn="0"/>
            <w:tcW w:w="296" w:type="pct"/>
            <w:hideMark/>
          </w:tcPr>
          <w:p w14:paraId="2FEB245E" w14:textId="77777777" w:rsidR="003D5051" w:rsidRPr="008A1FE3" w:rsidRDefault="003D5051" w:rsidP="00B11C26">
            <w:pPr>
              <w:tabs>
                <w:tab w:val="left" w:pos="1134"/>
              </w:tabs>
              <w:jc w:val="center"/>
              <w:rPr>
                <w:sz w:val="20"/>
                <w:szCs w:val="20"/>
              </w:rPr>
            </w:pPr>
            <w:r w:rsidRPr="008A1FE3">
              <w:rPr>
                <w:sz w:val="20"/>
                <w:szCs w:val="20"/>
              </w:rPr>
              <w:t>5.2</w:t>
            </w:r>
          </w:p>
        </w:tc>
        <w:tc>
          <w:tcPr>
            <w:tcW w:w="2391" w:type="pct"/>
            <w:hideMark/>
          </w:tcPr>
          <w:p w14:paraId="6ADF04E2" w14:textId="77777777" w:rsidR="003D5051" w:rsidRPr="008A1FE3" w:rsidRDefault="003D5051" w:rsidP="00B11C26">
            <w:pPr>
              <w:tabs>
                <w:tab w:val="left" w:pos="1134"/>
              </w:tabs>
              <w:jc w:val="left"/>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 xml:space="preserve">Область Однотрансформаторные Трансформаторная мощность от 25 до 100 кВА включительно  </w:t>
            </w:r>
          </w:p>
        </w:tc>
        <w:tc>
          <w:tcPr>
            <w:tcW w:w="822" w:type="pct"/>
            <w:hideMark/>
          </w:tcPr>
          <w:p w14:paraId="08CB5109" w14:textId="77777777" w:rsidR="003D5051" w:rsidRPr="008A1FE3" w:rsidRDefault="003D5051" w:rsidP="00B11C26">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17 357,00</w:t>
            </w:r>
          </w:p>
        </w:tc>
        <w:tc>
          <w:tcPr>
            <w:tcW w:w="747" w:type="pct"/>
            <w:hideMark/>
          </w:tcPr>
          <w:p w14:paraId="7AF06E5A" w14:textId="77777777" w:rsidR="003D5051" w:rsidRPr="008A1FE3" w:rsidRDefault="003D5051" w:rsidP="00B11C26">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26,83</w:t>
            </w:r>
          </w:p>
        </w:tc>
        <w:tc>
          <w:tcPr>
            <w:tcW w:w="744" w:type="pct"/>
            <w:hideMark/>
          </w:tcPr>
          <w:p w14:paraId="74C679B7" w14:textId="77777777" w:rsidR="003D5051" w:rsidRPr="008A1FE3" w:rsidRDefault="003D5051" w:rsidP="00B11C26">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465,7</w:t>
            </w:r>
          </w:p>
        </w:tc>
      </w:tr>
      <w:tr w:rsidR="00B11C26" w:rsidRPr="008A1FE3" w14:paraId="6BC1B6E0" w14:textId="77777777" w:rsidTr="00B11C26">
        <w:trPr>
          <w:jc w:val="center"/>
        </w:trPr>
        <w:tc>
          <w:tcPr>
            <w:cnfStyle w:val="001000000000" w:firstRow="0" w:lastRow="0" w:firstColumn="1" w:lastColumn="0" w:oddVBand="0" w:evenVBand="0" w:oddHBand="0" w:evenHBand="0" w:firstRowFirstColumn="0" w:firstRowLastColumn="0" w:lastRowFirstColumn="0" w:lastRowLastColumn="0"/>
            <w:tcW w:w="296" w:type="pct"/>
            <w:hideMark/>
          </w:tcPr>
          <w:p w14:paraId="731FF553" w14:textId="77777777" w:rsidR="003D5051" w:rsidRPr="008A1FE3" w:rsidRDefault="003D5051" w:rsidP="00B11C26">
            <w:pPr>
              <w:tabs>
                <w:tab w:val="left" w:pos="1134"/>
              </w:tabs>
              <w:jc w:val="center"/>
              <w:rPr>
                <w:sz w:val="20"/>
                <w:szCs w:val="20"/>
              </w:rPr>
            </w:pPr>
            <w:r w:rsidRPr="008A1FE3">
              <w:rPr>
                <w:sz w:val="20"/>
                <w:szCs w:val="20"/>
              </w:rPr>
              <w:lastRenderedPageBreak/>
              <w:t>5.3</w:t>
            </w:r>
          </w:p>
        </w:tc>
        <w:tc>
          <w:tcPr>
            <w:tcW w:w="2391" w:type="pct"/>
            <w:hideMark/>
          </w:tcPr>
          <w:p w14:paraId="2C136046" w14:textId="77777777" w:rsidR="003D5051" w:rsidRPr="008A1FE3" w:rsidRDefault="003D5051" w:rsidP="00B11C26">
            <w:pPr>
              <w:tabs>
                <w:tab w:val="left" w:pos="1134"/>
              </w:tabs>
              <w:jc w:val="left"/>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Область Однотрансформаторные Трансформаторная мощность от 100 до 250 кВА включительно</w:t>
            </w:r>
          </w:p>
        </w:tc>
        <w:tc>
          <w:tcPr>
            <w:tcW w:w="822" w:type="pct"/>
            <w:hideMark/>
          </w:tcPr>
          <w:p w14:paraId="7E611F4A" w14:textId="77777777" w:rsidR="003D5051" w:rsidRPr="008A1FE3" w:rsidRDefault="003D5051" w:rsidP="00B11C26">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15 197,00</w:t>
            </w:r>
          </w:p>
        </w:tc>
        <w:tc>
          <w:tcPr>
            <w:tcW w:w="747" w:type="pct"/>
            <w:hideMark/>
          </w:tcPr>
          <w:p w14:paraId="6EFA4D1F" w14:textId="77777777" w:rsidR="003D5051" w:rsidRPr="008A1FE3" w:rsidRDefault="003D5051" w:rsidP="00B11C26">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210,00</w:t>
            </w:r>
          </w:p>
        </w:tc>
        <w:tc>
          <w:tcPr>
            <w:tcW w:w="744" w:type="pct"/>
            <w:hideMark/>
          </w:tcPr>
          <w:p w14:paraId="136D8631" w14:textId="77777777" w:rsidR="003D5051" w:rsidRPr="008A1FE3" w:rsidRDefault="003D5051" w:rsidP="00B11C26">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3 191,4</w:t>
            </w:r>
          </w:p>
        </w:tc>
      </w:tr>
      <w:tr w:rsidR="00B11C26" w:rsidRPr="008A1FE3" w14:paraId="00E9C340" w14:textId="77777777" w:rsidTr="00B11C26">
        <w:trPr>
          <w:jc w:val="center"/>
        </w:trPr>
        <w:tc>
          <w:tcPr>
            <w:cnfStyle w:val="001000000000" w:firstRow="0" w:lastRow="0" w:firstColumn="1" w:lastColumn="0" w:oddVBand="0" w:evenVBand="0" w:oddHBand="0" w:evenHBand="0" w:firstRowFirstColumn="0" w:firstRowLastColumn="0" w:lastRowFirstColumn="0" w:lastRowLastColumn="0"/>
            <w:tcW w:w="296" w:type="pct"/>
            <w:hideMark/>
          </w:tcPr>
          <w:p w14:paraId="0191AE9B" w14:textId="77777777" w:rsidR="003D5051" w:rsidRPr="008A1FE3" w:rsidRDefault="003D5051" w:rsidP="00B11C26">
            <w:pPr>
              <w:tabs>
                <w:tab w:val="left" w:pos="1134"/>
              </w:tabs>
              <w:jc w:val="center"/>
              <w:rPr>
                <w:sz w:val="20"/>
                <w:szCs w:val="20"/>
              </w:rPr>
            </w:pPr>
            <w:r w:rsidRPr="008A1FE3">
              <w:rPr>
                <w:sz w:val="20"/>
                <w:szCs w:val="20"/>
              </w:rPr>
              <w:t>5.4</w:t>
            </w:r>
          </w:p>
        </w:tc>
        <w:tc>
          <w:tcPr>
            <w:tcW w:w="2391" w:type="pct"/>
            <w:hideMark/>
          </w:tcPr>
          <w:p w14:paraId="4CE43445" w14:textId="77777777" w:rsidR="003D5051" w:rsidRPr="008A1FE3" w:rsidRDefault="003D5051" w:rsidP="00B11C26">
            <w:pPr>
              <w:tabs>
                <w:tab w:val="left" w:pos="1134"/>
              </w:tabs>
              <w:jc w:val="left"/>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Город Однотрансформаторные Трансформаторная мощность от 100 до 250 кВА включительно</w:t>
            </w:r>
          </w:p>
        </w:tc>
        <w:tc>
          <w:tcPr>
            <w:tcW w:w="822" w:type="pct"/>
            <w:hideMark/>
          </w:tcPr>
          <w:p w14:paraId="69B60B3D" w14:textId="77777777" w:rsidR="003D5051" w:rsidRPr="008A1FE3" w:rsidRDefault="003D5051" w:rsidP="00B11C26">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6 892,00</w:t>
            </w:r>
          </w:p>
        </w:tc>
        <w:tc>
          <w:tcPr>
            <w:tcW w:w="747" w:type="pct"/>
            <w:hideMark/>
          </w:tcPr>
          <w:p w14:paraId="07DA161B" w14:textId="77777777" w:rsidR="003D5051" w:rsidRPr="008A1FE3" w:rsidRDefault="003D5051" w:rsidP="00B11C26">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78,33</w:t>
            </w:r>
          </w:p>
        </w:tc>
        <w:tc>
          <w:tcPr>
            <w:tcW w:w="744" w:type="pct"/>
            <w:hideMark/>
          </w:tcPr>
          <w:p w14:paraId="548EAF59" w14:textId="77777777" w:rsidR="003D5051" w:rsidRPr="008A1FE3" w:rsidRDefault="003D5051" w:rsidP="00B11C26">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539,9</w:t>
            </w:r>
          </w:p>
        </w:tc>
      </w:tr>
      <w:tr w:rsidR="00B11C26" w:rsidRPr="008A1FE3" w14:paraId="5C6F1EC1" w14:textId="77777777" w:rsidTr="00B11C26">
        <w:trPr>
          <w:jc w:val="center"/>
        </w:trPr>
        <w:tc>
          <w:tcPr>
            <w:cnfStyle w:val="001000000000" w:firstRow="0" w:lastRow="0" w:firstColumn="1" w:lastColumn="0" w:oddVBand="0" w:evenVBand="0" w:oddHBand="0" w:evenHBand="0" w:firstRowFirstColumn="0" w:firstRowLastColumn="0" w:lastRowFirstColumn="0" w:lastRowLastColumn="0"/>
            <w:tcW w:w="296" w:type="pct"/>
            <w:hideMark/>
          </w:tcPr>
          <w:p w14:paraId="22F42087" w14:textId="77777777" w:rsidR="003D5051" w:rsidRPr="008A1FE3" w:rsidRDefault="003D5051" w:rsidP="00B11C26">
            <w:pPr>
              <w:tabs>
                <w:tab w:val="left" w:pos="1134"/>
              </w:tabs>
              <w:jc w:val="center"/>
              <w:rPr>
                <w:sz w:val="20"/>
                <w:szCs w:val="20"/>
              </w:rPr>
            </w:pPr>
            <w:r w:rsidRPr="008A1FE3">
              <w:rPr>
                <w:sz w:val="20"/>
                <w:szCs w:val="20"/>
              </w:rPr>
              <w:t>5.5</w:t>
            </w:r>
          </w:p>
        </w:tc>
        <w:tc>
          <w:tcPr>
            <w:tcW w:w="2391" w:type="pct"/>
            <w:hideMark/>
          </w:tcPr>
          <w:p w14:paraId="0A90B051" w14:textId="77777777" w:rsidR="003D5051" w:rsidRPr="008A1FE3" w:rsidRDefault="003D5051" w:rsidP="00B11C26">
            <w:pPr>
              <w:tabs>
                <w:tab w:val="left" w:pos="1134"/>
              </w:tabs>
              <w:jc w:val="left"/>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Область Однотрансформаторные Трансформаторная мощность от 250 до 500 кВА включительно</w:t>
            </w:r>
          </w:p>
        </w:tc>
        <w:tc>
          <w:tcPr>
            <w:tcW w:w="822" w:type="pct"/>
            <w:hideMark/>
          </w:tcPr>
          <w:p w14:paraId="6BC8C729" w14:textId="77777777" w:rsidR="003D5051" w:rsidRPr="008A1FE3" w:rsidRDefault="003D5051" w:rsidP="00B11C26">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8 181,00</w:t>
            </w:r>
          </w:p>
        </w:tc>
        <w:tc>
          <w:tcPr>
            <w:tcW w:w="747" w:type="pct"/>
            <w:hideMark/>
          </w:tcPr>
          <w:p w14:paraId="108D6D24" w14:textId="77777777" w:rsidR="003D5051" w:rsidRPr="008A1FE3" w:rsidRDefault="003D5051" w:rsidP="00B11C26">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150,00</w:t>
            </w:r>
          </w:p>
        </w:tc>
        <w:tc>
          <w:tcPr>
            <w:tcW w:w="744" w:type="pct"/>
            <w:hideMark/>
          </w:tcPr>
          <w:p w14:paraId="1CA0B5E7" w14:textId="77777777" w:rsidR="003D5051" w:rsidRPr="008A1FE3" w:rsidRDefault="003D5051" w:rsidP="00B11C26">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1 227,2</w:t>
            </w:r>
          </w:p>
        </w:tc>
      </w:tr>
      <w:tr w:rsidR="00B11C26" w:rsidRPr="008A1FE3" w14:paraId="5076BD98" w14:textId="77777777" w:rsidTr="00B11C26">
        <w:trPr>
          <w:jc w:val="center"/>
        </w:trPr>
        <w:tc>
          <w:tcPr>
            <w:cnfStyle w:val="001000000000" w:firstRow="0" w:lastRow="0" w:firstColumn="1" w:lastColumn="0" w:oddVBand="0" w:evenVBand="0" w:oddHBand="0" w:evenHBand="0" w:firstRowFirstColumn="0" w:firstRowLastColumn="0" w:lastRowFirstColumn="0" w:lastRowLastColumn="0"/>
            <w:tcW w:w="296" w:type="pct"/>
            <w:hideMark/>
          </w:tcPr>
          <w:p w14:paraId="2DFBC907" w14:textId="77777777" w:rsidR="003D5051" w:rsidRPr="008A1FE3" w:rsidRDefault="003D5051" w:rsidP="00B11C26">
            <w:pPr>
              <w:tabs>
                <w:tab w:val="left" w:pos="1134"/>
              </w:tabs>
              <w:jc w:val="center"/>
              <w:rPr>
                <w:sz w:val="20"/>
                <w:szCs w:val="20"/>
              </w:rPr>
            </w:pPr>
            <w:r w:rsidRPr="008A1FE3">
              <w:rPr>
                <w:sz w:val="20"/>
                <w:szCs w:val="20"/>
              </w:rPr>
              <w:t>5.6</w:t>
            </w:r>
          </w:p>
        </w:tc>
        <w:tc>
          <w:tcPr>
            <w:tcW w:w="2391" w:type="pct"/>
            <w:hideMark/>
          </w:tcPr>
          <w:p w14:paraId="2F5BCF23" w14:textId="77777777" w:rsidR="003D5051" w:rsidRPr="008A1FE3" w:rsidRDefault="003D5051" w:rsidP="00B11C26">
            <w:pPr>
              <w:tabs>
                <w:tab w:val="left" w:pos="1134"/>
              </w:tabs>
              <w:jc w:val="left"/>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 xml:space="preserve">Область Однотрансформаторные Трансформаторная мощность от 500 до 1000 кВА включительно </w:t>
            </w:r>
          </w:p>
        </w:tc>
        <w:tc>
          <w:tcPr>
            <w:tcW w:w="822" w:type="pct"/>
            <w:hideMark/>
          </w:tcPr>
          <w:p w14:paraId="70263107" w14:textId="77777777" w:rsidR="003D5051" w:rsidRPr="008A1FE3" w:rsidRDefault="003D5051" w:rsidP="00B11C26">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4 283,00</w:t>
            </w:r>
          </w:p>
        </w:tc>
        <w:tc>
          <w:tcPr>
            <w:tcW w:w="747" w:type="pct"/>
            <w:hideMark/>
          </w:tcPr>
          <w:p w14:paraId="0433C60B" w14:textId="77777777" w:rsidR="003D5051" w:rsidRPr="008A1FE3" w:rsidRDefault="003D5051" w:rsidP="00B11C26">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700,00</w:t>
            </w:r>
          </w:p>
        </w:tc>
        <w:tc>
          <w:tcPr>
            <w:tcW w:w="744" w:type="pct"/>
            <w:hideMark/>
          </w:tcPr>
          <w:p w14:paraId="51414812" w14:textId="77777777" w:rsidR="003D5051" w:rsidRPr="008A1FE3" w:rsidRDefault="003D5051" w:rsidP="00B11C26">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8A1FE3">
              <w:rPr>
                <w:sz w:val="20"/>
                <w:szCs w:val="20"/>
              </w:rPr>
              <w:t>2 998,1</w:t>
            </w:r>
          </w:p>
        </w:tc>
      </w:tr>
      <w:tr w:rsidR="00B11C26" w:rsidRPr="008A1FE3" w14:paraId="1F5C8876" w14:textId="77777777" w:rsidTr="00B11C26">
        <w:trPr>
          <w:jc w:val="center"/>
        </w:trPr>
        <w:tc>
          <w:tcPr>
            <w:cnfStyle w:val="001000000000" w:firstRow="0" w:lastRow="0" w:firstColumn="1" w:lastColumn="0" w:oddVBand="0" w:evenVBand="0" w:oddHBand="0" w:evenHBand="0" w:firstRowFirstColumn="0" w:firstRowLastColumn="0" w:lastRowFirstColumn="0" w:lastRowLastColumn="0"/>
            <w:tcW w:w="296" w:type="pct"/>
            <w:hideMark/>
          </w:tcPr>
          <w:p w14:paraId="76544F00" w14:textId="77777777" w:rsidR="003D5051" w:rsidRPr="008A1FE3" w:rsidRDefault="003D5051" w:rsidP="00B11C26">
            <w:pPr>
              <w:tabs>
                <w:tab w:val="left" w:pos="1134"/>
              </w:tabs>
              <w:jc w:val="center"/>
              <w:rPr>
                <w:b/>
                <w:sz w:val="20"/>
                <w:szCs w:val="20"/>
              </w:rPr>
            </w:pPr>
            <w:r w:rsidRPr="008A1FE3">
              <w:rPr>
                <w:b/>
                <w:sz w:val="20"/>
                <w:szCs w:val="20"/>
              </w:rPr>
              <w:t>6.</w:t>
            </w:r>
          </w:p>
        </w:tc>
        <w:tc>
          <w:tcPr>
            <w:tcW w:w="2391" w:type="pct"/>
            <w:hideMark/>
          </w:tcPr>
          <w:p w14:paraId="1B67AA97" w14:textId="07DFD348" w:rsidR="003D5051" w:rsidRPr="008A1FE3" w:rsidRDefault="003D5051" w:rsidP="00B11C26">
            <w:pPr>
              <w:tabs>
                <w:tab w:val="left" w:pos="1134"/>
              </w:tabs>
              <w:jc w:val="left"/>
              <w:cnfStyle w:val="000000000000" w:firstRow="0" w:lastRow="0" w:firstColumn="0" w:lastColumn="0" w:oddVBand="0" w:evenVBand="0" w:oddHBand="0" w:evenHBand="0" w:firstRowFirstColumn="0" w:firstRowLastColumn="0" w:lastRowFirstColumn="0" w:lastRowLastColumn="0"/>
              <w:rPr>
                <w:b/>
                <w:sz w:val="20"/>
                <w:szCs w:val="20"/>
              </w:rPr>
            </w:pPr>
            <w:r w:rsidRPr="008A1FE3">
              <w:rPr>
                <w:b/>
                <w:sz w:val="20"/>
                <w:szCs w:val="20"/>
              </w:rPr>
              <w:t xml:space="preserve">Суммарный размер платы за технологическое присоединение в части мероприятий </w:t>
            </w:r>
            <w:r w:rsidR="00655FFA" w:rsidRPr="008A1FE3">
              <w:rPr>
                <w:b/>
                <w:sz w:val="20"/>
                <w:szCs w:val="20"/>
              </w:rPr>
              <w:t>«</w:t>
            </w:r>
            <w:r w:rsidRPr="008A1FE3">
              <w:rPr>
                <w:b/>
                <w:sz w:val="20"/>
                <w:szCs w:val="20"/>
              </w:rPr>
              <w:t>последней мили</w:t>
            </w:r>
            <w:r w:rsidR="00655FFA" w:rsidRPr="008A1FE3">
              <w:rPr>
                <w:b/>
                <w:sz w:val="20"/>
                <w:szCs w:val="20"/>
              </w:rPr>
              <w:t>»</w:t>
            </w:r>
            <w:r w:rsidRPr="008A1FE3">
              <w:rPr>
                <w:b/>
                <w:sz w:val="20"/>
                <w:szCs w:val="20"/>
              </w:rPr>
              <w:t xml:space="preserve"> [пункт 9 + пункт 10 + пункт 11 + пункт 12 + пункт 13 + пункт 14]:</w:t>
            </w:r>
          </w:p>
        </w:tc>
        <w:tc>
          <w:tcPr>
            <w:tcW w:w="822" w:type="pct"/>
            <w:hideMark/>
          </w:tcPr>
          <w:p w14:paraId="7308126F" w14:textId="77777777" w:rsidR="003D5051" w:rsidRPr="008A1FE3" w:rsidRDefault="003D5051" w:rsidP="00B11C26">
            <w:pPr>
              <w:tabs>
                <w:tab w:val="left" w:pos="1134"/>
              </w:tabs>
              <w:cnfStyle w:val="000000000000" w:firstRow="0" w:lastRow="0" w:firstColumn="0" w:lastColumn="0" w:oddVBand="0" w:evenVBand="0" w:oddHBand="0" w:evenHBand="0" w:firstRowFirstColumn="0" w:firstRowLastColumn="0" w:lastRowFirstColumn="0" w:lastRowLastColumn="0"/>
              <w:rPr>
                <w:b/>
                <w:sz w:val="20"/>
                <w:szCs w:val="20"/>
              </w:rPr>
            </w:pPr>
            <w:r w:rsidRPr="008A1FE3">
              <w:rPr>
                <w:b/>
                <w:sz w:val="20"/>
                <w:szCs w:val="20"/>
              </w:rPr>
              <w:t>х</w:t>
            </w:r>
          </w:p>
        </w:tc>
        <w:tc>
          <w:tcPr>
            <w:tcW w:w="747" w:type="pct"/>
            <w:hideMark/>
          </w:tcPr>
          <w:p w14:paraId="17B81347" w14:textId="77777777" w:rsidR="003D5051" w:rsidRPr="008A1FE3" w:rsidRDefault="003D5051" w:rsidP="00B11C26">
            <w:pPr>
              <w:tabs>
                <w:tab w:val="left" w:pos="1134"/>
              </w:tabs>
              <w:cnfStyle w:val="000000000000" w:firstRow="0" w:lastRow="0" w:firstColumn="0" w:lastColumn="0" w:oddVBand="0" w:evenVBand="0" w:oddHBand="0" w:evenHBand="0" w:firstRowFirstColumn="0" w:firstRowLastColumn="0" w:lastRowFirstColumn="0" w:lastRowLastColumn="0"/>
              <w:rPr>
                <w:b/>
                <w:sz w:val="20"/>
                <w:szCs w:val="20"/>
              </w:rPr>
            </w:pPr>
            <w:r w:rsidRPr="008A1FE3">
              <w:rPr>
                <w:b/>
                <w:sz w:val="20"/>
                <w:szCs w:val="20"/>
              </w:rPr>
              <w:t>х</w:t>
            </w:r>
          </w:p>
        </w:tc>
        <w:tc>
          <w:tcPr>
            <w:tcW w:w="744" w:type="pct"/>
            <w:hideMark/>
          </w:tcPr>
          <w:p w14:paraId="0BC85473" w14:textId="77777777" w:rsidR="003D5051" w:rsidRPr="008A1FE3" w:rsidRDefault="003D5051" w:rsidP="00B11C26">
            <w:pPr>
              <w:tabs>
                <w:tab w:val="left" w:pos="1134"/>
              </w:tabs>
              <w:cnfStyle w:val="000000000000" w:firstRow="0" w:lastRow="0" w:firstColumn="0" w:lastColumn="0" w:oddVBand="0" w:evenVBand="0" w:oddHBand="0" w:evenHBand="0" w:firstRowFirstColumn="0" w:firstRowLastColumn="0" w:lastRowFirstColumn="0" w:lastRowLastColumn="0"/>
              <w:rPr>
                <w:b/>
                <w:sz w:val="20"/>
                <w:szCs w:val="20"/>
              </w:rPr>
            </w:pPr>
            <w:r w:rsidRPr="008A1FE3">
              <w:rPr>
                <w:b/>
                <w:sz w:val="20"/>
                <w:szCs w:val="20"/>
              </w:rPr>
              <w:t>0,0</w:t>
            </w:r>
          </w:p>
        </w:tc>
      </w:tr>
      <w:tr w:rsidR="00B11C26" w:rsidRPr="008A1FE3" w14:paraId="1634854F" w14:textId="77777777" w:rsidTr="00B11C26">
        <w:trPr>
          <w:jc w:val="center"/>
        </w:trPr>
        <w:tc>
          <w:tcPr>
            <w:cnfStyle w:val="001000000000" w:firstRow="0" w:lastRow="0" w:firstColumn="1" w:lastColumn="0" w:oddVBand="0" w:evenVBand="0" w:oddHBand="0" w:evenHBand="0" w:firstRowFirstColumn="0" w:firstRowLastColumn="0" w:lastRowFirstColumn="0" w:lastRowLastColumn="0"/>
            <w:tcW w:w="296" w:type="pct"/>
            <w:hideMark/>
          </w:tcPr>
          <w:p w14:paraId="3BEBD1B0" w14:textId="77777777" w:rsidR="003D5051" w:rsidRPr="008A1FE3" w:rsidRDefault="003D5051" w:rsidP="00B11C26">
            <w:pPr>
              <w:tabs>
                <w:tab w:val="left" w:pos="1134"/>
              </w:tabs>
              <w:jc w:val="center"/>
              <w:rPr>
                <w:b/>
                <w:sz w:val="20"/>
                <w:szCs w:val="20"/>
              </w:rPr>
            </w:pPr>
            <w:r w:rsidRPr="008A1FE3">
              <w:rPr>
                <w:b/>
                <w:sz w:val="20"/>
                <w:szCs w:val="20"/>
              </w:rPr>
              <w:t>7.</w:t>
            </w:r>
          </w:p>
        </w:tc>
        <w:tc>
          <w:tcPr>
            <w:tcW w:w="2391" w:type="pct"/>
            <w:hideMark/>
          </w:tcPr>
          <w:p w14:paraId="60D816F7" w14:textId="21048A03" w:rsidR="003D5051" w:rsidRPr="008A1FE3" w:rsidRDefault="003D5051" w:rsidP="00B11C26">
            <w:pPr>
              <w:tabs>
                <w:tab w:val="left" w:pos="1134"/>
              </w:tabs>
              <w:jc w:val="left"/>
              <w:cnfStyle w:val="000000000000" w:firstRow="0" w:lastRow="0" w:firstColumn="0" w:lastColumn="0" w:oddVBand="0" w:evenVBand="0" w:oddHBand="0" w:evenHBand="0" w:firstRowFirstColumn="0" w:firstRowLastColumn="0" w:lastRowFirstColumn="0" w:lastRowLastColumn="0"/>
              <w:rPr>
                <w:b/>
                <w:sz w:val="20"/>
                <w:szCs w:val="20"/>
              </w:rPr>
            </w:pPr>
            <w:r w:rsidRPr="008A1FE3">
              <w:rPr>
                <w:b/>
                <w:sz w:val="20"/>
                <w:szCs w:val="20"/>
              </w:rPr>
              <w:t xml:space="preserve">Размер расходов по мероприятиям </w:t>
            </w:r>
            <w:r w:rsidR="00655FFA" w:rsidRPr="008A1FE3">
              <w:rPr>
                <w:b/>
                <w:sz w:val="20"/>
                <w:szCs w:val="20"/>
              </w:rPr>
              <w:t>«</w:t>
            </w:r>
            <w:r w:rsidRPr="008A1FE3">
              <w:rPr>
                <w:b/>
                <w:sz w:val="20"/>
                <w:szCs w:val="20"/>
              </w:rPr>
              <w:t>последней мили</w:t>
            </w:r>
            <w:r w:rsidR="00655FFA" w:rsidRPr="008A1FE3">
              <w:rPr>
                <w:b/>
                <w:sz w:val="20"/>
                <w:szCs w:val="20"/>
              </w:rPr>
              <w:t>»</w:t>
            </w:r>
            <w:r w:rsidRPr="008A1FE3">
              <w:rPr>
                <w:b/>
                <w:sz w:val="20"/>
                <w:szCs w:val="20"/>
              </w:rPr>
              <w:t>, связанных с осуществлением технологического присоединения к электрическим сетям, не включаемых в плату за технологическое присоединение [п.1 - п.2]</w:t>
            </w:r>
          </w:p>
        </w:tc>
        <w:tc>
          <w:tcPr>
            <w:tcW w:w="822" w:type="pct"/>
            <w:hideMark/>
          </w:tcPr>
          <w:p w14:paraId="5CF5ED40" w14:textId="77777777" w:rsidR="003D5051" w:rsidRPr="008A1FE3" w:rsidRDefault="003D5051" w:rsidP="00B11C26">
            <w:pPr>
              <w:tabs>
                <w:tab w:val="left" w:pos="1134"/>
              </w:tabs>
              <w:cnfStyle w:val="000000000000" w:firstRow="0" w:lastRow="0" w:firstColumn="0" w:lastColumn="0" w:oddVBand="0" w:evenVBand="0" w:oddHBand="0" w:evenHBand="0" w:firstRowFirstColumn="0" w:firstRowLastColumn="0" w:lastRowFirstColumn="0" w:lastRowLastColumn="0"/>
              <w:rPr>
                <w:b/>
                <w:sz w:val="20"/>
                <w:szCs w:val="20"/>
              </w:rPr>
            </w:pPr>
            <w:r w:rsidRPr="008A1FE3">
              <w:rPr>
                <w:b/>
                <w:sz w:val="20"/>
                <w:szCs w:val="20"/>
              </w:rPr>
              <w:t>х</w:t>
            </w:r>
          </w:p>
        </w:tc>
        <w:tc>
          <w:tcPr>
            <w:tcW w:w="747" w:type="pct"/>
            <w:hideMark/>
          </w:tcPr>
          <w:p w14:paraId="619BA330" w14:textId="77777777" w:rsidR="003D5051" w:rsidRPr="008A1FE3" w:rsidRDefault="003D5051" w:rsidP="00B11C26">
            <w:pPr>
              <w:tabs>
                <w:tab w:val="left" w:pos="1134"/>
              </w:tabs>
              <w:cnfStyle w:val="000000000000" w:firstRow="0" w:lastRow="0" w:firstColumn="0" w:lastColumn="0" w:oddVBand="0" w:evenVBand="0" w:oddHBand="0" w:evenHBand="0" w:firstRowFirstColumn="0" w:firstRowLastColumn="0" w:lastRowFirstColumn="0" w:lastRowLastColumn="0"/>
              <w:rPr>
                <w:b/>
                <w:sz w:val="20"/>
                <w:szCs w:val="20"/>
              </w:rPr>
            </w:pPr>
            <w:r w:rsidRPr="008A1FE3">
              <w:rPr>
                <w:b/>
                <w:sz w:val="20"/>
                <w:szCs w:val="20"/>
              </w:rPr>
              <w:t>х</w:t>
            </w:r>
          </w:p>
        </w:tc>
        <w:tc>
          <w:tcPr>
            <w:tcW w:w="744" w:type="pct"/>
            <w:hideMark/>
          </w:tcPr>
          <w:p w14:paraId="2AD05AB4" w14:textId="77777777" w:rsidR="003D5051" w:rsidRPr="008A1FE3" w:rsidRDefault="003D5051" w:rsidP="00B11C26">
            <w:pPr>
              <w:tabs>
                <w:tab w:val="left" w:pos="1134"/>
              </w:tabs>
              <w:cnfStyle w:val="000000000000" w:firstRow="0" w:lastRow="0" w:firstColumn="0" w:lastColumn="0" w:oddVBand="0" w:evenVBand="0" w:oddHBand="0" w:evenHBand="0" w:firstRowFirstColumn="0" w:firstRowLastColumn="0" w:lastRowFirstColumn="0" w:lastRowLastColumn="0"/>
              <w:rPr>
                <w:b/>
                <w:sz w:val="20"/>
                <w:szCs w:val="20"/>
              </w:rPr>
            </w:pPr>
            <w:r w:rsidRPr="008A1FE3">
              <w:rPr>
                <w:b/>
                <w:sz w:val="20"/>
                <w:szCs w:val="20"/>
              </w:rPr>
              <w:t>99 713,3</w:t>
            </w:r>
          </w:p>
        </w:tc>
      </w:tr>
      <w:tr w:rsidR="00B11C26" w:rsidRPr="008A1FE3" w14:paraId="40885B91" w14:textId="77777777" w:rsidTr="00B11C26">
        <w:trPr>
          <w:jc w:val="center"/>
        </w:trPr>
        <w:tc>
          <w:tcPr>
            <w:cnfStyle w:val="001000000000" w:firstRow="0" w:lastRow="0" w:firstColumn="1" w:lastColumn="0" w:oddVBand="0" w:evenVBand="0" w:oddHBand="0" w:evenHBand="0" w:firstRowFirstColumn="0" w:firstRowLastColumn="0" w:lastRowFirstColumn="0" w:lastRowLastColumn="0"/>
            <w:tcW w:w="296" w:type="pct"/>
            <w:hideMark/>
          </w:tcPr>
          <w:p w14:paraId="77EAD9F9" w14:textId="77777777" w:rsidR="003D5051" w:rsidRPr="008A1FE3" w:rsidRDefault="003D5051" w:rsidP="00B11C26">
            <w:pPr>
              <w:tabs>
                <w:tab w:val="left" w:pos="1134"/>
              </w:tabs>
              <w:jc w:val="center"/>
              <w:rPr>
                <w:b/>
                <w:sz w:val="20"/>
                <w:szCs w:val="20"/>
              </w:rPr>
            </w:pPr>
            <w:r w:rsidRPr="008A1FE3">
              <w:rPr>
                <w:b/>
                <w:sz w:val="20"/>
                <w:szCs w:val="20"/>
              </w:rPr>
              <w:t>8.</w:t>
            </w:r>
          </w:p>
        </w:tc>
        <w:tc>
          <w:tcPr>
            <w:tcW w:w="2391" w:type="pct"/>
            <w:hideMark/>
          </w:tcPr>
          <w:p w14:paraId="07B92118" w14:textId="77777777" w:rsidR="003D5051" w:rsidRPr="008A1FE3" w:rsidRDefault="003D5051" w:rsidP="00B11C26">
            <w:pPr>
              <w:tabs>
                <w:tab w:val="left" w:pos="1134"/>
              </w:tabs>
              <w:jc w:val="left"/>
              <w:cnfStyle w:val="000000000000" w:firstRow="0" w:lastRow="0" w:firstColumn="0" w:lastColumn="0" w:oddVBand="0" w:evenVBand="0" w:oddHBand="0" w:evenHBand="0" w:firstRowFirstColumn="0" w:firstRowLastColumn="0" w:lastRowFirstColumn="0" w:lastRowLastColumn="0"/>
              <w:rPr>
                <w:b/>
                <w:sz w:val="20"/>
                <w:szCs w:val="20"/>
              </w:rPr>
            </w:pPr>
            <w:r w:rsidRPr="008A1FE3">
              <w:rPr>
                <w:b/>
                <w:sz w:val="20"/>
                <w:szCs w:val="20"/>
              </w:rPr>
              <w:t>Учтено в Инвестиционной программе</w:t>
            </w:r>
          </w:p>
        </w:tc>
        <w:tc>
          <w:tcPr>
            <w:tcW w:w="822" w:type="pct"/>
            <w:noWrap/>
            <w:hideMark/>
          </w:tcPr>
          <w:p w14:paraId="64373E1A" w14:textId="77777777" w:rsidR="003D5051" w:rsidRPr="008A1FE3" w:rsidRDefault="003D5051" w:rsidP="00B11C26">
            <w:pPr>
              <w:tabs>
                <w:tab w:val="left" w:pos="1134"/>
              </w:tabs>
              <w:cnfStyle w:val="000000000000" w:firstRow="0" w:lastRow="0" w:firstColumn="0" w:lastColumn="0" w:oddVBand="0" w:evenVBand="0" w:oddHBand="0" w:evenHBand="0" w:firstRowFirstColumn="0" w:firstRowLastColumn="0" w:lastRowFirstColumn="0" w:lastRowLastColumn="0"/>
              <w:rPr>
                <w:b/>
                <w:sz w:val="20"/>
                <w:szCs w:val="20"/>
              </w:rPr>
            </w:pPr>
            <w:r w:rsidRPr="008A1FE3">
              <w:rPr>
                <w:b/>
                <w:sz w:val="20"/>
                <w:szCs w:val="20"/>
              </w:rPr>
              <w:t> </w:t>
            </w:r>
          </w:p>
        </w:tc>
        <w:tc>
          <w:tcPr>
            <w:tcW w:w="747" w:type="pct"/>
            <w:noWrap/>
            <w:hideMark/>
          </w:tcPr>
          <w:p w14:paraId="365667FA" w14:textId="77777777" w:rsidR="003D5051" w:rsidRPr="008A1FE3" w:rsidRDefault="003D5051" w:rsidP="00B11C26">
            <w:pPr>
              <w:tabs>
                <w:tab w:val="left" w:pos="1134"/>
              </w:tabs>
              <w:cnfStyle w:val="000000000000" w:firstRow="0" w:lastRow="0" w:firstColumn="0" w:lastColumn="0" w:oddVBand="0" w:evenVBand="0" w:oddHBand="0" w:evenHBand="0" w:firstRowFirstColumn="0" w:firstRowLastColumn="0" w:lastRowFirstColumn="0" w:lastRowLastColumn="0"/>
              <w:rPr>
                <w:b/>
                <w:sz w:val="20"/>
                <w:szCs w:val="20"/>
              </w:rPr>
            </w:pPr>
            <w:r w:rsidRPr="008A1FE3">
              <w:rPr>
                <w:b/>
                <w:sz w:val="20"/>
                <w:szCs w:val="20"/>
              </w:rPr>
              <w:t> </w:t>
            </w:r>
          </w:p>
        </w:tc>
        <w:tc>
          <w:tcPr>
            <w:tcW w:w="744" w:type="pct"/>
            <w:hideMark/>
          </w:tcPr>
          <w:p w14:paraId="2BDFB751" w14:textId="77777777" w:rsidR="003D5051" w:rsidRPr="008A1FE3" w:rsidRDefault="003D5051" w:rsidP="00B11C26">
            <w:pPr>
              <w:tabs>
                <w:tab w:val="left" w:pos="1134"/>
              </w:tabs>
              <w:cnfStyle w:val="000000000000" w:firstRow="0" w:lastRow="0" w:firstColumn="0" w:lastColumn="0" w:oddVBand="0" w:evenVBand="0" w:oddHBand="0" w:evenHBand="0" w:firstRowFirstColumn="0" w:firstRowLastColumn="0" w:lastRowFirstColumn="0" w:lastRowLastColumn="0"/>
              <w:rPr>
                <w:b/>
                <w:sz w:val="20"/>
                <w:szCs w:val="20"/>
              </w:rPr>
            </w:pPr>
            <w:r w:rsidRPr="008A1FE3">
              <w:rPr>
                <w:b/>
                <w:sz w:val="20"/>
                <w:szCs w:val="20"/>
              </w:rPr>
              <w:t>6 616,70</w:t>
            </w:r>
          </w:p>
        </w:tc>
      </w:tr>
      <w:tr w:rsidR="00B11C26" w:rsidRPr="008A1FE3" w14:paraId="62268BBA" w14:textId="77777777" w:rsidTr="00B11C26">
        <w:trPr>
          <w:jc w:val="center"/>
        </w:trPr>
        <w:tc>
          <w:tcPr>
            <w:cnfStyle w:val="001000000000" w:firstRow="0" w:lastRow="0" w:firstColumn="1" w:lastColumn="0" w:oddVBand="0" w:evenVBand="0" w:oddHBand="0" w:evenHBand="0" w:firstRowFirstColumn="0" w:firstRowLastColumn="0" w:lastRowFirstColumn="0" w:lastRowLastColumn="0"/>
            <w:tcW w:w="296" w:type="pct"/>
            <w:hideMark/>
          </w:tcPr>
          <w:p w14:paraId="4A2DABE8" w14:textId="77777777" w:rsidR="003D5051" w:rsidRPr="008A1FE3" w:rsidRDefault="003D5051" w:rsidP="00B11C26">
            <w:pPr>
              <w:tabs>
                <w:tab w:val="left" w:pos="1134"/>
              </w:tabs>
              <w:jc w:val="center"/>
              <w:rPr>
                <w:b/>
                <w:sz w:val="20"/>
                <w:szCs w:val="20"/>
              </w:rPr>
            </w:pPr>
            <w:r w:rsidRPr="008A1FE3">
              <w:rPr>
                <w:b/>
                <w:sz w:val="20"/>
                <w:szCs w:val="20"/>
              </w:rPr>
              <w:t>9.</w:t>
            </w:r>
          </w:p>
        </w:tc>
        <w:tc>
          <w:tcPr>
            <w:tcW w:w="2391" w:type="pct"/>
            <w:hideMark/>
          </w:tcPr>
          <w:p w14:paraId="5528C224" w14:textId="77777777" w:rsidR="003D5051" w:rsidRPr="008A1FE3" w:rsidRDefault="003D5051" w:rsidP="00B11C26">
            <w:pPr>
              <w:tabs>
                <w:tab w:val="left" w:pos="1134"/>
              </w:tabs>
              <w:jc w:val="left"/>
              <w:cnfStyle w:val="000000000000" w:firstRow="0" w:lastRow="0" w:firstColumn="0" w:lastColumn="0" w:oddVBand="0" w:evenVBand="0" w:oddHBand="0" w:evenHBand="0" w:firstRowFirstColumn="0" w:firstRowLastColumn="0" w:lastRowFirstColumn="0" w:lastRowLastColumn="0"/>
              <w:rPr>
                <w:b/>
                <w:sz w:val="20"/>
                <w:szCs w:val="20"/>
              </w:rPr>
            </w:pPr>
            <w:r w:rsidRPr="008A1FE3">
              <w:rPr>
                <w:b/>
                <w:sz w:val="20"/>
                <w:szCs w:val="20"/>
              </w:rPr>
              <w:t>Итого расходов для учета в НВВ 2019 года</w:t>
            </w:r>
          </w:p>
        </w:tc>
        <w:tc>
          <w:tcPr>
            <w:tcW w:w="822" w:type="pct"/>
            <w:noWrap/>
            <w:hideMark/>
          </w:tcPr>
          <w:p w14:paraId="17ACB746" w14:textId="77777777" w:rsidR="003D5051" w:rsidRPr="008A1FE3" w:rsidRDefault="003D5051" w:rsidP="00B11C26">
            <w:pPr>
              <w:tabs>
                <w:tab w:val="left" w:pos="1134"/>
              </w:tabs>
              <w:cnfStyle w:val="000000000000" w:firstRow="0" w:lastRow="0" w:firstColumn="0" w:lastColumn="0" w:oddVBand="0" w:evenVBand="0" w:oddHBand="0" w:evenHBand="0" w:firstRowFirstColumn="0" w:firstRowLastColumn="0" w:lastRowFirstColumn="0" w:lastRowLastColumn="0"/>
              <w:rPr>
                <w:b/>
                <w:sz w:val="20"/>
                <w:szCs w:val="20"/>
              </w:rPr>
            </w:pPr>
            <w:r w:rsidRPr="008A1FE3">
              <w:rPr>
                <w:b/>
                <w:sz w:val="20"/>
                <w:szCs w:val="20"/>
              </w:rPr>
              <w:t> </w:t>
            </w:r>
          </w:p>
        </w:tc>
        <w:tc>
          <w:tcPr>
            <w:tcW w:w="747" w:type="pct"/>
            <w:noWrap/>
            <w:hideMark/>
          </w:tcPr>
          <w:p w14:paraId="57FFA3E3" w14:textId="77777777" w:rsidR="003D5051" w:rsidRPr="008A1FE3" w:rsidRDefault="003D5051" w:rsidP="00B11C26">
            <w:pPr>
              <w:tabs>
                <w:tab w:val="left" w:pos="1134"/>
              </w:tabs>
              <w:cnfStyle w:val="000000000000" w:firstRow="0" w:lastRow="0" w:firstColumn="0" w:lastColumn="0" w:oddVBand="0" w:evenVBand="0" w:oddHBand="0" w:evenHBand="0" w:firstRowFirstColumn="0" w:firstRowLastColumn="0" w:lastRowFirstColumn="0" w:lastRowLastColumn="0"/>
              <w:rPr>
                <w:b/>
                <w:sz w:val="20"/>
                <w:szCs w:val="20"/>
              </w:rPr>
            </w:pPr>
            <w:r w:rsidRPr="008A1FE3">
              <w:rPr>
                <w:b/>
                <w:sz w:val="20"/>
                <w:szCs w:val="20"/>
              </w:rPr>
              <w:t> </w:t>
            </w:r>
          </w:p>
        </w:tc>
        <w:tc>
          <w:tcPr>
            <w:tcW w:w="744" w:type="pct"/>
            <w:hideMark/>
          </w:tcPr>
          <w:p w14:paraId="053F22CB" w14:textId="77777777" w:rsidR="003D5051" w:rsidRPr="008A1FE3" w:rsidRDefault="003D5051" w:rsidP="00B11C26">
            <w:pPr>
              <w:tabs>
                <w:tab w:val="left" w:pos="1134"/>
              </w:tabs>
              <w:cnfStyle w:val="000000000000" w:firstRow="0" w:lastRow="0" w:firstColumn="0" w:lastColumn="0" w:oddVBand="0" w:evenVBand="0" w:oddHBand="0" w:evenHBand="0" w:firstRowFirstColumn="0" w:firstRowLastColumn="0" w:lastRowFirstColumn="0" w:lastRowLastColumn="0"/>
              <w:rPr>
                <w:b/>
                <w:sz w:val="20"/>
                <w:szCs w:val="20"/>
              </w:rPr>
            </w:pPr>
            <w:r w:rsidRPr="008A1FE3">
              <w:rPr>
                <w:b/>
                <w:sz w:val="20"/>
                <w:szCs w:val="20"/>
              </w:rPr>
              <w:t>93 096,57</w:t>
            </w:r>
          </w:p>
        </w:tc>
      </w:tr>
    </w:tbl>
    <w:p w14:paraId="13D6F770" w14:textId="7AF00666" w:rsidR="00427DEB" w:rsidRPr="00FB0A3A" w:rsidRDefault="00427DEB" w:rsidP="00850262">
      <w:pPr>
        <w:pStyle w:val="afff7"/>
        <w:rPr>
          <w:bCs/>
        </w:rPr>
      </w:pPr>
      <w:r w:rsidRPr="00FB0A3A">
        <w:t xml:space="preserve">Принимая во внимание, что в утвержденной инвестиционной программе ПАО </w:t>
      </w:r>
      <w:r w:rsidR="00655FFA" w:rsidRPr="00FB0A3A">
        <w:t>«</w:t>
      </w:r>
      <w:r w:rsidRPr="00FB0A3A">
        <w:t>МРСК Северо-Запада</w:t>
      </w:r>
      <w:r w:rsidR="00655FFA" w:rsidRPr="00FB0A3A">
        <w:t>»</w:t>
      </w:r>
      <w:r w:rsidRPr="00FB0A3A">
        <w:t xml:space="preserve"> по филиалу </w:t>
      </w:r>
      <w:r w:rsidR="00994DAE" w:rsidRPr="00FB0A3A">
        <w:t xml:space="preserve">ПАО «МРСК Северо-Запада» </w:t>
      </w:r>
      <w:r w:rsidR="00655FFA" w:rsidRPr="00FB0A3A">
        <w:t>«</w:t>
      </w:r>
      <w:r w:rsidRPr="00FB0A3A">
        <w:t>Колэнерго</w:t>
      </w:r>
      <w:r w:rsidR="00655FFA" w:rsidRPr="00FB0A3A">
        <w:t>»</w:t>
      </w:r>
      <w:r w:rsidRPr="00FB0A3A">
        <w:t xml:space="preserve"> на 2019 год предусмотрены мероприятия, связанные со строительством </w:t>
      </w:r>
      <w:r w:rsidR="00655FFA" w:rsidRPr="00FB0A3A">
        <w:t>«</w:t>
      </w:r>
      <w:r w:rsidRPr="00FB0A3A">
        <w:t>последней мили</w:t>
      </w:r>
      <w:r w:rsidR="00655FFA" w:rsidRPr="00FB0A3A">
        <w:t>»</w:t>
      </w:r>
      <w:r w:rsidRPr="00FB0A3A">
        <w:t xml:space="preserve"> для возможности технологического присоединения энергопринимающих устройств потребителей максимальной мощностью до 150 кВт включительно, на сумму 6,62 млн. руб. (</w:t>
      </w:r>
      <w:r w:rsidRPr="00FB0A3A">
        <w:rPr>
          <w:bCs/>
        </w:rPr>
        <w:t xml:space="preserve">без НДС), Исполнитель считает обоснованным учитывать плановые расходы по мероприятиям </w:t>
      </w:r>
      <w:r w:rsidR="00655FFA" w:rsidRPr="00FB0A3A">
        <w:rPr>
          <w:bCs/>
        </w:rPr>
        <w:t>«</w:t>
      </w:r>
      <w:r w:rsidRPr="00FB0A3A">
        <w:rPr>
          <w:bCs/>
        </w:rPr>
        <w:t>последней мили</w:t>
      </w:r>
      <w:r w:rsidR="00655FFA" w:rsidRPr="00FB0A3A">
        <w:rPr>
          <w:bCs/>
        </w:rPr>
        <w:t>»</w:t>
      </w:r>
      <w:r w:rsidRPr="00FB0A3A">
        <w:rPr>
          <w:bCs/>
        </w:rPr>
        <w:t xml:space="preserve"> в размере 93 096,57 тыс. руб. в составе выпадающих доходов от </w:t>
      </w:r>
      <w:r w:rsidRPr="00FB0A3A">
        <w:t xml:space="preserve">технологического присоединения </w:t>
      </w:r>
      <w:r w:rsidRPr="00FB0A3A">
        <w:rPr>
          <w:bCs/>
        </w:rPr>
        <w:t xml:space="preserve">для включения в НВВ филиала на 2019 год. </w:t>
      </w:r>
    </w:p>
    <w:p w14:paraId="68E65A50" w14:textId="009A1679" w:rsidR="00427DEB" w:rsidRPr="00FB0A3A" w:rsidRDefault="00427DEB" w:rsidP="00B11C26">
      <w:pPr>
        <w:pStyle w:val="afff4"/>
        <w:rPr>
          <w:lang w:val="ru-RU"/>
        </w:rPr>
      </w:pPr>
      <w:r w:rsidRPr="00FB0A3A">
        <w:rPr>
          <w:lang w:val="ru-RU"/>
        </w:rPr>
        <w:t xml:space="preserve">Таким образом, величина плановых выпадающих доходов на 2019 год, связанных с технологическим присоединением к электрическим сетям филиала ПАО </w:t>
      </w:r>
      <w:r w:rsidR="00655FFA" w:rsidRPr="00FB0A3A">
        <w:rPr>
          <w:lang w:val="ru-RU"/>
        </w:rPr>
        <w:t>«</w:t>
      </w:r>
      <w:r w:rsidRPr="00FB0A3A">
        <w:rPr>
          <w:lang w:val="ru-RU"/>
        </w:rPr>
        <w:t xml:space="preserve">МРСК </w:t>
      </w:r>
      <w:r w:rsidR="00B11C26" w:rsidRPr="00FB0A3A">
        <w:rPr>
          <w:lang w:val="ru-RU"/>
        </w:rPr>
        <w:t>Северо-Запада» «Колэнерго</w:t>
      </w:r>
      <w:r w:rsidR="00655FFA" w:rsidRPr="00FB0A3A">
        <w:rPr>
          <w:lang w:val="ru-RU"/>
        </w:rPr>
        <w:t>»</w:t>
      </w:r>
      <w:r w:rsidRPr="00FB0A3A">
        <w:rPr>
          <w:lang w:val="ru-RU"/>
        </w:rPr>
        <w:t xml:space="preserve"> рассчитанная Исполнителем составляет:</w:t>
      </w:r>
    </w:p>
    <w:tbl>
      <w:tblPr>
        <w:tblStyle w:val="afff6"/>
        <w:tblW w:w="5000" w:type="pct"/>
        <w:tblLayout w:type="fixed"/>
        <w:tblLook w:val="04A0" w:firstRow="1" w:lastRow="0" w:firstColumn="1" w:lastColumn="0" w:noHBand="0" w:noVBand="1"/>
      </w:tblPr>
      <w:tblGrid>
        <w:gridCol w:w="696"/>
        <w:gridCol w:w="6439"/>
        <w:gridCol w:w="2209"/>
      </w:tblGrid>
      <w:tr w:rsidR="000E6F7D" w:rsidRPr="00297DA6" w14:paraId="2752D4CE" w14:textId="77777777" w:rsidTr="002267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2A92C1B6" w14:textId="77777777" w:rsidR="000E6F7D" w:rsidRPr="00297DA6" w:rsidRDefault="000E6F7D" w:rsidP="00B11C26">
            <w:pPr>
              <w:tabs>
                <w:tab w:val="left" w:pos="1134"/>
              </w:tabs>
              <w:autoSpaceDE w:val="0"/>
              <w:autoSpaceDN w:val="0"/>
              <w:adjustRightInd w:val="0"/>
              <w:jc w:val="center"/>
              <w:rPr>
                <w:rFonts w:eastAsia="Calibri" w:cs="Times New Roman"/>
                <w:sz w:val="20"/>
                <w:szCs w:val="20"/>
              </w:rPr>
            </w:pPr>
            <w:r w:rsidRPr="00297DA6">
              <w:rPr>
                <w:rFonts w:eastAsia="Calibri" w:cs="Times New Roman"/>
                <w:sz w:val="20"/>
                <w:szCs w:val="20"/>
              </w:rPr>
              <w:lastRenderedPageBreak/>
              <w:t>№ п/п</w:t>
            </w:r>
          </w:p>
        </w:tc>
        <w:tc>
          <w:tcPr>
            <w:tcW w:w="65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5B1E2128" w14:textId="77777777" w:rsidR="000E6F7D" w:rsidRPr="00297DA6" w:rsidRDefault="000E6F7D" w:rsidP="00B11C26">
            <w:pPr>
              <w:tabs>
                <w:tab w:val="left" w:pos="1134"/>
              </w:tabs>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eastAsia="Calibri" w:cs="Times New Roman"/>
                <w:sz w:val="20"/>
                <w:szCs w:val="20"/>
              </w:rPr>
            </w:pPr>
            <w:r w:rsidRPr="00297DA6">
              <w:rPr>
                <w:rFonts w:eastAsia="Calibri" w:cs="Times New Roman"/>
                <w:sz w:val="20"/>
                <w:szCs w:val="20"/>
              </w:rPr>
              <w:t>Наименование</w:t>
            </w:r>
          </w:p>
        </w:tc>
        <w:tc>
          <w:tcPr>
            <w:tcW w:w="22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2DEAE4A8" w14:textId="77777777" w:rsidR="000E6F7D" w:rsidRPr="00297DA6" w:rsidRDefault="000E6F7D" w:rsidP="00B11C26">
            <w:pPr>
              <w:tabs>
                <w:tab w:val="left" w:pos="1134"/>
              </w:tabs>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eastAsia="Calibri" w:cs="Times New Roman"/>
                <w:sz w:val="20"/>
                <w:szCs w:val="20"/>
              </w:rPr>
            </w:pPr>
            <w:r w:rsidRPr="00297DA6">
              <w:rPr>
                <w:rFonts w:eastAsia="Calibri" w:cs="Times New Roman"/>
                <w:sz w:val="20"/>
                <w:szCs w:val="20"/>
              </w:rPr>
              <w:t>Выпадающие доходы, (тыс. руб. без НДС)</w:t>
            </w:r>
          </w:p>
        </w:tc>
      </w:tr>
      <w:tr w:rsidR="000E6F7D" w:rsidRPr="00297DA6" w14:paraId="2B8492DF" w14:textId="77777777" w:rsidTr="002267D7">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FFFFFF" w:themeColor="background1"/>
            </w:tcBorders>
            <w:noWrap/>
            <w:hideMark/>
          </w:tcPr>
          <w:p w14:paraId="2FBA9929" w14:textId="77777777" w:rsidR="000E6F7D" w:rsidRPr="00297DA6" w:rsidRDefault="000E6F7D" w:rsidP="00EB2242">
            <w:pPr>
              <w:tabs>
                <w:tab w:val="left" w:pos="1134"/>
              </w:tabs>
              <w:autoSpaceDE w:val="0"/>
              <w:autoSpaceDN w:val="0"/>
              <w:adjustRightInd w:val="0"/>
              <w:jc w:val="center"/>
              <w:rPr>
                <w:rFonts w:eastAsia="Calibri" w:cs="Times New Roman"/>
                <w:bCs/>
                <w:sz w:val="20"/>
                <w:szCs w:val="20"/>
              </w:rPr>
            </w:pPr>
            <w:r w:rsidRPr="00297DA6">
              <w:rPr>
                <w:rFonts w:eastAsia="Calibri" w:cs="Times New Roman"/>
                <w:bCs/>
                <w:sz w:val="20"/>
                <w:szCs w:val="20"/>
              </w:rPr>
              <w:t>1</w:t>
            </w:r>
          </w:p>
        </w:tc>
        <w:tc>
          <w:tcPr>
            <w:tcW w:w="6541" w:type="dxa"/>
            <w:tcBorders>
              <w:top w:val="single" w:sz="4" w:space="0" w:color="FFFFFF" w:themeColor="background1"/>
            </w:tcBorders>
            <w:hideMark/>
          </w:tcPr>
          <w:p w14:paraId="249287D2" w14:textId="77777777" w:rsidR="000E6F7D" w:rsidRPr="00297DA6" w:rsidRDefault="000E6F7D" w:rsidP="00B11C26">
            <w:pPr>
              <w:tabs>
                <w:tab w:val="left" w:pos="1134"/>
              </w:tabs>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eastAsia="Calibri" w:cs="Times New Roman"/>
                <w:bCs/>
                <w:sz w:val="20"/>
                <w:szCs w:val="20"/>
              </w:rPr>
            </w:pPr>
            <w:r w:rsidRPr="00297DA6">
              <w:rPr>
                <w:rFonts w:eastAsia="Calibri" w:cs="Times New Roman"/>
                <w:bCs/>
                <w:sz w:val="20"/>
                <w:szCs w:val="20"/>
              </w:rPr>
              <w:t>Размер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w:t>
            </w:r>
          </w:p>
        </w:tc>
        <w:tc>
          <w:tcPr>
            <w:tcW w:w="2241" w:type="dxa"/>
            <w:tcBorders>
              <w:top w:val="single" w:sz="4" w:space="0" w:color="FFFFFF" w:themeColor="background1"/>
            </w:tcBorders>
            <w:noWrap/>
          </w:tcPr>
          <w:p w14:paraId="24715989" w14:textId="7ABB89E0" w:rsidR="000E6F7D" w:rsidRPr="00297DA6" w:rsidRDefault="000E6F7D" w:rsidP="00B11C26">
            <w:pPr>
              <w:tabs>
                <w:tab w:val="left" w:pos="1134"/>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Cs/>
                <w:sz w:val="20"/>
                <w:szCs w:val="20"/>
              </w:rPr>
            </w:pPr>
            <w:r w:rsidRPr="00297DA6">
              <w:rPr>
                <w:rFonts w:eastAsia="Calibri" w:cs="Times New Roman"/>
                <w:bCs/>
                <w:sz w:val="20"/>
                <w:szCs w:val="20"/>
              </w:rPr>
              <w:t>18 209,24</w:t>
            </w:r>
          </w:p>
        </w:tc>
      </w:tr>
      <w:tr w:rsidR="000E6F7D" w:rsidRPr="00297DA6" w14:paraId="74F4DD0B" w14:textId="77777777" w:rsidTr="00EB2242">
        <w:tc>
          <w:tcPr>
            <w:cnfStyle w:val="001000000000" w:firstRow="0" w:lastRow="0" w:firstColumn="1" w:lastColumn="0" w:oddVBand="0" w:evenVBand="0" w:oddHBand="0" w:evenHBand="0" w:firstRowFirstColumn="0" w:firstRowLastColumn="0" w:lastRowFirstColumn="0" w:lastRowLastColumn="0"/>
            <w:tcW w:w="704" w:type="dxa"/>
            <w:noWrap/>
            <w:hideMark/>
          </w:tcPr>
          <w:p w14:paraId="18032E09" w14:textId="77777777" w:rsidR="000E6F7D" w:rsidRPr="00297DA6" w:rsidRDefault="000E6F7D" w:rsidP="00EB2242">
            <w:pPr>
              <w:tabs>
                <w:tab w:val="left" w:pos="1134"/>
              </w:tabs>
              <w:autoSpaceDE w:val="0"/>
              <w:autoSpaceDN w:val="0"/>
              <w:adjustRightInd w:val="0"/>
              <w:jc w:val="center"/>
              <w:rPr>
                <w:rFonts w:eastAsia="Calibri" w:cs="Times New Roman"/>
                <w:bCs/>
                <w:sz w:val="20"/>
                <w:szCs w:val="20"/>
              </w:rPr>
            </w:pPr>
            <w:r w:rsidRPr="00297DA6">
              <w:rPr>
                <w:rFonts w:eastAsia="Calibri" w:cs="Times New Roman"/>
                <w:bCs/>
                <w:sz w:val="20"/>
                <w:szCs w:val="20"/>
              </w:rPr>
              <w:t>2</w:t>
            </w:r>
          </w:p>
        </w:tc>
        <w:tc>
          <w:tcPr>
            <w:tcW w:w="6541" w:type="dxa"/>
            <w:hideMark/>
          </w:tcPr>
          <w:p w14:paraId="4D09CB83" w14:textId="77777777" w:rsidR="000E6F7D" w:rsidRPr="00297DA6" w:rsidRDefault="000E6F7D" w:rsidP="00B11C26">
            <w:pPr>
              <w:tabs>
                <w:tab w:val="left" w:pos="1134"/>
              </w:tabs>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eastAsia="Calibri" w:cs="Times New Roman"/>
                <w:bCs/>
                <w:sz w:val="20"/>
                <w:szCs w:val="20"/>
              </w:rPr>
            </w:pPr>
            <w:r w:rsidRPr="00297DA6">
              <w:rPr>
                <w:rFonts w:eastAsia="Calibri" w:cs="Times New Roman"/>
                <w:bCs/>
                <w:sz w:val="20"/>
                <w:szCs w:val="20"/>
              </w:rPr>
              <w:t>Размер расходов, связанных с осуществлением технологического присоединения энергопринимающих устройств максимальной мощностью, не превышающей 150 кВт включительно</w:t>
            </w:r>
          </w:p>
        </w:tc>
        <w:tc>
          <w:tcPr>
            <w:tcW w:w="2241" w:type="dxa"/>
            <w:noWrap/>
          </w:tcPr>
          <w:p w14:paraId="0BD13BEE" w14:textId="58EE1A00" w:rsidR="000E6F7D" w:rsidRPr="00297DA6" w:rsidRDefault="000E6F7D" w:rsidP="00B11C26">
            <w:pPr>
              <w:tabs>
                <w:tab w:val="left" w:pos="1134"/>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Cs/>
                <w:sz w:val="20"/>
                <w:szCs w:val="20"/>
              </w:rPr>
            </w:pPr>
            <w:r w:rsidRPr="00297DA6">
              <w:rPr>
                <w:rFonts w:eastAsia="Calibri" w:cs="Times New Roman"/>
                <w:bCs/>
                <w:sz w:val="20"/>
                <w:szCs w:val="20"/>
              </w:rPr>
              <w:t>93 096,57</w:t>
            </w:r>
          </w:p>
        </w:tc>
      </w:tr>
      <w:tr w:rsidR="000E6F7D" w:rsidRPr="00297DA6" w14:paraId="300258BB" w14:textId="77777777" w:rsidTr="00EB2242">
        <w:tc>
          <w:tcPr>
            <w:cnfStyle w:val="001000000000" w:firstRow="0" w:lastRow="0" w:firstColumn="1" w:lastColumn="0" w:oddVBand="0" w:evenVBand="0" w:oddHBand="0" w:evenHBand="0" w:firstRowFirstColumn="0" w:firstRowLastColumn="0" w:lastRowFirstColumn="0" w:lastRowLastColumn="0"/>
            <w:tcW w:w="704" w:type="dxa"/>
            <w:noWrap/>
            <w:hideMark/>
          </w:tcPr>
          <w:p w14:paraId="70D0E90D" w14:textId="77777777" w:rsidR="000E6F7D" w:rsidRPr="00297DA6" w:rsidRDefault="000E6F7D" w:rsidP="00EB2242">
            <w:pPr>
              <w:tabs>
                <w:tab w:val="left" w:pos="1134"/>
              </w:tabs>
              <w:autoSpaceDE w:val="0"/>
              <w:autoSpaceDN w:val="0"/>
              <w:adjustRightInd w:val="0"/>
              <w:jc w:val="center"/>
              <w:rPr>
                <w:rFonts w:eastAsia="Calibri" w:cs="Times New Roman"/>
                <w:bCs/>
                <w:sz w:val="20"/>
                <w:szCs w:val="20"/>
              </w:rPr>
            </w:pPr>
            <w:r w:rsidRPr="00297DA6">
              <w:rPr>
                <w:rFonts w:eastAsia="Calibri" w:cs="Times New Roman"/>
                <w:bCs/>
                <w:sz w:val="20"/>
                <w:szCs w:val="20"/>
              </w:rPr>
              <w:t>3</w:t>
            </w:r>
          </w:p>
        </w:tc>
        <w:tc>
          <w:tcPr>
            <w:tcW w:w="6541" w:type="dxa"/>
            <w:hideMark/>
          </w:tcPr>
          <w:p w14:paraId="198993E2" w14:textId="77777777" w:rsidR="000E6F7D" w:rsidRPr="00297DA6" w:rsidRDefault="000E6F7D" w:rsidP="00B11C26">
            <w:pPr>
              <w:tabs>
                <w:tab w:val="left" w:pos="1134"/>
              </w:tabs>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eastAsia="Calibri" w:cs="Times New Roman"/>
                <w:bCs/>
                <w:sz w:val="20"/>
                <w:szCs w:val="20"/>
              </w:rPr>
            </w:pPr>
            <w:r w:rsidRPr="00297DA6">
              <w:rPr>
                <w:rFonts w:eastAsia="Calibri" w:cs="Times New Roman"/>
                <w:bCs/>
                <w:sz w:val="20"/>
                <w:szCs w:val="20"/>
              </w:rPr>
              <w:t>Размер расходов, связанных с предоставлением беспроцентной рассрочкой платежей по оплате технологического присоединения энергопринимающих устройств максимальной мощностью выше 15кВт и до 150кВт</w:t>
            </w:r>
          </w:p>
        </w:tc>
        <w:tc>
          <w:tcPr>
            <w:tcW w:w="2241" w:type="dxa"/>
            <w:noWrap/>
          </w:tcPr>
          <w:p w14:paraId="4DFAF7D4" w14:textId="506E0859" w:rsidR="000E6F7D" w:rsidRPr="00297DA6" w:rsidRDefault="000E6F7D" w:rsidP="00B11C26">
            <w:pPr>
              <w:tabs>
                <w:tab w:val="left" w:pos="1134"/>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Cs/>
                <w:sz w:val="20"/>
                <w:szCs w:val="20"/>
              </w:rPr>
            </w:pPr>
            <w:r w:rsidRPr="00297DA6">
              <w:rPr>
                <w:rFonts w:eastAsia="Calibri" w:cs="Times New Roman"/>
                <w:bCs/>
                <w:sz w:val="20"/>
                <w:szCs w:val="20"/>
              </w:rPr>
              <w:t>189,04</w:t>
            </w:r>
          </w:p>
        </w:tc>
      </w:tr>
      <w:tr w:rsidR="000E6F7D" w:rsidRPr="008A1FE3" w14:paraId="11DA28F6" w14:textId="77777777" w:rsidTr="00297DA6">
        <w:tc>
          <w:tcPr>
            <w:cnfStyle w:val="001000000000" w:firstRow="0" w:lastRow="0" w:firstColumn="1" w:lastColumn="0" w:oddVBand="0" w:evenVBand="0" w:oddHBand="0" w:evenHBand="0" w:firstRowFirstColumn="0" w:firstRowLastColumn="0" w:lastRowFirstColumn="0" w:lastRowLastColumn="0"/>
            <w:tcW w:w="704" w:type="dxa"/>
            <w:shd w:val="clear" w:color="auto" w:fill="D6E3BC" w:themeFill="accent3" w:themeFillTint="66"/>
            <w:noWrap/>
            <w:hideMark/>
          </w:tcPr>
          <w:p w14:paraId="6512DA2B" w14:textId="77777777" w:rsidR="000E6F7D" w:rsidRPr="00297DA6" w:rsidRDefault="000E6F7D" w:rsidP="00EB2242">
            <w:pPr>
              <w:tabs>
                <w:tab w:val="left" w:pos="1134"/>
              </w:tabs>
              <w:autoSpaceDE w:val="0"/>
              <w:autoSpaceDN w:val="0"/>
              <w:adjustRightInd w:val="0"/>
              <w:jc w:val="center"/>
              <w:rPr>
                <w:rFonts w:eastAsia="Calibri" w:cs="Times New Roman"/>
                <w:b/>
                <w:sz w:val="20"/>
                <w:szCs w:val="20"/>
              </w:rPr>
            </w:pPr>
            <w:r w:rsidRPr="00297DA6">
              <w:rPr>
                <w:rFonts w:eastAsia="Calibri" w:cs="Times New Roman"/>
                <w:b/>
                <w:sz w:val="20"/>
                <w:szCs w:val="20"/>
              </w:rPr>
              <w:t>4</w:t>
            </w:r>
          </w:p>
        </w:tc>
        <w:tc>
          <w:tcPr>
            <w:tcW w:w="6541" w:type="dxa"/>
            <w:shd w:val="clear" w:color="auto" w:fill="D6E3BC" w:themeFill="accent3" w:themeFillTint="66"/>
            <w:hideMark/>
          </w:tcPr>
          <w:p w14:paraId="1F489477" w14:textId="77777777" w:rsidR="000E6F7D" w:rsidRPr="00297DA6" w:rsidRDefault="000E6F7D" w:rsidP="00B11C26">
            <w:pPr>
              <w:tabs>
                <w:tab w:val="left" w:pos="1134"/>
              </w:tabs>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eastAsia="Calibri" w:cs="Times New Roman"/>
                <w:b/>
                <w:sz w:val="20"/>
                <w:szCs w:val="20"/>
              </w:rPr>
            </w:pPr>
            <w:r w:rsidRPr="00297DA6">
              <w:rPr>
                <w:rFonts w:eastAsia="Calibri" w:cs="Times New Roman"/>
                <w:b/>
                <w:sz w:val="20"/>
                <w:szCs w:val="20"/>
              </w:rPr>
              <w:t>Итого:</w:t>
            </w:r>
          </w:p>
        </w:tc>
        <w:tc>
          <w:tcPr>
            <w:tcW w:w="2241" w:type="dxa"/>
            <w:shd w:val="clear" w:color="auto" w:fill="D6E3BC" w:themeFill="accent3" w:themeFillTint="66"/>
            <w:noWrap/>
          </w:tcPr>
          <w:p w14:paraId="3E7461D6" w14:textId="23C32026" w:rsidR="000E6F7D" w:rsidRPr="008A1FE3" w:rsidRDefault="000E6F7D" w:rsidP="00B11C26">
            <w:pPr>
              <w:tabs>
                <w:tab w:val="left" w:pos="1134"/>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cs="Times New Roman"/>
                <w:b/>
                <w:sz w:val="20"/>
                <w:szCs w:val="20"/>
              </w:rPr>
            </w:pPr>
            <w:r w:rsidRPr="00297DA6">
              <w:rPr>
                <w:rFonts w:eastAsia="Calibri" w:cs="Times New Roman"/>
                <w:b/>
                <w:sz w:val="20"/>
                <w:szCs w:val="20"/>
              </w:rPr>
              <w:t>111 495</w:t>
            </w:r>
          </w:p>
        </w:tc>
      </w:tr>
    </w:tbl>
    <w:p w14:paraId="6D3927D2" w14:textId="6457B6B2" w:rsidR="00BD349C" w:rsidRPr="00FB0A3A" w:rsidRDefault="00BD349C" w:rsidP="00A31747">
      <w:pPr>
        <w:tabs>
          <w:tab w:val="left" w:pos="1134"/>
        </w:tabs>
        <w:spacing w:after="0" w:line="360" w:lineRule="auto"/>
        <w:ind w:firstLine="567"/>
        <w:contextualSpacing/>
        <w:jc w:val="both"/>
        <w:rPr>
          <w:rFonts w:ascii="Myriad Pro" w:hAnsi="Myriad Pro"/>
          <w:sz w:val="26"/>
          <w:szCs w:val="26"/>
        </w:rPr>
      </w:pPr>
    </w:p>
    <w:p w14:paraId="63148221" w14:textId="77777777" w:rsidR="002F115E" w:rsidRDefault="002F115E" w:rsidP="008A1FE3">
      <w:pPr>
        <w:pStyle w:val="3"/>
        <w:numPr>
          <w:ilvl w:val="1"/>
          <w:numId w:val="67"/>
        </w:numPr>
        <w:spacing w:line="360" w:lineRule="auto"/>
        <w:jc w:val="both"/>
        <w:rPr>
          <w:rFonts w:ascii="Myriad Pro" w:hAnsi="Myriad Pro"/>
          <w:b/>
          <w:color w:val="4F6228" w:themeColor="accent3" w:themeShade="80"/>
          <w:sz w:val="28"/>
          <w:szCs w:val="28"/>
        </w:rPr>
        <w:sectPr w:rsidR="002F115E" w:rsidSect="00FB0A3A">
          <w:pgSz w:w="11906" w:h="16838"/>
          <w:pgMar w:top="1134" w:right="851" w:bottom="1134" w:left="1701" w:header="708" w:footer="708" w:gutter="0"/>
          <w:cols w:space="708"/>
          <w:docGrid w:linePitch="360"/>
        </w:sectPr>
      </w:pPr>
      <w:bookmarkStart w:id="62" w:name="_Toc34380659"/>
    </w:p>
    <w:p w14:paraId="142D2AB1" w14:textId="5D67682E" w:rsidR="009A628A" w:rsidRPr="008B4E5A" w:rsidRDefault="008A1FE3" w:rsidP="008A1FE3">
      <w:pPr>
        <w:pStyle w:val="3"/>
        <w:numPr>
          <w:ilvl w:val="1"/>
          <w:numId w:val="67"/>
        </w:numPr>
        <w:spacing w:line="360" w:lineRule="auto"/>
        <w:jc w:val="both"/>
        <w:rPr>
          <w:rFonts w:ascii="Myriad Pro" w:hAnsi="Myriad Pro"/>
          <w:b/>
          <w:color w:val="4F6228" w:themeColor="accent3" w:themeShade="80"/>
          <w:sz w:val="28"/>
          <w:szCs w:val="28"/>
        </w:rPr>
      </w:pPr>
      <w:r>
        <w:rPr>
          <w:rFonts w:ascii="Myriad Pro" w:hAnsi="Myriad Pro"/>
          <w:b/>
          <w:color w:val="4F6228" w:themeColor="accent3" w:themeShade="80"/>
          <w:sz w:val="28"/>
          <w:szCs w:val="28"/>
        </w:rPr>
        <w:lastRenderedPageBreak/>
        <w:t xml:space="preserve"> </w:t>
      </w:r>
      <w:bookmarkStart w:id="63" w:name="_Toc40797971"/>
      <w:r w:rsidR="009A628A" w:rsidRPr="008B4E5A">
        <w:rPr>
          <w:rFonts w:ascii="Myriad Pro" w:hAnsi="Myriad Pro"/>
          <w:b/>
          <w:color w:val="4F6228" w:themeColor="accent3" w:themeShade="80"/>
          <w:sz w:val="28"/>
          <w:szCs w:val="28"/>
        </w:rPr>
        <w:t>Расходы на обслуживание кредитных ресурсов</w:t>
      </w:r>
      <w:bookmarkEnd w:id="62"/>
      <w:r w:rsidR="009A628A" w:rsidRPr="008B4E5A">
        <w:rPr>
          <w:rFonts w:ascii="Myriad Pro" w:hAnsi="Myriad Pro"/>
          <w:b/>
          <w:color w:val="4F6228" w:themeColor="accent3" w:themeShade="80"/>
          <w:sz w:val="28"/>
          <w:szCs w:val="28"/>
        </w:rPr>
        <w:t xml:space="preserve"> (проценты к уплате)</w:t>
      </w:r>
      <w:bookmarkEnd w:id="63"/>
    </w:p>
    <w:p w14:paraId="23CB83CC" w14:textId="77777777" w:rsidR="009A628A" w:rsidRPr="008B4E5A" w:rsidRDefault="009A628A" w:rsidP="00DD0AAA">
      <w:pPr>
        <w:pStyle w:val="afff4"/>
        <w:rPr>
          <w:lang w:val="ru-RU"/>
        </w:rPr>
      </w:pPr>
      <w:r w:rsidRPr="008B4E5A">
        <w:rPr>
          <w:lang w:val="ru-RU"/>
        </w:rPr>
        <w:t>Согласно п. 7 Основ ценообразования в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 К экономически обоснованным расходам в том числе относятся расходы, связанные с обслуживанием заемных средств, привлекаемых для покрытия недостатка средств (за исключением случая применения в отношении организации, осуществляющей регулируемую деятельность, метода доходности инвестированного капитала).</w:t>
      </w:r>
    </w:p>
    <w:tbl>
      <w:tblPr>
        <w:tblStyle w:val="afff6"/>
        <w:tblW w:w="5000" w:type="pct"/>
        <w:tblLayout w:type="fixed"/>
        <w:tblLook w:val="04A0" w:firstRow="1" w:lastRow="0" w:firstColumn="1" w:lastColumn="0" w:noHBand="0" w:noVBand="1"/>
      </w:tblPr>
      <w:tblGrid>
        <w:gridCol w:w="2105"/>
        <w:gridCol w:w="1265"/>
        <w:gridCol w:w="2069"/>
        <w:gridCol w:w="1257"/>
        <w:gridCol w:w="1414"/>
        <w:gridCol w:w="1234"/>
      </w:tblGrid>
      <w:tr w:rsidR="0097200A" w:rsidRPr="008B4E5A" w14:paraId="7B89E09B" w14:textId="77777777" w:rsidTr="002267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7EE1E96B" w14:textId="77777777" w:rsidR="009A628A" w:rsidRPr="008B4E5A" w:rsidRDefault="009A628A" w:rsidP="0097200A">
            <w:pPr>
              <w:tabs>
                <w:tab w:val="left" w:pos="1134"/>
              </w:tabs>
              <w:jc w:val="center"/>
              <w:rPr>
                <w:rFonts w:eastAsia="Calibri" w:cs="Times New Roman"/>
                <w:sz w:val="20"/>
                <w:szCs w:val="20"/>
              </w:rPr>
            </w:pPr>
            <w:r w:rsidRPr="008B4E5A">
              <w:rPr>
                <w:rFonts w:eastAsia="Calibri" w:cs="Times New Roman"/>
                <w:sz w:val="20"/>
                <w:szCs w:val="20"/>
              </w:rPr>
              <w:t> Наименование статьи</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3BC4A42F" w14:textId="77777777" w:rsidR="009A628A" w:rsidRPr="008B4E5A" w:rsidRDefault="009A628A" w:rsidP="0097200A">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 w:val="20"/>
                <w:szCs w:val="20"/>
              </w:rPr>
            </w:pPr>
            <w:r w:rsidRPr="008B4E5A">
              <w:rPr>
                <w:rFonts w:eastAsia="Calibri" w:cs="Times New Roman"/>
                <w:sz w:val="20"/>
                <w:szCs w:val="20"/>
              </w:rPr>
              <w:t>Факт за 2017, тыс. руб.</w:t>
            </w:r>
          </w:p>
        </w:tc>
        <w:tc>
          <w:tcPr>
            <w:tcW w:w="21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1DB71B9" w14:textId="202CC9B7" w:rsidR="009A628A" w:rsidRPr="008B4E5A" w:rsidRDefault="009A628A" w:rsidP="0097200A">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 w:val="20"/>
                <w:szCs w:val="20"/>
              </w:rPr>
            </w:pPr>
            <w:r w:rsidRPr="008B4E5A">
              <w:rPr>
                <w:rFonts w:eastAsia="Calibri" w:cs="Times New Roman"/>
                <w:sz w:val="20"/>
                <w:szCs w:val="20"/>
              </w:rPr>
              <w:t xml:space="preserve">Заявлено филиалом ПАО </w:t>
            </w:r>
            <w:r w:rsidR="00655FFA" w:rsidRPr="008B4E5A">
              <w:rPr>
                <w:rFonts w:eastAsia="Calibri" w:cs="Times New Roman"/>
                <w:sz w:val="20"/>
                <w:szCs w:val="20"/>
              </w:rPr>
              <w:t>«</w:t>
            </w:r>
            <w:r w:rsidR="00597FD5" w:rsidRPr="008B4E5A">
              <w:rPr>
                <w:rFonts w:eastAsia="Calibri" w:cs="Times New Roman"/>
                <w:sz w:val="20"/>
                <w:szCs w:val="20"/>
              </w:rPr>
              <w:t>МРСК Северо-Запада</w:t>
            </w:r>
            <w:r w:rsidR="00655FFA" w:rsidRPr="008B4E5A">
              <w:rPr>
                <w:rFonts w:eastAsia="Calibri" w:cs="Times New Roman"/>
                <w:sz w:val="20"/>
                <w:szCs w:val="20"/>
              </w:rPr>
              <w:t>»</w:t>
            </w:r>
            <w:r w:rsidRPr="008B4E5A">
              <w:rPr>
                <w:rFonts w:eastAsia="Calibri" w:cs="Times New Roman"/>
                <w:sz w:val="20"/>
                <w:szCs w:val="20"/>
              </w:rPr>
              <w:t xml:space="preserve"> </w:t>
            </w:r>
            <w:r w:rsidR="00655FFA" w:rsidRPr="008B4E5A">
              <w:rPr>
                <w:rFonts w:eastAsia="Calibri" w:cs="Times New Roman"/>
                <w:sz w:val="20"/>
                <w:szCs w:val="20"/>
              </w:rPr>
              <w:t>«</w:t>
            </w:r>
            <w:r w:rsidRPr="008B4E5A">
              <w:rPr>
                <w:rFonts w:eastAsia="Calibri" w:cs="Times New Roman"/>
                <w:sz w:val="20"/>
                <w:szCs w:val="20"/>
              </w:rPr>
              <w:t>Колэнерго</w:t>
            </w:r>
            <w:r w:rsidR="00655FFA" w:rsidRPr="008B4E5A">
              <w:rPr>
                <w:rFonts w:eastAsia="Calibri" w:cs="Times New Roman"/>
                <w:sz w:val="20"/>
                <w:szCs w:val="20"/>
              </w:rPr>
              <w:t>»</w:t>
            </w:r>
            <w:r w:rsidRPr="008B4E5A">
              <w:rPr>
                <w:rFonts w:eastAsia="Calibri" w:cs="Times New Roman"/>
                <w:sz w:val="20"/>
                <w:szCs w:val="20"/>
              </w:rPr>
              <w:t xml:space="preserve"> на 2019, тыс. руб.</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AA68718" w14:textId="77777777" w:rsidR="009A628A" w:rsidRPr="008B4E5A" w:rsidRDefault="009A628A" w:rsidP="0097200A">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 w:val="20"/>
                <w:szCs w:val="20"/>
              </w:rPr>
            </w:pPr>
            <w:r w:rsidRPr="008B4E5A">
              <w:rPr>
                <w:rFonts w:eastAsia="Calibri" w:cs="Times New Roman"/>
                <w:sz w:val="20"/>
                <w:szCs w:val="20"/>
              </w:rPr>
              <w:t>ТБР на 2019, тыс. руб.</w:t>
            </w:r>
          </w:p>
        </w:tc>
        <w:tc>
          <w:tcPr>
            <w:tcW w:w="14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1998919" w14:textId="77777777" w:rsidR="009A628A" w:rsidRPr="008B4E5A" w:rsidRDefault="009A628A" w:rsidP="0097200A">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 w:val="20"/>
                <w:szCs w:val="20"/>
              </w:rPr>
            </w:pPr>
            <w:r w:rsidRPr="008B4E5A">
              <w:rPr>
                <w:rFonts w:eastAsia="Calibri" w:cs="Times New Roman"/>
                <w:sz w:val="20"/>
                <w:szCs w:val="20"/>
              </w:rPr>
              <w:t>Отклонение ТБР на 2019/ заявка на 2019, %</w:t>
            </w:r>
          </w:p>
        </w:tc>
        <w:tc>
          <w:tcPr>
            <w:tcW w:w="12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A2D6BB5" w14:textId="77777777" w:rsidR="009A628A" w:rsidRPr="008B4E5A" w:rsidRDefault="009A628A" w:rsidP="0097200A">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 w:val="20"/>
                <w:szCs w:val="20"/>
              </w:rPr>
            </w:pPr>
            <w:r w:rsidRPr="008B4E5A">
              <w:rPr>
                <w:rFonts w:eastAsia="Calibri" w:cs="Times New Roman"/>
                <w:sz w:val="20"/>
                <w:szCs w:val="20"/>
              </w:rPr>
              <w:t>ТБР на 2019 /факт за 2017, %</w:t>
            </w:r>
          </w:p>
        </w:tc>
      </w:tr>
      <w:tr w:rsidR="009A628A" w:rsidRPr="008B4E5A" w14:paraId="5B582F59" w14:textId="77777777" w:rsidTr="002267D7">
        <w:tc>
          <w:tcPr>
            <w:cnfStyle w:val="001000000000" w:firstRow="0" w:lastRow="0" w:firstColumn="1" w:lastColumn="0" w:oddVBand="0" w:evenVBand="0" w:oddHBand="0" w:evenHBand="0" w:firstRowFirstColumn="0" w:firstRowLastColumn="0" w:lastRowFirstColumn="0" w:lastRowLastColumn="0"/>
            <w:tcW w:w="2139" w:type="dxa"/>
            <w:tcBorders>
              <w:top w:val="single" w:sz="4" w:space="0" w:color="FFFFFF" w:themeColor="background1"/>
            </w:tcBorders>
            <w:hideMark/>
          </w:tcPr>
          <w:p w14:paraId="15A90B31" w14:textId="77777777" w:rsidR="009A628A" w:rsidRPr="008B4E5A" w:rsidRDefault="009A628A" w:rsidP="0097200A">
            <w:pPr>
              <w:tabs>
                <w:tab w:val="left" w:pos="1134"/>
              </w:tabs>
              <w:rPr>
                <w:rFonts w:eastAsia="Calibri" w:cs="Times New Roman"/>
                <w:sz w:val="20"/>
                <w:szCs w:val="20"/>
              </w:rPr>
            </w:pPr>
            <w:r w:rsidRPr="008B4E5A">
              <w:rPr>
                <w:rFonts w:eastAsia="Calibri" w:cs="Times New Roman"/>
                <w:sz w:val="20"/>
                <w:szCs w:val="20"/>
              </w:rPr>
              <w:t>Расходы на обслуживание кредитных ресурсов (проценты к уплате)</w:t>
            </w:r>
          </w:p>
        </w:tc>
        <w:tc>
          <w:tcPr>
            <w:tcW w:w="1283" w:type="dxa"/>
            <w:tcBorders>
              <w:top w:val="single" w:sz="4" w:space="0" w:color="FFFFFF" w:themeColor="background1"/>
            </w:tcBorders>
            <w:hideMark/>
          </w:tcPr>
          <w:p w14:paraId="111F0EA0" w14:textId="77777777" w:rsidR="009A628A" w:rsidRPr="008B4E5A" w:rsidRDefault="009A628A" w:rsidP="0097200A">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8B4E5A">
              <w:rPr>
                <w:rFonts w:eastAsia="Calibri" w:cs="Times New Roman"/>
                <w:sz w:val="20"/>
                <w:szCs w:val="20"/>
              </w:rPr>
              <w:t>170 624,38</w:t>
            </w:r>
          </w:p>
        </w:tc>
        <w:tc>
          <w:tcPr>
            <w:tcW w:w="2102" w:type="dxa"/>
            <w:tcBorders>
              <w:top w:val="single" w:sz="4" w:space="0" w:color="FFFFFF" w:themeColor="background1"/>
            </w:tcBorders>
            <w:hideMark/>
          </w:tcPr>
          <w:p w14:paraId="6F80CFF6" w14:textId="77777777" w:rsidR="009A628A" w:rsidRPr="008B4E5A" w:rsidRDefault="009A628A" w:rsidP="0097200A">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8B4E5A">
              <w:rPr>
                <w:rFonts w:eastAsia="Calibri" w:cs="Times New Roman"/>
                <w:sz w:val="20"/>
                <w:szCs w:val="20"/>
              </w:rPr>
              <w:t>218 573,27</w:t>
            </w:r>
          </w:p>
        </w:tc>
        <w:tc>
          <w:tcPr>
            <w:tcW w:w="1275" w:type="dxa"/>
            <w:tcBorders>
              <w:top w:val="single" w:sz="4" w:space="0" w:color="FFFFFF" w:themeColor="background1"/>
            </w:tcBorders>
            <w:hideMark/>
          </w:tcPr>
          <w:p w14:paraId="3BB70747" w14:textId="77777777" w:rsidR="009A628A" w:rsidRPr="008B4E5A" w:rsidRDefault="009A628A" w:rsidP="0097200A">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8B4E5A">
              <w:rPr>
                <w:rFonts w:eastAsia="Calibri" w:cs="Times New Roman"/>
                <w:sz w:val="20"/>
                <w:szCs w:val="20"/>
              </w:rPr>
              <w:t>218 573,27</w:t>
            </w:r>
          </w:p>
        </w:tc>
        <w:tc>
          <w:tcPr>
            <w:tcW w:w="1435" w:type="dxa"/>
            <w:tcBorders>
              <w:top w:val="single" w:sz="4" w:space="0" w:color="FFFFFF" w:themeColor="background1"/>
            </w:tcBorders>
            <w:hideMark/>
          </w:tcPr>
          <w:p w14:paraId="779F12D2" w14:textId="77777777" w:rsidR="009A628A" w:rsidRPr="008B4E5A" w:rsidRDefault="009A628A" w:rsidP="0097200A">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8B4E5A">
              <w:rPr>
                <w:rFonts w:eastAsia="Calibri" w:cs="Times New Roman"/>
                <w:sz w:val="20"/>
                <w:szCs w:val="20"/>
              </w:rPr>
              <w:t>0,0</w:t>
            </w:r>
          </w:p>
        </w:tc>
        <w:tc>
          <w:tcPr>
            <w:tcW w:w="1252" w:type="dxa"/>
            <w:tcBorders>
              <w:top w:val="single" w:sz="4" w:space="0" w:color="FFFFFF" w:themeColor="background1"/>
            </w:tcBorders>
            <w:hideMark/>
          </w:tcPr>
          <w:p w14:paraId="2CA1EEF0" w14:textId="77777777" w:rsidR="009A628A" w:rsidRPr="008B4E5A" w:rsidRDefault="009A628A" w:rsidP="0097200A">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8B4E5A">
              <w:rPr>
                <w:rFonts w:eastAsia="Calibri" w:cs="Times New Roman"/>
                <w:sz w:val="20"/>
                <w:szCs w:val="20"/>
              </w:rPr>
              <w:t>28,10</w:t>
            </w:r>
          </w:p>
        </w:tc>
      </w:tr>
    </w:tbl>
    <w:p w14:paraId="56E4318A" w14:textId="77777777" w:rsidR="001372A0" w:rsidRDefault="001372A0" w:rsidP="00DD0AAA">
      <w:pPr>
        <w:tabs>
          <w:tab w:val="left" w:pos="1134"/>
        </w:tabs>
        <w:spacing w:after="0" w:line="360" w:lineRule="auto"/>
        <w:contextualSpacing/>
        <w:jc w:val="both"/>
        <w:rPr>
          <w:rFonts w:ascii="Myriad Pro" w:eastAsia="Calibri" w:hAnsi="Myriad Pro" w:cs="Times New Roman"/>
          <w:b/>
          <w:sz w:val="26"/>
          <w:szCs w:val="26"/>
        </w:rPr>
      </w:pPr>
    </w:p>
    <w:p w14:paraId="3CE2C6EC" w14:textId="6935FAD2" w:rsidR="009A628A" w:rsidRPr="008B4E5A" w:rsidRDefault="009A628A" w:rsidP="00DD0AAA">
      <w:pPr>
        <w:tabs>
          <w:tab w:val="left" w:pos="1134"/>
        </w:tabs>
        <w:spacing w:after="0" w:line="360" w:lineRule="auto"/>
        <w:contextualSpacing/>
        <w:jc w:val="both"/>
        <w:rPr>
          <w:rFonts w:ascii="Myriad Pro" w:eastAsia="Calibri" w:hAnsi="Myriad Pro" w:cs="Times New Roman"/>
          <w:b/>
          <w:sz w:val="26"/>
          <w:szCs w:val="26"/>
        </w:rPr>
      </w:pPr>
      <w:r w:rsidRPr="008B4E5A">
        <w:rPr>
          <w:rFonts w:ascii="Myriad Pro" w:eastAsia="Calibri" w:hAnsi="Myriad Pro" w:cs="Times New Roman"/>
          <w:b/>
          <w:sz w:val="26"/>
          <w:szCs w:val="26"/>
        </w:rPr>
        <w:t>ПОЗИЦИЯ ТЕРРИТОРИАЛЬНОЙ СЕТЕВОЙ ОРГАНИЗАЦИИ</w:t>
      </w:r>
    </w:p>
    <w:p w14:paraId="62F616A9" w14:textId="31794C30" w:rsidR="009A628A" w:rsidRPr="008B4E5A" w:rsidRDefault="009A628A" w:rsidP="0097200A">
      <w:pPr>
        <w:tabs>
          <w:tab w:val="left" w:pos="1134"/>
        </w:tabs>
        <w:spacing w:after="0" w:line="360" w:lineRule="auto"/>
        <w:ind w:firstLine="567"/>
        <w:jc w:val="both"/>
        <w:rPr>
          <w:rFonts w:ascii="Myriad Pro" w:eastAsia="Calibri" w:hAnsi="Myriad Pro" w:cs="Times New Roman"/>
          <w:sz w:val="26"/>
          <w:szCs w:val="26"/>
        </w:rPr>
      </w:pPr>
      <w:r w:rsidRPr="008B4E5A">
        <w:rPr>
          <w:rFonts w:ascii="Myriad Pro" w:eastAsia="Calibri" w:hAnsi="Myriad Pro" w:cs="Times New Roman"/>
          <w:sz w:val="26"/>
          <w:szCs w:val="26"/>
        </w:rPr>
        <w:t xml:space="preserve">ПАО </w:t>
      </w:r>
      <w:r w:rsidR="00655FFA" w:rsidRPr="008B4E5A">
        <w:rPr>
          <w:rFonts w:ascii="Myriad Pro" w:eastAsia="Calibri" w:hAnsi="Myriad Pro" w:cs="Times New Roman"/>
          <w:sz w:val="26"/>
          <w:szCs w:val="26"/>
        </w:rPr>
        <w:t>«</w:t>
      </w:r>
      <w:r w:rsidR="00597FD5" w:rsidRPr="008B4E5A">
        <w:rPr>
          <w:rFonts w:ascii="Myriad Pro" w:eastAsia="Calibri" w:hAnsi="Myriad Pro" w:cs="Times New Roman"/>
          <w:sz w:val="26"/>
          <w:szCs w:val="26"/>
        </w:rPr>
        <w:t>МРСК Северо-Запада</w:t>
      </w:r>
      <w:r w:rsidR="00655FFA" w:rsidRPr="008B4E5A">
        <w:rPr>
          <w:rFonts w:ascii="Myriad Pro" w:eastAsia="Calibri" w:hAnsi="Myriad Pro" w:cs="Times New Roman"/>
          <w:sz w:val="26"/>
          <w:szCs w:val="26"/>
        </w:rPr>
        <w:t>»</w:t>
      </w:r>
      <w:r w:rsidRPr="008B4E5A">
        <w:rPr>
          <w:rFonts w:ascii="Myriad Pro" w:eastAsia="Calibri" w:hAnsi="Myriad Pro" w:cs="Times New Roman"/>
          <w:sz w:val="26"/>
          <w:szCs w:val="26"/>
        </w:rPr>
        <w:t xml:space="preserve"> привлекает заёмные средства на основании заключенных с кредитными организациями договоров по результатам конкурсных процедур и в рамках кредитного плана, одобренного органами управления компании (Правлением и Советом директоров Общества). Конкурсные процедуры по привлечению кредитных ресурсов осуществляются согласно Федерального закону от 26 июля 2006 г. № 135-ФЗ </w:t>
      </w:r>
      <w:r w:rsidR="00655FFA" w:rsidRPr="008B4E5A">
        <w:rPr>
          <w:rFonts w:ascii="Myriad Pro" w:eastAsia="Calibri" w:hAnsi="Myriad Pro" w:cs="Times New Roman"/>
          <w:sz w:val="26"/>
          <w:szCs w:val="26"/>
        </w:rPr>
        <w:t>«</w:t>
      </w:r>
      <w:r w:rsidRPr="008B4E5A">
        <w:rPr>
          <w:rFonts w:ascii="Myriad Pro" w:eastAsia="Calibri" w:hAnsi="Myriad Pro" w:cs="Times New Roman"/>
          <w:sz w:val="26"/>
          <w:szCs w:val="26"/>
        </w:rPr>
        <w:t>О защите конкуренции</w:t>
      </w:r>
      <w:r w:rsidR="00655FFA" w:rsidRPr="008B4E5A">
        <w:rPr>
          <w:rFonts w:ascii="Myriad Pro" w:eastAsia="Calibri" w:hAnsi="Myriad Pro" w:cs="Times New Roman"/>
          <w:sz w:val="26"/>
          <w:szCs w:val="26"/>
        </w:rPr>
        <w:t>»</w:t>
      </w:r>
      <w:r w:rsidRPr="008B4E5A">
        <w:rPr>
          <w:rFonts w:ascii="Myriad Pro" w:eastAsia="Calibri" w:hAnsi="Myriad Pro" w:cs="Times New Roman"/>
          <w:sz w:val="26"/>
          <w:szCs w:val="26"/>
        </w:rPr>
        <w:t xml:space="preserve"> и в соответствии с положениями Федерального закона от 05 апреля 2013 г. № 44-ФЗ </w:t>
      </w:r>
      <w:r w:rsidR="00655FFA" w:rsidRPr="008B4E5A">
        <w:rPr>
          <w:rFonts w:ascii="Myriad Pro" w:eastAsia="Calibri" w:hAnsi="Myriad Pro" w:cs="Times New Roman"/>
          <w:sz w:val="26"/>
          <w:szCs w:val="26"/>
        </w:rPr>
        <w:lastRenderedPageBreak/>
        <w:t>«</w:t>
      </w:r>
      <w:r w:rsidRPr="008B4E5A">
        <w:rPr>
          <w:rFonts w:ascii="Myriad Pro" w:eastAsia="Calibri" w:hAnsi="Myriad Pro" w:cs="Times New Roman"/>
          <w:sz w:val="26"/>
          <w:szCs w:val="26"/>
        </w:rPr>
        <w:t>О контрактной системе в сфере закупок товаров, работ, услуг для обеспечения государственных и муниципальных нужд</w:t>
      </w:r>
      <w:r w:rsidR="00655FFA" w:rsidRPr="008B4E5A">
        <w:rPr>
          <w:rFonts w:ascii="Myriad Pro" w:eastAsia="Calibri" w:hAnsi="Myriad Pro" w:cs="Times New Roman"/>
          <w:sz w:val="26"/>
          <w:szCs w:val="26"/>
        </w:rPr>
        <w:t>»</w:t>
      </w:r>
      <w:r w:rsidRPr="008B4E5A">
        <w:rPr>
          <w:rFonts w:ascii="Myriad Pro" w:eastAsia="Calibri" w:hAnsi="Myriad Pro" w:cs="Times New Roman"/>
          <w:sz w:val="26"/>
          <w:szCs w:val="26"/>
        </w:rPr>
        <w:t>. Следовательно, заключенные Обществом кредитные договоры позволяют на оптимальных для Общества рыночных условиях привлекать кредитные ресурсы с учётом минимизации стоимости заёмных средств.</w:t>
      </w:r>
    </w:p>
    <w:p w14:paraId="15D043D0" w14:textId="77777777" w:rsidR="009A628A" w:rsidRPr="008B4E5A" w:rsidRDefault="009A628A" w:rsidP="005013AA">
      <w:pPr>
        <w:tabs>
          <w:tab w:val="left" w:pos="1134"/>
        </w:tabs>
        <w:spacing w:after="0" w:line="360" w:lineRule="auto"/>
        <w:ind w:firstLine="567"/>
        <w:jc w:val="both"/>
        <w:rPr>
          <w:rFonts w:ascii="Myriad Pro" w:eastAsia="Calibri" w:hAnsi="Myriad Pro" w:cs="Times New Roman"/>
          <w:sz w:val="26"/>
          <w:szCs w:val="26"/>
        </w:rPr>
      </w:pPr>
      <w:r w:rsidRPr="008B4E5A">
        <w:rPr>
          <w:rFonts w:ascii="Myriad Pro" w:eastAsia="Calibri" w:hAnsi="Myriad Pro" w:cs="Times New Roman"/>
          <w:sz w:val="26"/>
          <w:szCs w:val="26"/>
        </w:rPr>
        <w:t>В соответствии с п. 29 Основ ценообразования плановые расходы подтверждены реестром кредитных договоров, с указанием решений, по конкурсным процедурам, копии договоров, заключенных для целей применения в 2019 году, с приложением протоколов рассмотрения заявок на участие в открытом аукционе и протоколов проведения открытого аукциона представлены в Приложении.</w:t>
      </w:r>
    </w:p>
    <w:p w14:paraId="71C6440C" w14:textId="56F01498" w:rsidR="009A628A" w:rsidRPr="008B4E5A" w:rsidRDefault="009A628A" w:rsidP="0097200A">
      <w:pPr>
        <w:tabs>
          <w:tab w:val="left" w:pos="1134"/>
        </w:tabs>
        <w:spacing w:after="0" w:line="360" w:lineRule="auto"/>
        <w:ind w:firstLine="567"/>
        <w:jc w:val="both"/>
        <w:rPr>
          <w:rFonts w:ascii="Myriad Pro" w:eastAsia="Calibri" w:hAnsi="Myriad Pro" w:cs="Times New Roman"/>
          <w:sz w:val="26"/>
          <w:szCs w:val="26"/>
        </w:rPr>
      </w:pPr>
      <w:r w:rsidRPr="008B4E5A">
        <w:rPr>
          <w:rFonts w:ascii="Myriad Pro" w:eastAsia="Calibri" w:hAnsi="Myriad Pro" w:cs="Times New Roman"/>
          <w:sz w:val="26"/>
          <w:szCs w:val="26"/>
        </w:rPr>
        <w:t xml:space="preserve">Расходы на обслуживание заемных средств распределяются по филиалам в соответствии с </w:t>
      </w:r>
      <w:r w:rsidR="00655FFA" w:rsidRPr="008B4E5A">
        <w:rPr>
          <w:rFonts w:ascii="Myriad Pro" w:eastAsia="Calibri" w:hAnsi="Myriad Pro" w:cs="Times New Roman"/>
          <w:sz w:val="26"/>
          <w:szCs w:val="26"/>
        </w:rPr>
        <w:t>«</w:t>
      </w:r>
      <w:r w:rsidRPr="008B4E5A">
        <w:rPr>
          <w:rFonts w:ascii="Myriad Pro" w:eastAsia="Calibri" w:hAnsi="Myriad Pro" w:cs="Times New Roman"/>
          <w:sz w:val="26"/>
          <w:szCs w:val="26"/>
        </w:rPr>
        <w:t xml:space="preserve">Методикой по распределению основного </w:t>
      </w:r>
      <w:r w:rsidR="00DD7590" w:rsidRPr="008B4E5A">
        <w:rPr>
          <w:rFonts w:ascii="Myriad Pro" w:eastAsia="Calibri" w:hAnsi="Myriad Pro" w:cs="Times New Roman"/>
          <w:sz w:val="26"/>
          <w:szCs w:val="26"/>
        </w:rPr>
        <w:t xml:space="preserve">долга и процентов за </w:t>
      </w:r>
      <w:r w:rsidRPr="008B4E5A">
        <w:rPr>
          <w:rFonts w:ascii="Myriad Pro" w:eastAsia="Calibri" w:hAnsi="Myriad Pro" w:cs="Times New Roman"/>
          <w:sz w:val="26"/>
          <w:szCs w:val="26"/>
        </w:rPr>
        <w:t xml:space="preserve">пользование привлекаемых кредитных ресурсов и займов </w:t>
      </w:r>
      <w:r w:rsidR="00164398" w:rsidRPr="008B4E5A">
        <w:rPr>
          <w:rFonts w:ascii="Myriad Pro" w:eastAsia="Calibri" w:hAnsi="Myriad Pro" w:cs="Times New Roman"/>
          <w:sz w:val="26"/>
          <w:szCs w:val="26"/>
        </w:rPr>
        <w:t>по филиалам», утвержденной</w:t>
      </w:r>
      <w:r w:rsidRPr="008B4E5A">
        <w:rPr>
          <w:rFonts w:ascii="Myriad Pro" w:eastAsia="Calibri" w:hAnsi="Myriad Pro" w:cs="Times New Roman"/>
          <w:sz w:val="26"/>
          <w:szCs w:val="26"/>
        </w:rPr>
        <w:t xml:space="preserve"> приказом от 15.01.2018 № 11.</w:t>
      </w:r>
    </w:p>
    <w:p w14:paraId="5E2D771F" w14:textId="15AFC147" w:rsidR="009A628A" w:rsidRPr="008B4E5A" w:rsidRDefault="009A628A" w:rsidP="00A31747">
      <w:pPr>
        <w:tabs>
          <w:tab w:val="left" w:pos="1134"/>
        </w:tabs>
        <w:spacing w:after="0" w:line="360" w:lineRule="auto"/>
        <w:ind w:firstLine="567"/>
        <w:contextualSpacing/>
        <w:jc w:val="both"/>
        <w:rPr>
          <w:rFonts w:ascii="Myriad Pro" w:eastAsia="Calibri" w:hAnsi="Myriad Pro" w:cs="Times New Roman"/>
          <w:sz w:val="26"/>
          <w:szCs w:val="26"/>
        </w:rPr>
      </w:pPr>
      <w:r w:rsidRPr="008B4E5A">
        <w:rPr>
          <w:rFonts w:ascii="Myriad Pro" w:eastAsia="Calibri" w:hAnsi="Myriad Pro" w:cs="Times New Roman"/>
          <w:sz w:val="26"/>
          <w:szCs w:val="26"/>
        </w:rPr>
        <w:t xml:space="preserve">В обоснование заявленной суммы расходов филиалом ПАО </w:t>
      </w:r>
      <w:r w:rsidR="00655FFA" w:rsidRPr="008B4E5A">
        <w:rPr>
          <w:rFonts w:ascii="Myriad Pro" w:eastAsia="Calibri" w:hAnsi="Myriad Pro" w:cs="Times New Roman"/>
          <w:sz w:val="26"/>
          <w:szCs w:val="26"/>
        </w:rPr>
        <w:t>«</w:t>
      </w:r>
      <w:r w:rsidR="00597FD5" w:rsidRPr="008B4E5A">
        <w:rPr>
          <w:rFonts w:ascii="Myriad Pro" w:eastAsia="Calibri" w:hAnsi="Myriad Pro" w:cs="Times New Roman"/>
          <w:sz w:val="26"/>
          <w:szCs w:val="26"/>
        </w:rPr>
        <w:t>МРСК Северо-Запада</w:t>
      </w:r>
      <w:r w:rsidR="00655FFA" w:rsidRPr="008B4E5A">
        <w:rPr>
          <w:rFonts w:ascii="Myriad Pro" w:eastAsia="Calibri" w:hAnsi="Myriad Pro" w:cs="Times New Roman"/>
          <w:sz w:val="26"/>
          <w:szCs w:val="26"/>
        </w:rPr>
        <w:t>»</w:t>
      </w:r>
      <w:r w:rsidRPr="008B4E5A">
        <w:rPr>
          <w:rFonts w:ascii="Myriad Pro" w:eastAsia="Calibri" w:hAnsi="Myriad Pro" w:cs="Times New Roman"/>
          <w:sz w:val="26"/>
          <w:szCs w:val="26"/>
        </w:rPr>
        <w:t xml:space="preserve"> </w:t>
      </w:r>
      <w:r w:rsidR="00655FFA" w:rsidRPr="008B4E5A">
        <w:rPr>
          <w:rFonts w:ascii="Myriad Pro" w:eastAsia="Calibri" w:hAnsi="Myriad Pro" w:cs="Times New Roman"/>
          <w:sz w:val="26"/>
          <w:szCs w:val="26"/>
        </w:rPr>
        <w:t>«</w:t>
      </w:r>
      <w:r w:rsidRPr="008B4E5A">
        <w:rPr>
          <w:rFonts w:ascii="Myriad Pro" w:eastAsia="Calibri" w:hAnsi="Myriad Pro" w:cs="Times New Roman"/>
          <w:sz w:val="26"/>
          <w:szCs w:val="26"/>
        </w:rPr>
        <w:t>Колэнерго</w:t>
      </w:r>
      <w:r w:rsidR="00655FFA" w:rsidRPr="008B4E5A">
        <w:rPr>
          <w:rFonts w:ascii="Myriad Pro" w:eastAsia="Calibri" w:hAnsi="Myriad Pro" w:cs="Times New Roman"/>
          <w:sz w:val="26"/>
          <w:szCs w:val="26"/>
        </w:rPr>
        <w:t>»</w:t>
      </w:r>
      <w:r w:rsidRPr="008B4E5A">
        <w:rPr>
          <w:rFonts w:ascii="Myriad Pro" w:eastAsia="Calibri" w:hAnsi="Myriad Pro" w:cs="Times New Roman"/>
          <w:sz w:val="26"/>
          <w:szCs w:val="26"/>
        </w:rPr>
        <w:t xml:space="preserve"> были предоставлены следующие документы:</w:t>
      </w:r>
    </w:p>
    <w:p w14:paraId="113FB65C" w14:textId="77777777" w:rsidR="009A628A" w:rsidRPr="008B4E5A" w:rsidRDefault="009A628A" w:rsidP="009B0BC1">
      <w:pPr>
        <w:pStyle w:val="a4"/>
        <w:numPr>
          <w:ilvl w:val="0"/>
          <w:numId w:val="11"/>
        </w:numPr>
        <w:tabs>
          <w:tab w:val="left" w:pos="1134"/>
        </w:tabs>
        <w:spacing w:after="0" w:line="360" w:lineRule="auto"/>
        <w:ind w:left="0" w:firstLine="567"/>
        <w:jc w:val="both"/>
        <w:rPr>
          <w:rFonts w:ascii="Myriad Pro" w:hAnsi="Myriad Pro"/>
          <w:sz w:val="26"/>
          <w:szCs w:val="26"/>
        </w:rPr>
      </w:pPr>
      <w:r w:rsidRPr="008B4E5A">
        <w:rPr>
          <w:rFonts w:ascii="Myriad Pro" w:hAnsi="Myriad Pro"/>
          <w:sz w:val="26"/>
          <w:szCs w:val="26"/>
        </w:rPr>
        <w:t>Пояснительная записка;</w:t>
      </w:r>
    </w:p>
    <w:p w14:paraId="54438F95" w14:textId="77777777" w:rsidR="009A628A" w:rsidRPr="008B4E5A" w:rsidRDefault="009A628A" w:rsidP="009B0BC1">
      <w:pPr>
        <w:pStyle w:val="a4"/>
        <w:numPr>
          <w:ilvl w:val="0"/>
          <w:numId w:val="11"/>
        </w:numPr>
        <w:tabs>
          <w:tab w:val="left" w:pos="1134"/>
        </w:tabs>
        <w:spacing w:after="0" w:line="360" w:lineRule="auto"/>
        <w:ind w:left="0" w:firstLine="567"/>
        <w:jc w:val="both"/>
        <w:rPr>
          <w:rFonts w:ascii="Myriad Pro" w:hAnsi="Myriad Pro"/>
          <w:sz w:val="26"/>
          <w:szCs w:val="26"/>
        </w:rPr>
      </w:pPr>
      <w:r w:rsidRPr="008B4E5A">
        <w:rPr>
          <w:rFonts w:ascii="Myriad Pro" w:hAnsi="Myriad Pro"/>
          <w:sz w:val="26"/>
          <w:szCs w:val="26"/>
        </w:rPr>
        <w:t xml:space="preserve">Бухгалтерская (финансовая) отчетность за 2017 год (форма №2 и </w:t>
      </w:r>
      <w:r w:rsidRPr="008B4E5A">
        <w:rPr>
          <w:rFonts w:ascii="Myriad Pro" w:eastAsiaTheme="minorHAnsi" w:hAnsi="Myriad Pro" w:cstheme="minorBidi"/>
          <w:sz w:val="26"/>
          <w:szCs w:val="26"/>
        </w:rPr>
        <w:t>приложение 35. Информация по отчетным сегментам)</w:t>
      </w:r>
      <w:r w:rsidRPr="008B4E5A">
        <w:rPr>
          <w:rFonts w:ascii="Myriad Pro" w:hAnsi="Myriad Pro"/>
          <w:sz w:val="26"/>
          <w:szCs w:val="26"/>
        </w:rPr>
        <w:t>;</w:t>
      </w:r>
    </w:p>
    <w:p w14:paraId="3EE82EC1" w14:textId="001FE355" w:rsidR="009A628A" w:rsidRPr="008B4E5A" w:rsidRDefault="009A628A" w:rsidP="009B0BC1">
      <w:pPr>
        <w:pStyle w:val="a4"/>
        <w:numPr>
          <w:ilvl w:val="0"/>
          <w:numId w:val="11"/>
        </w:numPr>
        <w:tabs>
          <w:tab w:val="left" w:pos="1134"/>
        </w:tabs>
        <w:spacing w:after="0" w:line="360" w:lineRule="auto"/>
        <w:ind w:left="0" w:firstLine="567"/>
        <w:jc w:val="both"/>
        <w:rPr>
          <w:rFonts w:ascii="Myriad Pro" w:hAnsi="Myriad Pro"/>
          <w:sz w:val="26"/>
          <w:szCs w:val="26"/>
        </w:rPr>
      </w:pPr>
      <w:r w:rsidRPr="008B4E5A">
        <w:rPr>
          <w:rFonts w:ascii="Myriad Pro" w:hAnsi="Myriad Pro"/>
          <w:sz w:val="26"/>
          <w:szCs w:val="26"/>
        </w:rPr>
        <w:t xml:space="preserve">Реестр кредитных договоров ПАО </w:t>
      </w:r>
      <w:r w:rsidR="00655FFA" w:rsidRPr="008B4E5A">
        <w:rPr>
          <w:rFonts w:ascii="Myriad Pro" w:hAnsi="Myriad Pro"/>
          <w:sz w:val="26"/>
          <w:szCs w:val="26"/>
        </w:rPr>
        <w:t>«</w:t>
      </w:r>
      <w:r w:rsidR="00597FD5" w:rsidRPr="008B4E5A">
        <w:rPr>
          <w:rFonts w:ascii="Myriad Pro" w:hAnsi="Myriad Pro"/>
          <w:sz w:val="26"/>
          <w:szCs w:val="26"/>
        </w:rPr>
        <w:t>МРСК Северо-Запада</w:t>
      </w:r>
      <w:r w:rsidR="00655FFA" w:rsidRPr="008B4E5A">
        <w:rPr>
          <w:rFonts w:ascii="Myriad Pro" w:hAnsi="Myriad Pro"/>
          <w:sz w:val="26"/>
          <w:szCs w:val="26"/>
        </w:rPr>
        <w:t>»</w:t>
      </w:r>
      <w:r w:rsidRPr="008B4E5A">
        <w:rPr>
          <w:rFonts w:ascii="Myriad Pro" w:hAnsi="Myriad Pro"/>
          <w:sz w:val="26"/>
          <w:szCs w:val="26"/>
        </w:rPr>
        <w:t>, по которым осуществлялось начисление процентов в 2017 году;</w:t>
      </w:r>
    </w:p>
    <w:p w14:paraId="6C5683F8" w14:textId="479D162A" w:rsidR="009A628A" w:rsidRPr="008B4E5A" w:rsidRDefault="009A628A" w:rsidP="009B0BC1">
      <w:pPr>
        <w:pStyle w:val="a4"/>
        <w:numPr>
          <w:ilvl w:val="0"/>
          <w:numId w:val="11"/>
        </w:numPr>
        <w:tabs>
          <w:tab w:val="left" w:pos="1134"/>
        </w:tabs>
        <w:spacing w:after="0" w:line="360" w:lineRule="auto"/>
        <w:ind w:left="0" w:firstLine="567"/>
        <w:jc w:val="both"/>
        <w:rPr>
          <w:rFonts w:ascii="Myriad Pro" w:hAnsi="Myriad Pro"/>
          <w:sz w:val="26"/>
          <w:szCs w:val="26"/>
        </w:rPr>
      </w:pPr>
      <w:r w:rsidRPr="008B4E5A">
        <w:rPr>
          <w:rFonts w:ascii="Myriad Pro" w:hAnsi="Myriad Pro"/>
          <w:sz w:val="26"/>
          <w:szCs w:val="26"/>
        </w:rPr>
        <w:t xml:space="preserve">Реестр кредитных договоров ПАО </w:t>
      </w:r>
      <w:r w:rsidR="00655FFA" w:rsidRPr="008B4E5A">
        <w:rPr>
          <w:rFonts w:ascii="Myriad Pro" w:hAnsi="Myriad Pro"/>
          <w:sz w:val="26"/>
          <w:szCs w:val="26"/>
        </w:rPr>
        <w:t>«</w:t>
      </w:r>
      <w:r w:rsidR="00597FD5" w:rsidRPr="008B4E5A">
        <w:rPr>
          <w:rFonts w:ascii="Myriad Pro" w:hAnsi="Myriad Pro"/>
          <w:sz w:val="26"/>
          <w:szCs w:val="26"/>
        </w:rPr>
        <w:t>МРСК Северо-Запада</w:t>
      </w:r>
      <w:r w:rsidR="00655FFA" w:rsidRPr="008B4E5A">
        <w:rPr>
          <w:rFonts w:ascii="Myriad Pro" w:hAnsi="Myriad Pro"/>
          <w:sz w:val="26"/>
          <w:szCs w:val="26"/>
        </w:rPr>
        <w:t>»</w:t>
      </w:r>
      <w:r w:rsidRPr="008B4E5A">
        <w:rPr>
          <w:rFonts w:ascii="Myriad Pro" w:hAnsi="Myriad Pro"/>
          <w:sz w:val="26"/>
          <w:szCs w:val="26"/>
        </w:rPr>
        <w:t>, по которым планируется начисление процентов в 2019 году;</w:t>
      </w:r>
    </w:p>
    <w:p w14:paraId="4E11A379" w14:textId="77777777" w:rsidR="009A628A" w:rsidRPr="008B4E5A" w:rsidRDefault="009A628A" w:rsidP="009B0BC1">
      <w:pPr>
        <w:pStyle w:val="a4"/>
        <w:numPr>
          <w:ilvl w:val="0"/>
          <w:numId w:val="11"/>
        </w:numPr>
        <w:tabs>
          <w:tab w:val="left" w:pos="1134"/>
        </w:tabs>
        <w:spacing w:after="0" w:line="360" w:lineRule="auto"/>
        <w:ind w:left="0" w:firstLine="567"/>
        <w:jc w:val="both"/>
        <w:rPr>
          <w:rFonts w:ascii="Myriad Pro" w:hAnsi="Myriad Pro"/>
          <w:sz w:val="26"/>
          <w:szCs w:val="26"/>
        </w:rPr>
      </w:pPr>
      <w:r w:rsidRPr="008B4E5A">
        <w:rPr>
          <w:rFonts w:ascii="Myriad Pro" w:hAnsi="Myriad Pro"/>
          <w:sz w:val="26"/>
          <w:szCs w:val="26"/>
        </w:rPr>
        <w:t>Обороты счета 66,67 за период 01.01.2017 - 31.12.2017;</w:t>
      </w:r>
    </w:p>
    <w:p w14:paraId="15B945D5" w14:textId="6629218A" w:rsidR="009A628A" w:rsidRPr="008B4E5A" w:rsidRDefault="009A628A" w:rsidP="009B0BC1">
      <w:pPr>
        <w:pStyle w:val="a4"/>
        <w:numPr>
          <w:ilvl w:val="0"/>
          <w:numId w:val="11"/>
        </w:numPr>
        <w:tabs>
          <w:tab w:val="left" w:pos="1134"/>
        </w:tabs>
        <w:spacing w:after="0" w:line="360" w:lineRule="auto"/>
        <w:ind w:left="0" w:firstLine="567"/>
        <w:jc w:val="both"/>
        <w:rPr>
          <w:rFonts w:ascii="Myriad Pro" w:hAnsi="Myriad Pro"/>
          <w:sz w:val="26"/>
          <w:szCs w:val="26"/>
        </w:rPr>
      </w:pPr>
      <w:r w:rsidRPr="008B4E5A">
        <w:rPr>
          <w:rFonts w:ascii="Myriad Pro" w:hAnsi="Myriad Pro"/>
          <w:sz w:val="26"/>
          <w:szCs w:val="26"/>
        </w:rPr>
        <w:t xml:space="preserve">Распределение по филиалам ПАО </w:t>
      </w:r>
      <w:r w:rsidR="00655FFA" w:rsidRPr="008B4E5A">
        <w:rPr>
          <w:rFonts w:ascii="Myriad Pro" w:hAnsi="Myriad Pro"/>
          <w:sz w:val="26"/>
          <w:szCs w:val="26"/>
        </w:rPr>
        <w:t>«</w:t>
      </w:r>
      <w:r w:rsidR="00597FD5" w:rsidRPr="008B4E5A">
        <w:rPr>
          <w:rFonts w:ascii="Myriad Pro" w:hAnsi="Myriad Pro"/>
          <w:sz w:val="26"/>
          <w:szCs w:val="26"/>
        </w:rPr>
        <w:t>МРСК Северо-Запада</w:t>
      </w:r>
      <w:r w:rsidR="00655FFA" w:rsidRPr="008B4E5A">
        <w:rPr>
          <w:rFonts w:ascii="Myriad Pro" w:hAnsi="Myriad Pro"/>
          <w:sz w:val="26"/>
          <w:szCs w:val="26"/>
        </w:rPr>
        <w:t>»</w:t>
      </w:r>
      <w:r w:rsidRPr="008B4E5A">
        <w:rPr>
          <w:rFonts w:ascii="Myriad Pro" w:hAnsi="Myriad Pro"/>
          <w:sz w:val="26"/>
          <w:szCs w:val="26"/>
        </w:rPr>
        <w:t xml:space="preserve"> кредитов за 2017 год;</w:t>
      </w:r>
    </w:p>
    <w:p w14:paraId="7FB8ACEE" w14:textId="7DC84DE6" w:rsidR="009A628A" w:rsidRPr="008B4E5A" w:rsidRDefault="009A628A" w:rsidP="009B0BC1">
      <w:pPr>
        <w:pStyle w:val="a4"/>
        <w:numPr>
          <w:ilvl w:val="0"/>
          <w:numId w:val="11"/>
        </w:numPr>
        <w:tabs>
          <w:tab w:val="left" w:pos="1134"/>
        </w:tabs>
        <w:spacing w:after="0" w:line="360" w:lineRule="auto"/>
        <w:ind w:left="0" w:firstLine="567"/>
        <w:jc w:val="both"/>
        <w:rPr>
          <w:rFonts w:ascii="Myriad Pro" w:hAnsi="Myriad Pro"/>
          <w:sz w:val="26"/>
          <w:szCs w:val="26"/>
        </w:rPr>
      </w:pPr>
      <w:r w:rsidRPr="008B4E5A">
        <w:rPr>
          <w:rFonts w:ascii="Myriad Pro" w:hAnsi="Myriad Pro"/>
          <w:sz w:val="26"/>
          <w:szCs w:val="26"/>
        </w:rPr>
        <w:t xml:space="preserve">Распределение по филиалам ПАО </w:t>
      </w:r>
      <w:r w:rsidR="00655FFA" w:rsidRPr="008B4E5A">
        <w:rPr>
          <w:rFonts w:ascii="Myriad Pro" w:hAnsi="Myriad Pro"/>
          <w:sz w:val="26"/>
          <w:szCs w:val="26"/>
        </w:rPr>
        <w:t>«</w:t>
      </w:r>
      <w:r w:rsidR="00597FD5" w:rsidRPr="008B4E5A">
        <w:rPr>
          <w:rFonts w:ascii="Myriad Pro" w:hAnsi="Myriad Pro"/>
          <w:sz w:val="26"/>
          <w:szCs w:val="26"/>
        </w:rPr>
        <w:t>МРСК Северо-Запада</w:t>
      </w:r>
      <w:r w:rsidR="00655FFA" w:rsidRPr="008B4E5A">
        <w:rPr>
          <w:rFonts w:ascii="Myriad Pro" w:hAnsi="Myriad Pro"/>
          <w:sz w:val="26"/>
          <w:szCs w:val="26"/>
        </w:rPr>
        <w:t>»</w:t>
      </w:r>
      <w:r w:rsidRPr="008B4E5A">
        <w:rPr>
          <w:rFonts w:ascii="Myriad Pro" w:hAnsi="Myriad Pro"/>
          <w:sz w:val="26"/>
          <w:szCs w:val="26"/>
        </w:rPr>
        <w:t xml:space="preserve"> процентов за 2017 год;</w:t>
      </w:r>
    </w:p>
    <w:p w14:paraId="6ACF1B46" w14:textId="77777777" w:rsidR="009A628A" w:rsidRPr="008B4E5A" w:rsidRDefault="009A628A" w:rsidP="009B0BC1">
      <w:pPr>
        <w:pStyle w:val="a4"/>
        <w:numPr>
          <w:ilvl w:val="0"/>
          <w:numId w:val="11"/>
        </w:numPr>
        <w:tabs>
          <w:tab w:val="left" w:pos="1134"/>
        </w:tabs>
        <w:spacing w:after="0" w:line="360" w:lineRule="auto"/>
        <w:ind w:left="0" w:firstLine="567"/>
        <w:jc w:val="both"/>
        <w:rPr>
          <w:rFonts w:ascii="Myriad Pro" w:hAnsi="Myriad Pro"/>
          <w:sz w:val="26"/>
          <w:szCs w:val="26"/>
        </w:rPr>
      </w:pPr>
      <w:r w:rsidRPr="008B4E5A">
        <w:rPr>
          <w:rFonts w:ascii="Myriad Pro" w:hAnsi="Myriad Pro"/>
          <w:sz w:val="26"/>
          <w:szCs w:val="26"/>
        </w:rPr>
        <w:t>Копии кредитных договоров;</w:t>
      </w:r>
    </w:p>
    <w:p w14:paraId="26562D2A" w14:textId="77777777" w:rsidR="009A628A" w:rsidRPr="008B4E5A" w:rsidRDefault="009A628A" w:rsidP="009B0BC1">
      <w:pPr>
        <w:pStyle w:val="a4"/>
        <w:numPr>
          <w:ilvl w:val="0"/>
          <w:numId w:val="11"/>
        </w:numPr>
        <w:tabs>
          <w:tab w:val="left" w:pos="1134"/>
        </w:tabs>
        <w:spacing w:after="0" w:line="360" w:lineRule="auto"/>
        <w:ind w:left="0" w:firstLine="567"/>
        <w:jc w:val="both"/>
        <w:rPr>
          <w:rFonts w:ascii="Myriad Pro" w:hAnsi="Myriad Pro"/>
          <w:sz w:val="26"/>
          <w:szCs w:val="26"/>
        </w:rPr>
      </w:pPr>
      <w:r w:rsidRPr="008B4E5A">
        <w:rPr>
          <w:rFonts w:ascii="Myriad Pro" w:hAnsi="Myriad Pro"/>
          <w:sz w:val="26"/>
          <w:szCs w:val="26"/>
        </w:rPr>
        <w:t>Копии документов закупочных процедур;</w:t>
      </w:r>
    </w:p>
    <w:p w14:paraId="530F6AEA" w14:textId="77777777" w:rsidR="009A628A" w:rsidRPr="008B4E5A" w:rsidRDefault="009A628A" w:rsidP="009B0BC1">
      <w:pPr>
        <w:pStyle w:val="a4"/>
        <w:numPr>
          <w:ilvl w:val="0"/>
          <w:numId w:val="11"/>
        </w:numPr>
        <w:tabs>
          <w:tab w:val="left" w:pos="1134"/>
        </w:tabs>
        <w:spacing w:after="0" w:line="360" w:lineRule="auto"/>
        <w:ind w:left="0" w:firstLine="567"/>
        <w:jc w:val="both"/>
        <w:rPr>
          <w:rFonts w:ascii="Myriad Pro" w:hAnsi="Myriad Pro"/>
          <w:sz w:val="26"/>
          <w:szCs w:val="26"/>
        </w:rPr>
      </w:pPr>
      <w:r w:rsidRPr="008B4E5A">
        <w:rPr>
          <w:rFonts w:ascii="Myriad Pro" w:hAnsi="Myriad Pro"/>
          <w:sz w:val="26"/>
          <w:szCs w:val="26"/>
        </w:rPr>
        <w:lastRenderedPageBreak/>
        <w:t>План движения потоков наличности на 2019-2023 годы;</w:t>
      </w:r>
    </w:p>
    <w:p w14:paraId="118577DD" w14:textId="5C666E1C" w:rsidR="009A628A" w:rsidRPr="008B4E5A" w:rsidRDefault="009A628A" w:rsidP="009B0BC1">
      <w:pPr>
        <w:pStyle w:val="a4"/>
        <w:numPr>
          <w:ilvl w:val="0"/>
          <w:numId w:val="11"/>
        </w:numPr>
        <w:tabs>
          <w:tab w:val="left" w:pos="1134"/>
        </w:tabs>
        <w:spacing w:after="0" w:line="360" w:lineRule="auto"/>
        <w:ind w:left="0" w:firstLine="567"/>
        <w:jc w:val="both"/>
        <w:rPr>
          <w:rFonts w:ascii="Myriad Pro" w:hAnsi="Myriad Pro"/>
          <w:sz w:val="26"/>
          <w:szCs w:val="26"/>
        </w:rPr>
      </w:pPr>
      <w:r w:rsidRPr="008B4E5A">
        <w:rPr>
          <w:rFonts w:ascii="Myriad Pro" w:hAnsi="Myriad Pro"/>
          <w:sz w:val="26"/>
          <w:szCs w:val="26"/>
        </w:rPr>
        <w:t>Расчет затрат по статье</w:t>
      </w:r>
      <w:r w:rsidR="009C672A" w:rsidRPr="008B4E5A">
        <w:rPr>
          <w:rFonts w:ascii="Myriad Pro" w:hAnsi="Myriad Pro"/>
          <w:sz w:val="26"/>
          <w:szCs w:val="26"/>
        </w:rPr>
        <w:t xml:space="preserve"> </w:t>
      </w:r>
      <w:r w:rsidR="00655FFA" w:rsidRPr="008B4E5A">
        <w:rPr>
          <w:rFonts w:ascii="Myriad Pro" w:hAnsi="Myriad Pro"/>
          <w:sz w:val="26"/>
          <w:szCs w:val="26"/>
        </w:rPr>
        <w:t>«</w:t>
      </w:r>
      <w:r w:rsidRPr="008B4E5A">
        <w:rPr>
          <w:rFonts w:ascii="Myriad Pro" w:hAnsi="Myriad Pro"/>
          <w:sz w:val="26"/>
          <w:szCs w:val="26"/>
        </w:rPr>
        <w:t>Проценты за пользование кредитными ресурсами</w:t>
      </w:r>
      <w:r w:rsidR="00655FFA" w:rsidRPr="008B4E5A">
        <w:rPr>
          <w:rFonts w:ascii="Myriad Pro" w:hAnsi="Myriad Pro"/>
          <w:sz w:val="26"/>
          <w:szCs w:val="26"/>
        </w:rPr>
        <w:t>»</w:t>
      </w:r>
      <w:r w:rsidRPr="008B4E5A">
        <w:rPr>
          <w:rFonts w:ascii="Myriad Pro" w:hAnsi="Myriad Pro"/>
          <w:sz w:val="26"/>
          <w:szCs w:val="26"/>
        </w:rPr>
        <w:t xml:space="preserve"> на 2019 год;</w:t>
      </w:r>
    </w:p>
    <w:p w14:paraId="48541F7E" w14:textId="77777777" w:rsidR="009A628A" w:rsidRPr="008B4E5A" w:rsidRDefault="009A628A" w:rsidP="009B0BC1">
      <w:pPr>
        <w:pStyle w:val="a4"/>
        <w:numPr>
          <w:ilvl w:val="0"/>
          <w:numId w:val="11"/>
        </w:numPr>
        <w:tabs>
          <w:tab w:val="left" w:pos="1134"/>
        </w:tabs>
        <w:spacing w:after="0" w:line="360" w:lineRule="auto"/>
        <w:ind w:left="0" w:firstLine="567"/>
        <w:jc w:val="both"/>
        <w:rPr>
          <w:rFonts w:ascii="Myriad Pro" w:hAnsi="Myriad Pro"/>
          <w:sz w:val="26"/>
          <w:szCs w:val="26"/>
        </w:rPr>
      </w:pPr>
      <w:r w:rsidRPr="008B4E5A">
        <w:rPr>
          <w:rFonts w:ascii="Myriad Pro" w:hAnsi="Myriad Pro"/>
          <w:sz w:val="26"/>
          <w:szCs w:val="26"/>
        </w:rPr>
        <w:t>Справочные данные, используемые для составления движения потоков наличности на 2019-2023 годы;</w:t>
      </w:r>
    </w:p>
    <w:p w14:paraId="5E49062E" w14:textId="77777777" w:rsidR="009A628A" w:rsidRPr="008B4E5A" w:rsidRDefault="009A628A" w:rsidP="009B0BC1">
      <w:pPr>
        <w:pStyle w:val="a4"/>
        <w:numPr>
          <w:ilvl w:val="0"/>
          <w:numId w:val="11"/>
        </w:numPr>
        <w:tabs>
          <w:tab w:val="left" w:pos="1134"/>
        </w:tabs>
        <w:spacing w:after="0" w:line="360" w:lineRule="auto"/>
        <w:ind w:left="0" w:firstLine="567"/>
        <w:jc w:val="both"/>
        <w:rPr>
          <w:rFonts w:ascii="Myriad Pro" w:hAnsi="Myriad Pro"/>
          <w:sz w:val="26"/>
          <w:szCs w:val="26"/>
        </w:rPr>
      </w:pPr>
      <w:r w:rsidRPr="008B4E5A">
        <w:rPr>
          <w:rFonts w:ascii="Myriad Pro" w:hAnsi="Myriad Pro"/>
          <w:sz w:val="26"/>
          <w:szCs w:val="26"/>
        </w:rPr>
        <w:t>Расчет плановой величины НДС на 2019-2023 годы.</w:t>
      </w:r>
    </w:p>
    <w:p w14:paraId="327EF1A5" w14:textId="77777777" w:rsidR="009A628A" w:rsidRPr="008B4E5A" w:rsidRDefault="009A628A" w:rsidP="00A31747">
      <w:pPr>
        <w:tabs>
          <w:tab w:val="left" w:pos="1134"/>
        </w:tabs>
        <w:spacing w:line="360" w:lineRule="auto"/>
        <w:ind w:firstLine="567"/>
        <w:jc w:val="both"/>
        <w:rPr>
          <w:rFonts w:ascii="Myriad Pro" w:hAnsi="Myriad Pro"/>
          <w:sz w:val="24"/>
        </w:rPr>
      </w:pPr>
    </w:p>
    <w:p w14:paraId="4B09261A" w14:textId="77777777" w:rsidR="009A628A" w:rsidRPr="008B4E5A" w:rsidRDefault="009A628A" w:rsidP="0097200A">
      <w:pPr>
        <w:tabs>
          <w:tab w:val="left" w:pos="1134"/>
        </w:tabs>
        <w:spacing w:after="0" w:line="360" w:lineRule="auto"/>
        <w:contextualSpacing/>
        <w:jc w:val="both"/>
        <w:rPr>
          <w:rFonts w:ascii="Myriad Pro" w:eastAsia="Calibri" w:hAnsi="Myriad Pro" w:cs="Times New Roman"/>
          <w:b/>
          <w:sz w:val="26"/>
          <w:szCs w:val="26"/>
        </w:rPr>
      </w:pPr>
      <w:r w:rsidRPr="008B4E5A">
        <w:rPr>
          <w:rFonts w:ascii="Myriad Pro" w:eastAsia="Calibri" w:hAnsi="Myriad Pro" w:cs="Times New Roman"/>
          <w:b/>
          <w:sz w:val="26"/>
          <w:szCs w:val="26"/>
        </w:rPr>
        <w:t>ПОЗИЦИЯ ОРГАНА РЕГУЛИРОВАНИЯ</w:t>
      </w:r>
    </w:p>
    <w:p w14:paraId="39078126" w14:textId="77777777" w:rsidR="009A628A" w:rsidRPr="008B4E5A" w:rsidRDefault="009A628A" w:rsidP="00A31747">
      <w:pPr>
        <w:tabs>
          <w:tab w:val="left" w:pos="1134"/>
        </w:tabs>
        <w:spacing w:after="0" w:line="360" w:lineRule="auto"/>
        <w:ind w:firstLine="567"/>
        <w:contextualSpacing/>
        <w:jc w:val="both"/>
        <w:rPr>
          <w:rFonts w:ascii="Myriad Pro" w:eastAsia="Calibri" w:hAnsi="Myriad Pro" w:cs="Times New Roman"/>
          <w:sz w:val="26"/>
          <w:szCs w:val="26"/>
        </w:rPr>
      </w:pPr>
      <w:r w:rsidRPr="008B4E5A">
        <w:rPr>
          <w:rFonts w:ascii="Myriad Pro" w:eastAsia="Calibri" w:hAnsi="Myriad Pro" w:cs="Times New Roman"/>
          <w:sz w:val="26"/>
          <w:szCs w:val="26"/>
        </w:rPr>
        <w:t>Комитетом проценты за пользование кредитными средствами включены в НВВ как экономически обоснованные в полном объеме.</w:t>
      </w:r>
    </w:p>
    <w:p w14:paraId="5DD0A698" w14:textId="77777777" w:rsidR="005013AA" w:rsidRPr="008B4E5A" w:rsidRDefault="005013AA" w:rsidP="00071537">
      <w:pPr>
        <w:tabs>
          <w:tab w:val="left" w:pos="1134"/>
        </w:tabs>
        <w:spacing w:after="0" w:line="360" w:lineRule="auto"/>
        <w:contextualSpacing/>
        <w:jc w:val="both"/>
        <w:rPr>
          <w:rFonts w:ascii="Myriad Pro" w:eastAsia="Calibri" w:hAnsi="Myriad Pro" w:cs="Times New Roman"/>
          <w:b/>
          <w:sz w:val="26"/>
          <w:szCs w:val="26"/>
        </w:rPr>
      </w:pPr>
    </w:p>
    <w:p w14:paraId="6FF25024" w14:textId="484D700E" w:rsidR="009A628A" w:rsidRPr="008B4E5A" w:rsidRDefault="009A628A" w:rsidP="00071537">
      <w:pPr>
        <w:tabs>
          <w:tab w:val="left" w:pos="1134"/>
        </w:tabs>
        <w:spacing w:after="0" w:line="360" w:lineRule="auto"/>
        <w:contextualSpacing/>
        <w:jc w:val="both"/>
        <w:rPr>
          <w:rFonts w:ascii="Myriad Pro" w:eastAsia="Calibri" w:hAnsi="Myriad Pro" w:cs="Times New Roman"/>
          <w:b/>
          <w:sz w:val="26"/>
          <w:szCs w:val="26"/>
        </w:rPr>
      </w:pPr>
      <w:r w:rsidRPr="008B4E5A">
        <w:rPr>
          <w:rFonts w:ascii="Myriad Pro" w:eastAsia="Calibri" w:hAnsi="Myriad Pro" w:cs="Times New Roman"/>
          <w:b/>
          <w:sz w:val="26"/>
          <w:szCs w:val="26"/>
        </w:rPr>
        <w:t>ПОЗИЦИЯ ИСПОЛНИТЕЛЯ</w:t>
      </w:r>
    </w:p>
    <w:p w14:paraId="7E809548" w14:textId="17FFADE2" w:rsidR="00DE786F" w:rsidRPr="008B4E5A" w:rsidRDefault="00DE786F" w:rsidP="00A31747">
      <w:pPr>
        <w:tabs>
          <w:tab w:val="left" w:pos="1134"/>
        </w:tabs>
        <w:spacing w:after="0" w:line="360" w:lineRule="auto"/>
        <w:ind w:firstLine="567"/>
        <w:contextualSpacing/>
        <w:jc w:val="both"/>
        <w:rPr>
          <w:rFonts w:ascii="Myriad Pro" w:eastAsia="Calibri" w:hAnsi="Myriad Pro" w:cs="Times New Roman"/>
          <w:sz w:val="26"/>
          <w:szCs w:val="26"/>
        </w:rPr>
      </w:pPr>
      <w:r w:rsidRPr="008B4E5A">
        <w:rPr>
          <w:rFonts w:ascii="Myriad Pro" w:eastAsia="Calibri" w:hAnsi="Myriad Pro" w:cs="Times New Roman"/>
          <w:sz w:val="26"/>
          <w:szCs w:val="26"/>
        </w:rPr>
        <w:t xml:space="preserve">Исполнителем проанализированы документы, предоставленные филиалом ПАО </w:t>
      </w:r>
      <w:r w:rsidR="00655FFA" w:rsidRPr="008B4E5A">
        <w:rPr>
          <w:rFonts w:ascii="Myriad Pro" w:eastAsia="Calibri" w:hAnsi="Myriad Pro" w:cs="Times New Roman"/>
          <w:sz w:val="26"/>
          <w:szCs w:val="26"/>
        </w:rPr>
        <w:t>«</w:t>
      </w:r>
      <w:r w:rsidRPr="008B4E5A">
        <w:rPr>
          <w:rFonts w:ascii="Myriad Pro" w:eastAsia="Calibri" w:hAnsi="Myriad Pro" w:cs="Times New Roman"/>
          <w:sz w:val="26"/>
          <w:szCs w:val="26"/>
        </w:rPr>
        <w:t>МРСК Северо-Запада</w:t>
      </w:r>
      <w:r w:rsidR="00655FFA" w:rsidRPr="008B4E5A">
        <w:rPr>
          <w:rFonts w:ascii="Myriad Pro" w:eastAsia="Calibri" w:hAnsi="Myriad Pro" w:cs="Times New Roman"/>
          <w:sz w:val="26"/>
          <w:szCs w:val="26"/>
        </w:rPr>
        <w:t>»</w:t>
      </w:r>
      <w:r w:rsidRPr="008B4E5A">
        <w:rPr>
          <w:rFonts w:ascii="Myriad Pro" w:eastAsia="Calibri" w:hAnsi="Myriad Pro" w:cs="Times New Roman"/>
          <w:sz w:val="26"/>
          <w:szCs w:val="26"/>
        </w:rPr>
        <w:t xml:space="preserve"> </w:t>
      </w:r>
      <w:r w:rsidR="00655FFA" w:rsidRPr="008B4E5A">
        <w:rPr>
          <w:rFonts w:ascii="Myriad Pro" w:eastAsia="Calibri" w:hAnsi="Myriad Pro" w:cs="Times New Roman"/>
          <w:sz w:val="26"/>
          <w:szCs w:val="26"/>
        </w:rPr>
        <w:t>«</w:t>
      </w:r>
      <w:r w:rsidRPr="008B4E5A">
        <w:rPr>
          <w:rFonts w:ascii="Myriad Pro" w:eastAsia="Calibri" w:hAnsi="Myriad Pro" w:cs="Times New Roman"/>
          <w:sz w:val="26"/>
          <w:szCs w:val="26"/>
        </w:rPr>
        <w:t>Колэнерго</w:t>
      </w:r>
      <w:r w:rsidR="00655FFA" w:rsidRPr="008B4E5A">
        <w:rPr>
          <w:rFonts w:ascii="Myriad Pro" w:eastAsia="Calibri" w:hAnsi="Myriad Pro" w:cs="Times New Roman"/>
          <w:sz w:val="26"/>
          <w:szCs w:val="26"/>
        </w:rPr>
        <w:t>»</w:t>
      </w:r>
      <w:r w:rsidR="009C7A35" w:rsidRPr="008B4E5A">
        <w:rPr>
          <w:rFonts w:ascii="Myriad Pro" w:eastAsia="Calibri" w:hAnsi="Myriad Pro" w:cs="Times New Roman"/>
          <w:sz w:val="26"/>
          <w:szCs w:val="26"/>
        </w:rPr>
        <w:t>.</w:t>
      </w:r>
    </w:p>
    <w:p w14:paraId="209EDEA1" w14:textId="46203158" w:rsidR="007051E2" w:rsidRPr="008B4E5A" w:rsidRDefault="007051E2" w:rsidP="00A31747">
      <w:pPr>
        <w:tabs>
          <w:tab w:val="left" w:pos="1134"/>
        </w:tabs>
        <w:spacing w:after="0" w:line="360" w:lineRule="auto"/>
        <w:ind w:firstLine="567"/>
        <w:contextualSpacing/>
        <w:jc w:val="both"/>
        <w:rPr>
          <w:rFonts w:ascii="Myriad Pro" w:hAnsi="Myriad Pro"/>
          <w:sz w:val="26"/>
          <w:szCs w:val="26"/>
        </w:rPr>
      </w:pPr>
      <w:r w:rsidRPr="008B4E5A">
        <w:rPr>
          <w:rFonts w:ascii="Myriad Pro" w:hAnsi="Myriad Pro"/>
          <w:sz w:val="26"/>
          <w:szCs w:val="26"/>
        </w:rPr>
        <w:t xml:space="preserve">Согласно таблице 1.6 </w:t>
      </w:r>
      <w:r w:rsidR="00655FFA" w:rsidRPr="008B4E5A">
        <w:rPr>
          <w:rFonts w:ascii="Myriad Pro" w:hAnsi="Myriad Pro"/>
          <w:sz w:val="26"/>
          <w:szCs w:val="26"/>
        </w:rPr>
        <w:t>«</w:t>
      </w:r>
      <w:r w:rsidRPr="008B4E5A">
        <w:rPr>
          <w:rFonts w:ascii="Myriad Pro" w:hAnsi="Myriad Pro"/>
          <w:sz w:val="26"/>
          <w:szCs w:val="26"/>
        </w:rPr>
        <w:t xml:space="preserve">Расшифровка расходов субъекта естественных монополий, оказывающего услуги по передаче электрической энергии (мощности) по электрическим сетям, принадлежащим на праве собственности или на другом законном основании территориальным сетевым организациям </w:t>
      </w:r>
      <w:r w:rsidR="00994DAE" w:rsidRPr="008B4E5A">
        <w:rPr>
          <w:rFonts w:ascii="Myriad Pro" w:hAnsi="Myriad Pro"/>
          <w:sz w:val="26"/>
          <w:szCs w:val="26"/>
        </w:rPr>
        <w:t xml:space="preserve">филиала </w:t>
      </w:r>
      <w:r w:rsidRPr="008B4E5A">
        <w:rPr>
          <w:rFonts w:ascii="Myriad Pro" w:hAnsi="Myriad Pro"/>
          <w:sz w:val="26"/>
          <w:szCs w:val="26"/>
        </w:rPr>
        <w:t>ПАО</w:t>
      </w:r>
      <w:r w:rsidR="009808E8" w:rsidRPr="008B4E5A">
        <w:rPr>
          <w:rFonts w:ascii="Myriad Pro" w:hAnsi="Myriad Pro"/>
          <w:sz w:val="26"/>
          <w:szCs w:val="26"/>
        </w:rPr>
        <w:t> </w:t>
      </w:r>
      <w:r w:rsidR="00655FFA" w:rsidRPr="008B4E5A">
        <w:rPr>
          <w:rFonts w:ascii="Myriad Pro" w:hAnsi="Myriad Pro"/>
          <w:sz w:val="26"/>
          <w:szCs w:val="26"/>
        </w:rPr>
        <w:t>«</w:t>
      </w:r>
      <w:r w:rsidRPr="008B4E5A">
        <w:rPr>
          <w:rFonts w:ascii="Myriad Pro" w:hAnsi="Myriad Pro"/>
          <w:sz w:val="26"/>
          <w:szCs w:val="26"/>
        </w:rPr>
        <w:t>МРСК Северо-Запада</w:t>
      </w:r>
      <w:r w:rsidR="00655FFA" w:rsidRPr="008B4E5A">
        <w:rPr>
          <w:rFonts w:ascii="Myriad Pro" w:hAnsi="Myriad Pro"/>
          <w:sz w:val="26"/>
          <w:szCs w:val="26"/>
        </w:rPr>
        <w:t>»</w:t>
      </w:r>
      <w:r w:rsidRPr="008B4E5A">
        <w:rPr>
          <w:rFonts w:ascii="Myriad Pro" w:hAnsi="Myriad Pro"/>
          <w:sz w:val="26"/>
          <w:szCs w:val="26"/>
        </w:rPr>
        <w:t xml:space="preserve"> </w:t>
      </w:r>
      <w:r w:rsidR="00655FFA" w:rsidRPr="008B4E5A">
        <w:rPr>
          <w:rFonts w:ascii="Myriad Pro" w:hAnsi="Myriad Pro"/>
          <w:sz w:val="26"/>
          <w:szCs w:val="26"/>
        </w:rPr>
        <w:t>«</w:t>
      </w:r>
      <w:r w:rsidRPr="008B4E5A">
        <w:rPr>
          <w:rFonts w:ascii="Myriad Pro" w:hAnsi="Myriad Pro"/>
          <w:sz w:val="26"/>
          <w:szCs w:val="26"/>
        </w:rPr>
        <w:t>Колэнерго</w:t>
      </w:r>
      <w:r w:rsidR="00655FFA" w:rsidRPr="008B4E5A">
        <w:rPr>
          <w:rFonts w:ascii="Myriad Pro" w:hAnsi="Myriad Pro"/>
          <w:sz w:val="26"/>
          <w:szCs w:val="26"/>
        </w:rPr>
        <w:t>»</w:t>
      </w:r>
      <w:r w:rsidR="00994DAE" w:rsidRPr="008B4E5A">
        <w:rPr>
          <w:rFonts w:ascii="Myriad Pro" w:hAnsi="Myriad Pro"/>
          <w:sz w:val="26"/>
          <w:szCs w:val="26"/>
        </w:rPr>
        <w:t>,</w:t>
      </w:r>
      <w:r w:rsidRPr="008B4E5A">
        <w:rPr>
          <w:rFonts w:ascii="Myriad Pro" w:hAnsi="Myriad Pro"/>
          <w:sz w:val="26"/>
          <w:szCs w:val="26"/>
        </w:rPr>
        <w:t xml:space="preserve"> дебиторская задолженность по состоянию на 01.01.2017 года составляет 2 083 537 тыс. руб., по состоянию на 31.12.2017 г. в размере 861 990 тыс. руб.</w:t>
      </w:r>
    </w:p>
    <w:p w14:paraId="02C64CBD" w14:textId="440DEB36" w:rsidR="007051E2" w:rsidRPr="008B4E5A" w:rsidRDefault="007051E2" w:rsidP="00A31747">
      <w:pPr>
        <w:tabs>
          <w:tab w:val="left" w:pos="1134"/>
        </w:tabs>
        <w:spacing w:after="0" w:line="360" w:lineRule="auto"/>
        <w:ind w:firstLine="567"/>
        <w:contextualSpacing/>
        <w:jc w:val="both"/>
        <w:rPr>
          <w:rFonts w:ascii="Myriad Pro" w:eastAsia="Calibri" w:hAnsi="Myriad Pro" w:cs="Times New Roman"/>
          <w:sz w:val="26"/>
          <w:szCs w:val="26"/>
        </w:rPr>
      </w:pPr>
      <w:r w:rsidRPr="008B4E5A">
        <w:rPr>
          <w:rFonts w:ascii="Myriad Pro" w:hAnsi="Myriad Pro"/>
          <w:sz w:val="26"/>
          <w:szCs w:val="26"/>
        </w:rPr>
        <w:t xml:space="preserve">Исполнителем в разделе </w:t>
      </w:r>
      <w:r w:rsidR="00655FFA" w:rsidRPr="008B4E5A">
        <w:rPr>
          <w:rFonts w:ascii="Myriad Pro" w:hAnsi="Myriad Pro"/>
          <w:sz w:val="26"/>
          <w:szCs w:val="26"/>
        </w:rPr>
        <w:t>«</w:t>
      </w:r>
      <w:r w:rsidRPr="008B4E5A">
        <w:rPr>
          <w:rFonts w:ascii="Myriad Pro" w:hAnsi="Myriad Pro"/>
          <w:sz w:val="26"/>
          <w:szCs w:val="26"/>
        </w:rPr>
        <w:t>Резерв по сомнительным долгам</w:t>
      </w:r>
      <w:r w:rsidR="00655FFA" w:rsidRPr="008B4E5A">
        <w:rPr>
          <w:rFonts w:ascii="Myriad Pro" w:hAnsi="Myriad Pro"/>
          <w:sz w:val="26"/>
          <w:szCs w:val="26"/>
        </w:rPr>
        <w:t>»</w:t>
      </w:r>
      <w:r w:rsidRPr="008B4E5A">
        <w:rPr>
          <w:rFonts w:ascii="Myriad Pro" w:hAnsi="Myriad Pro"/>
          <w:sz w:val="26"/>
          <w:szCs w:val="26"/>
        </w:rPr>
        <w:t xml:space="preserve"> настоящего отчета проанализирована дебиторская задолженность по видам деятельности </w:t>
      </w:r>
      <w:r w:rsidRPr="008B4E5A">
        <w:rPr>
          <w:rFonts w:ascii="Myriad Pro" w:eastAsia="Calibri" w:hAnsi="Myriad Pro" w:cs="Times New Roman"/>
          <w:sz w:val="26"/>
          <w:szCs w:val="26"/>
        </w:rPr>
        <w:t>по оказанию услуг по передаче электрической энергии и сбытовой деятельности в период с 01.03.2013 по 01.02.2015 г.</w:t>
      </w:r>
    </w:p>
    <w:p w14:paraId="0E09EE04" w14:textId="2041EB26" w:rsidR="007051E2" w:rsidRPr="008B4E5A" w:rsidRDefault="007051E2" w:rsidP="00A31747">
      <w:pPr>
        <w:tabs>
          <w:tab w:val="left" w:pos="1134"/>
        </w:tabs>
        <w:spacing w:after="0" w:line="360" w:lineRule="auto"/>
        <w:ind w:firstLine="567"/>
        <w:contextualSpacing/>
        <w:jc w:val="both"/>
        <w:rPr>
          <w:rFonts w:ascii="Myriad Pro" w:eastAsia="Calibri" w:hAnsi="Myriad Pro" w:cs="Times New Roman"/>
          <w:sz w:val="26"/>
          <w:szCs w:val="26"/>
        </w:rPr>
      </w:pPr>
      <w:r w:rsidRPr="008B4E5A">
        <w:rPr>
          <w:rFonts w:ascii="Myriad Pro" w:eastAsia="Calibri" w:hAnsi="Myriad Pro" w:cs="Times New Roman"/>
          <w:sz w:val="26"/>
          <w:szCs w:val="26"/>
        </w:rPr>
        <w:t>Согласно предоставленной информации филиала сумма дебиторской задолженности по сбытовой деятельности по основному долгу по состоянию на 31.12.2017 составляет 1 163</w:t>
      </w:r>
      <w:r w:rsidR="00882929" w:rsidRPr="008B4E5A">
        <w:rPr>
          <w:rFonts w:ascii="Myriad Pro" w:eastAsia="Calibri" w:hAnsi="Myriad Pro" w:cs="Times New Roman"/>
          <w:sz w:val="26"/>
          <w:szCs w:val="26"/>
        </w:rPr>
        <w:t> </w:t>
      </w:r>
      <w:r w:rsidRPr="008B4E5A">
        <w:rPr>
          <w:rFonts w:ascii="Myriad Pro" w:eastAsia="Calibri" w:hAnsi="Myriad Pro" w:cs="Times New Roman"/>
          <w:sz w:val="26"/>
          <w:szCs w:val="26"/>
        </w:rPr>
        <w:t>208</w:t>
      </w:r>
      <w:r w:rsidR="00882929" w:rsidRPr="008B4E5A">
        <w:rPr>
          <w:rFonts w:ascii="Myriad Pro" w:eastAsia="Calibri" w:hAnsi="Myriad Pro" w:cs="Times New Roman"/>
          <w:sz w:val="26"/>
          <w:szCs w:val="26"/>
        </w:rPr>
        <w:t>,</w:t>
      </w:r>
      <w:r w:rsidRPr="008B4E5A">
        <w:rPr>
          <w:rFonts w:ascii="Myriad Pro" w:eastAsia="Calibri" w:hAnsi="Myriad Pro" w:cs="Times New Roman"/>
          <w:sz w:val="26"/>
          <w:szCs w:val="26"/>
        </w:rPr>
        <w:t>913 руб.</w:t>
      </w:r>
      <w:r w:rsidR="00882929" w:rsidRPr="008B4E5A">
        <w:rPr>
          <w:rFonts w:ascii="Myriad Pro" w:eastAsia="Calibri" w:hAnsi="Myriad Pro" w:cs="Times New Roman"/>
          <w:sz w:val="26"/>
          <w:szCs w:val="26"/>
        </w:rPr>
        <w:t xml:space="preserve"> На всю сумму задолженности по состоянию на 31.12.2017 г. создан резерв, что подтверждается оборотом счета 63.</w:t>
      </w:r>
      <w:r w:rsidRPr="008B4E5A">
        <w:rPr>
          <w:rFonts w:ascii="Myriad Pro" w:eastAsia="Calibri" w:hAnsi="Myriad Pro" w:cs="Times New Roman"/>
          <w:sz w:val="26"/>
          <w:szCs w:val="26"/>
        </w:rPr>
        <w:t xml:space="preserve"> Списано по приказам безнадежной ко взысканию дебиторской задолженности в 2017 году</w:t>
      </w:r>
      <w:r w:rsidR="00882929" w:rsidRPr="008B4E5A">
        <w:rPr>
          <w:rFonts w:ascii="Myriad Pro" w:eastAsia="Calibri" w:hAnsi="Myriad Pro" w:cs="Times New Roman"/>
          <w:sz w:val="26"/>
          <w:szCs w:val="26"/>
        </w:rPr>
        <w:t xml:space="preserve"> всего на сумму 369 969,7 тыс. руб.</w:t>
      </w:r>
      <w:r w:rsidRPr="008B4E5A">
        <w:rPr>
          <w:rFonts w:ascii="Myriad Pro" w:eastAsia="Calibri" w:hAnsi="Myriad Pro" w:cs="Times New Roman"/>
          <w:sz w:val="26"/>
          <w:szCs w:val="26"/>
        </w:rPr>
        <w:t xml:space="preserve"> руб. </w:t>
      </w:r>
    </w:p>
    <w:p w14:paraId="2D09F308" w14:textId="638D57E9" w:rsidR="00882929" w:rsidRPr="008B4E5A" w:rsidRDefault="00882929" w:rsidP="00A31747">
      <w:pPr>
        <w:tabs>
          <w:tab w:val="left" w:pos="1134"/>
        </w:tabs>
        <w:spacing w:after="0" w:line="360" w:lineRule="auto"/>
        <w:ind w:firstLine="567"/>
        <w:contextualSpacing/>
        <w:jc w:val="both"/>
        <w:rPr>
          <w:rFonts w:ascii="Myriad Pro" w:hAnsi="Myriad Pro"/>
          <w:sz w:val="26"/>
          <w:szCs w:val="26"/>
        </w:rPr>
      </w:pPr>
      <w:r w:rsidRPr="008B4E5A">
        <w:rPr>
          <w:rFonts w:ascii="Myriad Pro" w:hAnsi="Myriad Pro"/>
          <w:sz w:val="26"/>
          <w:szCs w:val="26"/>
        </w:rPr>
        <w:lastRenderedPageBreak/>
        <w:t xml:space="preserve">В соответствии со </w:t>
      </w:r>
      <w:r w:rsidR="00655FFA" w:rsidRPr="008B4E5A">
        <w:rPr>
          <w:rFonts w:ascii="Myriad Pro" w:hAnsi="Myriad Pro"/>
          <w:sz w:val="26"/>
          <w:szCs w:val="26"/>
        </w:rPr>
        <w:t>«</w:t>
      </w:r>
      <w:r w:rsidRPr="008B4E5A">
        <w:rPr>
          <w:rFonts w:ascii="Myriad Pro" w:hAnsi="Myriad Pro"/>
          <w:sz w:val="26"/>
          <w:szCs w:val="26"/>
        </w:rPr>
        <w:t>Справкой к акту №1 от 18.01.2018 инвентаризации расчетов с покупателями, поставщиками и прочими дебиторами, и кредиторами по состоянию на 31.12.2017</w:t>
      </w:r>
      <w:r w:rsidR="00655FFA" w:rsidRPr="008B4E5A">
        <w:rPr>
          <w:rFonts w:ascii="Myriad Pro" w:hAnsi="Myriad Pro"/>
          <w:sz w:val="26"/>
          <w:szCs w:val="26"/>
        </w:rPr>
        <w:t>»</w:t>
      </w:r>
      <w:r w:rsidRPr="008B4E5A">
        <w:rPr>
          <w:rFonts w:ascii="Myriad Pro" w:hAnsi="Myriad Pro"/>
          <w:sz w:val="26"/>
          <w:szCs w:val="26"/>
        </w:rPr>
        <w:t xml:space="preserve"> (7700 строк) общая дебиторская задолженность по состоянию на 31.12.2017 составляет сумму 2 646 788,946 тыс. руб.</w:t>
      </w:r>
    </w:p>
    <w:p w14:paraId="3BCBDA6B" w14:textId="2D50A33D" w:rsidR="0078040A" w:rsidRPr="008B4E5A" w:rsidRDefault="007051E2" w:rsidP="00A31747">
      <w:pPr>
        <w:tabs>
          <w:tab w:val="left" w:pos="1134"/>
        </w:tabs>
        <w:spacing w:after="0" w:line="360" w:lineRule="auto"/>
        <w:ind w:firstLine="567"/>
        <w:contextualSpacing/>
        <w:jc w:val="both"/>
        <w:rPr>
          <w:rFonts w:ascii="Myriad Pro" w:eastAsia="Calibri" w:hAnsi="Myriad Pro" w:cs="Times New Roman"/>
          <w:sz w:val="26"/>
          <w:szCs w:val="26"/>
        </w:rPr>
      </w:pPr>
      <w:r w:rsidRPr="008B4E5A">
        <w:rPr>
          <w:rFonts w:ascii="Myriad Pro" w:eastAsia="Calibri" w:hAnsi="Myriad Pro" w:cs="Times New Roman"/>
          <w:sz w:val="26"/>
          <w:szCs w:val="26"/>
        </w:rPr>
        <w:t xml:space="preserve">Для возможности ведения операционной деятельности без снижения показателей качества и надежности оказываемых услуг </w:t>
      </w:r>
      <w:r w:rsidRPr="008B4E5A">
        <w:rPr>
          <w:rFonts w:ascii="Myriad Pro" w:hAnsi="Myriad Pro"/>
          <w:sz w:val="26"/>
          <w:szCs w:val="26"/>
        </w:rPr>
        <w:t xml:space="preserve">ПАО </w:t>
      </w:r>
      <w:r w:rsidR="00655FFA" w:rsidRPr="008B4E5A">
        <w:rPr>
          <w:rFonts w:ascii="Myriad Pro" w:hAnsi="Myriad Pro"/>
          <w:sz w:val="26"/>
          <w:szCs w:val="26"/>
        </w:rPr>
        <w:t>«</w:t>
      </w:r>
      <w:r w:rsidRPr="008B4E5A">
        <w:rPr>
          <w:rFonts w:ascii="Myriad Pro" w:hAnsi="Myriad Pro"/>
          <w:sz w:val="26"/>
          <w:szCs w:val="26"/>
        </w:rPr>
        <w:t>МРСК Северо-Запада</w:t>
      </w:r>
      <w:r w:rsidR="00655FFA" w:rsidRPr="008B4E5A">
        <w:rPr>
          <w:rFonts w:ascii="Myriad Pro" w:hAnsi="Myriad Pro"/>
          <w:sz w:val="26"/>
          <w:szCs w:val="26"/>
        </w:rPr>
        <w:t>»</w:t>
      </w:r>
      <w:r w:rsidR="0029548F" w:rsidRPr="008B4E5A">
        <w:rPr>
          <w:rFonts w:ascii="Myriad Pro" w:hAnsi="Myriad Pro"/>
          <w:sz w:val="26"/>
          <w:szCs w:val="26"/>
        </w:rPr>
        <w:t xml:space="preserve"> привлекались кредитные </w:t>
      </w:r>
      <w:r w:rsidR="0029548F" w:rsidRPr="008B4E5A">
        <w:rPr>
          <w:rFonts w:ascii="Myriad Pro" w:eastAsia="Calibri" w:hAnsi="Myriad Pro" w:cs="Times New Roman"/>
          <w:sz w:val="26"/>
          <w:szCs w:val="26"/>
        </w:rPr>
        <w:t>ресурсы</w:t>
      </w:r>
      <w:r w:rsidR="0078040A" w:rsidRPr="008B4E5A">
        <w:rPr>
          <w:rFonts w:ascii="Myriad Pro" w:eastAsia="Calibri" w:hAnsi="Myriad Pro" w:cs="Times New Roman"/>
          <w:sz w:val="26"/>
          <w:szCs w:val="26"/>
        </w:rPr>
        <w:t xml:space="preserve"> для финансирования производственно-хозяйственной деятельности.</w:t>
      </w:r>
    </w:p>
    <w:p w14:paraId="3123EC49" w14:textId="4DB6AED5" w:rsidR="007051E2" w:rsidRPr="008B4E5A" w:rsidRDefault="0078040A" w:rsidP="00A31747">
      <w:pPr>
        <w:tabs>
          <w:tab w:val="left" w:pos="1134"/>
        </w:tabs>
        <w:spacing w:after="0" w:line="360" w:lineRule="auto"/>
        <w:ind w:firstLine="567"/>
        <w:contextualSpacing/>
        <w:jc w:val="both"/>
        <w:rPr>
          <w:rFonts w:ascii="Myriad Pro" w:eastAsia="Calibri" w:hAnsi="Myriad Pro" w:cs="Times New Roman"/>
          <w:sz w:val="26"/>
          <w:szCs w:val="26"/>
        </w:rPr>
      </w:pPr>
      <w:r w:rsidRPr="008B4E5A">
        <w:rPr>
          <w:rFonts w:ascii="Myriad Pro" w:eastAsia="Calibri" w:hAnsi="Myriad Pro" w:cs="Times New Roman"/>
          <w:sz w:val="26"/>
          <w:szCs w:val="26"/>
        </w:rPr>
        <w:t xml:space="preserve">В соответствии с пунктом 3 </w:t>
      </w:r>
      <w:r w:rsidR="00655FFA" w:rsidRPr="008B4E5A">
        <w:rPr>
          <w:rFonts w:ascii="Myriad Pro" w:eastAsia="Calibri" w:hAnsi="Myriad Pro" w:cs="Times New Roman"/>
          <w:sz w:val="26"/>
          <w:szCs w:val="26"/>
        </w:rPr>
        <w:t>«</w:t>
      </w:r>
      <w:r w:rsidRPr="008B4E5A">
        <w:rPr>
          <w:rFonts w:ascii="Myriad Pro" w:eastAsia="Calibri" w:hAnsi="Myriad Pro" w:cs="Times New Roman"/>
          <w:sz w:val="26"/>
          <w:szCs w:val="26"/>
        </w:rPr>
        <w:t>Особенностей применения метода долгосрочной индексации необходимой валовой выручки</w:t>
      </w:r>
      <w:r w:rsidR="00655FFA" w:rsidRPr="008B4E5A">
        <w:rPr>
          <w:rFonts w:ascii="Myriad Pro" w:eastAsia="Calibri" w:hAnsi="Myriad Pro" w:cs="Times New Roman"/>
          <w:sz w:val="26"/>
          <w:szCs w:val="26"/>
        </w:rPr>
        <w:t>»</w:t>
      </w:r>
      <w:r w:rsidRPr="008B4E5A">
        <w:rPr>
          <w:rFonts w:ascii="Myriad Pro" w:eastAsia="Calibri" w:hAnsi="Myriad Pro" w:cs="Times New Roman"/>
          <w:sz w:val="26"/>
          <w:szCs w:val="26"/>
        </w:rPr>
        <w:t xml:space="preserve"> при расчете регулируемых цен (тарифов) на электрическую энергию (мощность) расходы на выплаты по договорам займа в случае возникновения кассовых разрывов по регулируемому виду деятельности и кредитным договорам, включая проценты по ним.</w:t>
      </w:r>
    </w:p>
    <w:p w14:paraId="57D747AA" w14:textId="2B9E2FC8" w:rsidR="009C7A35" w:rsidRPr="008B4E5A" w:rsidRDefault="009C7A35" w:rsidP="00A31747">
      <w:pPr>
        <w:tabs>
          <w:tab w:val="left" w:pos="1134"/>
        </w:tabs>
        <w:spacing w:after="0" w:line="360" w:lineRule="auto"/>
        <w:ind w:firstLine="567"/>
        <w:contextualSpacing/>
        <w:jc w:val="both"/>
        <w:rPr>
          <w:rFonts w:ascii="Myriad Pro" w:eastAsia="Calibri" w:hAnsi="Myriad Pro" w:cs="Times New Roman"/>
          <w:sz w:val="26"/>
          <w:szCs w:val="26"/>
        </w:rPr>
      </w:pPr>
      <w:r w:rsidRPr="008B4E5A">
        <w:rPr>
          <w:rFonts w:ascii="Myriad Pro" w:eastAsia="Calibri" w:hAnsi="Myriad Pro" w:cs="Times New Roman"/>
          <w:sz w:val="26"/>
          <w:szCs w:val="26"/>
        </w:rPr>
        <w:t xml:space="preserve">Филиалом предоставлен </w:t>
      </w:r>
      <w:r w:rsidR="00655FFA" w:rsidRPr="008B4E5A">
        <w:rPr>
          <w:rFonts w:ascii="Myriad Pro" w:eastAsia="Calibri" w:hAnsi="Myriad Pro" w:cs="Times New Roman"/>
          <w:sz w:val="26"/>
          <w:szCs w:val="26"/>
        </w:rPr>
        <w:t>«</w:t>
      </w:r>
      <w:r w:rsidRPr="008B4E5A">
        <w:rPr>
          <w:rFonts w:ascii="Myriad Pro" w:eastAsia="Calibri" w:hAnsi="Myriad Pro" w:cs="Times New Roman"/>
          <w:sz w:val="26"/>
          <w:szCs w:val="26"/>
        </w:rPr>
        <w:t>План движения потоков наличности на 2019-2023 годы</w:t>
      </w:r>
      <w:r w:rsidR="00655FFA" w:rsidRPr="008B4E5A">
        <w:rPr>
          <w:rFonts w:ascii="Myriad Pro" w:eastAsia="Calibri" w:hAnsi="Myriad Pro" w:cs="Times New Roman"/>
          <w:sz w:val="26"/>
          <w:szCs w:val="26"/>
        </w:rPr>
        <w:t>»</w:t>
      </w:r>
      <w:r w:rsidR="00882929" w:rsidRPr="008B4E5A">
        <w:rPr>
          <w:rFonts w:ascii="Myriad Pro" w:eastAsia="Calibri" w:hAnsi="Myriad Pro" w:cs="Times New Roman"/>
          <w:sz w:val="26"/>
          <w:szCs w:val="26"/>
        </w:rPr>
        <w:t xml:space="preserve">, </w:t>
      </w:r>
      <w:r w:rsidR="00655FFA" w:rsidRPr="008B4E5A">
        <w:rPr>
          <w:rFonts w:ascii="Myriad Pro" w:eastAsia="Calibri" w:hAnsi="Myriad Pro" w:cs="Times New Roman"/>
          <w:sz w:val="26"/>
          <w:szCs w:val="26"/>
        </w:rPr>
        <w:t>«</w:t>
      </w:r>
      <w:r w:rsidR="00882929" w:rsidRPr="008B4E5A">
        <w:rPr>
          <w:rFonts w:ascii="Myriad Pro" w:eastAsia="Calibri" w:hAnsi="Myriad Pro" w:cs="Times New Roman"/>
          <w:sz w:val="26"/>
          <w:szCs w:val="26"/>
        </w:rPr>
        <w:t xml:space="preserve">Расчет затрат по статье </w:t>
      </w:r>
      <w:r w:rsidR="00655FFA" w:rsidRPr="008B4E5A">
        <w:rPr>
          <w:rFonts w:ascii="Myriad Pro" w:eastAsia="Calibri" w:hAnsi="Myriad Pro" w:cs="Times New Roman"/>
          <w:sz w:val="26"/>
          <w:szCs w:val="26"/>
        </w:rPr>
        <w:t>«</w:t>
      </w:r>
      <w:r w:rsidR="00882929" w:rsidRPr="008B4E5A">
        <w:rPr>
          <w:rFonts w:ascii="Myriad Pro" w:eastAsia="Calibri" w:hAnsi="Myriad Pro" w:cs="Times New Roman"/>
          <w:sz w:val="26"/>
          <w:szCs w:val="26"/>
        </w:rPr>
        <w:t>Проценты за пользование кредитными ресурсами</w:t>
      </w:r>
      <w:r w:rsidR="00655FFA" w:rsidRPr="008B4E5A">
        <w:rPr>
          <w:rFonts w:ascii="Myriad Pro" w:eastAsia="Calibri" w:hAnsi="Myriad Pro" w:cs="Times New Roman"/>
          <w:sz w:val="26"/>
          <w:szCs w:val="26"/>
        </w:rPr>
        <w:t>»</w:t>
      </w:r>
      <w:r w:rsidR="00882929" w:rsidRPr="008B4E5A">
        <w:rPr>
          <w:rFonts w:ascii="Myriad Pro" w:eastAsia="Calibri" w:hAnsi="Myriad Pro" w:cs="Times New Roman"/>
          <w:sz w:val="26"/>
          <w:szCs w:val="26"/>
        </w:rPr>
        <w:t xml:space="preserve"> на 2019 год</w:t>
      </w:r>
      <w:r w:rsidR="00655FFA" w:rsidRPr="008B4E5A">
        <w:rPr>
          <w:rFonts w:ascii="Myriad Pro" w:eastAsia="Calibri" w:hAnsi="Myriad Pro" w:cs="Times New Roman"/>
          <w:sz w:val="26"/>
          <w:szCs w:val="26"/>
        </w:rPr>
        <w:t>»</w:t>
      </w:r>
      <w:r w:rsidR="00882929" w:rsidRPr="008B4E5A">
        <w:rPr>
          <w:rFonts w:ascii="Myriad Pro" w:eastAsia="Calibri" w:hAnsi="Myriad Pro" w:cs="Times New Roman"/>
          <w:sz w:val="26"/>
          <w:szCs w:val="26"/>
        </w:rPr>
        <w:t xml:space="preserve">, </w:t>
      </w:r>
      <w:r w:rsidR="00655FFA" w:rsidRPr="008B4E5A">
        <w:rPr>
          <w:rFonts w:ascii="Myriad Pro" w:eastAsia="Calibri" w:hAnsi="Myriad Pro" w:cs="Times New Roman"/>
          <w:sz w:val="26"/>
          <w:szCs w:val="26"/>
        </w:rPr>
        <w:t>«</w:t>
      </w:r>
      <w:r w:rsidR="00882929" w:rsidRPr="008B4E5A">
        <w:rPr>
          <w:rFonts w:ascii="Myriad Pro" w:eastAsia="Calibri" w:hAnsi="Myriad Pro" w:cs="Times New Roman"/>
          <w:sz w:val="26"/>
          <w:szCs w:val="26"/>
        </w:rPr>
        <w:t>Расчет плановой величины НДС на 2019-2023 годы</w:t>
      </w:r>
      <w:r w:rsidR="00655FFA" w:rsidRPr="008B4E5A">
        <w:rPr>
          <w:rFonts w:ascii="Myriad Pro" w:eastAsia="Calibri" w:hAnsi="Myriad Pro" w:cs="Times New Roman"/>
          <w:sz w:val="26"/>
          <w:szCs w:val="26"/>
        </w:rPr>
        <w:t>»</w:t>
      </w:r>
      <w:r w:rsidR="00882929" w:rsidRPr="008B4E5A">
        <w:rPr>
          <w:rFonts w:ascii="Myriad Pro" w:eastAsia="Calibri" w:hAnsi="Myriad Pro" w:cs="Times New Roman"/>
          <w:sz w:val="26"/>
          <w:szCs w:val="26"/>
        </w:rPr>
        <w:t xml:space="preserve">. </w:t>
      </w:r>
    </w:p>
    <w:p w14:paraId="3BF5DB95" w14:textId="4340F639" w:rsidR="00882929" w:rsidRPr="008B4E5A" w:rsidRDefault="00882929" w:rsidP="00A31747">
      <w:pPr>
        <w:tabs>
          <w:tab w:val="left" w:pos="1134"/>
        </w:tabs>
        <w:spacing w:after="0" w:line="360" w:lineRule="auto"/>
        <w:ind w:firstLine="567"/>
        <w:contextualSpacing/>
        <w:jc w:val="both"/>
        <w:rPr>
          <w:rFonts w:ascii="Myriad Pro" w:hAnsi="Myriad Pro"/>
          <w:sz w:val="26"/>
          <w:szCs w:val="26"/>
        </w:rPr>
      </w:pPr>
      <w:r w:rsidRPr="008B4E5A">
        <w:rPr>
          <w:rFonts w:ascii="Myriad Pro" w:hAnsi="Myriad Pro"/>
          <w:sz w:val="26"/>
          <w:szCs w:val="26"/>
        </w:rPr>
        <w:t>Филиалом предоставлен</w:t>
      </w:r>
      <w:r w:rsidR="005524C9" w:rsidRPr="008B4E5A">
        <w:rPr>
          <w:rFonts w:ascii="Myriad Pro" w:hAnsi="Myriad Pro"/>
          <w:sz w:val="26"/>
          <w:szCs w:val="26"/>
        </w:rPr>
        <w:t>а</w:t>
      </w:r>
      <w:r w:rsidRPr="008B4E5A">
        <w:rPr>
          <w:rFonts w:ascii="Myriad Pro" w:hAnsi="Myriad Pro"/>
          <w:sz w:val="26"/>
          <w:szCs w:val="26"/>
        </w:rPr>
        <w:t xml:space="preserve"> и документально подтвержден</w:t>
      </w:r>
      <w:r w:rsidR="005524C9" w:rsidRPr="008B4E5A">
        <w:rPr>
          <w:rFonts w:ascii="Myriad Pro" w:hAnsi="Myriad Pro"/>
          <w:sz w:val="26"/>
          <w:szCs w:val="26"/>
        </w:rPr>
        <w:t xml:space="preserve">а необходимость </w:t>
      </w:r>
      <w:r w:rsidRPr="008B4E5A">
        <w:rPr>
          <w:rFonts w:ascii="Myriad Pro" w:hAnsi="Myriad Pro"/>
          <w:sz w:val="26"/>
          <w:szCs w:val="26"/>
        </w:rPr>
        <w:t>привлечение кредитных ресурсов</w:t>
      </w:r>
      <w:r w:rsidR="005524C9" w:rsidRPr="008B4E5A">
        <w:rPr>
          <w:rFonts w:ascii="Myriad Pro" w:hAnsi="Myriad Pro"/>
          <w:sz w:val="26"/>
          <w:szCs w:val="26"/>
        </w:rPr>
        <w:t xml:space="preserve"> и соответственно бремя несения </w:t>
      </w:r>
      <w:r w:rsidRPr="008B4E5A">
        <w:rPr>
          <w:rFonts w:ascii="Myriad Pro" w:hAnsi="Myriad Pro"/>
          <w:sz w:val="26"/>
          <w:szCs w:val="26"/>
        </w:rPr>
        <w:t>расход</w:t>
      </w:r>
      <w:r w:rsidR="005524C9" w:rsidRPr="008B4E5A">
        <w:rPr>
          <w:rFonts w:ascii="Myriad Pro" w:hAnsi="Myriad Pro"/>
          <w:sz w:val="26"/>
          <w:szCs w:val="26"/>
        </w:rPr>
        <w:t>ов</w:t>
      </w:r>
      <w:r w:rsidRPr="008B4E5A">
        <w:rPr>
          <w:rFonts w:ascii="Myriad Pro" w:hAnsi="Myriad Pro"/>
          <w:sz w:val="26"/>
          <w:szCs w:val="26"/>
        </w:rPr>
        <w:t xml:space="preserve"> по оплате процентов по привлеченным кредитным ресурсам. </w:t>
      </w:r>
    </w:p>
    <w:p w14:paraId="55136D24" w14:textId="223E0F4F" w:rsidR="0078040A" w:rsidRPr="008B4E5A" w:rsidRDefault="0078040A" w:rsidP="00A31747">
      <w:pPr>
        <w:tabs>
          <w:tab w:val="left" w:pos="1134"/>
        </w:tabs>
        <w:spacing w:after="0" w:line="360" w:lineRule="auto"/>
        <w:ind w:firstLine="567"/>
        <w:contextualSpacing/>
        <w:jc w:val="both"/>
        <w:rPr>
          <w:rFonts w:ascii="Myriad Pro" w:hAnsi="Myriad Pro"/>
          <w:sz w:val="26"/>
          <w:szCs w:val="26"/>
        </w:rPr>
      </w:pPr>
      <w:r w:rsidRPr="008B4E5A">
        <w:rPr>
          <w:rFonts w:ascii="Myriad Pro" w:hAnsi="Myriad Pro"/>
          <w:sz w:val="26"/>
          <w:szCs w:val="26"/>
        </w:rPr>
        <w:t>Филиалом в материалы тарифного дела приложены копии кредитных договоров.</w:t>
      </w:r>
    </w:p>
    <w:p w14:paraId="3FC959BD" w14:textId="7D0319A8" w:rsidR="0078040A" w:rsidRPr="008B4E5A" w:rsidRDefault="0078040A" w:rsidP="00A31747">
      <w:pPr>
        <w:tabs>
          <w:tab w:val="left" w:pos="1134"/>
        </w:tabs>
        <w:spacing w:after="0" w:line="360" w:lineRule="auto"/>
        <w:ind w:firstLine="567"/>
        <w:contextualSpacing/>
        <w:jc w:val="both"/>
        <w:rPr>
          <w:rFonts w:ascii="Myriad Pro" w:hAnsi="Myriad Pro"/>
          <w:sz w:val="26"/>
          <w:szCs w:val="26"/>
        </w:rPr>
      </w:pPr>
      <w:r w:rsidRPr="008B4E5A">
        <w:rPr>
          <w:rFonts w:ascii="Myriad Pro" w:hAnsi="Myriad Pro"/>
          <w:sz w:val="26"/>
          <w:szCs w:val="26"/>
        </w:rPr>
        <w:t xml:space="preserve">Расчет затрат по статье </w:t>
      </w:r>
      <w:r w:rsidR="00655FFA" w:rsidRPr="008B4E5A">
        <w:rPr>
          <w:rFonts w:ascii="Myriad Pro" w:hAnsi="Myriad Pro"/>
          <w:sz w:val="26"/>
          <w:szCs w:val="26"/>
        </w:rPr>
        <w:t>«</w:t>
      </w:r>
      <w:r w:rsidRPr="008B4E5A">
        <w:rPr>
          <w:rFonts w:ascii="Myriad Pro" w:hAnsi="Myriad Pro"/>
          <w:sz w:val="26"/>
          <w:szCs w:val="26"/>
        </w:rPr>
        <w:t>Проценты за пользование кредитными ресурсами</w:t>
      </w:r>
      <w:r w:rsidR="00655FFA" w:rsidRPr="008B4E5A">
        <w:rPr>
          <w:rFonts w:ascii="Myriad Pro" w:hAnsi="Myriad Pro"/>
          <w:sz w:val="26"/>
          <w:szCs w:val="26"/>
        </w:rPr>
        <w:t>»</w:t>
      </w:r>
      <w:r w:rsidRPr="008B4E5A">
        <w:rPr>
          <w:rFonts w:ascii="Myriad Pro" w:hAnsi="Myriad Pro"/>
          <w:sz w:val="26"/>
          <w:szCs w:val="26"/>
        </w:rPr>
        <w:t xml:space="preserve"> на 2019 год произведен Филиалом исходя из ставки по кредиту - 8,41%, полученной как среднеарифметическая по 24 кредитным договорам (все ставки по договорам сложили и разделили на кол-во договоров 24 шт.), что по мнению Исполнителя не верно.</w:t>
      </w:r>
    </w:p>
    <w:p w14:paraId="2A847D01" w14:textId="77777777" w:rsidR="0078040A" w:rsidRPr="008B4E5A" w:rsidRDefault="0078040A" w:rsidP="005013AA">
      <w:pPr>
        <w:pStyle w:val="afff4"/>
        <w:spacing w:after="120"/>
        <w:rPr>
          <w:lang w:val="ru-RU"/>
        </w:rPr>
      </w:pPr>
      <w:r w:rsidRPr="008B4E5A">
        <w:rPr>
          <w:lang w:val="ru-RU"/>
        </w:rPr>
        <w:t xml:space="preserve">По мнению Исполнителя, </w:t>
      </w:r>
      <w:r w:rsidRPr="00CC16E6">
        <w:rPr>
          <w:lang w:val="ru-RU"/>
        </w:rPr>
        <w:t>необходимо расчет процентов произвести по каждому договору в зависимости от суммы привлеченного кредита и договорной ставки по кредиту. По расчету Исполнителя</w:t>
      </w:r>
      <w:r w:rsidRPr="008B4E5A">
        <w:rPr>
          <w:lang w:val="ru-RU"/>
        </w:rPr>
        <w:t xml:space="preserve"> средневзвешенная ставка по привлеченным кредитным ресурсам в 2019 году составит 7,99%. Сумма процентов </w:t>
      </w:r>
      <w:r w:rsidRPr="008B4E5A">
        <w:rPr>
          <w:lang w:val="ru-RU"/>
        </w:rPr>
        <w:lastRenderedPageBreak/>
        <w:t>просчитана от суммы остатка долга по кредитным договорам по состоянию на 01.01.2018 г. (по обороту счета 66,67).</w:t>
      </w:r>
    </w:p>
    <w:tbl>
      <w:tblPr>
        <w:tblStyle w:val="afff6"/>
        <w:tblW w:w="5000" w:type="pct"/>
        <w:tblCellMar>
          <w:top w:w="45" w:type="dxa"/>
          <w:bottom w:w="45" w:type="dxa"/>
        </w:tblCellMar>
        <w:tblLook w:val="04A0" w:firstRow="1" w:lastRow="0" w:firstColumn="1" w:lastColumn="0" w:noHBand="0" w:noVBand="1"/>
      </w:tblPr>
      <w:tblGrid>
        <w:gridCol w:w="4427"/>
        <w:gridCol w:w="1795"/>
        <w:gridCol w:w="1700"/>
        <w:gridCol w:w="1422"/>
      </w:tblGrid>
      <w:tr w:rsidR="0078040A" w:rsidRPr="008B4E5A" w14:paraId="162A2A1F" w14:textId="77777777" w:rsidTr="002267D7">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7BC64EF" w14:textId="7DF10EAB" w:rsidR="0078040A" w:rsidRPr="008B4E5A" w:rsidRDefault="0078040A" w:rsidP="00EB2242">
            <w:pPr>
              <w:tabs>
                <w:tab w:val="left" w:pos="1134"/>
              </w:tabs>
              <w:jc w:val="center"/>
              <w:rPr>
                <w:sz w:val="20"/>
                <w:szCs w:val="20"/>
              </w:rPr>
            </w:pPr>
            <w:r w:rsidRPr="008B4E5A">
              <w:rPr>
                <w:sz w:val="20"/>
                <w:szCs w:val="20"/>
              </w:rPr>
              <w:t xml:space="preserve">Контрагенты </w:t>
            </w:r>
            <w:r w:rsidR="00ED185D" w:rsidRPr="008B4E5A">
              <w:rPr>
                <w:sz w:val="20"/>
                <w:szCs w:val="20"/>
              </w:rPr>
              <w:t>/</w:t>
            </w:r>
            <w:r w:rsidRPr="008B4E5A">
              <w:rPr>
                <w:sz w:val="20"/>
                <w:szCs w:val="20"/>
              </w:rPr>
              <w:t xml:space="preserve"> Договоры</w:t>
            </w:r>
          </w:p>
        </w:tc>
        <w:tc>
          <w:tcPr>
            <w:tcW w:w="10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017234E2" w14:textId="77777777" w:rsidR="008A1FE3" w:rsidRPr="008B4E5A" w:rsidRDefault="0078040A" w:rsidP="00071537">
            <w:pPr>
              <w:tabs>
                <w:tab w:val="left" w:pos="1134"/>
              </w:tabs>
              <w:cnfStyle w:val="100000000000" w:firstRow="1" w:lastRow="0" w:firstColumn="0" w:lastColumn="0" w:oddVBand="0" w:evenVBand="0" w:oddHBand="0" w:evenHBand="0" w:firstRowFirstColumn="0" w:firstRowLastColumn="0" w:lastRowFirstColumn="0" w:lastRowLastColumn="0"/>
              <w:rPr>
                <w:sz w:val="20"/>
                <w:szCs w:val="20"/>
              </w:rPr>
            </w:pPr>
            <w:r w:rsidRPr="008B4E5A">
              <w:rPr>
                <w:sz w:val="20"/>
                <w:szCs w:val="20"/>
              </w:rPr>
              <w:t xml:space="preserve">Остаток </w:t>
            </w:r>
          </w:p>
          <w:p w14:paraId="5178E8EF" w14:textId="3BF3578B" w:rsidR="0078040A" w:rsidRPr="008B4E5A" w:rsidRDefault="0078040A" w:rsidP="00071537">
            <w:pPr>
              <w:tabs>
                <w:tab w:val="left" w:pos="1134"/>
              </w:tabs>
              <w:cnfStyle w:val="100000000000" w:firstRow="1" w:lastRow="0" w:firstColumn="0" w:lastColumn="0" w:oddVBand="0" w:evenVBand="0" w:oddHBand="0" w:evenHBand="0" w:firstRowFirstColumn="0" w:firstRowLastColumn="0" w:lastRowFirstColumn="0" w:lastRowLastColumn="0"/>
              <w:rPr>
                <w:sz w:val="20"/>
                <w:szCs w:val="20"/>
              </w:rPr>
            </w:pPr>
            <w:r w:rsidRPr="008B4E5A">
              <w:rPr>
                <w:sz w:val="20"/>
                <w:szCs w:val="20"/>
              </w:rPr>
              <w:t>на 01.01.2018</w:t>
            </w:r>
          </w:p>
        </w:tc>
        <w:tc>
          <w:tcPr>
            <w:tcW w:w="10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24C7B340" w14:textId="77777777" w:rsidR="008A1FE3" w:rsidRPr="008B4E5A" w:rsidRDefault="0078040A" w:rsidP="00071537">
            <w:pPr>
              <w:tabs>
                <w:tab w:val="left" w:pos="1134"/>
              </w:tabs>
              <w:cnfStyle w:val="100000000000" w:firstRow="1" w:lastRow="0" w:firstColumn="0" w:lastColumn="0" w:oddVBand="0" w:evenVBand="0" w:oddHBand="0" w:evenHBand="0" w:firstRowFirstColumn="0" w:firstRowLastColumn="0" w:lastRowFirstColumn="0" w:lastRowLastColumn="0"/>
              <w:rPr>
                <w:sz w:val="20"/>
                <w:szCs w:val="20"/>
              </w:rPr>
            </w:pPr>
            <w:r w:rsidRPr="008B4E5A">
              <w:rPr>
                <w:sz w:val="20"/>
                <w:szCs w:val="20"/>
              </w:rPr>
              <w:t xml:space="preserve">% ставка </w:t>
            </w:r>
          </w:p>
          <w:p w14:paraId="268CF6F0" w14:textId="15637D39" w:rsidR="0078040A" w:rsidRPr="008B4E5A" w:rsidRDefault="0078040A" w:rsidP="00071537">
            <w:pPr>
              <w:tabs>
                <w:tab w:val="left" w:pos="1134"/>
              </w:tabs>
              <w:cnfStyle w:val="100000000000" w:firstRow="1" w:lastRow="0" w:firstColumn="0" w:lastColumn="0" w:oddVBand="0" w:evenVBand="0" w:oddHBand="0" w:evenHBand="0" w:firstRowFirstColumn="0" w:firstRowLastColumn="0" w:lastRowFirstColumn="0" w:lastRowLastColumn="0"/>
              <w:rPr>
                <w:sz w:val="20"/>
                <w:szCs w:val="20"/>
              </w:rPr>
            </w:pPr>
            <w:r w:rsidRPr="008B4E5A">
              <w:rPr>
                <w:sz w:val="20"/>
                <w:szCs w:val="20"/>
              </w:rPr>
              <w:t>по договору</w:t>
            </w:r>
          </w:p>
        </w:tc>
        <w:tc>
          <w:tcPr>
            <w:tcW w:w="8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20175853" w14:textId="77777777" w:rsidR="008A1FE3" w:rsidRPr="008B4E5A" w:rsidRDefault="0078040A" w:rsidP="00071537">
            <w:pPr>
              <w:tabs>
                <w:tab w:val="left" w:pos="1134"/>
              </w:tabs>
              <w:cnfStyle w:val="100000000000" w:firstRow="1" w:lastRow="0" w:firstColumn="0" w:lastColumn="0" w:oddVBand="0" w:evenVBand="0" w:oddHBand="0" w:evenHBand="0" w:firstRowFirstColumn="0" w:firstRowLastColumn="0" w:lastRowFirstColumn="0" w:lastRowLastColumn="0"/>
              <w:rPr>
                <w:sz w:val="20"/>
                <w:szCs w:val="20"/>
              </w:rPr>
            </w:pPr>
            <w:r w:rsidRPr="008B4E5A">
              <w:rPr>
                <w:sz w:val="20"/>
                <w:szCs w:val="20"/>
              </w:rPr>
              <w:t xml:space="preserve">Сумма </w:t>
            </w:r>
          </w:p>
          <w:p w14:paraId="08EA0E10" w14:textId="1C345E6E" w:rsidR="0078040A" w:rsidRPr="008B4E5A" w:rsidRDefault="0078040A" w:rsidP="00071537">
            <w:pPr>
              <w:tabs>
                <w:tab w:val="left" w:pos="1134"/>
              </w:tabs>
              <w:cnfStyle w:val="100000000000" w:firstRow="1" w:lastRow="0" w:firstColumn="0" w:lastColumn="0" w:oddVBand="0" w:evenVBand="0" w:oddHBand="0" w:evenHBand="0" w:firstRowFirstColumn="0" w:firstRowLastColumn="0" w:lastRowFirstColumn="0" w:lastRowLastColumn="0"/>
              <w:rPr>
                <w:sz w:val="20"/>
                <w:szCs w:val="20"/>
              </w:rPr>
            </w:pPr>
            <w:r w:rsidRPr="008B4E5A">
              <w:rPr>
                <w:sz w:val="20"/>
                <w:szCs w:val="20"/>
              </w:rPr>
              <w:t>процентов</w:t>
            </w:r>
          </w:p>
        </w:tc>
      </w:tr>
      <w:tr w:rsidR="0078040A" w:rsidRPr="008B4E5A" w14:paraId="47E00BF8" w14:textId="77777777" w:rsidTr="002267D7">
        <w:trPr>
          <w:trHeight w:val="255"/>
        </w:trPr>
        <w:tc>
          <w:tcPr>
            <w:cnfStyle w:val="001000000000" w:firstRow="0" w:lastRow="0" w:firstColumn="1" w:lastColumn="0" w:oddVBand="0" w:evenVBand="0" w:oddHBand="0" w:evenHBand="0" w:firstRowFirstColumn="0" w:firstRowLastColumn="0" w:lastRowFirstColumn="0" w:lastRowLastColumn="0"/>
            <w:tcW w:w="2468" w:type="pct"/>
            <w:tcBorders>
              <w:top w:val="single" w:sz="4" w:space="0" w:color="FFFFFF" w:themeColor="background1"/>
            </w:tcBorders>
            <w:hideMark/>
          </w:tcPr>
          <w:p w14:paraId="6A9EA47A" w14:textId="77777777" w:rsidR="0078040A" w:rsidRPr="008B4E5A" w:rsidRDefault="0078040A" w:rsidP="00071537">
            <w:pPr>
              <w:tabs>
                <w:tab w:val="left" w:pos="1134"/>
              </w:tabs>
              <w:rPr>
                <w:sz w:val="20"/>
                <w:szCs w:val="20"/>
              </w:rPr>
            </w:pPr>
            <w:r w:rsidRPr="008B4E5A">
              <w:rPr>
                <w:sz w:val="20"/>
                <w:szCs w:val="20"/>
              </w:rPr>
              <w:t>Краткосрочные займы в рублях</w:t>
            </w:r>
          </w:p>
        </w:tc>
        <w:tc>
          <w:tcPr>
            <w:tcW w:w="1059" w:type="pct"/>
            <w:tcBorders>
              <w:top w:val="single" w:sz="4" w:space="0" w:color="FFFFFF" w:themeColor="background1"/>
            </w:tcBorders>
            <w:noWrap/>
            <w:hideMark/>
          </w:tcPr>
          <w:p w14:paraId="6318C585" w14:textId="77777777" w:rsidR="0078040A" w:rsidRPr="008B4E5A" w:rsidRDefault="0078040A" w:rsidP="00071537">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8B4E5A">
              <w:rPr>
                <w:sz w:val="20"/>
                <w:szCs w:val="20"/>
              </w:rPr>
              <w:t>5 000 000 000,00</w:t>
            </w:r>
          </w:p>
        </w:tc>
        <w:tc>
          <w:tcPr>
            <w:tcW w:w="712" w:type="pct"/>
            <w:tcBorders>
              <w:top w:val="single" w:sz="4" w:space="0" w:color="FFFFFF" w:themeColor="background1"/>
            </w:tcBorders>
            <w:noWrap/>
            <w:hideMark/>
          </w:tcPr>
          <w:p w14:paraId="485E5A0E" w14:textId="77777777" w:rsidR="0078040A" w:rsidRPr="008B4E5A" w:rsidRDefault="0078040A" w:rsidP="00071537">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8B4E5A">
              <w:rPr>
                <w:sz w:val="20"/>
                <w:szCs w:val="20"/>
              </w:rPr>
              <w:t>7,75</w:t>
            </w:r>
          </w:p>
        </w:tc>
        <w:tc>
          <w:tcPr>
            <w:tcW w:w="761" w:type="pct"/>
            <w:tcBorders>
              <w:top w:val="single" w:sz="4" w:space="0" w:color="FFFFFF" w:themeColor="background1"/>
            </w:tcBorders>
            <w:noWrap/>
            <w:hideMark/>
          </w:tcPr>
          <w:p w14:paraId="66B1A3A6" w14:textId="77777777" w:rsidR="0078040A" w:rsidRPr="008B4E5A" w:rsidRDefault="0078040A" w:rsidP="00071537">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8B4E5A">
              <w:rPr>
                <w:sz w:val="20"/>
                <w:szCs w:val="20"/>
              </w:rPr>
              <w:t>387 500 000</w:t>
            </w:r>
          </w:p>
        </w:tc>
      </w:tr>
      <w:tr w:rsidR="0078040A" w:rsidRPr="008B4E5A" w14:paraId="56363A86" w14:textId="77777777" w:rsidTr="005013AA">
        <w:trPr>
          <w:trHeight w:val="225"/>
        </w:trPr>
        <w:tc>
          <w:tcPr>
            <w:cnfStyle w:val="001000000000" w:firstRow="0" w:lastRow="0" w:firstColumn="1" w:lastColumn="0" w:oddVBand="0" w:evenVBand="0" w:oddHBand="0" w:evenHBand="0" w:firstRowFirstColumn="0" w:firstRowLastColumn="0" w:lastRowFirstColumn="0" w:lastRowLastColumn="0"/>
            <w:tcW w:w="2468" w:type="pct"/>
            <w:hideMark/>
          </w:tcPr>
          <w:p w14:paraId="7937FBD0" w14:textId="77777777" w:rsidR="0078040A" w:rsidRPr="008B4E5A" w:rsidRDefault="0078040A" w:rsidP="00071537">
            <w:pPr>
              <w:tabs>
                <w:tab w:val="left" w:pos="1134"/>
              </w:tabs>
              <w:rPr>
                <w:sz w:val="20"/>
                <w:szCs w:val="20"/>
              </w:rPr>
            </w:pPr>
            <w:r w:rsidRPr="008B4E5A">
              <w:rPr>
                <w:sz w:val="20"/>
                <w:szCs w:val="20"/>
              </w:rPr>
              <w:t>АБ РОССИЯ</w:t>
            </w:r>
          </w:p>
        </w:tc>
        <w:tc>
          <w:tcPr>
            <w:tcW w:w="1059" w:type="pct"/>
            <w:noWrap/>
            <w:hideMark/>
          </w:tcPr>
          <w:p w14:paraId="73C448C7" w14:textId="77777777" w:rsidR="0078040A" w:rsidRPr="008B4E5A" w:rsidRDefault="0078040A" w:rsidP="00071537">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8B4E5A">
              <w:rPr>
                <w:sz w:val="20"/>
                <w:szCs w:val="20"/>
              </w:rPr>
              <w:t>2 000 000 000,00</w:t>
            </w:r>
          </w:p>
        </w:tc>
        <w:tc>
          <w:tcPr>
            <w:tcW w:w="712" w:type="pct"/>
            <w:noWrap/>
            <w:hideMark/>
          </w:tcPr>
          <w:p w14:paraId="4C2901FD" w14:textId="77777777" w:rsidR="0078040A" w:rsidRPr="008B4E5A" w:rsidRDefault="0078040A" w:rsidP="00071537">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8B4E5A">
              <w:rPr>
                <w:sz w:val="20"/>
                <w:szCs w:val="20"/>
              </w:rPr>
              <w:t> </w:t>
            </w:r>
          </w:p>
        </w:tc>
        <w:tc>
          <w:tcPr>
            <w:tcW w:w="761" w:type="pct"/>
            <w:noWrap/>
            <w:hideMark/>
          </w:tcPr>
          <w:p w14:paraId="5C3E1EF3" w14:textId="77777777" w:rsidR="0078040A" w:rsidRPr="008B4E5A" w:rsidRDefault="0078040A" w:rsidP="00071537">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8B4E5A">
              <w:rPr>
                <w:sz w:val="20"/>
                <w:szCs w:val="20"/>
              </w:rPr>
              <w:t>162 500 000</w:t>
            </w:r>
          </w:p>
        </w:tc>
      </w:tr>
      <w:tr w:rsidR="0078040A" w:rsidRPr="008B4E5A" w14:paraId="224E374A" w14:textId="77777777" w:rsidTr="005013AA">
        <w:trPr>
          <w:trHeight w:val="225"/>
        </w:trPr>
        <w:tc>
          <w:tcPr>
            <w:cnfStyle w:val="001000000000" w:firstRow="0" w:lastRow="0" w:firstColumn="1" w:lastColumn="0" w:oddVBand="0" w:evenVBand="0" w:oddHBand="0" w:evenHBand="0" w:firstRowFirstColumn="0" w:firstRowLastColumn="0" w:lastRowFirstColumn="0" w:lastRowLastColumn="0"/>
            <w:tcW w:w="2468" w:type="pct"/>
            <w:hideMark/>
          </w:tcPr>
          <w:p w14:paraId="7970163F" w14:textId="77777777" w:rsidR="0078040A" w:rsidRPr="008B4E5A" w:rsidRDefault="0078040A" w:rsidP="00071537">
            <w:pPr>
              <w:tabs>
                <w:tab w:val="left" w:pos="1134"/>
              </w:tabs>
              <w:rPr>
                <w:sz w:val="20"/>
                <w:szCs w:val="20"/>
              </w:rPr>
            </w:pPr>
            <w:r w:rsidRPr="008B4E5A">
              <w:rPr>
                <w:sz w:val="20"/>
                <w:szCs w:val="20"/>
              </w:rPr>
              <w:t>Договор № 00.02-1-2/01/070/16 от 08.06.2016</w:t>
            </w:r>
          </w:p>
        </w:tc>
        <w:tc>
          <w:tcPr>
            <w:tcW w:w="1059" w:type="pct"/>
            <w:noWrap/>
            <w:hideMark/>
          </w:tcPr>
          <w:p w14:paraId="5C125A7B" w14:textId="77777777" w:rsidR="0078040A" w:rsidRPr="008B4E5A" w:rsidRDefault="0078040A" w:rsidP="00071537">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8B4E5A">
              <w:rPr>
                <w:sz w:val="20"/>
                <w:szCs w:val="20"/>
              </w:rPr>
              <w:t>1 000 000 000,00</w:t>
            </w:r>
          </w:p>
        </w:tc>
        <w:tc>
          <w:tcPr>
            <w:tcW w:w="712" w:type="pct"/>
            <w:noWrap/>
            <w:hideMark/>
          </w:tcPr>
          <w:p w14:paraId="47261A98" w14:textId="77777777" w:rsidR="0078040A" w:rsidRPr="008B4E5A" w:rsidRDefault="0078040A" w:rsidP="00071537">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8B4E5A">
              <w:rPr>
                <w:sz w:val="20"/>
                <w:szCs w:val="20"/>
              </w:rPr>
              <w:t>8,00</w:t>
            </w:r>
          </w:p>
        </w:tc>
        <w:tc>
          <w:tcPr>
            <w:tcW w:w="761" w:type="pct"/>
            <w:noWrap/>
            <w:hideMark/>
          </w:tcPr>
          <w:p w14:paraId="1BD70101" w14:textId="77777777" w:rsidR="0078040A" w:rsidRPr="008B4E5A" w:rsidRDefault="0078040A" w:rsidP="00071537">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8B4E5A">
              <w:rPr>
                <w:sz w:val="20"/>
                <w:szCs w:val="20"/>
              </w:rPr>
              <w:t>80 000 000</w:t>
            </w:r>
          </w:p>
        </w:tc>
      </w:tr>
      <w:tr w:rsidR="0078040A" w:rsidRPr="008B4E5A" w14:paraId="1F922F90" w14:textId="77777777" w:rsidTr="005013AA">
        <w:trPr>
          <w:trHeight w:val="225"/>
        </w:trPr>
        <w:tc>
          <w:tcPr>
            <w:cnfStyle w:val="001000000000" w:firstRow="0" w:lastRow="0" w:firstColumn="1" w:lastColumn="0" w:oddVBand="0" w:evenVBand="0" w:oddHBand="0" w:evenHBand="0" w:firstRowFirstColumn="0" w:firstRowLastColumn="0" w:lastRowFirstColumn="0" w:lastRowLastColumn="0"/>
            <w:tcW w:w="2468" w:type="pct"/>
            <w:hideMark/>
          </w:tcPr>
          <w:p w14:paraId="2DABE701" w14:textId="77777777" w:rsidR="0078040A" w:rsidRPr="008B4E5A" w:rsidRDefault="0078040A" w:rsidP="00071537">
            <w:pPr>
              <w:tabs>
                <w:tab w:val="left" w:pos="1134"/>
              </w:tabs>
              <w:rPr>
                <w:sz w:val="20"/>
                <w:szCs w:val="20"/>
              </w:rPr>
            </w:pPr>
            <w:r w:rsidRPr="008B4E5A">
              <w:rPr>
                <w:sz w:val="20"/>
                <w:szCs w:val="20"/>
              </w:rPr>
              <w:t>Договор № 00.02-1-2/01/071/16 от 08.06.2016</w:t>
            </w:r>
          </w:p>
        </w:tc>
        <w:tc>
          <w:tcPr>
            <w:tcW w:w="1059" w:type="pct"/>
            <w:noWrap/>
            <w:hideMark/>
          </w:tcPr>
          <w:p w14:paraId="36C9D207" w14:textId="77777777" w:rsidR="0078040A" w:rsidRPr="008B4E5A" w:rsidRDefault="0078040A" w:rsidP="00071537">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8B4E5A">
              <w:rPr>
                <w:sz w:val="20"/>
                <w:szCs w:val="20"/>
              </w:rPr>
              <w:t>1 000 000 000,00</w:t>
            </w:r>
          </w:p>
        </w:tc>
        <w:tc>
          <w:tcPr>
            <w:tcW w:w="712" w:type="pct"/>
            <w:noWrap/>
            <w:hideMark/>
          </w:tcPr>
          <w:p w14:paraId="778B2703" w14:textId="77777777" w:rsidR="0078040A" w:rsidRPr="008B4E5A" w:rsidRDefault="0078040A" w:rsidP="00071537">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8B4E5A">
              <w:rPr>
                <w:sz w:val="20"/>
                <w:szCs w:val="20"/>
              </w:rPr>
              <w:t>8,25</w:t>
            </w:r>
          </w:p>
        </w:tc>
        <w:tc>
          <w:tcPr>
            <w:tcW w:w="761" w:type="pct"/>
            <w:noWrap/>
            <w:hideMark/>
          </w:tcPr>
          <w:p w14:paraId="3064A171" w14:textId="77777777" w:rsidR="0078040A" w:rsidRPr="008B4E5A" w:rsidRDefault="0078040A" w:rsidP="00071537">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8B4E5A">
              <w:rPr>
                <w:sz w:val="20"/>
                <w:szCs w:val="20"/>
              </w:rPr>
              <w:t>82 500 000</w:t>
            </w:r>
          </w:p>
        </w:tc>
      </w:tr>
      <w:tr w:rsidR="0078040A" w:rsidRPr="008B4E5A" w14:paraId="210836F7" w14:textId="77777777" w:rsidTr="005013AA">
        <w:trPr>
          <w:trHeight w:val="225"/>
        </w:trPr>
        <w:tc>
          <w:tcPr>
            <w:cnfStyle w:val="001000000000" w:firstRow="0" w:lastRow="0" w:firstColumn="1" w:lastColumn="0" w:oddVBand="0" w:evenVBand="0" w:oddHBand="0" w:evenHBand="0" w:firstRowFirstColumn="0" w:firstRowLastColumn="0" w:lastRowFirstColumn="0" w:lastRowLastColumn="0"/>
            <w:tcW w:w="2468" w:type="pct"/>
            <w:hideMark/>
          </w:tcPr>
          <w:p w14:paraId="4637740A" w14:textId="77777777" w:rsidR="0078040A" w:rsidRPr="008B4E5A" w:rsidRDefault="0078040A" w:rsidP="00071537">
            <w:pPr>
              <w:tabs>
                <w:tab w:val="left" w:pos="1134"/>
              </w:tabs>
              <w:rPr>
                <w:sz w:val="20"/>
                <w:szCs w:val="20"/>
              </w:rPr>
            </w:pPr>
            <w:r w:rsidRPr="008B4E5A">
              <w:rPr>
                <w:sz w:val="20"/>
                <w:szCs w:val="20"/>
              </w:rPr>
              <w:t xml:space="preserve">Банк ГПБ (АО) </w:t>
            </w:r>
          </w:p>
        </w:tc>
        <w:tc>
          <w:tcPr>
            <w:tcW w:w="1059" w:type="pct"/>
            <w:noWrap/>
            <w:hideMark/>
          </w:tcPr>
          <w:p w14:paraId="586B7D78" w14:textId="77777777" w:rsidR="0078040A" w:rsidRPr="008B4E5A" w:rsidRDefault="0078040A" w:rsidP="00071537">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8B4E5A">
              <w:rPr>
                <w:sz w:val="20"/>
                <w:szCs w:val="20"/>
              </w:rPr>
              <w:t>2 000 000 000,00</w:t>
            </w:r>
          </w:p>
        </w:tc>
        <w:tc>
          <w:tcPr>
            <w:tcW w:w="712" w:type="pct"/>
            <w:noWrap/>
            <w:hideMark/>
          </w:tcPr>
          <w:p w14:paraId="2EB95CA1" w14:textId="77777777" w:rsidR="0078040A" w:rsidRPr="008B4E5A" w:rsidRDefault="0078040A" w:rsidP="00071537">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8B4E5A">
              <w:rPr>
                <w:sz w:val="20"/>
                <w:szCs w:val="20"/>
              </w:rPr>
              <w:t> </w:t>
            </w:r>
          </w:p>
        </w:tc>
        <w:tc>
          <w:tcPr>
            <w:tcW w:w="761" w:type="pct"/>
            <w:noWrap/>
            <w:hideMark/>
          </w:tcPr>
          <w:p w14:paraId="182365E1" w14:textId="77777777" w:rsidR="0078040A" w:rsidRPr="008B4E5A" w:rsidRDefault="0078040A" w:rsidP="00071537">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8B4E5A">
              <w:rPr>
                <w:sz w:val="20"/>
                <w:szCs w:val="20"/>
              </w:rPr>
              <w:t>175 000 000</w:t>
            </w:r>
          </w:p>
        </w:tc>
      </w:tr>
      <w:tr w:rsidR="0078040A" w:rsidRPr="008B4E5A" w14:paraId="0193C587" w14:textId="77777777" w:rsidTr="005013AA">
        <w:trPr>
          <w:trHeight w:val="225"/>
        </w:trPr>
        <w:tc>
          <w:tcPr>
            <w:cnfStyle w:val="001000000000" w:firstRow="0" w:lastRow="0" w:firstColumn="1" w:lastColumn="0" w:oddVBand="0" w:evenVBand="0" w:oddHBand="0" w:evenHBand="0" w:firstRowFirstColumn="0" w:firstRowLastColumn="0" w:lastRowFirstColumn="0" w:lastRowLastColumn="0"/>
            <w:tcW w:w="2468" w:type="pct"/>
            <w:hideMark/>
          </w:tcPr>
          <w:p w14:paraId="53316D7B" w14:textId="77777777" w:rsidR="0078040A" w:rsidRPr="008B4E5A" w:rsidRDefault="0078040A" w:rsidP="00071537">
            <w:pPr>
              <w:tabs>
                <w:tab w:val="left" w:pos="1134"/>
              </w:tabs>
              <w:rPr>
                <w:sz w:val="20"/>
                <w:szCs w:val="20"/>
              </w:rPr>
            </w:pPr>
            <w:r w:rsidRPr="008B4E5A">
              <w:rPr>
                <w:sz w:val="20"/>
                <w:szCs w:val="20"/>
              </w:rPr>
              <w:t>Договор № 1516-091-810К от 09.12.2016</w:t>
            </w:r>
          </w:p>
        </w:tc>
        <w:tc>
          <w:tcPr>
            <w:tcW w:w="1059" w:type="pct"/>
            <w:noWrap/>
            <w:hideMark/>
          </w:tcPr>
          <w:p w14:paraId="2A41FA07" w14:textId="77777777" w:rsidR="0078040A" w:rsidRPr="008B4E5A" w:rsidRDefault="0078040A" w:rsidP="00071537">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8B4E5A">
              <w:rPr>
                <w:sz w:val="20"/>
                <w:szCs w:val="20"/>
              </w:rPr>
              <w:t>1 000 000 000,00</w:t>
            </w:r>
          </w:p>
        </w:tc>
        <w:tc>
          <w:tcPr>
            <w:tcW w:w="712" w:type="pct"/>
            <w:noWrap/>
            <w:hideMark/>
          </w:tcPr>
          <w:p w14:paraId="40219910" w14:textId="77777777" w:rsidR="0078040A" w:rsidRPr="008B4E5A" w:rsidRDefault="0078040A" w:rsidP="00071537">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8B4E5A">
              <w:rPr>
                <w:sz w:val="20"/>
                <w:szCs w:val="20"/>
              </w:rPr>
              <w:t>8,75</w:t>
            </w:r>
          </w:p>
        </w:tc>
        <w:tc>
          <w:tcPr>
            <w:tcW w:w="761" w:type="pct"/>
            <w:noWrap/>
            <w:hideMark/>
          </w:tcPr>
          <w:p w14:paraId="63F9CF54" w14:textId="77777777" w:rsidR="0078040A" w:rsidRPr="008B4E5A" w:rsidRDefault="0078040A" w:rsidP="00071537">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8B4E5A">
              <w:rPr>
                <w:sz w:val="20"/>
                <w:szCs w:val="20"/>
              </w:rPr>
              <w:t>87 500 000</w:t>
            </w:r>
          </w:p>
        </w:tc>
      </w:tr>
      <w:tr w:rsidR="0078040A" w:rsidRPr="008B4E5A" w14:paraId="773AAFEA" w14:textId="77777777" w:rsidTr="005013AA">
        <w:trPr>
          <w:trHeight w:val="225"/>
        </w:trPr>
        <w:tc>
          <w:tcPr>
            <w:cnfStyle w:val="001000000000" w:firstRow="0" w:lastRow="0" w:firstColumn="1" w:lastColumn="0" w:oddVBand="0" w:evenVBand="0" w:oddHBand="0" w:evenHBand="0" w:firstRowFirstColumn="0" w:firstRowLastColumn="0" w:lastRowFirstColumn="0" w:lastRowLastColumn="0"/>
            <w:tcW w:w="2468" w:type="pct"/>
            <w:hideMark/>
          </w:tcPr>
          <w:p w14:paraId="1D0D70C3" w14:textId="77777777" w:rsidR="0078040A" w:rsidRPr="008B4E5A" w:rsidRDefault="0078040A" w:rsidP="00071537">
            <w:pPr>
              <w:tabs>
                <w:tab w:val="left" w:pos="1134"/>
              </w:tabs>
              <w:rPr>
                <w:sz w:val="20"/>
                <w:szCs w:val="20"/>
              </w:rPr>
            </w:pPr>
            <w:r w:rsidRPr="008B4E5A">
              <w:rPr>
                <w:sz w:val="20"/>
                <w:szCs w:val="20"/>
              </w:rPr>
              <w:t>Договор № 1516-092-810К от 09.12.2016</w:t>
            </w:r>
          </w:p>
        </w:tc>
        <w:tc>
          <w:tcPr>
            <w:tcW w:w="1059" w:type="pct"/>
            <w:noWrap/>
            <w:hideMark/>
          </w:tcPr>
          <w:p w14:paraId="27AB9C78" w14:textId="77777777" w:rsidR="0078040A" w:rsidRPr="008B4E5A" w:rsidRDefault="0078040A" w:rsidP="00071537">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8B4E5A">
              <w:rPr>
                <w:sz w:val="20"/>
                <w:szCs w:val="20"/>
              </w:rPr>
              <w:t>1 000 000 000,00</w:t>
            </w:r>
          </w:p>
        </w:tc>
        <w:tc>
          <w:tcPr>
            <w:tcW w:w="712" w:type="pct"/>
            <w:noWrap/>
            <w:hideMark/>
          </w:tcPr>
          <w:p w14:paraId="7D9E6C56" w14:textId="77777777" w:rsidR="0078040A" w:rsidRPr="008B4E5A" w:rsidRDefault="0078040A" w:rsidP="00071537">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8B4E5A">
              <w:rPr>
                <w:sz w:val="20"/>
                <w:szCs w:val="20"/>
              </w:rPr>
              <w:t>8,75</w:t>
            </w:r>
          </w:p>
        </w:tc>
        <w:tc>
          <w:tcPr>
            <w:tcW w:w="761" w:type="pct"/>
            <w:noWrap/>
            <w:hideMark/>
          </w:tcPr>
          <w:p w14:paraId="41AF2567" w14:textId="77777777" w:rsidR="0078040A" w:rsidRPr="008B4E5A" w:rsidRDefault="0078040A" w:rsidP="00071537">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8B4E5A">
              <w:rPr>
                <w:sz w:val="20"/>
                <w:szCs w:val="20"/>
              </w:rPr>
              <w:t>87 500 000</w:t>
            </w:r>
          </w:p>
        </w:tc>
      </w:tr>
      <w:tr w:rsidR="0078040A" w:rsidRPr="008B4E5A" w14:paraId="333ECB05" w14:textId="77777777" w:rsidTr="005013AA">
        <w:trPr>
          <w:trHeight w:val="225"/>
        </w:trPr>
        <w:tc>
          <w:tcPr>
            <w:cnfStyle w:val="001000000000" w:firstRow="0" w:lastRow="0" w:firstColumn="1" w:lastColumn="0" w:oddVBand="0" w:evenVBand="0" w:oddHBand="0" w:evenHBand="0" w:firstRowFirstColumn="0" w:firstRowLastColumn="0" w:lastRowFirstColumn="0" w:lastRowLastColumn="0"/>
            <w:tcW w:w="2468" w:type="pct"/>
            <w:hideMark/>
          </w:tcPr>
          <w:p w14:paraId="217B997F" w14:textId="786A4DB1" w:rsidR="0078040A" w:rsidRPr="008B4E5A" w:rsidRDefault="0078040A" w:rsidP="00071537">
            <w:pPr>
              <w:tabs>
                <w:tab w:val="left" w:pos="1134"/>
              </w:tabs>
              <w:rPr>
                <w:sz w:val="20"/>
                <w:szCs w:val="20"/>
              </w:rPr>
            </w:pPr>
            <w:r w:rsidRPr="008B4E5A">
              <w:rPr>
                <w:sz w:val="20"/>
                <w:szCs w:val="20"/>
              </w:rPr>
              <w:t xml:space="preserve">Северо-западный банк ПАО </w:t>
            </w:r>
            <w:r w:rsidR="00655FFA" w:rsidRPr="008B4E5A">
              <w:rPr>
                <w:sz w:val="20"/>
                <w:szCs w:val="20"/>
              </w:rPr>
              <w:t>«</w:t>
            </w:r>
            <w:r w:rsidRPr="008B4E5A">
              <w:rPr>
                <w:sz w:val="20"/>
                <w:szCs w:val="20"/>
              </w:rPr>
              <w:t>Сбербанк</w:t>
            </w:r>
            <w:r w:rsidR="00655FFA" w:rsidRPr="008B4E5A">
              <w:rPr>
                <w:sz w:val="20"/>
                <w:szCs w:val="20"/>
              </w:rPr>
              <w:t>»</w:t>
            </w:r>
          </w:p>
        </w:tc>
        <w:tc>
          <w:tcPr>
            <w:tcW w:w="1059" w:type="pct"/>
            <w:noWrap/>
            <w:hideMark/>
          </w:tcPr>
          <w:p w14:paraId="1DBC6FC9" w14:textId="77777777" w:rsidR="0078040A" w:rsidRPr="008B4E5A" w:rsidRDefault="0078040A" w:rsidP="00071537">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8B4E5A">
              <w:rPr>
                <w:sz w:val="20"/>
                <w:szCs w:val="20"/>
              </w:rPr>
              <w:t>4 500 000 000,00</w:t>
            </w:r>
          </w:p>
        </w:tc>
        <w:tc>
          <w:tcPr>
            <w:tcW w:w="712" w:type="pct"/>
            <w:noWrap/>
            <w:hideMark/>
          </w:tcPr>
          <w:p w14:paraId="611932E8" w14:textId="77777777" w:rsidR="0078040A" w:rsidRPr="008B4E5A" w:rsidRDefault="0078040A" w:rsidP="00071537">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8B4E5A">
              <w:rPr>
                <w:sz w:val="20"/>
                <w:szCs w:val="20"/>
              </w:rPr>
              <w:t> </w:t>
            </w:r>
          </w:p>
        </w:tc>
        <w:tc>
          <w:tcPr>
            <w:tcW w:w="761" w:type="pct"/>
            <w:noWrap/>
            <w:hideMark/>
          </w:tcPr>
          <w:p w14:paraId="1EC2D3A9" w14:textId="77777777" w:rsidR="0078040A" w:rsidRPr="008B4E5A" w:rsidRDefault="0078040A" w:rsidP="00071537">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8B4E5A">
              <w:rPr>
                <w:sz w:val="20"/>
                <w:szCs w:val="20"/>
              </w:rPr>
              <w:t>353 250 000</w:t>
            </w:r>
          </w:p>
        </w:tc>
      </w:tr>
      <w:tr w:rsidR="0078040A" w:rsidRPr="008B4E5A" w14:paraId="260B3AEF" w14:textId="77777777" w:rsidTr="005013AA">
        <w:trPr>
          <w:trHeight w:val="225"/>
        </w:trPr>
        <w:tc>
          <w:tcPr>
            <w:cnfStyle w:val="001000000000" w:firstRow="0" w:lastRow="0" w:firstColumn="1" w:lastColumn="0" w:oddVBand="0" w:evenVBand="0" w:oddHBand="0" w:evenHBand="0" w:firstRowFirstColumn="0" w:firstRowLastColumn="0" w:lastRowFirstColumn="0" w:lastRowLastColumn="0"/>
            <w:tcW w:w="2468" w:type="pct"/>
            <w:hideMark/>
          </w:tcPr>
          <w:p w14:paraId="0AFF4361" w14:textId="77777777" w:rsidR="0078040A" w:rsidRPr="008B4E5A" w:rsidRDefault="0078040A" w:rsidP="00071537">
            <w:pPr>
              <w:tabs>
                <w:tab w:val="left" w:pos="1134"/>
              </w:tabs>
              <w:rPr>
                <w:sz w:val="20"/>
                <w:szCs w:val="20"/>
              </w:rPr>
            </w:pPr>
            <w:r w:rsidRPr="008B4E5A">
              <w:rPr>
                <w:sz w:val="20"/>
                <w:szCs w:val="20"/>
              </w:rPr>
              <w:t>Договор № 0162-106416 от 14.09.2016</w:t>
            </w:r>
          </w:p>
        </w:tc>
        <w:tc>
          <w:tcPr>
            <w:tcW w:w="1059" w:type="pct"/>
            <w:noWrap/>
            <w:hideMark/>
          </w:tcPr>
          <w:p w14:paraId="7DC89B6E" w14:textId="77777777" w:rsidR="0078040A" w:rsidRPr="008B4E5A" w:rsidRDefault="0078040A" w:rsidP="00071537">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8B4E5A">
              <w:rPr>
                <w:sz w:val="20"/>
                <w:szCs w:val="20"/>
              </w:rPr>
              <w:t>1 000 000 000,00</w:t>
            </w:r>
          </w:p>
        </w:tc>
        <w:tc>
          <w:tcPr>
            <w:tcW w:w="712" w:type="pct"/>
            <w:noWrap/>
            <w:hideMark/>
          </w:tcPr>
          <w:p w14:paraId="13FFB7D6" w14:textId="77777777" w:rsidR="0078040A" w:rsidRPr="008B4E5A" w:rsidRDefault="0078040A" w:rsidP="00071537">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8B4E5A">
              <w:rPr>
                <w:sz w:val="20"/>
                <w:szCs w:val="20"/>
              </w:rPr>
              <w:t>7,85</w:t>
            </w:r>
          </w:p>
        </w:tc>
        <w:tc>
          <w:tcPr>
            <w:tcW w:w="761" w:type="pct"/>
            <w:noWrap/>
            <w:hideMark/>
          </w:tcPr>
          <w:p w14:paraId="543C3D5F" w14:textId="77777777" w:rsidR="0078040A" w:rsidRPr="008B4E5A" w:rsidRDefault="0078040A" w:rsidP="00071537">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8B4E5A">
              <w:rPr>
                <w:sz w:val="20"/>
                <w:szCs w:val="20"/>
              </w:rPr>
              <w:t>78 500 000</w:t>
            </w:r>
          </w:p>
        </w:tc>
      </w:tr>
      <w:tr w:rsidR="0078040A" w:rsidRPr="008B4E5A" w14:paraId="11E647D9" w14:textId="77777777" w:rsidTr="005013AA">
        <w:trPr>
          <w:trHeight w:val="225"/>
        </w:trPr>
        <w:tc>
          <w:tcPr>
            <w:cnfStyle w:val="001000000000" w:firstRow="0" w:lastRow="0" w:firstColumn="1" w:lastColumn="0" w:oddVBand="0" w:evenVBand="0" w:oddHBand="0" w:evenHBand="0" w:firstRowFirstColumn="0" w:firstRowLastColumn="0" w:lastRowFirstColumn="0" w:lastRowLastColumn="0"/>
            <w:tcW w:w="2468" w:type="pct"/>
            <w:hideMark/>
          </w:tcPr>
          <w:p w14:paraId="17E09900" w14:textId="77777777" w:rsidR="0078040A" w:rsidRPr="008B4E5A" w:rsidRDefault="0078040A" w:rsidP="00071537">
            <w:pPr>
              <w:tabs>
                <w:tab w:val="left" w:pos="1134"/>
              </w:tabs>
              <w:rPr>
                <w:sz w:val="20"/>
                <w:szCs w:val="20"/>
              </w:rPr>
            </w:pPr>
            <w:r w:rsidRPr="008B4E5A">
              <w:rPr>
                <w:sz w:val="20"/>
                <w:szCs w:val="20"/>
              </w:rPr>
              <w:t>Договор № 0162-106516 от 14.09.2016</w:t>
            </w:r>
          </w:p>
        </w:tc>
        <w:tc>
          <w:tcPr>
            <w:tcW w:w="1059" w:type="pct"/>
            <w:noWrap/>
            <w:hideMark/>
          </w:tcPr>
          <w:p w14:paraId="1E5A54FE" w14:textId="77777777" w:rsidR="0078040A" w:rsidRPr="008B4E5A" w:rsidRDefault="0078040A" w:rsidP="00071537">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8B4E5A">
              <w:rPr>
                <w:sz w:val="20"/>
                <w:szCs w:val="20"/>
              </w:rPr>
              <w:t>1 000 000 000,00</w:t>
            </w:r>
          </w:p>
        </w:tc>
        <w:tc>
          <w:tcPr>
            <w:tcW w:w="712" w:type="pct"/>
            <w:noWrap/>
            <w:hideMark/>
          </w:tcPr>
          <w:p w14:paraId="0A7B4C66" w14:textId="77777777" w:rsidR="0078040A" w:rsidRPr="008B4E5A" w:rsidRDefault="0078040A" w:rsidP="00071537">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8B4E5A">
              <w:rPr>
                <w:sz w:val="20"/>
                <w:szCs w:val="20"/>
              </w:rPr>
              <w:t>7,85</w:t>
            </w:r>
          </w:p>
        </w:tc>
        <w:tc>
          <w:tcPr>
            <w:tcW w:w="761" w:type="pct"/>
            <w:noWrap/>
            <w:hideMark/>
          </w:tcPr>
          <w:p w14:paraId="372E9A68" w14:textId="77777777" w:rsidR="0078040A" w:rsidRPr="008B4E5A" w:rsidRDefault="0078040A" w:rsidP="00071537">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8B4E5A">
              <w:rPr>
                <w:sz w:val="20"/>
                <w:szCs w:val="20"/>
              </w:rPr>
              <w:t>78 500 000</w:t>
            </w:r>
          </w:p>
        </w:tc>
      </w:tr>
      <w:tr w:rsidR="0078040A" w:rsidRPr="008B4E5A" w14:paraId="0EFD3164" w14:textId="77777777" w:rsidTr="005013AA">
        <w:trPr>
          <w:trHeight w:val="225"/>
        </w:trPr>
        <w:tc>
          <w:tcPr>
            <w:cnfStyle w:val="001000000000" w:firstRow="0" w:lastRow="0" w:firstColumn="1" w:lastColumn="0" w:oddVBand="0" w:evenVBand="0" w:oddHBand="0" w:evenHBand="0" w:firstRowFirstColumn="0" w:firstRowLastColumn="0" w:lastRowFirstColumn="0" w:lastRowLastColumn="0"/>
            <w:tcW w:w="2468" w:type="pct"/>
            <w:hideMark/>
          </w:tcPr>
          <w:p w14:paraId="4A5F0EEC" w14:textId="77777777" w:rsidR="0078040A" w:rsidRPr="008B4E5A" w:rsidRDefault="0078040A" w:rsidP="00071537">
            <w:pPr>
              <w:tabs>
                <w:tab w:val="left" w:pos="1134"/>
              </w:tabs>
              <w:rPr>
                <w:sz w:val="20"/>
                <w:szCs w:val="20"/>
              </w:rPr>
            </w:pPr>
            <w:r w:rsidRPr="008B4E5A">
              <w:rPr>
                <w:sz w:val="20"/>
                <w:szCs w:val="20"/>
              </w:rPr>
              <w:t>Договор № 0162-106716 от 14.09.2016</w:t>
            </w:r>
          </w:p>
        </w:tc>
        <w:tc>
          <w:tcPr>
            <w:tcW w:w="1059" w:type="pct"/>
            <w:noWrap/>
            <w:hideMark/>
          </w:tcPr>
          <w:p w14:paraId="3BCC4B53" w14:textId="77777777" w:rsidR="0078040A" w:rsidRPr="008B4E5A" w:rsidRDefault="0078040A" w:rsidP="00071537">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8B4E5A">
              <w:rPr>
                <w:sz w:val="20"/>
                <w:szCs w:val="20"/>
              </w:rPr>
              <w:t>1 000 000 000,00</w:t>
            </w:r>
          </w:p>
        </w:tc>
        <w:tc>
          <w:tcPr>
            <w:tcW w:w="712" w:type="pct"/>
            <w:noWrap/>
            <w:hideMark/>
          </w:tcPr>
          <w:p w14:paraId="277295F5" w14:textId="77777777" w:rsidR="0078040A" w:rsidRPr="008B4E5A" w:rsidRDefault="0078040A" w:rsidP="00071537">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8B4E5A">
              <w:rPr>
                <w:sz w:val="20"/>
                <w:szCs w:val="20"/>
              </w:rPr>
              <w:t>7,85</w:t>
            </w:r>
          </w:p>
        </w:tc>
        <w:tc>
          <w:tcPr>
            <w:tcW w:w="761" w:type="pct"/>
            <w:noWrap/>
            <w:hideMark/>
          </w:tcPr>
          <w:p w14:paraId="71EF9392" w14:textId="77777777" w:rsidR="0078040A" w:rsidRPr="008B4E5A" w:rsidRDefault="0078040A" w:rsidP="00071537">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8B4E5A">
              <w:rPr>
                <w:sz w:val="20"/>
                <w:szCs w:val="20"/>
              </w:rPr>
              <w:t>78 500 000</w:t>
            </w:r>
          </w:p>
        </w:tc>
      </w:tr>
      <w:tr w:rsidR="0078040A" w:rsidRPr="008B4E5A" w14:paraId="627556AD" w14:textId="77777777" w:rsidTr="005013AA">
        <w:trPr>
          <w:trHeight w:val="225"/>
        </w:trPr>
        <w:tc>
          <w:tcPr>
            <w:cnfStyle w:val="001000000000" w:firstRow="0" w:lastRow="0" w:firstColumn="1" w:lastColumn="0" w:oddVBand="0" w:evenVBand="0" w:oddHBand="0" w:evenHBand="0" w:firstRowFirstColumn="0" w:firstRowLastColumn="0" w:lastRowFirstColumn="0" w:lastRowLastColumn="0"/>
            <w:tcW w:w="2468" w:type="pct"/>
            <w:hideMark/>
          </w:tcPr>
          <w:p w14:paraId="225C8BCB" w14:textId="77777777" w:rsidR="0078040A" w:rsidRPr="008B4E5A" w:rsidRDefault="0078040A" w:rsidP="00071537">
            <w:pPr>
              <w:tabs>
                <w:tab w:val="left" w:pos="1134"/>
              </w:tabs>
              <w:rPr>
                <w:sz w:val="20"/>
                <w:szCs w:val="20"/>
              </w:rPr>
            </w:pPr>
            <w:r w:rsidRPr="008B4E5A">
              <w:rPr>
                <w:sz w:val="20"/>
                <w:szCs w:val="20"/>
              </w:rPr>
              <w:t>Договор № 0162-109216 от 29.09.2016</w:t>
            </w:r>
          </w:p>
        </w:tc>
        <w:tc>
          <w:tcPr>
            <w:tcW w:w="1059" w:type="pct"/>
            <w:noWrap/>
            <w:hideMark/>
          </w:tcPr>
          <w:p w14:paraId="536BA2A4" w14:textId="77777777" w:rsidR="0078040A" w:rsidRPr="008B4E5A" w:rsidRDefault="0078040A" w:rsidP="00071537">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8B4E5A">
              <w:rPr>
                <w:sz w:val="20"/>
                <w:szCs w:val="20"/>
              </w:rPr>
              <w:t>500 000 000,00</w:t>
            </w:r>
          </w:p>
        </w:tc>
        <w:tc>
          <w:tcPr>
            <w:tcW w:w="712" w:type="pct"/>
            <w:noWrap/>
            <w:hideMark/>
          </w:tcPr>
          <w:p w14:paraId="634B5ABF" w14:textId="77777777" w:rsidR="0078040A" w:rsidRPr="008B4E5A" w:rsidRDefault="0078040A" w:rsidP="00071537">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8B4E5A">
              <w:rPr>
                <w:sz w:val="20"/>
                <w:szCs w:val="20"/>
              </w:rPr>
              <w:t>7,85</w:t>
            </w:r>
          </w:p>
        </w:tc>
        <w:tc>
          <w:tcPr>
            <w:tcW w:w="761" w:type="pct"/>
            <w:noWrap/>
            <w:hideMark/>
          </w:tcPr>
          <w:p w14:paraId="5CE5442D" w14:textId="77777777" w:rsidR="0078040A" w:rsidRPr="008B4E5A" w:rsidRDefault="0078040A" w:rsidP="00071537">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8B4E5A">
              <w:rPr>
                <w:sz w:val="20"/>
                <w:szCs w:val="20"/>
              </w:rPr>
              <w:t>39 250 000</w:t>
            </w:r>
          </w:p>
        </w:tc>
      </w:tr>
      <w:tr w:rsidR="0078040A" w:rsidRPr="008B4E5A" w14:paraId="38735458" w14:textId="77777777" w:rsidTr="005013AA">
        <w:trPr>
          <w:trHeight w:val="225"/>
        </w:trPr>
        <w:tc>
          <w:tcPr>
            <w:cnfStyle w:val="001000000000" w:firstRow="0" w:lastRow="0" w:firstColumn="1" w:lastColumn="0" w:oddVBand="0" w:evenVBand="0" w:oddHBand="0" w:evenHBand="0" w:firstRowFirstColumn="0" w:firstRowLastColumn="0" w:lastRowFirstColumn="0" w:lastRowLastColumn="0"/>
            <w:tcW w:w="2468" w:type="pct"/>
            <w:hideMark/>
          </w:tcPr>
          <w:p w14:paraId="4A8B0D01" w14:textId="77777777" w:rsidR="0078040A" w:rsidRPr="008B4E5A" w:rsidRDefault="0078040A" w:rsidP="00071537">
            <w:pPr>
              <w:tabs>
                <w:tab w:val="left" w:pos="1134"/>
              </w:tabs>
              <w:rPr>
                <w:sz w:val="20"/>
                <w:szCs w:val="20"/>
              </w:rPr>
            </w:pPr>
            <w:r w:rsidRPr="008B4E5A">
              <w:rPr>
                <w:sz w:val="20"/>
                <w:szCs w:val="20"/>
              </w:rPr>
              <w:t>Договор № 0162-112517-РКЛ от 29.09.2017</w:t>
            </w:r>
          </w:p>
        </w:tc>
        <w:tc>
          <w:tcPr>
            <w:tcW w:w="1059" w:type="pct"/>
            <w:noWrap/>
            <w:hideMark/>
          </w:tcPr>
          <w:p w14:paraId="537EB741" w14:textId="77777777" w:rsidR="0078040A" w:rsidRPr="008B4E5A" w:rsidRDefault="0078040A" w:rsidP="00071537">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8B4E5A">
              <w:rPr>
                <w:sz w:val="20"/>
                <w:szCs w:val="20"/>
              </w:rPr>
              <w:t>1 000 000 000,00</w:t>
            </w:r>
          </w:p>
        </w:tc>
        <w:tc>
          <w:tcPr>
            <w:tcW w:w="712" w:type="pct"/>
            <w:noWrap/>
            <w:hideMark/>
          </w:tcPr>
          <w:p w14:paraId="3F4914ED" w14:textId="77777777" w:rsidR="0078040A" w:rsidRPr="008B4E5A" w:rsidRDefault="0078040A" w:rsidP="00071537">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8B4E5A">
              <w:rPr>
                <w:sz w:val="20"/>
                <w:szCs w:val="20"/>
              </w:rPr>
              <w:t>7,85</w:t>
            </w:r>
          </w:p>
        </w:tc>
        <w:tc>
          <w:tcPr>
            <w:tcW w:w="761" w:type="pct"/>
            <w:noWrap/>
            <w:hideMark/>
          </w:tcPr>
          <w:p w14:paraId="71B4998B" w14:textId="77777777" w:rsidR="0078040A" w:rsidRPr="008B4E5A" w:rsidRDefault="0078040A" w:rsidP="00071537">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8B4E5A">
              <w:rPr>
                <w:sz w:val="20"/>
                <w:szCs w:val="20"/>
              </w:rPr>
              <w:t>78 500 000</w:t>
            </w:r>
          </w:p>
        </w:tc>
      </w:tr>
      <w:tr w:rsidR="00071537" w:rsidRPr="008B4E5A" w14:paraId="7BF1CE68" w14:textId="77777777" w:rsidTr="005013AA">
        <w:trPr>
          <w:trHeight w:val="255"/>
        </w:trPr>
        <w:tc>
          <w:tcPr>
            <w:cnfStyle w:val="001000000000" w:firstRow="0" w:lastRow="0" w:firstColumn="1" w:lastColumn="0" w:oddVBand="0" w:evenVBand="0" w:oddHBand="0" w:evenHBand="0" w:firstRowFirstColumn="0" w:firstRowLastColumn="0" w:lastRowFirstColumn="0" w:lastRowLastColumn="0"/>
            <w:tcW w:w="1" w:type="pct"/>
            <w:noWrap/>
            <w:hideMark/>
          </w:tcPr>
          <w:p w14:paraId="74AA8E51" w14:textId="766E84EE" w:rsidR="00071537" w:rsidRPr="008B4E5A" w:rsidRDefault="00071537" w:rsidP="00071537">
            <w:pPr>
              <w:tabs>
                <w:tab w:val="left" w:pos="1134"/>
              </w:tabs>
              <w:rPr>
                <w:b/>
                <w:sz w:val="20"/>
                <w:szCs w:val="20"/>
              </w:rPr>
            </w:pPr>
            <w:r w:rsidRPr="008B4E5A">
              <w:rPr>
                <w:b/>
                <w:sz w:val="20"/>
                <w:szCs w:val="20"/>
              </w:rPr>
              <w:t>Итого </w:t>
            </w:r>
          </w:p>
        </w:tc>
        <w:tc>
          <w:tcPr>
            <w:tcW w:w="1059" w:type="pct"/>
            <w:noWrap/>
            <w:hideMark/>
          </w:tcPr>
          <w:p w14:paraId="4E22AE17" w14:textId="77777777" w:rsidR="00071537" w:rsidRPr="008B4E5A" w:rsidRDefault="00071537" w:rsidP="00071537">
            <w:pPr>
              <w:tabs>
                <w:tab w:val="left" w:pos="1134"/>
              </w:tabs>
              <w:cnfStyle w:val="000000000000" w:firstRow="0" w:lastRow="0" w:firstColumn="0" w:lastColumn="0" w:oddVBand="0" w:evenVBand="0" w:oddHBand="0" w:evenHBand="0" w:firstRowFirstColumn="0" w:firstRowLastColumn="0" w:lastRowFirstColumn="0" w:lastRowLastColumn="0"/>
              <w:rPr>
                <w:b/>
                <w:sz w:val="20"/>
                <w:szCs w:val="20"/>
              </w:rPr>
            </w:pPr>
            <w:r w:rsidRPr="008B4E5A">
              <w:rPr>
                <w:b/>
                <w:sz w:val="20"/>
                <w:szCs w:val="20"/>
              </w:rPr>
              <w:t>13 500 000 000</w:t>
            </w:r>
          </w:p>
        </w:tc>
        <w:tc>
          <w:tcPr>
            <w:tcW w:w="712" w:type="pct"/>
            <w:noWrap/>
            <w:hideMark/>
          </w:tcPr>
          <w:p w14:paraId="237D7B27" w14:textId="77777777" w:rsidR="00071537" w:rsidRPr="008B4E5A" w:rsidRDefault="00071537" w:rsidP="00071537">
            <w:pPr>
              <w:tabs>
                <w:tab w:val="left" w:pos="1134"/>
              </w:tabs>
              <w:cnfStyle w:val="000000000000" w:firstRow="0" w:lastRow="0" w:firstColumn="0" w:lastColumn="0" w:oddVBand="0" w:evenVBand="0" w:oddHBand="0" w:evenHBand="0" w:firstRowFirstColumn="0" w:firstRowLastColumn="0" w:lastRowFirstColumn="0" w:lastRowLastColumn="0"/>
              <w:rPr>
                <w:b/>
                <w:sz w:val="20"/>
                <w:szCs w:val="20"/>
              </w:rPr>
            </w:pPr>
            <w:r w:rsidRPr="008B4E5A">
              <w:rPr>
                <w:b/>
                <w:sz w:val="20"/>
                <w:szCs w:val="20"/>
              </w:rPr>
              <w:t>7,99</w:t>
            </w:r>
          </w:p>
        </w:tc>
        <w:tc>
          <w:tcPr>
            <w:tcW w:w="761" w:type="pct"/>
            <w:noWrap/>
            <w:hideMark/>
          </w:tcPr>
          <w:p w14:paraId="1FEA55FF" w14:textId="77777777" w:rsidR="00071537" w:rsidRPr="008B4E5A" w:rsidRDefault="00071537" w:rsidP="00071537">
            <w:pPr>
              <w:tabs>
                <w:tab w:val="left" w:pos="1134"/>
              </w:tabs>
              <w:cnfStyle w:val="000000000000" w:firstRow="0" w:lastRow="0" w:firstColumn="0" w:lastColumn="0" w:oddVBand="0" w:evenVBand="0" w:oddHBand="0" w:evenHBand="0" w:firstRowFirstColumn="0" w:firstRowLastColumn="0" w:lastRowFirstColumn="0" w:lastRowLastColumn="0"/>
              <w:rPr>
                <w:b/>
                <w:sz w:val="20"/>
                <w:szCs w:val="20"/>
              </w:rPr>
            </w:pPr>
            <w:r w:rsidRPr="008B4E5A">
              <w:rPr>
                <w:b/>
                <w:sz w:val="20"/>
                <w:szCs w:val="20"/>
              </w:rPr>
              <w:t>1 078 250 000</w:t>
            </w:r>
          </w:p>
        </w:tc>
      </w:tr>
    </w:tbl>
    <w:p w14:paraId="3080E63C" w14:textId="194099A9" w:rsidR="00CE1515" w:rsidRPr="008B4E5A" w:rsidRDefault="00CE1515" w:rsidP="00071537">
      <w:pPr>
        <w:pStyle w:val="afff7"/>
      </w:pPr>
      <w:r w:rsidRPr="008B4E5A">
        <w:t xml:space="preserve">В </w:t>
      </w:r>
      <w:r w:rsidR="00655FFA" w:rsidRPr="008B4E5A">
        <w:t>«</w:t>
      </w:r>
      <w:r w:rsidRPr="008B4E5A">
        <w:t xml:space="preserve">Распределении по филиалам ПАО </w:t>
      </w:r>
      <w:r w:rsidR="00655FFA" w:rsidRPr="008B4E5A">
        <w:t>«</w:t>
      </w:r>
      <w:r w:rsidRPr="008B4E5A">
        <w:t>МРСК Северо-Запада</w:t>
      </w:r>
      <w:r w:rsidR="00655FFA" w:rsidRPr="008B4E5A">
        <w:t>»</w:t>
      </w:r>
      <w:r w:rsidRPr="008B4E5A">
        <w:t xml:space="preserve"> кредитов за 2017 год</w:t>
      </w:r>
      <w:r w:rsidR="00655FFA" w:rsidRPr="008B4E5A">
        <w:t>»</w:t>
      </w:r>
      <w:r w:rsidRPr="008B4E5A">
        <w:t xml:space="preserve"> сумма кредитного портфеля филиала ПАО </w:t>
      </w:r>
      <w:r w:rsidR="00655FFA" w:rsidRPr="008B4E5A">
        <w:t>«</w:t>
      </w:r>
      <w:r w:rsidRPr="008B4E5A">
        <w:t>МРСК Северо-Запада</w:t>
      </w:r>
      <w:r w:rsidR="00655FFA" w:rsidRPr="008B4E5A">
        <w:t>»</w:t>
      </w:r>
      <w:r w:rsidRPr="008B4E5A">
        <w:t xml:space="preserve"> </w:t>
      </w:r>
      <w:r w:rsidR="00655FFA" w:rsidRPr="008B4E5A">
        <w:t>«</w:t>
      </w:r>
      <w:r w:rsidRPr="008B4E5A">
        <w:t>Колэнерго</w:t>
      </w:r>
      <w:r w:rsidR="00655FFA" w:rsidRPr="008B4E5A">
        <w:t>»</w:t>
      </w:r>
      <w:r w:rsidRPr="008B4E5A">
        <w:t xml:space="preserve"> на конец 2017 года составила 2 623 715 тыс. руб.  В </w:t>
      </w:r>
      <w:r w:rsidR="00655FFA" w:rsidRPr="008B4E5A">
        <w:t>«</w:t>
      </w:r>
      <w:r w:rsidRPr="008B4E5A">
        <w:t xml:space="preserve">Расчете затрат по статье </w:t>
      </w:r>
      <w:r w:rsidR="00655FFA" w:rsidRPr="008B4E5A">
        <w:t>«</w:t>
      </w:r>
      <w:r w:rsidRPr="008B4E5A">
        <w:t>Проценты за пользование кредитными ресурсами</w:t>
      </w:r>
      <w:r w:rsidR="00655FFA" w:rsidRPr="008B4E5A">
        <w:t>»</w:t>
      </w:r>
      <w:r w:rsidRPr="008B4E5A">
        <w:t xml:space="preserve"> на 2019 год</w:t>
      </w:r>
      <w:r w:rsidR="00655FFA" w:rsidRPr="008B4E5A">
        <w:t>»</w:t>
      </w:r>
      <w:r w:rsidRPr="008B4E5A">
        <w:t xml:space="preserve"> сумма кредитного портфеля филиала ПАО </w:t>
      </w:r>
      <w:r w:rsidR="00655FFA" w:rsidRPr="008B4E5A">
        <w:t>«</w:t>
      </w:r>
      <w:r w:rsidRPr="008B4E5A">
        <w:t>МРСК Северо-Запада</w:t>
      </w:r>
      <w:r w:rsidR="00655FFA" w:rsidRPr="008B4E5A">
        <w:t>»</w:t>
      </w:r>
      <w:r w:rsidRPr="008B4E5A">
        <w:t xml:space="preserve"> </w:t>
      </w:r>
      <w:r w:rsidR="00655FFA" w:rsidRPr="008B4E5A">
        <w:t>«</w:t>
      </w:r>
      <w:r w:rsidRPr="008B4E5A">
        <w:t>Колэнерго</w:t>
      </w:r>
      <w:r w:rsidR="00655FFA" w:rsidRPr="008B4E5A">
        <w:t>»</w:t>
      </w:r>
      <w:r w:rsidRPr="008B4E5A">
        <w:t xml:space="preserve"> на начало 2019 года составляет 2 495 411 тыс. руб. Снижение на 128 304 тыс. руб.</w:t>
      </w:r>
    </w:p>
    <w:p w14:paraId="2AF41B33" w14:textId="08777422" w:rsidR="00323E64" w:rsidRPr="008B4E5A" w:rsidRDefault="00323E64" w:rsidP="00A31747">
      <w:pPr>
        <w:tabs>
          <w:tab w:val="left" w:pos="1134"/>
        </w:tabs>
        <w:spacing w:after="0" w:line="360" w:lineRule="auto"/>
        <w:ind w:firstLine="567"/>
        <w:contextualSpacing/>
        <w:jc w:val="both"/>
        <w:rPr>
          <w:rFonts w:ascii="Myriad Pro" w:hAnsi="Myriad Pro"/>
          <w:sz w:val="26"/>
          <w:szCs w:val="26"/>
        </w:rPr>
      </w:pPr>
      <w:r w:rsidRPr="008B4E5A">
        <w:rPr>
          <w:rFonts w:ascii="Myriad Pro" w:hAnsi="Myriad Pro"/>
          <w:sz w:val="26"/>
          <w:szCs w:val="26"/>
        </w:rPr>
        <w:t>Необходимо отметить</w:t>
      </w:r>
      <w:r w:rsidR="00F33B25" w:rsidRPr="008B4E5A">
        <w:rPr>
          <w:rFonts w:ascii="Myriad Pro" w:hAnsi="Myriad Pro"/>
          <w:sz w:val="26"/>
          <w:szCs w:val="26"/>
        </w:rPr>
        <w:t xml:space="preserve">, что в общую сумму задолженности </w:t>
      </w:r>
      <w:r w:rsidR="00CE1515" w:rsidRPr="008B4E5A">
        <w:rPr>
          <w:rFonts w:ascii="Myriad Pro" w:hAnsi="Myriad Pro"/>
          <w:sz w:val="26"/>
          <w:szCs w:val="26"/>
        </w:rPr>
        <w:t xml:space="preserve">2 646 788,946 тыс. руб. (в соответствии со </w:t>
      </w:r>
      <w:r w:rsidR="00655FFA" w:rsidRPr="008B4E5A">
        <w:rPr>
          <w:rFonts w:ascii="Myriad Pro" w:hAnsi="Myriad Pro"/>
          <w:sz w:val="26"/>
          <w:szCs w:val="26"/>
        </w:rPr>
        <w:t>«</w:t>
      </w:r>
      <w:r w:rsidR="00CE1515" w:rsidRPr="008B4E5A">
        <w:rPr>
          <w:rFonts w:ascii="Myriad Pro" w:hAnsi="Myriad Pro"/>
          <w:sz w:val="26"/>
          <w:szCs w:val="26"/>
        </w:rPr>
        <w:t>Справкой к акту №1 от 18.01.2018 инвентаризации расчетов с покупателями, поставщиками и прочими дебиторами, и кредиторами по состоянию на 31.12.2017</w:t>
      </w:r>
      <w:r w:rsidR="00655FFA" w:rsidRPr="008B4E5A">
        <w:rPr>
          <w:rFonts w:ascii="Myriad Pro" w:hAnsi="Myriad Pro"/>
          <w:sz w:val="26"/>
          <w:szCs w:val="26"/>
        </w:rPr>
        <w:t>»</w:t>
      </w:r>
      <w:r w:rsidR="00CE1515" w:rsidRPr="008B4E5A">
        <w:rPr>
          <w:rFonts w:ascii="Myriad Pro" w:hAnsi="Myriad Pro"/>
          <w:sz w:val="26"/>
          <w:szCs w:val="26"/>
        </w:rPr>
        <w:t xml:space="preserve"> (7700 строк) </w:t>
      </w:r>
      <w:r w:rsidR="00F33B25" w:rsidRPr="008B4E5A">
        <w:rPr>
          <w:rFonts w:ascii="Myriad Pro" w:hAnsi="Myriad Pro"/>
          <w:sz w:val="26"/>
          <w:szCs w:val="26"/>
        </w:rPr>
        <w:t>по состоянию на 31.12.2017 вошла сумма текущей задолженности</w:t>
      </w:r>
      <w:r w:rsidR="009962FE" w:rsidRPr="008B4E5A">
        <w:rPr>
          <w:rFonts w:ascii="Myriad Pro" w:hAnsi="Myriad Pro"/>
          <w:sz w:val="26"/>
          <w:szCs w:val="26"/>
        </w:rPr>
        <w:t xml:space="preserve"> (т.е. за декабрь и ноябрь 2017 г.)</w:t>
      </w:r>
      <w:r w:rsidR="00F33B25" w:rsidRPr="008B4E5A">
        <w:rPr>
          <w:rFonts w:ascii="Myriad Pro" w:hAnsi="Myriad Pro"/>
          <w:sz w:val="26"/>
          <w:szCs w:val="26"/>
        </w:rPr>
        <w:t>, а также задолженност</w:t>
      </w:r>
      <w:r w:rsidR="009962FE" w:rsidRPr="008B4E5A">
        <w:rPr>
          <w:rFonts w:ascii="Myriad Pro" w:hAnsi="Myriad Pro"/>
          <w:sz w:val="26"/>
          <w:szCs w:val="26"/>
        </w:rPr>
        <w:t>ь по прочей деятельности.</w:t>
      </w:r>
    </w:p>
    <w:p w14:paraId="037369E9" w14:textId="695F89E9" w:rsidR="00F33B25" w:rsidRPr="008B4E5A" w:rsidRDefault="00F33B25" w:rsidP="00A31747">
      <w:pPr>
        <w:tabs>
          <w:tab w:val="left" w:pos="1134"/>
        </w:tabs>
        <w:spacing w:after="0" w:line="360" w:lineRule="auto"/>
        <w:ind w:firstLine="567"/>
        <w:contextualSpacing/>
        <w:jc w:val="both"/>
        <w:rPr>
          <w:rFonts w:ascii="Myriad Pro" w:hAnsi="Myriad Pro"/>
          <w:sz w:val="26"/>
          <w:szCs w:val="26"/>
        </w:rPr>
      </w:pPr>
      <w:r w:rsidRPr="008B4E5A">
        <w:rPr>
          <w:rFonts w:ascii="Myriad Pro" w:hAnsi="Myriad Pro"/>
          <w:sz w:val="26"/>
          <w:szCs w:val="26"/>
        </w:rPr>
        <w:t>Исполнителем для рас</w:t>
      </w:r>
      <w:r w:rsidR="00A07BDC" w:rsidRPr="008B4E5A">
        <w:rPr>
          <w:rFonts w:ascii="Myriad Pro" w:hAnsi="Myriad Pro"/>
          <w:sz w:val="26"/>
          <w:szCs w:val="26"/>
        </w:rPr>
        <w:t>чета кредитного портфеля учтен</w:t>
      </w:r>
      <w:r w:rsidR="0016018F" w:rsidRPr="008B4E5A">
        <w:rPr>
          <w:rFonts w:ascii="Myriad Pro" w:hAnsi="Myriad Pro"/>
          <w:sz w:val="26"/>
          <w:szCs w:val="26"/>
        </w:rPr>
        <w:t>а</w:t>
      </w:r>
      <w:r w:rsidR="00A07BDC" w:rsidRPr="008B4E5A">
        <w:rPr>
          <w:rFonts w:ascii="Myriad Pro" w:hAnsi="Myriad Pro"/>
          <w:sz w:val="26"/>
          <w:szCs w:val="26"/>
        </w:rPr>
        <w:t xml:space="preserve"> сумма 2 085 387 575,04 руб. исходя из следующего</w:t>
      </w:r>
      <w:r w:rsidRPr="008B4E5A">
        <w:rPr>
          <w:rFonts w:ascii="Myriad Pro" w:hAnsi="Myriad Pro"/>
          <w:sz w:val="26"/>
          <w:szCs w:val="26"/>
        </w:rPr>
        <w:t>:</w:t>
      </w:r>
    </w:p>
    <w:p w14:paraId="7E4B97B1" w14:textId="42BFBF45" w:rsidR="00F33B25" w:rsidRPr="008B4E5A" w:rsidRDefault="00F33B25" w:rsidP="009B0BC1">
      <w:pPr>
        <w:pStyle w:val="a4"/>
        <w:numPr>
          <w:ilvl w:val="0"/>
          <w:numId w:val="62"/>
        </w:numPr>
        <w:tabs>
          <w:tab w:val="left" w:pos="1134"/>
        </w:tabs>
        <w:spacing w:after="0" w:line="360" w:lineRule="auto"/>
        <w:ind w:left="0" w:firstLine="567"/>
        <w:jc w:val="both"/>
        <w:rPr>
          <w:rFonts w:ascii="Myriad Pro" w:hAnsi="Myriad Pro"/>
          <w:sz w:val="26"/>
          <w:szCs w:val="26"/>
        </w:rPr>
      </w:pPr>
      <w:r w:rsidRPr="008B4E5A">
        <w:rPr>
          <w:rFonts w:ascii="Myriad Pro" w:hAnsi="Myriad Pro"/>
          <w:sz w:val="26"/>
          <w:szCs w:val="26"/>
        </w:rPr>
        <w:t xml:space="preserve">1 163 208 913,12 руб., в соответствии со </w:t>
      </w:r>
      <w:r w:rsidR="00655FFA" w:rsidRPr="008B4E5A">
        <w:rPr>
          <w:rFonts w:ascii="Myriad Pro" w:hAnsi="Myriad Pro"/>
          <w:sz w:val="26"/>
          <w:szCs w:val="26"/>
        </w:rPr>
        <w:t>«</w:t>
      </w:r>
      <w:r w:rsidRPr="008B4E5A">
        <w:rPr>
          <w:rFonts w:ascii="Myriad Pro" w:hAnsi="Myriad Pro"/>
          <w:sz w:val="26"/>
          <w:szCs w:val="26"/>
        </w:rPr>
        <w:t>Справкой к акту №1 от 18.01.2018 инвентаризации расчетов с покупателями, поставщиками и прочими дебиторами, и кредиторами по состоянию на 31.12.2017</w:t>
      </w:r>
      <w:r w:rsidR="00655FFA" w:rsidRPr="008B4E5A">
        <w:rPr>
          <w:rFonts w:ascii="Myriad Pro" w:hAnsi="Myriad Pro"/>
          <w:sz w:val="26"/>
          <w:szCs w:val="26"/>
        </w:rPr>
        <w:t>»</w:t>
      </w:r>
      <w:r w:rsidRPr="008B4E5A">
        <w:rPr>
          <w:rFonts w:ascii="Myriad Pro" w:hAnsi="Myriad Pro"/>
          <w:sz w:val="26"/>
          <w:szCs w:val="26"/>
        </w:rPr>
        <w:t xml:space="preserve"> (7700 строк) дебиторская </w:t>
      </w:r>
      <w:r w:rsidRPr="008B4E5A">
        <w:rPr>
          <w:rFonts w:ascii="Myriad Pro" w:hAnsi="Myriad Pro"/>
          <w:sz w:val="26"/>
          <w:szCs w:val="26"/>
        </w:rPr>
        <w:lastRenderedPageBreak/>
        <w:t>задолженность потребителей по договорам электроснабжения (отбор: реализация (сбыт) электроэнергии);</w:t>
      </w:r>
    </w:p>
    <w:p w14:paraId="68129DC3" w14:textId="6AEF82E4" w:rsidR="00F33B25" w:rsidRPr="008B4E5A" w:rsidRDefault="00F33B25" w:rsidP="009B0BC1">
      <w:pPr>
        <w:pStyle w:val="a4"/>
        <w:numPr>
          <w:ilvl w:val="0"/>
          <w:numId w:val="62"/>
        </w:numPr>
        <w:tabs>
          <w:tab w:val="left" w:pos="1134"/>
        </w:tabs>
        <w:spacing w:after="0" w:line="360" w:lineRule="auto"/>
        <w:ind w:left="0" w:firstLine="567"/>
        <w:jc w:val="both"/>
        <w:rPr>
          <w:rFonts w:ascii="Myriad Pro" w:hAnsi="Myriad Pro"/>
          <w:sz w:val="26"/>
          <w:szCs w:val="26"/>
        </w:rPr>
      </w:pPr>
      <w:r w:rsidRPr="008B4E5A">
        <w:rPr>
          <w:rFonts w:ascii="Myriad Pro" w:hAnsi="Myriad Pro"/>
          <w:sz w:val="26"/>
          <w:szCs w:val="26"/>
        </w:rPr>
        <w:t xml:space="preserve">570 896 805,89 руб., в соответствии со </w:t>
      </w:r>
      <w:r w:rsidR="00655FFA" w:rsidRPr="008B4E5A">
        <w:rPr>
          <w:rFonts w:ascii="Myriad Pro" w:hAnsi="Myriad Pro"/>
          <w:sz w:val="26"/>
          <w:szCs w:val="26"/>
        </w:rPr>
        <w:t>«</w:t>
      </w:r>
      <w:r w:rsidRPr="008B4E5A">
        <w:rPr>
          <w:rFonts w:ascii="Myriad Pro" w:hAnsi="Myriad Pro"/>
          <w:sz w:val="26"/>
          <w:szCs w:val="26"/>
        </w:rPr>
        <w:t>Справкой к акту №1 от 18.01.2018 инвентаризации расчетов с покупателями, поставщиками и прочими дебиторами, и кредиторами по состоянию на 31.12.2017</w:t>
      </w:r>
      <w:r w:rsidR="00655FFA" w:rsidRPr="008B4E5A">
        <w:rPr>
          <w:rFonts w:ascii="Myriad Pro" w:hAnsi="Myriad Pro"/>
          <w:sz w:val="26"/>
          <w:szCs w:val="26"/>
        </w:rPr>
        <w:t>»</w:t>
      </w:r>
      <w:r w:rsidRPr="008B4E5A">
        <w:rPr>
          <w:rFonts w:ascii="Myriad Pro" w:hAnsi="Myriad Pro"/>
          <w:sz w:val="26"/>
          <w:szCs w:val="26"/>
        </w:rPr>
        <w:t xml:space="preserve"> (7700 строк) дебиторская задолженность по услугам передачи эл. энергии (отбор: услуги по передаче эл. энергии и покупка потерь) с датой долга ранее 01.11.2017;</w:t>
      </w:r>
    </w:p>
    <w:p w14:paraId="2B38E7EA" w14:textId="17DD1521" w:rsidR="00F33B25" w:rsidRPr="008B4E5A" w:rsidRDefault="00F33B25" w:rsidP="009B0BC1">
      <w:pPr>
        <w:pStyle w:val="a4"/>
        <w:numPr>
          <w:ilvl w:val="0"/>
          <w:numId w:val="62"/>
        </w:numPr>
        <w:tabs>
          <w:tab w:val="left" w:pos="1134"/>
        </w:tabs>
        <w:spacing w:after="0" w:line="360" w:lineRule="auto"/>
        <w:ind w:left="0" w:firstLine="567"/>
        <w:jc w:val="both"/>
        <w:rPr>
          <w:rFonts w:ascii="Myriad Pro" w:hAnsi="Myriad Pro"/>
          <w:sz w:val="26"/>
          <w:szCs w:val="26"/>
        </w:rPr>
      </w:pPr>
      <w:r w:rsidRPr="008B4E5A">
        <w:rPr>
          <w:rFonts w:ascii="Myriad Pro" w:eastAsia="Times New Roman" w:hAnsi="Myriad Pro" w:cs="Arial"/>
          <w:sz w:val="26"/>
          <w:szCs w:val="26"/>
          <w:shd w:val="clear" w:color="auto" w:fill="FFFFFF"/>
          <w:lang w:eastAsia="ru-RU"/>
        </w:rPr>
        <w:t>351 281 856,03 руб., списанная в 2017 году по приказам о списании безнадежной дебиторской задолженности</w:t>
      </w:r>
      <w:r w:rsidR="00A07BDC" w:rsidRPr="008B4E5A">
        <w:rPr>
          <w:rFonts w:ascii="Myriad Pro" w:eastAsia="Times New Roman" w:hAnsi="Myriad Pro" w:cs="Arial"/>
          <w:sz w:val="26"/>
          <w:szCs w:val="26"/>
          <w:shd w:val="clear" w:color="auto" w:fill="FFFFFF"/>
          <w:lang w:eastAsia="ru-RU"/>
        </w:rPr>
        <w:t>, не возмещенная тарифными решениями до 2019 года.</w:t>
      </w:r>
      <w:r w:rsidRPr="008B4E5A">
        <w:rPr>
          <w:rFonts w:ascii="Myriad Pro" w:eastAsia="Times New Roman" w:hAnsi="Myriad Pro" w:cs="Arial"/>
          <w:sz w:val="26"/>
          <w:szCs w:val="26"/>
          <w:shd w:val="clear" w:color="auto" w:fill="FFFFFF"/>
          <w:lang w:eastAsia="ru-RU"/>
        </w:rPr>
        <w:t xml:space="preserve"> </w:t>
      </w:r>
    </w:p>
    <w:p w14:paraId="6232158C" w14:textId="397D079C" w:rsidR="007D6E12" w:rsidRPr="008B4E5A" w:rsidRDefault="007D6E12" w:rsidP="00ED185D">
      <w:pPr>
        <w:pStyle w:val="afff4"/>
        <w:rPr>
          <w:lang w:val="ru-RU"/>
        </w:rPr>
      </w:pPr>
      <w:r w:rsidRPr="008B4E5A">
        <w:rPr>
          <w:lang w:val="ru-RU"/>
        </w:rPr>
        <w:t xml:space="preserve">С учетом дебиторской задолженности </w:t>
      </w:r>
      <w:r w:rsidR="00E663D3" w:rsidRPr="008B4E5A">
        <w:rPr>
          <w:lang w:val="ru-RU"/>
        </w:rPr>
        <w:t>в размере</w:t>
      </w:r>
      <w:r w:rsidRPr="008B4E5A">
        <w:rPr>
          <w:lang w:val="ru-RU"/>
        </w:rPr>
        <w:t xml:space="preserve"> 2 085 387 575,04 руб. и процентной ставки 7,99% сумма расходов по оплате процентов </w:t>
      </w:r>
      <w:r w:rsidR="00647E6F" w:rsidRPr="008B4E5A">
        <w:rPr>
          <w:lang w:val="ru-RU"/>
        </w:rPr>
        <w:t xml:space="preserve">на 2019 год </w:t>
      </w:r>
      <w:r w:rsidRPr="008B4E5A">
        <w:rPr>
          <w:lang w:val="ru-RU"/>
        </w:rPr>
        <w:t xml:space="preserve">составит </w:t>
      </w:r>
      <w:r w:rsidR="004F5848" w:rsidRPr="008B4E5A">
        <w:rPr>
          <w:lang w:val="ru-RU"/>
        </w:rPr>
        <w:t>166 622,5 тыс. руб.</w:t>
      </w:r>
    </w:p>
    <w:tbl>
      <w:tblPr>
        <w:tblStyle w:val="afff6"/>
        <w:tblW w:w="5000" w:type="pct"/>
        <w:tblLayout w:type="fixed"/>
        <w:tblLook w:val="04A0" w:firstRow="1" w:lastRow="0" w:firstColumn="1" w:lastColumn="0" w:noHBand="0" w:noVBand="1"/>
      </w:tblPr>
      <w:tblGrid>
        <w:gridCol w:w="1809"/>
        <w:gridCol w:w="1367"/>
        <w:gridCol w:w="1516"/>
        <w:gridCol w:w="1516"/>
        <w:gridCol w:w="1568"/>
        <w:gridCol w:w="1568"/>
      </w:tblGrid>
      <w:tr w:rsidR="00721FB7" w:rsidRPr="008B4E5A" w14:paraId="01D47424" w14:textId="77777777" w:rsidTr="002267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519D13C6" w14:textId="77777777" w:rsidR="00721FB7" w:rsidRPr="008B4E5A" w:rsidRDefault="00721FB7" w:rsidP="00ED185D">
            <w:pPr>
              <w:tabs>
                <w:tab w:val="left" w:pos="1134"/>
              </w:tabs>
              <w:jc w:val="center"/>
              <w:rPr>
                <w:sz w:val="20"/>
                <w:szCs w:val="20"/>
              </w:rPr>
            </w:pPr>
            <w:r w:rsidRPr="008B4E5A">
              <w:rPr>
                <w:sz w:val="20"/>
                <w:szCs w:val="20"/>
              </w:rPr>
              <w:t> Наименование статьи</w:t>
            </w:r>
          </w:p>
        </w:tc>
        <w:tc>
          <w:tcPr>
            <w:tcW w:w="13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120C746A" w14:textId="77777777" w:rsidR="00721FB7" w:rsidRPr="008B4E5A" w:rsidRDefault="00721FB7" w:rsidP="00ED185D">
            <w:pPr>
              <w:tabs>
                <w:tab w:val="left" w:pos="1134"/>
              </w:tabs>
              <w:cnfStyle w:val="100000000000" w:firstRow="1" w:lastRow="0" w:firstColumn="0" w:lastColumn="0" w:oddVBand="0" w:evenVBand="0" w:oddHBand="0" w:evenHBand="0" w:firstRowFirstColumn="0" w:firstRowLastColumn="0" w:lastRowFirstColumn="0" w:lastRowLastColumn="0"/>
              <w:rPr>
                <w:sz w:val="20"/>
                <w:szCs w:val="20"/>
              </w:rPr>
            </w:pPr>
            <w:r w:rsidRPr="008B4E5A">
              <w:rPr>
                <w:sz w:val="20"/>
                <w:szCs w:val="20"/>
              </w:rPr>
              <w:t>Заявлено Филиалом</w:t>
            </w:r>
          </w:p>
        </w:tc>
        <w:tc>
          <w:tcPr>
            <w:tcW w:w="15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2DAC60D" w14:textId="77777777" w:rsidR="00721FB7" w:rsidRPr="008B4E5A" w:rsidRDefault="00721FB7" w:rsidP="00ED185D">
            <w:pPr>
              <w:tabs>
                <w:tab w:val="left" w:pos="1134"/>
              </w:tabs>
              <w:cnfStyle w:val="100000000000" w:firstRow="1" w:lastRow="0" w:firstColumn="0" w:lastColumn="0" w:oddVBand="0" w:evenVBand="0" w:oddHBand="0" w:evenHBand="0" w:firstRowFirstColumn="0" w:firstRowLastColumn="0" w:lastRowFirstColumn="0" w:lastRowLastColumn="0"/>
              <w:rPr>
                <w:sz w:val="20"/>
                <w:szCs w:val="20"/>
              </w:rPr>
            </w:pPr>
            <w:r w:rsidRPr="008B4E5A">
              <w:rPr>
                <w:sz w:val="20"/>
                <w:szCs w:val="20"/>
              </w:rPr>
              <w:t>Рассчитано Комитетом (ЭОУ)</w:t>
            </w:r>
          </w:p>
        </w:tc>
        <w:tc>
          <w:tcPr>
            <w:tcW w:w="15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DEC9566" w14:textId="77777777" w:rsidR="00721FB7" w:rsidRPr="008B4E5A" w:rsidRDefault="00721FB7" w:rsidP="00ED185D">
            <w:pPr>
              <w:tabs>
                <w:tab w:val="left" w:pos="1134"/>
              </w:tabs>
              <w:cnfStyle w:val="100000000000" w:firstRow="1" w:lastRow="0" w:firstColumn="0" w:lastColumn="0" w:oddVBand="0" w:evenVBand="0" w:oddHBand="0" w:evenHBand="0" w:firstRowFirstColumn="0" w:firstRowLastColumn="0" w:lastRowFirstColumn="0" w:lastRowLastColumn="0"/>
              <w:rPr>
                <w:sz w:val="20"/>
                <w:szCs w:val="20"/>
              </w:rPr>
            </w:pPr>
            <w:r w:rsidRPr="008B4E5A">
              <w:rPr>
                <w:sz w:val="20"/>
                <w:szCs w:val="20"/>
              </w:rPr>
              <w:t>Рассчитано Исполнителем (ЭОУ)</w:t>
            </w:r>
          </w:p>
        </w:tc>
        <w:tc>
          <w:tcPr>
            <w:tcW w:w="15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82C3823" w14:textId="77777777" w:rsidR="00721FB7" w:rsidRPr="008B4E5A" w:rsidRDefault="00721FB7" w:rsidP="00ED185D">
            <w:pPr>
              <w:tabs>
                <w:tab w:val="left" w:pos="1134"/>
              </w:tabs>
              <w:cnfStyle w:val="100000000000" w:firstRow="1" w:lastRow="0" w:firstColumn="0" w:lastColumn="0" w:oddVBand="0" w:evenVBand="0" w:oddHBand="0" w:evenHBand="0" w:firstRowFirstColumn="0" w:firstRowLastColumn="0" w:lastRowFirstColumn="0" w:lastRowLastColumn="0"/>
              <w:rPr>
                <w:sz w:val="20"/>
                <w:szCs w:val="20"/>
              </w:rPr>
            </w:pPr>
            <w:r w:rsidRPr="008B4E5A">
              <w:rPr>
                <w:sz w:val="20"/>
                <w:szCs w:val="20"/>
              </w:rPr>
              <w:t>Отклонение  между Исполнителем и Комитетом</w:t>
            </w:r>
          </w:p>
        </w:tc>
        <w:tc>
          <w:tcPr>
            <w:tcW w:w="15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372452B" w14:textId="77777777" w:rsidR="00721FB7" w:rsidRPr="008B4E5A" w:rsidRDefault="00721FB7" w:rsidP="00ED185D">
            <w:pPr>
              <w:tabs>
                <w:tab w:val="left" w:pos="1134"/>
              </w:tabs>
              <w:cnfStyle w:val="100000000000" w:firstRow="1" w:lastRow="0" w:firstColumn="0" w:lastColumn="0" w:oddVBand="0" w:evenVBand="0" w:oddHBand="0" w:evenHBand="0" w:firstRowFirstColumn="0" w:firstRowLastColumn="0" w:lastRowFirstColumn="0" w:lastRowLastColumn="0"/>
              <w:rPr>
                <w:sz w:val="20"/>
                <w:szCs w:val="20"/>
              </w:rPr>
            </w:pPr>
            <w:r w:rsidRPr="008B4E5A">
              <w:rPr>
                <w:sz w:val="20"/>
                <w:szCs w:val="20"/>
              </w:rPr>
              <w:t>Отклонение  между Исполнителем и Филиалом</w:t>
            </w:r>
          </w:p>
        </w:tc>
      </w:tr>
      <w:tr w:rsidR="00721FB7" w:rsidRPr="008B4E5A" w14:paraId="3F34A74C" w14:textId="77777777" w:rsidTr="002267D7">
        <w:tc>
          <w:tcPr>
            <w:cnfStyle w:val="001000000000" w:firstRow="0" w:lastRow="0" w:firstColumn="1" w:lastColumn="0" w:oddVBand="0" w:evenVBand="0" w:oddHBand="0" w:evenHBand="0" w:firstRowFirstColumn="0" w:firstRowLastColumn="0" w:lastRowFirstColumn="0" w:lastRowLastColumn="0"/>
            <w:tcW w:w="1837" w:type="dxa"/>
            <w:tcBorders>
              <w:top w:val="single" w:sz="4" w:space="0" w:color="FFFFFF" w:themeColor="background1"/>
            </w:tcBorders>
            <w:hideMark/>
          </w:tcPr>
          <w:p w14:paraId="4E7843BF" w14:textId="4EB1E229" w:rsidR="00721FB7" w:rsidRPr="008B4E5A" w:rsidRDefault="005F3224" w:rsidP="00ED185D">
            <w:pPr>
              <w:tabs>
                <w:tab w:val="left" w:pos="1134"/>
              </w:tabs>
              <w:rPr>
                <w:sz w:val="20"/>
                <w:szCs w:val="20"/>
              </w:rPr>
            </w:pPr>
            <w:r w:rsidRPr="008B4E5A">
              <w:rPr>
                <w:sz w:val="20"/>
                <w:szCs w:val="20"/>
              </w:rPr>
              <w:t>Н</w:t>
            </w:r>
            <w:r w:rsidR="00721FB7" w:rsidRPr="008B4E5A">
              <w:rPr>
                <w:sz w:val="20"/>
                <w:szCs w:val="20"/>
              </w:rPr>
              <w:t>а обслуживание кредитных ресурсов (проценты к уплате)</w:t>
            </w:r>
          </w:p>
        </w:tc>
        <w:tc>
          <w:tcPr>
            <w:tcW w:w="1387" w:type="dxa"/>
            <w:tcBorders>
              <w:top w:val="single" w:sz="4" w:space="0" w:color="FFFFFF" w:themeColor="background1"/>
            </w:tcBorders>
            <w:hideMark/>
          </w:tcPr>
          <w:p w14:paraId="76CBD8D8" w14:textId="77777777" w:rsidR="00721FB7" w:rsidRPr="008B4E5A" w:rsidRDefault="00721FB7" w:rsidP="00ED185D">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8B4E5A">
              <w:rPr>
                <w:sz w:val="20"/>
                <w:szCs w:val="20"/>
              </w:rPr>
              <w:t>218 573,27</w:t>
            </w:r>
          </w:p>
        </w:tc>
        <w:tc>
          <w:tcPr>
            <w:tcW w:w="1539" w:type="dxa"/>
            <w:tcBorders>
              <w:top w:val="single" w:sz="4" w:space="0" w:color="FFFFFF" w:themeColor="background1"/>
            </w:tcBorders>
            <w:hideMark/>
          </w:tcPr>
          <w:p w14:paraId="054ABAE0" w14:textId="77777777" w:rsidR="00721FB7" w:rsidRPr="008B4E5A" w:rsidRDefault="00721FB7" w:rsidP="00ED185D">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8B4E5A">
              <w:rPr>
                <w:sz w:val="20"/>
                <w:szCs w:val="20"/>
              </w:rPr>
              <w:t>218 573,27</w:t>
            </w:r>
          </w:p>
        </w:tc>
        <w:tc>
          <w:tcPr>
            <w:tcW w:w="1539" w:type="dxa"/>
            <w:tcBorders>
              <w:top w:val="single" w:sz="4" w:space="0" w:color="FFFFFF" w:themeColor="background1"/>
            </w:tcBorders>
            <w:hideMark/>
          </w:tcPr>
          <w:p w14:paraId="1EEFE623" w14:textId="77777777" w:rsidR="00721FB7" w:rsidRPr="008B4E5A" w:rsidRDefault="00721FB7" w:rsidP="00ED185D">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8B4E5A">
              <w:rPr>
                <w:sz w:val="20"/>
                <w:szCs w:val="20"/>
              </w:rPr>
              <w:t>166 622,50</w:t>
            </w:r>
          </w:p>
        </w:tc>
        <w:tc>
          <w:tcPr>
            <w:tcW w:w="1592" w:type="dxa"/>
            <w:tcBorders>
              <w:top w:val="single" w:sz="4" w:space="0" w:color="FFFFFF" w:themeColor="background1"/>
            </w:tcBorders>
            <w:hideMark/>
          </w:tcPr>
          <w:p w14:paraId="745CA07B" w14:textId="77777777" w:rsidR="00721FB7" w:rsidRPr="008B4E5A" w:rsidRDefault="00721FB7" w:rsidP="00ED185D">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8B4E5A">
              <w:rPr>
                <w:sz w:val="20"/>
                <w:szCs w:val="20"/>
              </w:rPr>
              <w:t>-51 950,77</w:t>
            </w:r>
          </w:p>
        </w:tc>
        <w:tc>
          <w:tcPr>
            <w:tcW w:w="1592" w:type="dxa"/>
            <w:tcBorders>
              <w:top w:val="single" w:sz="4" w:space="0" w:color="FFFFFF" w:themeColor="background1"/>
            </w:tcBorders>
            <w:hideMark/>
          </w:tcPr>
          <w:p w14:paraId="208591BC" w14:textId="77777777" w:rsidR="00721FB7" w:rsidRPr="008B4E5A" w:rsidRDefault="00721FB7" w:rsidP="00ED185D">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8B4E5A">
              <w:rPr>
                <w:sz w:val="20"/>
                <w:szCs w:val="20"/>
              </w:rPr>
              <w:t>-51 950,77</w:t>
            </w:r>
          </w:p>
        </w:tc>
      </w:tr>
    </w:tbl>
    <w:p w14:paraId="3788E92A" w14:textId="029B9728" w:rsidR="00CE1515" w:rsidRPr="00FB0A3A" w:rsidRDefault="00CE1515" w:rsidP="00ED185D">
      <w:pPr>
        <w:pStyle w:val="afff7"/>
      </w:pPr>
      <w:r w:rsidRPr="008B4E5A">
        <w:t xml:space="preserve">Необходимо отметить, что фактические расходы филиала </w:t>
      </w:r>
      <w:r w:rsidR="00655FFA" w:rsidRPr="008B4E5A">
        <w:t xml:space="preserve">ПАО «МРСК </w:t>
      </w:r>
      <w:r w:rsidRPr="008B4E5A">
        <w:t>Северо-Запада</w:t>
      </w:r>
      <w:r w:rsidR="00655FFA" w:rsidRPr="008B4E5A">
        <w:t>»</w:t>
      </w:r>
      <w:r w:rsidRPr="008B4E5A">
        <w:t xml:space="preserve"> </w:t>
      </w:r>
      <w:r w:rsidR="00655FFA" w:rsidRPr="008B4E5A">
        <w:t>«</w:t>
      </w:r>
      <w:r w:rsidRPr="008B4E5A">
        <w:t>Колэнерго</w:t>
      </w:r>
      <w:r w:rsidR="00655FFA" w:rsidRPr="008B4E5A">
        <w:t>»</w:t>
      </w:r>
      <w:r w:rsidRPr="008B4E5A">
        <w:t xml:space="preserve"> за 2019 год составили </w:t>
      </w:r>
      <w:r w:rsidR="001D6729" w:rsidRPr="008B4E5A">
        <w:t>164 030 тыс. руб.</w:t>
      </w:r>
    </w:p>
    <w:p w14:paraId="31E96493" w14:textId="58D67D11" w:rsidR="009A628A" w:rsidRPr="00FB0A3A" w:rsidRDefault="009A628A" w:rsidP="00A31747">
      <w:pPr>
        <w:tabs>
          <w:tab w:val="left" w:pos="1134"/>
        </w:tabs>
        <w:spacing w:after="0" w:line="360" w:lineRule="auto"/>
        <w:ind w:firstLine="567"/>
        <w:contextualSpacing/>
        <w:jc w:val="both"/>
        <w:rPr>
          <w:rFonts w:ascii="Myriad Pro" w:hAnsi="Myriad Pro"/>
          <w:sz w:val="16"/>
          <w:szCs w:val="16"/>
        </w:rPr>
      </w:pPr>
      <w:r w:rsidRPr="00FB0A3A">
        <w:rPr>
          <w:rFonts w:ascii="Myriad Pro" w:hAnsi="Myriad Pro"/>
          <w:sz w:val="26"/>
          <w:szCs w:val="26"/>
        </w:rPr>
        <w:t xml:space="preserve">В связи с тем, что расходы по рассматриваемой статье учитываются в составе неподконтрольных расходов, при установлении тарифов на 2021 год будет произведена корректировка неподконтрольных расходов по фактическим показателям за 2019 год и излишне учтенная сумма в НВВ 2019 года будет </w:t>
      </w:r>
      <w:r w:rsidR="00212999" w:rsidRPr="00FB0A3A">
        <w:rPr>
          <w:rFonts w:ascii="Myriad Pro" w:hAnsi="Myriad Pro"/>
          <w:sz w:val="26"/>
          <w:szCs w:val="26"/>
        </w:rPr>
        <w:t>учтена при корректировке</w:t>
      </w:r>
      <w:r w:rsidRPr="00FB0A3A">
        <w:rPr>
          <w:rFonts w:ascii="Myriad Pro" w:hAnsi="Myriad Pro"/>
          <w:sz w:val="26"/>
          <w:szCs w:val="26"/>
        </w:rPr>
        <w:t xml:space="preserve"> НВВ </w:t>
      </w:r>
      <w:r w:rsidR="00212999" w:rsidRPr="00FB0A3A">
        <w:rPr>
          <w:rFonts w:ascii="Myriad Pro" w:hAnsi="Myriad Pro"/>
          <w:sz w:val="26"/>
          <w:szCs w:val="26"/>
        </w:rPr>
        <w:t>на 2021 год</w:t>
      </w:r>
      <w:r w:rsidRPr="00FB0A3A">
        <w:rPr>
          <w:rFonts w:ascii="Myriad Pro" w:hAnsi="Myriad Pro"/>
          <w:sz w:val="26"/>
          <w:szCs w:val="26"/>
        </w:rPr>
        <w:t>.</w:t>
      </w:r>
    </w:p>
    <w:p w14:paraId="3F49BC8D" w14:textId="113DE798" w:rsidR="009A628A" w:rsidRPr="00FB0A3A" w:rsidRDefault="009A628A"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 xml:space="preserve">Филиалом не откорректирован </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План движения потоков наличности на 2019-2023 годы</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 xml:space="preserve"> с учетом внесенных изменений в действующее законодательство (в соответствии с п. 4 ст. 5 </w:t>
      </w:r>
      <w:hyperlink r:id="rId86" w:tgtFrame="_blank" w:history="1">
        <w:r w:rsidRPr="00FB0A3A">
          <w:rPr>
            <w:rFonts w:ascii="Myriad Pro" w:eastAsia="Calibri" w:hAnsi="Myriad Pro" w:cs="Times New Roman"/>
            <w:sz w:val="26"/>
            <w:szCs w:val="26"/>
          </w:rPr>
          <w:t>Федерального закона от 03.08.2018 № 303-ФЗ</w:t>
        </w:r>
      </w:hyperlink>
      <w:r w:rsidRPr="00FB0A3A">
        <w:rPr>
          <w:rFonts w:ascii="Myriad Pro" w:eastAsia="Calibri" w:hAnsi="Myriad Pro" w:cs="Times New Roman"/>
          <w:sz w:val="26"/>
          <w:szCs w:val="26"/>
        </w:rPr>
        <w:t> </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О внесении изменений в отдельные законодательные акты Российской Федерации о налогах и сборах</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 с 1 января 2019 года применяется ставка НДС 20%).</w:t>
      </w:r>
    </w:p>
    <w:p w14:paraId="32780D53" w14:textId="33A70929" w:rsidR="009B6EE4" w:rsidRPr="00CC16E6" w:rsidRDefault="009B6EE4" w:rsidP="00A31747">
      <w:pPr>
        <w:tabs>
          <w:tab w:val="left" w:pos="1134"/>
        </w:tabs>
        <w:spacing w:after="0" w:line="360" w:lineRule="auto"/>
        <w:ind w:firstLine="567"/>
        <w:jc w:val="both"/>
        <w:rPr>
          <w:rFonts w:ascii="Myriad Pro" w:eastAsia="Calibri" w:hAnsi="Myriad Pro" w:cs="Times New Roman"/>
          <w:sz w:val="26"/>
          <w:szCs w:val="26"/>
        </w:rPr>
      </w:pPr>
      <w:r w:rsidRPr="00FB0A3A">
        <w:rPr>
          <w:rFonts w:ascii="Myriad Pro" w:eastAsia="Calibri" w:hAnsi="Myriad Pro" w:cs="Times New Roman"/>
          <w:sz w:val="26"/>
          <w:szCs w:val="26"/>
        </w:rPr>
        <w:lastRenderedPageBreak/>
        <w:t xml:space="preserve">Исполнитель также считает необходимым рекомендовать филиалу </w:t>
      </w:r>
      <w:r w:rsidR="00655FFA" w:rsidRPr="00FB0A3A">
        <w:rPr>
          <w:rFonts w:ascii="Myriad Pro" w:eastAsia="Calibri" w:hAnsi="Myriad Pro" w:cs="Times New Roman"/>
          <w:sz w:val="26"/>
          <w:szCs w:val="26"/>
        </w:rPr>
        <w:t>ПАО</w:t>
      </w:r>
      <w:r w:rsidR="009808E8">
        <w:rPr>
          <w:rFonts w:ascii="Myriad Pro" w:eastAsia="Calibri" w:hAnsi="Myriad Pro" w:cs="Times New Roman"/>
          <w:sz w:val="26"/>
          <w:szCs w:val="26"/>
        </w:rPr>
        <w:t> </w:t>
      </w:r>
      <w:r w:rsidR="00655FFA" w:rsidRPr="00FB0A3A">
        <w:rPr>
          <w:rFonts w:ascii="Myriad Pro" w:eastAsia="Calibri" w:hAnsi="Myriad Pro" w:cs="Times New Roman"/>
          <w:sz w:val="26"/>
          <w:szCs w:val="26"/>
        </w:rPr>
        <w:t xml:space="preserve">«МРСК </w:t>
      </w:r>
      <w:r w:rsidRPr="00FB0A3A">
        <w:rPr>
          <w:rFonts w:ascii="Myriad Pro" w:eastAsia="Calibri" w:hAnsi="Myriad Pro" w:cs="Times New Roman"/>
          <w:sz w:val="26"/>
          <w:szCs w:val="26"/>
        </w:rPr>
        <w:t>Северо-Запада</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 xml:space="preserve"> </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Колэнерго</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 xml:space="preserve"> в качестве обосновывающих документов </w:t>
      </w:r>
      <w:r w:rsidRPr="00CC16E6">
        <w:rPr>
          <w:rFonts w:ascii="Myriad Pro" w:eastAsia="Calibri" w:hAnsi="Myriad Pro" w:cs="Times New Roman"/>
          <w:sz w:val="26"/>
          <w:szCs w:val="26"/>
        </w:rPr>
        <w:t>по расходам на обслуживание заемных средств представлять в орган регулирования:</w:t>
      </w:r>
    </w:p>
    <w:p w14:paraId="42A40145" w14:textId="77777777" w:rsidR="009B6EE4" w:rsidRPr="00CC16E6" w:rsidRDefault="009B6EE4" w:rsidP="009B0BC1">
      <w:pPr>
        <w:pStyle w:val="a4"/>
        <w:numPr>
          <w:ilvl w:val="0"/>
          <w:numId w:val="30"/>
        </w:numPr>
        <w:tabs>
          <w:tab w:val="left" w:pos="1134"/>
        </w:tabs>
        <w:spacing w:after="0" w:line="360" w:lineRule="auto"/>
        <w:ind w:left="0" w:firstLine="567"/>
        <w:jc w:val="both"/>
        <w:rPr>
          <w:rFonts w:ascii="Myriad Pro" w:hAnsi="Myriad Pro"/>
          <w:sz w:val="26"/>
          <w:szCs w:val="26"/>
        </w:rPr>
      </w:pPr>
      <w:r w:rsidRPr="00CC16E6">
        <w:rPr>
          <w:rFonts w:ascii="Myriad Pro" w:hAnsi="Myriad Pro"/>
          <w:sz w:val="26"/>
          <w:szCs w:val="26"/>
        </w:rPr>
        <w:t>Пояснения относительно периодов и причин формирования долга, приходящегося на филиал, по состоянию на последнюю отчетную дату;</w:t>
      </w:r>
    </w:p>
    <w:p w14:paraId="07FEE8D2" w14:textId="77777777" w:rsidR="009B6EE4" w:rsidRPr="00CC16E6" w:rsidRDefault="009B6EE4" w:rsidP="009B0BC1">
      <w:pPr>
        <w:pStyle w:val="a4"/>
        <w:numPr>
          <w:ilvl w:val="0"/>
          <w:numId w:val="30"/>
        </w:numPr>
        <w:tabs>
          <w:tab w:val="left" w:pos="1134"/>
        </w:tabs>
        <w:spacing w:after="0" w:line="360" w:lineRule="auto"/>
        <w:ind w:left="0" w:firstLine="567"/>
        <w:jc w:val="both"/>
        <w:rPr>
          <w:rFonts w:ascii="Myriad Pro" w:hAnsi="Myriad Pro"/>
          <w:sz w:val="26"/>
          <w:szCs w:val="26"/>
        </w:rPr>
      </w:pPr>
      <w:r w:rsidRPr="00CC16E6">
        <w:rPr>
          <w:rFonts w:ascii="Myriad Pro" w:hAnsi="Myriad Pro"/>
          <w:sz w:val="26"/>
          <w:szCs w:val="26"/>
        </w:rPr>
        <w:t>Расчет процента сбора денежных средств за истекший отчетный период и на плановый период регулирования с приложением в качестве подтверждающих документов данных бухгалтерского учета;</w:t>
      </w:r>
    </w:p>
    <w:p w14:paraId="593685E5" w14:textId="77777777" w:rsidR="009B6EE4" w:rsidRPr="00CC16E6" w:rsidRDefault="009B6EE4" w:rsidP="009B0BC1">
      <w:pPr>
        <w:pStyle w:val="a4"/>
        <w:numPr>
          <w:ilvl w:val="0"/>
          <w:numId w:val="30"/>
        </w:numPr>
        <w:tabs>
          <w:tab w:val="left" w:pos="1134"/>
        </w:tabs>
        <w:spacing w:after="0" w:line="360" w:lineRule="auto"/>
        <w:ind w:left="0" w:firstLine="567"/>
        <w:jc w:val="both"/>
        <w:rPr>
          <w:rFonts w:ascii="Myriad Pro" w:hAnsi="Myriad Pro"/>
          <w:sz w:val="26"/>
          <w:szCs w:val="26"/>
        </w:rPr>
      </w:pPr>
      <w:r w:rsidRPr="00CC16E6">
        <w:rPr>
          <w:rFonts w:ascii="Myriad Pro" w:hAnsi="Myriad Pro"/>
          <w:sz w:val="26"/>
          <w:szCs w:val="26"/>
        </w:rPr>
        <w:t>Расчет процентной ставки по действующим кредитным договорам на предстоящий период регулирования, выполненный исходя из оставшейся к погашению суммы долга и ставки пользования кредитными ресурсами, указанными в договорах;</w:t>
      </w:r>
    </w:p>
    <w:p w14:paraId="6BA0ABDF" w14:textId="34C04F61" w:rsidR="009B6EE4" w:rsidRPr="00CC16E6" w:rsidRDefault="009B6EE4" w:rsidP="009B0BC1">
      <w:pPr>
        <w:pStyle w:val="a4"/>
        <w:numPr>
          <w:ilvl w:val="0"/>
          <w:numId w:val="30"/>
        </w:numPr>
        <w:tabs>
          <w:tab w:val="left" w:pos="1134"/>
        </w:tabs>
        <w:spacing w:after="0" w:line="360" w:lineRule="auto"/>
        <w:ind w:left="0" w:firstLine="567"/>
        <w:jc w:val="both"/>
        <w:rPr>
          <w:rFonts w:ascii="Myriad Pro" w:hAnsi="Myriad Pro"/>
          <w:sz w:val="26"/>
          <w:szCs w:val="26"/>
        </w:rPr>
      </w:pPr>
      <w:r w:rsidRPr="00CC16E6">
        <w:rPr>
          <w:rFonts w:ascii="Myriad Pro" w:hAnsi="Myriad Pro"/>
          <w:sz w:val="26"/>
          <w:szCs w:val="26"/>
        </w:rPr>
        <w:t xml:space="preserve">Расчет распределения расходов за пользование кредитными ресурсами в предстоящем периоде регулирования по филиалам ПАО </w:t>
      </w:r>
      <w:r w:rsidR="00655FFA" w:rsidRPr="00CC16E6">
        <w:rPr>
          <w:rFonts w:ascii="Myriad Pro" w:hAnsi="Myriad Pro"/>
          <w:sz w:val="26"/>
          <w:szCs w:val="26"/>
        </w:rPr>
        <w:t>«</w:t>
      </w:r>
      <w:r w:rsidRPr="00CC16E6">
        <w:rPr>
          <w:rFonts w:ascii="Myriad Pro" w:hAnsi="Myriad Pro"/>
          <w:sz w:val="26"/>
          <w:szCs w:val="26"/>
        </w:rPr>
        <w:t>МРСК Северо-Запада</w:t>
      </w:r>
      <w:r w:rsidR="00655FFA" w:rsidRPr="00CC16E6">
        <w:rPr>
          <w:rFonts w:ascii="Myriad Pro" w:hAnsi="Myriad Pro"/>
          <w:sz w:val="26"/>
          <w:szCs w:val="26"/>
        </w:rPr>
        <w:t>»</w:t>
      </w:r>
      <w:r w:rsidRPr="00CC16E6">
        <w:rPr>
          <w:rFonts w:ascii="Myriad Pro" w:hAnsi="Myriad Pro"/>
          <w:sz w:val="26"/>
          <w:szCs w:val="26"/>
        </w:rPr>
        <w:t>, выполненным в соответствии с действующей методикой.</w:t>
      </w:r>
    </w:p>
    <w:p w14:paraId="702FB131" w14:textId="20989956" w:rsidR="00500F20" w:rsidRPr="00FB0A3A" w:rsidRDefault="00500F20" w:rsidP="00A31747">
      <w:pPr>
        <w:tabs>
          <w:tab w:val="left" w:pos="1134"/>
        </w:tabs>
        <w:spacing w:after="0" w:line="360" w:lineRule="auto"/>
        <w:ind w:firstLine="567"/>
        <w:contextualSpacing/>
        <w:jc w:val="both"/>
        <w:rPr>
          <w:rFonts w:ascii="Myriad Pro" w:eastAsia="Calibri" w:hAnsi="Myriad Pro" w:cs="Times New Roman"/>
          <w:b/>
          <w:sz w:val="26"/>
          <w:szCs w:val="26"/>
        </w:rPr>
      </w:pPr>
    </w:p>
    <w:p w14:paraId="0240E309" w14:textId="77777777" w:rsidR="002F115E" w:rsidRDefault="002F115E" w:rsidP="002D6C17">
      <w:pPr>
        <w:pStyle w:val="3"/>
        <w:numPr>
          <w:ilvl w:val="1"/>
          <w:numId w:val="67"/>
        </w:numPr>
        <w:spacing w:line="360" w:lineRule="auto"/>
        <w:rPr>
          <w:rFonts w:ascii="Myriad Pro" w:hAnsi="Myriad Pro"/>
          <w:b/>
          <w:color w:val="4F6228" w:themeColor="accent3" w:themeShade="80"/>
          <w:sz w:val="28"/>
          <w:szCs w:val="28"/>
        </w:rPr>
        <w:sectPr w:rsidR="002F115E" w:rsidSect="00FB0A3A">
          <w:pgSz w:w="11906" w:h="16838"/>
          <w:pgMar w:top="1134" w:right="851" w:bottom="1134" w:left="1701" w:header="708" w:footer="708" w:gutter="0"/>
          <w:cols w:space="708"/>
          <w:docGrid w:linePitch="360"/>
        </w:sectPr>
      </w:pPr>
      <w:bookmarkStart w:id="64" w:name="_Toc40797972"/>
    </w:p>
    <w:p w14:paraId="56527DBB" w14:textId="24D10887" w:rsidR="00500F20" w:rsidRPr="002D6C17" w:rsidRDefault="00500F20" w:rsidP="002D6C17">
      <w:pPr>
        <w:pStyle w:val="3"/>
        <w:numPr>
          <w:ilvl w:val="1"/>
          <w:numId w:val="67"/>
        </w:numPr>
        <w:spacing w:line="360" w:lineRule="auto"/>
        <w:rPr>
          <w:rFonts w:ascii="Myriad Pro" w:hAnsi="Myriad Pro"/>
          <w:b/>
          <w:color w:val="4F6228" w:themeColor="accent3" w:themeShade="80"/>
          <w:sz w:val="28"/>
          <w:szCs w:val="28"/>
        </w:rPr>
      </w:pPr>
      <w:r w:rsidRPr="002D6C17">
        <w:rPr>
          <w:rFonts w:ascii="Myriad Pro" w:hAnsi="Myriad Pro"/>
          <w:b/>
          <w:color w:val="4F6228" w:themeColor="accent3" w:themeShade="80"/>
          <w:sz w:val="28"/>
          <w:szCs w:val="28"/>
        </w:rPr>
        <w:lastRenderedPageBreak/>
        <w:t>Резерв по сомнительным долгам</w:t>
      </w:r>
      <w:bookmarkEnd w:id="64"/>
    </w:p>
    <w:p w14:paraId="05F0639D" w14:textId="77777777" w:rsidR="00500F20" w:rsidRPr="00FB0A3A" w:rsidRDefault="00500F20" w:rsidP="00A31747">
      <w:pPr>
        <w:widowControl w:val="0"/>
        <w:pBdr>
          <w:top w:val="nil"/>
          <w:left w:val="nil"/>
          <w:bottom w:val="nil"/>
          <w:right w:val="nil"/>
          <w:between w:val="nil"/>
        </w:pBdr>
        <w:tabs>
          <w:tab w:val="left" w:pos="1134"/>
          <w:tab w:val="left" w:pos="1428"/>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В соответствии с пунктом 30 Основ ценообразования в необходимую валовую выручку включаются внереализационные расходы, в том числе расходы на формирование резервов по сомнительным долгам. При этом в составе резерва по сомнительным долгам может учитываться дебиторская задолженность, возникшая при осуществлении соответствующего регулируемого вида деятельности. Возврат сомнительных долгов, для погашения которых был создан резерв, включенный в регулируемую цену (тариф) в предшествующий период регулирования, признается доходом и исключается из необходимой валовой выручки в следующем периоде регулирования с учетом уплаты налога на прибыль организаций.</w:t>
      </w:r>
    </w:p>
    <w:p w14:paraId="722A3062" w14:textId="77777777" w:rsidR="00500F20" w:rsidRPr="00FB0A3A" w:rsidRDefault="00500F20" w:rsidP="00A31747">
      <w:pPr>
        <w:widowControl w:val="0"/>
        <w:pBdr>
          <w:top w:val="nil"/>
          <w:left w:val="nil"/>
          <w:bottom w:val="nil"/>
          <w:right w:val="nil"/>
          <w:between w:val="nil"/>
        </w:pBdr>
        <w:tabs>
          <w:tab w:val="left" w:pos="1134"/>
          <w:tab w:val="left" w:pos="1428"/>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В соответствии с пунктом 70 Положения по ведению бухгалтерского учета и бухгалтерской отчетности в Российской Федерации, утвержденного приказом Минфина России от 29.07.1998 № 34н, организация создает резервы сомнительных долгов в случае признания дебиторской задолженности сомнительной с отнесением сумм резервов на финансовые результаты организации. Пунктом 77 вышеназванного положения предусмотрено, что дебиторская задолженность, по которой срок исковой давности истек, другие долги нереальные для взыскания, списываются по каждому обязательству на основании данных проведенной инвентаризации, письменного основания и приказа(распоряжения) руководителя организации и относятся соответственно на счет средств резерва по сомнительных долгов либо на финансовые результаты у коммерческой организации, если в период, предшествующий отчетному, суммы этих долгов не резервировались в порядке, предусмотренном пунктом 70 Положения.</w:t>
      </w:r>
    </w:p>
    <w:p w14:paraId="578F2233" w14:textId="5795E88D" w:rsidR="00500F20" w:rsidRPr="00FB0A3A" w:rsidRDefault="00500F20" w:rsidP="005F3224">
      <w:pPr>
        <w:pStyle w:val="afff4"/>
        <w:rPr>
          <w:lang w:val="ru-RU"/>
        </w:rPr>
      </w:pPr>
      <w:r w:rsidRPr="00FB0A3A">
        <w:rPr>
          <w:lang w:val="ru-RU"/>
        </w:rPr>
        <w:t>Исходя из анализа приведенных правовых норм, расходы на формирование резерва по сомнительным долгам могут быть заявлены как в плановом порядке в случае, если дебиторская задолженность не погашена или с высокой степенью вероятности не будет погашена в сроки, установленные договором, но не признана безнадежной, так и при корректировке НВВ по фактическим результатам деятельности регулируемой организации в предыдущем периоде регулирования в случае списания такой задолженности как безнадежной к взысканию.</w:t>
      </w:r>
    </w:p>
    <w:tbl>
      <w:tblPr>
        <w:tblStyle w:val="afff6"/>
        <w:tblW w:w="4948" w:type="pct"/>
        <w:tblLayout w:type="fixed"/>
        <w:tblLook w:val="04A0" w:firstRow="1" w:lastRow="0" w:firstColumn="1" w:lastColumn="0" w:noHBand="0" w:noVBand="1"/>
      </w:tblPr>
      <w:tblGrid>
        <w:gridCol w:w="1838"/>
        <w:gridCol w:w="1459"/>
        <w:gridCol w:w="1575"/>
        <w:gridCol w:w="1244"/>
        <w:gridCol w:w="1812"/>
        <w:gridCol w:w="1319"/>
      </w:tblGrid>
      <w:tr w:rsidR="00F64FA7" w:rsidRPr="008A1FE3" w14:paraId="540F51CF" w14:textId="77777777" w:rsidTr="008A1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43CBCDFA" w14:textId="0055D61D" w:rsidR="00F64FA7" w:rsidRPr="008A1FE3" w:rsidRDefault="00F64FA7" w:rsidP="005F3224">
            <w:pPr>
              <w:tabs>
                <w:tab w:val="left" w:pos="1134"/>
              </w:tabs>
              <w:jc w:val="center"/>
              <w:rPr>
                <w:rFonts w:eastAsia="Calibri" w:cs="Times New Roman"/>
                <w:sz w:val="20"/>
                <w:szCs w:val="20"/>
              </w:rPr>
            </w:pPr>
            <w:r w:rsidRPr="008A1FE3">
              <w:rPr>
                <w:rFonts w:eastAsia="Calibri" w:cs="Times New Roman"/>
                <w:sz w:val="20"/>
                <w:szCs w:val="20"/>
              </w:rPr>
              <w:lastRenderedPageBreak/>
              <w:t>Наименование статьи</w:t>
            </w:r>
          </w:p>
        </w:tc>
        <w:tc>
          <w:tcPr>
            <w:tcW w:w="14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7CA9B713" w14:textId="77777777" w:rsidR="00F64FA7" w:rsidRPr="008A1FE3" w:rsidRDefault="00F64FA7" w:rsidP="005F3224">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 w:val="20"/>
                <w:szCs w:val="20"/>
              </w:rPr>
            </w:pPr>
            <w:r w:rsidRPr="008A1FE3">
              <w:rPr>
                <w:rFonts w:eastAsia="Calibri" w:cs="Times New Roman"/>
                <w:sz w:val="20"/>
                <w:szCs w:val="20"/>
              </w:rPr>
              <w:t>Факт за 2017, тыс. руб.</w:t>
            </w:r>
          </w:p>
        </w:tc>
        <w:tc>
          <w:tcPr>
            <w:tcW w:w="15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5E14A24" w14:textId="17427972" w:rsidR="00F64FA7" w:rsidRPr="008A1FE3" w:rsidRDefault="00F64FA7" w:rsidP="005F3224">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 w:val="20"/>
                <w:szCs w:val="20"/>
              </w:rPr>
            </w:pPr>
            <w:r w:rsidRPr="008A1FE3">
              <w:rPr>
                <w:rFonts w:eastAsia="Calibri" w:cs="Times New Roman"/>
                <w:sz w:val="20"/>
                <w:szCs w:val="20"/>
              </w:rPr>
              <w:t xml:space="preserve">Заявлено филиалом ПАО </w:t>
            </w:r>
            <w:r w:rsidR="00655FFA" w:rsidRPr="008A1FE3">
              <w:rPr>
                <w:rFonts w:eastAsia="Calibri" w:cs="Times New Roman"/>
                <w:sz w:val="20"/>
                <w:szCs w:val="20"/>
              </w:rPr>
              <w:t>«</w:t>
            </w:r>
            <w:r w:rsidR="00597FD5" w:rsidRPr="008A1FE3">
              <w:rPr>
                <w:rFonts w:eastAsia="Calibri" w:cs="Times New Roman"/>
                <w:sz w:val="20"/>
                <w:szCs w:val="20"/>
              </w:rPr>
              <w:t>МРСК Северо-Запада</w:t>
            </w:r>
            <w:r w:rsidR="00655FFA" w:rsidRPr="008A1FE3">
              <w:rPr>
                <w:rFonts w:eastAsia="Calibri" w:cs="Times New Roman"/>
                <w:sz w:val="20"/>
                <w:szCs w:val="20"/>
              </w:rPr>
              <w:t>»</w:t>
            </w:r>
            <w:r w:rsidRPr="008A1FE3">
              <w:rPr>
                <w:rFonts w:eastAsia="Calibri" w:cs="Times New Roman"/>
                <w:sz w:val="20"/>
                <w:szCs w:val="20"/>
              </w:rPr>
              <w:t xml:space="preserve"> </w:t>
            </w:r>
            <w:r w:rsidR="00655FFA" w:rsidRPr="008A1FE3">
              <w:rPr>
                <w:rFonts w:eastAsia="Calibri" w:cs="Times New Roman"/>
                <w:sz w:val="20"/>
                <w:szCs w:val="20"/>
              </w:rPr>
              <w:t>«</w:t>
            </w:r>
            <w:r w:rsidRPr="008A1FE3">
              <w:rPr>
                <w:rFonts w:eastAsia="Calibri" w:cs="Times New Roman"/>
                <w:sz w:val="20"/>
                <w:szCs w:val="20"/>
              </w:rPr>
              <w:t>Колэнерго</w:t>
            </w:r>
            <w:r w:rsidR="00655FFA" w:rsidRPr="008A1FE3">
              <w:rPr>
                <w:rFonts w:eastAsia="Calibri" w:cs="Times New Roman"/>
                <w:sz w:val="20"/>
                <w:szCs w:val="20"/>
              </w:rPr>
              <w:t>»</w:t>
            </w:r>
            <w:r w:rsidRPr="008A1FE3">
              <w:rPr>
                <w:rFonts w:eastAsia="Calibri" w:cs="Times New Roman"/>
                <w:sz w:val="20"/>
                <w:szCs w:val="20"/>
              </w:rPr>
              <w:t xml:space="preserve"> на 2019, тыс. руб.</w:t>
            </w:r>
          </w:p>
        </w:tc>
        <w:tc>
          <w:tcPr>
            <w:tcW w:w="12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EE612D4" w14:textId="77777777" w:rsidR="00F64FA7" w:rsidRPr="008A1FE3" w:rsidRDefault="00F64FA7" w:rsidP="005F3224">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 w:val="20"/>
                <w:szCs w:val="20"/>
              </w:rPr>
            </w:pPr>
            <w:r w:rsidRPr="008A1FE3">
              <w:rPr>
                <w:rFonts w:eastAsia="Calibri" w:cs="Times New Roman"/>
                <w:sz w:val="20"/>
                <w:szCs w:val="20"/>
              </w:rPr>
              <w:t>ТБР на 2019, тыс. руб.</w:t>
            </w:r>
          </w:p>
        </w:tc>
        <w:tc>
          <w:tcPr>
            <w:tcW w:w="18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B6D415B" w14:textId="77777777" w:rsidR="00F64FA7" w:rsidRPr="008A1FE3" w:rsidRDefault="00F64FA7" w:rsidP="005F3224">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 w:val="20"/>
                <w:szCs w:val="20"/>
              </w:rPr>
            </w:pPr>
            <w:r w:rsidRPr="008A1FE3">
              <w:rPr>
                <w:rFonts w:eastAsia="Calibri" w:cs="Times New Roman"/>
                <w:sz w:val="20"/>
                <w:szCs w:val="20"/>
              </w:rPr>
              <w:t>Отклонение ТБР на 2019/ заявка на 2019, %</w:t>
            </w:r>
          </w:p>
        </w:tc>
        <w:tc>
          <w:tcPr>
            <w:tcW w:w="13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9712118" w14:textId="77777777" w:rsidR="00F64FA7" w:rsidRPr="008A1FE3" w:rsidRDefault="00F64FA7" w:rsidP="005F3224">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 w:val="20"/>
                <w:szCs w:val="20"/>
              </w:rPr>
            </w:pPr>
            <w:r w:rsidRPr="008A1FE3">
              <w:rPr>
                <w:rFonts w:eastAsia="Calibri" w:cs="Times New Roman"/>
                <w:sz w:val="20"/>
                <w:szCs w:val="20"/>
              </w:rPr>
              <w:t>ТБР на 2019 /факт за 2017, %</w:t>
            </w:r>
          </w:p>
        </w:tc>
      </w:tr>
      <w:tr w:rsidR="00F64FA7" w:rsidRPr="008A1FE3" w14:paraId="3A559883" w14:textId="77777777" w:rsidTr="008A1FE3">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FFFFFF" w:themeColor="background1"/>
            </w:tcBorders>
            <w:hideMark/>
          </w:tcPr>
          <w:p w14:paraId="238737B2" w14:textId="77777777" w:rsidR="00F64FA7" w:rsidRPr="008A1FE3" w:rsidRDefault="00F64FA7" w:rsidP="005F3224">
            <w:pPr>
              <w:tabs>
                <w:tab w:val="left" w:pos="1134"/>
              </w:tabs>
              <w:rPr>
                <w:rFonts w:eastAsia="Calibri" w:cs="Times New Roman"/>
                <w:sz w:val="20"/>
                <w:szCs w:val="20"/>
              </w:rPr>
            </w:pPr>
            <w:r w:rsidRPr="008A1FE3">
              <w:rPr>
                <w:rFonts w:eastAsia="Calibri" w:cs="Times New Roman"/>
                <w:sz w:val="20"/>
                <w:szCs w:val="20"/>
              </w:rPr>
              <w:t>Резерв по сомнительным долгам</w:t>
            </w:r>
          </w:p>
        </w:tc>
        <w:tc>
          <w:tcPr>
            <w:tcW w:w="1459" w:type="dxa"/>
            <w:tcBorders>
              <w:top w:val="single" w:sz="4" w:space="0" w:color="FFFFFF" w:themeColor="background1"/>
            </w:tcBorders>
            <w:hideMark/>
          </w:tcPr>
          <w:p w14:paraId="15707CA3" w14:textId="77777777" w:rsidR="00F64FA7" w:rsidRPr="008A1FE3" w:rsidRDefault="00F64FA7" w:rsidP="005F3224">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8A1FE3">
              <w:rPr>
                <w:rFonts w:eastAsia="Calibri" w:cs="Times New Roman"/>
                <w:sz w:val="20"/>
                <w:szCs w:val="20"/>
              </w:rPr>
              <w:t>92 722,37</w:t>
            </w:r>
          </w:p>
        </w:tc>
        <w:tc>
          <w:tcPr>
            <w:tcW w:w="1575" w:type="dxa"/>
            <w:tcBorders>
              <w:top w:val="single" w:sz="4" w:space="0" w:color="FFFFFF" w:themeColor="background1"/>
            </w:tcBorders>
            <w:hideMark/>
          </w:tcPr>
          <w:p w14:paraId="176A2BF2" w14:textId="77777777" w:rsidR="00F64FA7" w:rsidRPr="008A1FE3" w:rsidRDefault="00F64FA7" w:rsidP="005F3224">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8A1FE3">
              <w:rPr>
                <w:rFonts w:eastAsia="Calibri" w:cs="Times New Roman"/>
                <w:sz w:val="20"/>
                <w:szCs w:val="20"/>
              </w:rPr>
              <w:t>1 300 482,54</w:t>
            </w:r>
          </w:p>
        </w:tc>
        <w:tc>
          <w:tcPr>
            <w:tcW w:w="1244" w:type="dxa"/>
            <w:tcBorders>
              <w:top w:val="single" w:sz="4" w:space="0" w:color="FFFFFF" w:themeColor="background1"/>
            </w:tcBorders>
            <w:hideMark/>
          </w:tcPr>
          <w:p w14:paraId="5F249544" w14:textId="77777777" w:rsidR="00F64FA7" w:rsidRPr="008A1FE3" w:rsidRDefault="00F64FA7" w:rsidP="005F3224">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8A1FE3">
              <w:rPr>
                <w:rFonts w:eastAsia="Calibri" w:cs="Times New Roman"/>
                <w:sz w:val="20"/>
                <w:szCs w:val="20"/>
              </w:rPr>
              <w:t>772 263,34</w:t>
            </w:r>
          </w:p>
        </w:tc>
        <w:tc>
          <w:tcPr>
            <w:tcW w:w="1812" w:type="dxa"/>
            <w:tcBorders>
              <w:top w:val="single" w:sz="4" w:space="0" w:color="FFFFFF" w:themeColor="background1"/>
            </w:tcBorders>
            <w:hideMark/>
          </w:tcPr>
          <w:p w14:paraId="197F2DF1" w14:textId="77777777" w:rsidR="00F64FA7" w:rsidRPr="008A1FE3" w:rsidRDefault="00F64FA7" w:rsidP="005F3224">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8A1FE3">
              <w:rPr>
                <w:rFonts w:eastAsia="Calibri" w:cs="Times New Roman"/>
                <w:sz w:val="20"/>
                <w:szCs w:val="20"/>
              </w:rPr>
              <w:t>-40,6</w:t>
            </w:r>
          </w:p>
        </w:tc>
        <w:tc>
          <w:tcPr>
            <w:tcW w:w="1319" w:type="dxa"/>
            <w:tcBorders>
              <w:top w:val="single" w:sz="4" w:space="0" w:color="FFFFFF" w:themeColor="background1"/>
            </w:tcBorders>
            <w:hideMark/>
          </w:tcPr>
          <w:p w14:paraId="3F124108" w14:textId="77777777" w:rsidR="00F64FA7" w:rsidRPr="008A1FE3" w:rsidRDefault="00F64FA7" w:rsidP="005F3224">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8A1FE3">
              <w:rPr>
                <w:rFonts w:eastAsia="Calibri" w:cs="Times New Roman"/>
                <w:sz w:val="20"/>
                <w:szCs w:val="20"/>
              </w:rPr>
              <w:t>732,88</w:t>
            </w:r>
          </w:p>
        </w:tc>
      </w:tr>
    </w:tbl>
    <w:p w14:paraId="23A7AC4A" w14:textId="1B2DA606" w:rsidR="00F64FA7" w:rsidRPr="00FB0A3A" w:rsidRDefault="00F64FA7" w:rsidP="00A31747">
      <w:pPr>
        <w:widowControl w:val="0"/>
        <w:pBdr>
          <w:top w:val="nil"/>
          <w:left w:val="nil"/>
          <w:bottom w:val="nil"/>
          <w:right w:val="nil"/>
          <w:between w:val="nil"/>
        </w:pBdr>
        <w:tabs>
          <w:tab w:val="left" w:pos="1134"/>
          <w:tab w:val="left" w:pos="1428"/>
        </w:tabs>
        <w:spacing w:after="0" w:line="360" w:lineRule="auto"/>
        <w:ind w:firstLine="567"/>
        <w:contextualSpacing/>
        <w:jc w:val="both"/>
        <w:rPr>
          <w:rFonts w:ascii="Myriad Pro" w:eastAsia="Calibri" w:hAnsi="Myriad Pro" w:cs="Times New Roman"/>
          <w:sz w:val="26"/>
          <w:szCs w:val="26"/>
        </w:rPr>
      </w:pPr>
    </w:p>
    <w:p w14:paraId="5B5C7721" w14:textId="77777777" w:rsidR="00F64FA7" w:rsidRPr="00FB0A3A" w:rsidRDefault="00F64FA7" w:rsidP="005F3224">
      <w:pPr>
        <w:tabs>
          <w:tab w:val="left" w:pos="1134"/>
        </w:tabs>
        <w:spacing w:after="0" w:line="360" w:lineRule="auto"/>
        <w:contextualSpacing/>
        <w:jc w:val="both"/>
        <w:rPr>
          <w:rFonts w:ascii="Myriad Pro" w:eastAsia="Calibri" w:hAnsi="Myriad Pro" w:cs="Times New Roman"/>
          <w:b/>
          <w:sz w:val="26"/>
          <w:szCs w:val="26"/>
        </w:rPr>
      </w:pPr>
      <w:r w:rsidRPr="00FB0A3A">
        <w:rPr>
          <w:rFonts w:ascii="Myriad Pro" w:eastAsia="Calibri" w:hAnsi="Myriad Pro" w:cs="Times New Roman"/>
          <w:b/>
          <w:sz w:val="26"/>
          <w:szCs w:val="26"/>
        </w:rPr>
        <w:t>ПОЗИЦИЯ ТЕРРИТОРИАЛЬНОЙ СЕТЕВОЙ ОРГАНИЗАЦИИ</w:t>
      </w:r>
    </w:p>
    <w:p w14:paraId="39264640" w14:textId="00A3A093" w:rsidR="00F86070" w:rsidRPr="00FB0A3A" w:rsidRDefault="00CB1625" w:rsidP="005F3224">
      <w:pPr>
        <w:tabs>
          <w:tab w:val="left" w:pos="1134"/>
        </w:tabs>
        <w:spacing w:after="0" w:line="360" w:lineRule="auto"/>
        <w:ind w:firstLine="567"/>
        <w:jc w:val="both"/>
        <w:rPr>
          <w:rFonts w:ascii="Myriad Pro" w:eastAsia="Calibri" w:hAnsi="Myriad Pro" w:cs="Times New Roman"/>
          <w:sz w:val="26"/>
          <w:szCs w:val="26"/>
        </w:rPr>
      </w:pPr>
      <w:r w:rsidRPr="00FB0A3A">
        <w:rPr>
          <w:rFonts w:ascii="Myriad Pro" w:eastAsia="Calibri" w:hAnsi="Myriad Pro" w:cs="Times New Roman"/>
          <w:sz w:val="26"/>
          <w:szCs w:val="26"/>
        </w:rPr>
        <w:t xml:space="preserve">Согласно  п. 48 </w:t>
      </w:r>
      <w:r w:rsidR="00F86070" w:rsidRPr="00FB0A3A">
        <w:rPr>
          <w:rFonts w:ascii="Myriad Pro" w:eastAsia="Calibri" w:hAnsi="Myriad Pro" w:cs="Times New Roman"/>
          <w:sz w:val="26"/>
          <w:szCs w:val="26"/>
        </w:rPr>
        <w:t>Методических указаний по расчету регулируемых тарифов и цен на электрическую (тепловую) энергию на розничном (потребительском) рынке</w:t>
      </w:r>
      <w:r w:rsidR="00655FFA" w:rsidRPr="00FB0A3A">
        <w:rPr>
          <w:rFonts w:ascii="Myriad Pro" w:eastAsia="Calibri" w:hAnsi="Myriad Pro" w:cs="Times New Roman"/>
          <w:sz w:val="26"/>
          <w:szCs w:val="26"/>
        </w:rPr>
        <w:t>»</w:t>
      </w:r>
      <w:r w:rsidR="00F86070" w:rsidRPr="00FB0A3A">
        <w:rPr>
          <w:rFonts w:ascii="Myriad Pro" w:eastAsia="Calibri" w:hAnsi="Myriad Pro" w:cs="Times New Roman"/>
          <w:sz w:val="26"/>
          <w:szCs w:val="26"/>
        </w:rPr>
        <w:t>, утвержденных приказом  ФСТ № 20-э/2 от 6 августа 2004 года, расходы территориальной сетевой организации, связанные с временным осуществлением функций гарантирующего поставщика, не компенсируемые сбытовой надбавкой, подлежат компенсации путем их включения в следующем периоде регулирования в состав тарифов на услуги по передаче электрической энергии.</w:t>
      </w:r>
    </w:p>
    <w:p w14:paraId="0C61C578" w14:textId="178530D8" w:rsidR="00F86070" w:rsidRPr="00FB0A3A" w:rsidRDefault="00F86070" w:rsidP="003E35B3">
      <w:pPr>
        <w:tabs>
          <w:tab w:val="left" w:pos="1134"/>
        </w:tabs>
        <w:spacing w:after="0" w:line="360" w:lineRule="auto"/>
        <w:ind w:firstLine="567"/>
        <w:jc w:val="both"/>
        <w:rPr>
          <w:rFonts w:ascii="Myriad Pro" w:eastAsia="Calibri" w:hAnsi="Myriad Pro" w:cs="Times New Roman"/>
          <w:sz w:val="26"/>
          <w:szCs w:val="26"/>
        </w:rPr>
      </w:pPr>
      <w:r w:rsidRPr="00FB0A3A">
        <w:rPr>
          <w:rFonts w:ascii="Myriad Pro" w:eastAsia="Calibri" w:hAnsi="Myriad Pro" w:cs="Times New Roman"/>
          <w:sz w:val="26"/>
          <w:szCs w:val="26"/>
        </w:rPr>
        <w:t>На основании вышеизложенного Филиал предлагает включить в состав выпадающих расходов величину резерва по сомнительным долгам, возникшим в результате исполнения филиалом функции гарантирующего поставщика в размере 1 284 690,39 тыс. руб., а также 15 792,14 тыс. руб. в виде суммы списанной дебиторской задолженности по причине прекращения деятельности юридического лица в связи с его ликвидацией.</w:t>
      </w:r>
    </w:p>
    <w:p w14:paraId="1DE13342" w14:textId="586788E0" w:rsidR="00F86070" w:rsidRPr="00FB0A3A" w:rsidRDefault="00F86070" w:rsidP="005F3224">
      <w:pPr>
        <w:tabs>
          <w:tab w:val="left" w:pos="1134"/>
        </w:tabs>
        <w:spacing w:after="0" w:line="360" w:lineRule="auto"/>
        <w:ind w:firstLine="567"/>
        <w:jc w:val="both"/>
        <w:rPr>
          <w:rFonts w:ascii="Myriad Pro" w:eastAsia="Calibri" w:hAnsi="Myriad Pro" w:cs="Times New Roman"/>
          <w:sz w:val="26"/>
          <w:szCs w:val="26"/>
        </w:rPr>
      </w:pPr>
      <w:r w:rsidRPr="00FB0A3A">
        <w:rPr>
          <w:rFonts w:ascii="Myriad Pro" w:eastAsia="Calibri" w:hAnsi="Myriad Pro" w:cs="Times New Roman"/>
          <w:sz w:val="26"/>
          <w:szCs w:val="26"/>
        </w:rPr>
        <w:t xml:space="preserve">Данные расходы Общество формирует как выпадающие от деятельности, связанной с временным исполнением функций гарантирующего поставщика, учитывая, что данные расходы определялись как для организации, ранее не осуществляющей функций гарантирующего поставщика. </w:t>
      </w:r>
    </w:p>
    <w:p w14:paraId="581A24AC" w14:textId="45AF2843" w:rsidR="00F64FA7" w:rsidRPr="00FB0A3A" w:rsidRDefault="00F64FA7" w:rsidP="005F3224">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 xml:space="preserve">В обоснование заявленной суммы расходов филиалом ПАО </w:t>
      </w:r>
      <w:r w:rsidR="00655FFA" w:rsidRPr="00FB0A3A">
        <w:rPr>
          <w:rFonts w:ascii="Myriad Pro" w:eastAsia="Calibri" w:hAnsi="Myriad Pro" w:cs="Times New Roman"/>
          <w:sz w:val="26"/>
          <w:szCs w:val="26"/>
        </w:rPr>
        <w:t>«</w:t>
      </w:r>
      <w:r w:rsidR="00597FD5" w:rsidRPr="00FB0A3A">
        <w:rPr>
          <w:rFonts w:ascii="Myriad Pro" w:eastAsia="Calibri" w:hAnsi="Myriad Pro" w:cs="Times New Roman"/>
          <w:sz w:val="26"/>
          <w:szCs w:val="26"/>
        </w:rPr>
        <w:t>МРСК Северо-Запада</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 xml:space="preserve"> </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Колэнерго</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 xml:space="preserve"> были предоставлены следующие документы:</w:t>
      </w:r>
    </w:p>
    <w:p w14:paraId="7DFDB49F" w14:textId="07EBEE6B" w:rsidR="00F64FA7" w:rsidRPr="00FB0A3A" w:rsidRDefault="00F64FA7" w:rsidP="009B0BC1">
      <w:pPr>
        <w:pStyle w:val="a4"/>
        <w:numPr>
          <w:ilvl w:val="0"/>
          <w:numId w:val="11"/>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Пояснительная записка;</w:t>
      </w:r>
    </w:p>
    <w:p w14:paraId="0126423C" w14:textId="3D29AB08" w:rsidR="00F86070" w:rsidRPr="00FB0A3A" w:rsidRDefault="00F86070" w:rsidP="009B0BC1">
      <w:pPr>
        <w:pStyle w:val="a4"/>
        <w:numPr>
          <w:ilvl w:val="0"/>
          <w:numId w:val="11"/>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 xml:space="preserve">Расчет расходов на резерв по сомнительным долгам по сбытовой деятельности за 2017 год </w:t>
      </w:r>
      <w:r w:rsidR="00E97A24" w:rsidRPr="00FB0A3A">
        <w:rPr>
          <w:rFonts w:ascii="Myriad Pro" w:hAnsi="Myriad Pro"/>
          <w:sz w:val="26"/>
          <w:szCs w:val="26"/>
        </w:rPr>
        <w:t>и в предыдущие периоды</w:t>
      </w:r>
      <w:r w:rsidRPr="00FB0A3A">
        <w:rPr>
          <w:rFonts w:ascii="Myriad Pro" w:hAnsi="Myriad Pro"/>
          <w:sz w:val="26"/>
          <w:szCs w:val="26"/>
        </w:rPr>
        <w:t xml:space="preserve"> 2013-2016 гг.</w:t>
      </w:r>
    </w:p>
    <w:p w14:paraId="6E6611AE" w14:textId="318BC908" w:rsidR="00E97A24" w:rsidRPr="00FB0A3A" w:rsidRDefault="00E97A24" w:rsidP="009B0BC1">
      <w:pPr>
        <w:pStyle w:val="a4"/>
        <w:numPr>
          <w:ilvl w:val="0"/>
          <w:numId w:val="11"/>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lastRenderedPageBreak/>
        <w:t xml:space="preserve">Приказ ПАО </w:t>
      </w:r>
      <w:r w:rsidR="00655FFA" w:rsidRPr="00FB0A3A">
        <w:rPr>
          <w:rFonts w:ascii="Myriad Pro" w:hAnsi="Myriad Pro"/>
          <w:sz w:val="26"/>
          <w:szCs w:val="26"/>
        </w:rPr>
        <w:t>«</w:t>
      </w:r>
      <w:r w:rsidR="00597FD5" w:rsidRPr="00FB0A3A">
        <w:rPr>
          <w:rFonts w:ascii="Myriad Pro" w:hAnsi="Myriad Pro"/>
          <w:sz w:val="26"/>
          <w:szCs w:val="26"/>
        </w:rPr>
        <w:t>МРСК Северо-Запада</w:t>
      </w:r>
      <w:r w:rsidR="00655FFA" w:rsidRPr="00FB0A3A">
        <w:rPr>
          <w:rFonts w:ascii="Myriad Pro" w:hAnsi="Myriad Pro"/>
          <w:sz w:val="26"/>
          <w:szCs w:val="26"/>
        </w:rPr>
        <w:t>»</w:t>
      </w:r>
      <w:r w:rsidRPr="00FB0A3A">
        <w:rPr>
          <w:rFonts w:ascii="Myriad Pro" w:hAnsi="Myriad Pro"/>
          <w:sz w:val="26"/>
          <w:szCs w:val="26"/>
        </w:rPr>
        <w:t xml:space="preserve"> от 30.12.2016 № 842 </w:t>
      </w:r>
      <w:r w:rsidR="00655FFA" w:rsidRPr="00FB0A3A">
        <w:rPr>
          <w:rFonts w:ascii="Myriad Pro" w:hAnsi="Myriad Pro"/>
          <w:sz w:val="26"/>
          <w:szCs w:val="26"/>
        </w:rPr>
        <w:t>«</w:t>
      </w:r>
      <w:r w:rsidRPr="00FB0A3A">
        <w:rPr>
          <w:rFonts w:ascii="Myriad Pro" w:hAnsi="Myriad Pro"/>
          <w:sz w:val="26"/>
          <w:szCs w:val="26"/>
        </w:rPr>
        <w:t xml:space="preserve">Об учетной политике </w:t>
      </w:r>
      <w:r w:rsidR="00655FFA" w:rsidRPr="00FB0A3A">
        <w:rPr>
          <w:rFonts w:ascii="Myriad Pro" w:hAnsi="Myriad Pro"/>
          <w:sz w:val="26"/>
          <w:szCs w:val="26"/>
        </w:rPr>
        <w:t xml:space="preserve">ПАО «МРСК </w:t>
      </w:r>
      <w:r w:rsidR="00597FD5" w:rsidRPr="00FB0A3A">
        <w:rPr>
          <w:rFonts w:ascii="Myriad Pro" w:hAnsi="Myriad Pro"/>
          <w:sz w:val="26"/>
          <w:szCs w:val="26"/>
        </w:rPr>
        <w:t>Северо-Запада</w:t>
      </w:r>
      <w:r w:rsidR="00655FFA" w:rsidRPr="00FB0A3A">
        <w:rPr>
          <w:rFonts w:ascii="Myriad Pro" w:hAnsi="Myriad Pro"/>
          <w:sz w:val="26"/>
          <w:szCs w:val="26"/>
        </w:rPr>
        <w:t>»</w:t>
      </w:r>
      <w:r w:rsidRPr="00FB0A3A">
        <w:rPr>
          <w:rFonts w:ascii="Myriad Pro" w:hAnsi="Myriad Pro"/>
          <w:sz w:val="26"/>
          <w:szCs w:val="26"/>
        </w:rPr>
        <w:t xml:space="preserve"> на 2017 год</w:t>
      </w:r>
      <w:r w:rsidR="00655FFA" w:rsidRPr="00FB0A3A">
        <w:rPr>
          <w:rFonts w:ascii="Myriad Pro" w:hAnsi="Myriad Pro"/>
          <w:sz w:val="26"/>
          <w:szCs w:val="26"/>
        </w:rPr>
        <w:t>»</w:t>
      </w:r>
      <w:r w:rsidRPr="00FB0A3A">
        <w:rPr>
          <w:rFonts w:ascii="Myriad Pro" w:hAnsi="Myriad Pro"/>
          <w:sz w:val="26"/>
          <w:szCs w:val="26"/>
        </w:rPr>
        <w:t xml:space="preserve"> (с приложением приказов об внесении изменений);</w:t>
      </w:r>
    </w:p>
    <w:p w14:paraId="7CE04122" w14:textId="12438B53" w:rsidR="00516334" w:rsidRPr="00FB0A3A" w:rsidRDefault="00E97A24" w:rsidP="009B0BC1">
      <w:pPr>
        <w:pStyle w:val="a4"/>
        <w:numPr>
          <w:ilvl w:val="0"/>
          <w:numId w:val="11"/>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 xml:space="preserve">Положение по Учетной политике для целей бухгалтерского учета на 2017 год </w:t>
      </w:r>
      <w:r w:rsidR="00655FFA" w:rsidRPr="00FB0A3A">
        <w:rPr>
          <w:rFonts w:ascii="Myriad Pro" w:hAnsi="Myriad Pro"/>
          <w:sz w:val="26"/>
          <w:szCs w:val="26"/>
        </w:rPr>
        <w:t xml:space="preserve">ПАО «МРСК </w:t>
      </w:r>
      <w:r w:rsidR="00597FD5" w:rsidRPr="00FB0A3A">
        <w:rPr>
          <w:rFonts w:ascii="Myriad Pro" w:hAnsi="Myriad Pro"/>
          <w:sz w:val="26"/>
          <w:szCs w:val="26"/>
        </w:rPr>
        <w:t>Северо-Запада</w:t>
      </w:r>
      <w:r w:rsidR="00655FFA" w:rsidRPr="00FB0A3A">
        <w:rPr>
          <w:rFonts w:ascii="Myriad Pro" w:hAnsi="Myriad Pro"/>
          <w:sz w:val="26"/>
          <w:szCs w:val="26"/>
        </w:rPr>
        <w:t>»</w:t>
      </w:r>
      <w:r w:rsidRPr="00FB0A3A">
        <w:rPr>
          <w:rFonts w:ascii="Myriad Pro" w:hAnsi="Myriad Pro"/>
          <w:sz w:val="26"/>
          <w:szCs w:val="26"/>
        </w:rPr>
        <w:t>;</w:t>
      </w:r>
    </w:p>
    <w:p w14:paraId="12876ECB" w14:textId="7C44A2F8" w:rsidR="00516334" w:rsidRPr="00FB0A3A" w:rsidRDefault="00516334" w:rsidP="009B0BC1">
      <w:pPr>
        <w:pStyle w:val="a4"/>
        <w:numPr>
          <w:ilvl w:val="0"/>
          <w:numId w:val="11"/>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 xml:space="preserve">Справка к акту №1 от 18.01.2018 инвентаризации расчетов с покупателями, </w:t>
      </w:r>
      <w:r w:rsidR="0060170E" w:rsidRPr="00FB0A3A">
        <w:rPr>
          <w:rFonts w:ascii="Myriad Pro" w:hAnsi="Myriad Pro"/>
          <w:sz w:val="26"/>
          <w:szCs w:val="26"/>
        </w:rPr>
        <w:t xml:space="preserve">поставщиками и прочими </w:t>
      </w:r>
      <w:r w:rsidR="00393AD2" w:rsidRPr="00FB0A3A">
        <w:rPr>
          <w:rFonts w:ascii="Myriad Pro" w:hAnsi="Myriad Pro"/>
          <w:sz w:val="26"/>
          <w:szCs w:val="26"/>
        </w:rPr>
        <w:t>дебиторами</w:t>
      </w:r>
      <w:r w:rsidR="0060170E" w:rsidRPr="00FB0A3A">
        <w:rPr>
          <w:rFonts w:ascii="Myriad Pro" w:hAnsi="Myriad Pro"/>
          <w:sz w:val="26"/>
          <w:szCs w:val="26"/>
        </w:rPr>
        <w:t>,</w:t>
      </w:r>
      <w:r w:rsidR="00393AD2" w:rsidRPr="00FB0A3A">
        <w:rPr>
          <w:rFonts w:ascii="Myriad Pro" w:hAnsi="Myriad Pro"/>
          <w:sz w:val="26"/>
          <w:szCs w:val="26"/>
        </w:rPr>
        <w:t xml:space="preserve"> </w:t>
      </w:r>
      <w:r w:rsidRPr="00FB0A3A">
        <w:rPr>
          <w:rFonts w:ascii="Myriad Pro" w:hAnsi="Myriad Pro"/>
          <w:sz w:val="26"/>
          <w:szCs w:val="26"/>
        </w:rPr>
        <w:t>и кредиторами по состоянию на 31.12.2017</w:t>
      </w:r>
      <w:r w:rsidR="000D059E" w:rsidRPr="00FB0A3A">
        <w:rPr>
          <w:rFonts w:ascii="Myriad Pro" w:hAnsi="Myriad Pro"/>
          <w:sz w:val="26"/>
          <w:szCs w:val="26"/>
        </w:rPr>
        <w:t xml:space="preserve"> с указанием суммы и срока образования задолженности</w:t>
      </w:r>
      <w:r w:rsidR="00393AD2" w:rsidRPr="00FB0A3A">
        <w:rPr>
          <w:rFonts w:ascii="Myriad Pro" w:hAnsi="Myriad Pro"/>
          <w:sz w:val="26"/>
          <w:szCs w:val="26"/>
        </w:rPr>
        <w:t>;</w:t>
      </w:r>
    </w:p>
    <w:p w14:paraId="7AC1A2A8" w14:textId="0DFFA8E3" w:rsidR="00516334" w:rsidRPr="00FB0A3A" w:rsidRDefault="00516334" w:rsidP="009B0BC1">
      <w:pPr>
        <w:pStyle w:val="a4"/>
        <w:numPr>
          <w:ilvl w:val="0"/>
          <w:numId w:val="11"/>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Оборотн</w:t>
      </w:r>
      <w:r w:rsidR="00CB1625" w:rsidRPr="00FB0A3A">
        <w:rPr>
          <w:rFonts w:ascii="Myriad Pro" w:hAnsi="Myriad Pro"/>
          <w:sz w:val="26"/>
          <w:szCs w:val="26"/>
        </w:rPr>
        <w:t xml:space="preserve">о-сальдовая ведомость по счету </w:t>
      </w:r>
      <w:r w:rsidR="00655FFA" w:rsidRPr="00FB0A3A">
        <w:rPr>
          <w:rFonts w:ascii="Myriad Pro" w:hAnsi="Myriad Pro"/>
          <w:sz w:val="26"/>
          <w:szCs w:val="26"/>
        </w:rPr>
        <w:t>«</w:t>
      </w:r>
      <w:r w:rsidR="00CB1625" w:rsidRPr="00FB0A3A">
        <w:rPr>
          <w:rFonts w:ascii="Myriad Pro" w:hAnsi="Myriad Pro"/>
          <w:sz w:val="26"/>
          <w:szCs w:val="26"/>
        </w:rPr>
        <w:t>63</w:t>
      </w:r>
      <w:r w:rsidR="00655FFA" w:rsidRPr="00FB0A3A">
        <w:rPr>
          <w:rFonts w:ascii="Myriad Pro" w:hAnsi="Myriad Pro"/>
          <w:sz w:val="26"/>
          <w:szCs w:val="26"/>
        </w:rPr>
        <w:t>»</w:t>
      </w:r>
      <w:r w:rsidR="00CB1625" w:rsidRPr="00FB0A3A">
        <w:rPr>
          <w:rFonts w:ascii="Myriad Pro" w:hAnsi="Myriad Pro"/>
          <w:sz w:val="26"/>
          <w:szCs w:val="26"/>
        </w:rPr>
        <w:t xml:space="preserve"> </w:t>
      </w:r>
      <w:r w:rsidR="00655FFA" w:rsidRPr="00FB0A3A">
        <w:rPr>
          <w:rFonts w:ascii="Myriad Pro" w:hAnsi="Myriad Pro"/>
          <w:sz w:val="26"/>
          <w:szCs w:val="26"/>
        </w:rPr>
        <w:t>«</w:t>
      </w:r>
      <w:r w:rsidR="00393AD2" w:rsidRPr="00FB0A3A">
        <w:rPr>
          <w:rFonts w:ascii="Myriad Pro" w:hAnsi="Myriad Pro"/>
          <w:sz w:val="26"/>
          <w:szCs w:val="26"/>
        </w:rPr>
        <w:t>Резерв по сомнительным долгам</w:t>
      </w:r>
      <w:r w:rsidR="00655FFA" w:rsidRPr="00FB0A3A">
        <w:rPr>
          <w:rFonts w:ascii="Myriad Pro" w:hAnsi="Myriad Pro"/>
          <w:sz w:val="26"/>
          <w:szCs w:val="26"/>
        </w:rPr>
        <w:t>»</w:t>
      </w:r>
      <w:r w:rsidR="00393AD2" w:rsidRPr="00FB0A3A">
        <w:rPr>
          <w:rFonts w:ascii="Myriad Pro" w:hAnsi="Myriad Pro"/>
          <w:sz w:val="26"/>
          <w:szCs w:val="26"/>
        </w:rPr>
        <w:t xml:space="preserve"> за 2017 год;</w:t>
      </w:r>
    </w:p>
    <w:p w14:paraId="42077CA5" w14:textId="74EE1C04" w:rsidR="00393AD2" w:rsidRPr="00FB0A3A" w:rsidRDefault="00393AD2" w:rsidP="009B0BC1">
      <w:pPr>
        <w:pStyle w:val="a4"/>
        <w:numPr>
          <w:ilvl w:val="0"/>
          <w:numId w:val="11"/>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Информация по ведению работы по взысканию задолженнос</w:t>
      </w:r>
      <w:r w:rsidR="0060170E" w:rsidRPr="00FB0A3A">
        <w:rPr>
          <w:rFonts w:ascii="Myriad Pro" w:hAnsi="Myriad Pro"/>
          <w:sz w:val="26"/>
          <w:szCs w:val="26"/>
        </w:rPr>
        <w:t xml:space="preserve">ти с должниками-неплательщикам </w:t>
      </w:r>
      <w:r w:rsidRPr="00FB0A3A">
        <w:rPr>
          <w:rFonts w:ascii="Myriad Pro" w:hAnsi="Myriad Pro"/>
          <w:sz w:val="26"/>
          <w:szCs w:val="26"/>
        </w:rPr>
        <w:t>за 2017 год;</w:t>
      </w:r>
    </w:p>
    <w:p w14:paraId="09072550" w14:textId="6AC95839" w:rsidR="00F64FA7" w:rsidRPr="00FB0A3A" w:rsidRDefault="00393AD2" w:rsidP="009B0BC1">
      <w:pPr>
        <w:pStyle w:val="a4"/>
        <w:numPr>
          <w:ilvl w:val="0"/>
          <w:numId w:val="11"/>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Акты по оценке обязательств и резервов по состоянию на 31.12.2017 по контрагентам;</w:t>
      </w:r>
    </w:p>
    <w:p w14:paraId="494A768C" w14:textId="1B7E255D" w:rsidR="00393AD2" w:rsidRPr="00FB0A3A" w:rsidRDefault="00393AD2" w:rsidP="009B0BC1">
      <w:pPr>
        <w:pStyle w:val="a4"/>
        <w:numPr>
          <w:ilvl w:val="0"/>
          <w:numId w:val="11"/>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 xml:space="preserve">Протокол заседания центральной инвентаризационной комиссии от 19.07.2017 </w:t>
      </w:r>
      <w:r w:rsidR="00655FFA" w:rsidRPr="00FB0A3A">
        <w:rPr>
          <w:rFonts w:ascii="Myriad Pro" w:hAnsi="Myriad Pro"/>
          <w:sz w:val="26"/>
          <w:szCs w:val="26"/>
        </w:rPr>
        <w:t xml:space="preserve">ПАО «МРСК </w:t>
      </w:r>
      <w:r w:rsidR="00D076DA" w:rsidRPr="00FB0A3A">
        <w:rPr>
          <w:rFonts w:ascii="Myriad Pro" w:hAnsi="Myriad Pro"/>
          <w:sz w:val="26"/>
          <w:szCs w:val="26"/>
        </w:rPr>
        <w:t>Северо-Запада</w:t>
      </w:r>
      <w:r w:rsidR="00655FFA" w:rsidRPr="00FB0A3A">
        <w:rPr>
          <w:rFonts w:ascii="Myriad Pro" w:hAnsi="Myriad Pro"/>
          <w:sz w:val="26"/>
          <w:szCs w:val="26"/>
        </w:rPr>
        <w:t>»</w:t>
      </w:r>
      <w:r w:rsidRPr="00FB0A3A">
        <w:rPr>
          <w:rFonts w:ascii="Myriad Pro" w:hAnsi="Myriad Pro"/>
          <w:sz w:val="26"/>
          <w:szCs w:val="26"/>
        </w:rPr>
        <w:t>;</w:t>
      </w:r>
    </w:p>
    <w:p w14:paraId="3FE931EF" w14:textId="3EB32D93" w:rsidR="00393AD2" w:rsidRPr="00FB0A3A" w:rsidRDefault="00393AD2" w:rsidP="009B0BC1">
      <w:pPr>
        <w:pStyle w:val="a4"/>
        <w:numPr>
          <w:ilvl w:val="0"/>
          <w:numId w:val="11"/>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 xml:space="preserve">Протокол заседания центральной инвентаризационной комиссии от 23.10.2017 </w:t>
      </w:r>
      <w:r w:rsidR="00655FFA" w:rsidRPr="00FB0A3A">
        <w:rPr>
          <w:rFonts w:ascii="Myriad Pro" w:hAnsi="Myriad Pro"/>
          <w:sz w:val="26"/>
          <w:szCs w:val="26"/>
        </w:rPr>
        <w:t xml:space="preserve">ПАО «МРСК </w:t>
      </w:r>
      <w:r w:rsidR="00D076DA" w:rsidRPr="00FB0A3A">
        <w:rPr>
          <w:rFonts w:ascii="Myriad Pro" w:hAnsi="Myriad Pro"/>
          <w:sz w:val="26"/>
          <w:szCs w:val="26"/>
        </w:rPr>
        <w:t>Северо-Запада</w:t>
      </w:r>
      <w:r w:rsidR="00655FFA" w:rsidRPr="00FB0A3A">
        <w:rPr>
          <w:rFonts w:ascii="Myriad Pro" w:hAnsi="Myriad Pro"/>
          <w:sz w:val="26"/>
          <w:szCs w:val="26"/>
        </w:rPr>
        <w:t>»</w:t>
      </w:r>
      <w:r w:rsidRPr="00FB0A3A">
        <w:rPr>
          <w:rFonts w:ascii="Myriad Pro" w:hAnsi="Myriad Pro"/>
          <w:sz w:val="26"/>
          <w:szCs w:val="26"/>
        </w:rPr>
        <w:t>;</w:t>
      </w:r>
    </w:p>
    <w:p w14:paraId="1C5B1382" w14:textId="3A9927FD" w:rsidR="004338C0" w:rsidRPr="00FB0A3A" w:rsidRDefault="004338C0" w:rsidP="009B0BC1">
      <w:pPr>
        <w:pStyle w:val="a4"/>
        <w:numPr>
          <w:ilvl w:val="0"/>
          <w:numId w:val="11"/>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 xml:space="preserve">Протокол заседания центральной инвентаризационной комиссии от 18.04.2018 </w:t>
      </w:r>
      <w:r w:rsidR="00655FFA" w:rsidRPr="00FB0A3A">
        <w:rPr>
          <w:rFonts w:ascii="Myriad Pro" w:hAnsi="Myriad Pro"/>
          <w:sz w:val="26"/>
          <w:szCs w:val="26"/>
        </w:rPr>
        <w:t xml:space="preserve">ПАО «МРСК </w:t>
      </w:r>
      <w:r w:rsidR="00D076DA" w:rsidRPr="00FB0A3A">
        <w:rPr>
          <w:rFonts w:ascii="Myriad Pro" w:hAnsi="Myriad Pro"/>
          <w:sz w:val="26"/>
          <w:szCs w:val="26"/>
        </w:rPr>
        <w:t>Северо-Запада</w:t>
      </w:r>
      <w:r w:rsidR="00655FFA" w:rsidRPr="00FB0A3A">
        <w:rPr>
          <w:rFonts w:ascii="Myriad Pro" w:hAnsi="Myriad Pro"/>
          <w:sz w:val="26"/>
          <w:szCs w:val="26"/>
        </w:rPr>
        <w:t>»</w:t>
      </w:r>
      <w:r w:rsidRPr="00FB0A3A">
        <w:rPr>
          <w:rFonts w:ascii="Myriad Pro" w:hAnsi="Myriad Pro"/>
          <w:sz w:val="26"/>
          <w:szCs w:val="26"/>
        </w:rPr>
        <w:t>;</w:t>
      </w:r>
    </w:p>
    <w:p w14:paraId="73BB42EA" w14:textId="31A59849" w:rsidR="004338C0" w:rsidRPr="00FB0A3A" w:rsidRDefault="004338C0" w:rsidP="009B0BC1">
      <w:pPr>
        <w:pStyle w:val="a4"/>
        <w:numPr>
          <w:ilvl w:val="0"/>
          <w:numId w:val="11"/>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 xml:space="preserve">Протокол заседания центральной инвентаризационной комиссии от 18.07.2018 </w:t>
      </w:r>
      <w:r w:rsidR="00655FFA" w:rsidRPr="00FB0A3A">
        <w:rPr>
          <w:rFonts w:ascii="Myriad Pro" w:hAnsi="Myriad Pro"/>
          <w:sz w:val="26"/>
          <w:szCs w:val="26"/>
        </w:rPr>
        <w:t xml:space="preserve">ПАО «МРСК </w:t>
      </w:r>
      <w:r w:rsidR="00D076DA" w:rsidRPr="00FB0A3A">
        <w:rPr>
          <w:rFonts w:ascii="Myriad Pro" w:hAnsi="Myriad Pro"/>
          <w:sz w:val="26"/>
          <w:szCs w:val="26"/>
        </w:rPr>
        <w:t>Северо-Запада</w:t>
      </w:r>
      <w:r w:rsidR="00655FFA" w:rsidRPr="00FB0A3A">
        <w:rPr>
          <w:rFonts w:ascii="Myriad Pro" w:hAnsi="Myriad Pro"/>
          <w:sz w:val="26"/>
          <w:szCs w:val="26"/>
        </w:rPr>
        <w:t>»</w:t>
      </w:r>
      <w:r w:rsidRPr="00FB0A3A">
        <w:rPr>
          <w:rFonts w:ascii="Myriad Pro" w:hAnsi="Myriad Pro"/>
          <w:sz w:val="26"/>
          <w:szCs w:val="26"/>
        </w:rPr>
        <w:t>;</w:t>
      </w:r>
    </w:p>
    <w:p w14:paraId="2064611D" w14:textId="52283200" w:rsidR="003843AD" w:rsidRPr="00FB0A3A" w:rsidRDefault="003843AD" w:rsidP="009B0BC1">
      <w:pPr>
        <w:pStyle w:val="a4"/>
        <w:numPr>
          <w:ilvl w:val="0"/>
          <w:numId w:val="11"/>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Приказ от 30.03.2017 №14</w:t>
      </w:r>
      <w:r w:rsidR="00BB57BB" w:rsidRPr="00FB0A3A">
        <w:rPr>
          <w:rFonts w:ascii="Myriad Pro" w:hAnsi="Myriad Pro"/>
          <w:sz w:val="26"/>
          <w:szCs w:val="26"/>
        </w:rPr>
        <w:t>4</w:t>
      </w:r>
      <w:r w:rsidRPr="00FB0A3A">
        <w:rPr>
          <w:rFonts w:ascii="Myriad Pro" w:hAnsi="Myriad Pro"/>
          <w:sz w:val="26"/>
          <w:szCs w:val="26"/>
        </w:rPr>
        <w:t xml:space="preserve"> о списании дебиторской задолженности;</w:t>
      </w:r>
    </w:p>
    <w:p w14:paraId="069E3DD0" w14:textId="7A2376B4" w:rsidR="00BB57BB" w:rsidRPr="00FB0A3A" w:rsidRDefault="00BB57BB" w:rsidP="009B0BC1">
      <w:pPr>
        <w:pStyle w:val="a4"/>
        <w:numPr>
          <w:ilvl w:val="0"/>
          <w:numId w:val="11"/>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Приказ от 20.04.2017 №186 о списании дебиторской задолженности;</w:t>
      </w:r>
    </w:p>
    <w:p w14:paraId="10ACD160" w14:textId="335A629A" w:rsidR="003843AD" w:rsidRPr="00FB0A3A" w:rsidRDefault="003843AD" w:rsidP="009B0BC1">
      <w:pPr>
        <w:pStyle w:val="a4"/>
        <w:numPr>
          <w:ilvl w:val="0"/>
          <w:numId w:val="11"/>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Приказ от 16.06.2017 №271 о списании дебиторской задолженности;</w:t>
      </w:r>
    </w:p>
    <w:p w14:paraId="1CC5BE70" w14:textId="17C6AF77" w:rsidR="003843AD" w:rsidRPr="00FB0A3A" w:rsidRDefault="003843AD" w:rsidP="009B0BC1">
      <w:pPr>
        <w:pStyle w:val="a4"/>
        <w:numPr>
          <w:ilvl w:val="0"/>
          <w:numId w:val="11"/>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Приказ от 30.06.2017 №293 о списании дебиторской задолженности;</w:t>
      </w:r>
    </w:p>
    <w:p w14:paraId="5292B642" w14:textId="03707CAD" w:rsidR="003843AD" w:rsidRPr="00FB0A3A" w:rsidRDefault="003843AD" w:rsidP="009B0BC1">
      <w:pPr>
        <w:pStyle w:val="a4"/>
        <w:numPr>
          <w:ilvl w:val="0"/>
          <w:numId w:val="11"/>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Приказ от 29.09.2017 №410 о списании дебиторской задолженности;</w:t>
      </w:r>
    </w:p>
    <w:p w14:paraId="4E50DBF9" w14:textId="0A5D084C" w:rsidR="003843AD" w:rsidRPr="00FB0A3A" w:rsidRDefault="003843AD" w:rsidP="009B0BC1">
      <w:pPr>
        <w:pStyle w:val="a4"/>
        <w:numPr>
          <w:ilvl w:val="0"/>
          <w:numId w:val="11"/>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Приказ от 16.10.2017 №440 о списании дебиторской задолженности;</w:t>
      </w:r>
    </w:p>
    <w:p w14:paraId="35ACA8D4" w14:textId="6334A2C7" w:rsidR="00393AD2" w:rsidRPr="00FB0A3A" w:rsidRDefault="007B33A0" w:rsidP="009B0BC1">
      <w:pPr>
        <w:pStyle w:val="a4"/>
        <w:numPr>
          <w:ilvl w:val="0"/>
          <w:numId w:val="11"/>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Приказ от 08.12.2017 №533 о списании дебиторской задолженности;</w:t>
      </w:r>
    </w:p>
    <w:p w14:paraId="139D152A" w14:textId="090C0B26" w:rsidR="00EE7EC7" w:rsidRPr="00FB0A3A" w:rsidRDefault="00EE7EC7" w:rsidP="009B0BC1">
      <w:pPr>
        <w:pStyle w:val="a4"/>
        <w:numPr>
          <w:ilvl w:val="0"/>
          <w:numId w:val="11"/>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Приказ от 29.12.2017 №599 о списании дебиторской задолженности;</w:t>
      </w:r>
    </w:p>
    <w:p w14:paraId="4DF41689" w14:textId="4CA9F810" w:rsidR="004338C0" w:rsidRPr="00FB0A3A" w:rsidRDefault="004338C0" w:rsidP="009B0BC1">
      <w:pPr>
        <w:pStyle w:val="a4"/>
        <w:numPr>
          <w:ilvl w:val="0"/>
          <w:numId w:val="11"/>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Приказ от 28.02.2018 №95 о списании задолженности;</w:t>
      </w:r>
    </w:p>
    <w:p w14:paraId="2F9E642A" w14:textId="50E800F1" w:rsidR="00BB57BB" w:rsidRPr="00FB0A3A" w:rsidRDefault="00BB57BB" w:rsidP="009B0BC1">
      <w:pPr>
        <w:pStyle w:val="a4"/>
        <w:numPr>
          <w:ilvl w:val="0"/>
          <w:numId w:val="11"/>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lastRenderedPageBreak/>
        <w:t>Приказ от 28.03.2018 №145 о списании задолженности;</w:t>
      </w:r>
    </w:p>
    <w:p w14:paraId="479AC814" w14:textId="0416F5F9" w:rsidR="004338C0" w:rsidRPr="00FB0A3A" w:rsidRDefault="004338C0" w:rsidP="009B0BC1">
      <w:pPr>
        <w:pStyle w:val="a4"/>
        <w:numPr>
          <w:ilvl w:val="0"/>
          <w:numId w:val="11"/>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Приказ от 28.04.2018 №209 о списании задолженности;</w:t>
      </w:r>
    </w:p>
    <w:p w14:paraId="75559ACF" w14:textId="7ADC2D81" w:rsidR="007B33A0" w:rsidRPr="00FB0A3A" w:rsidRDefault="00507677" w:rsidP="009B0BC1">
      <w:pPr>
        <w:pStyle w:val="a4"/>
        <w:numPr>
          <w:ilvl w:val="0"/>
          <w:numId w:val="11"/>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 xml:space="preserve">Анализ счета 91.02 </w:t>
      </w:r>
      <w:r w:rsidR="00655FFA" w:rsidRPr="00FB0A3A">
        <w:rPr>
          <w:rFonts w:ascii="Myriad Pro" w:hAnsi="Myriad Pro"/>
          <w:sz w:val="26"/>
          <w:szCs w:val="26"/>
        </w:rPr>
        <w:t>«</w:t>
      </w:r>
      <w:r w:rsidRPr="00FB0A3A">
        <w:rPr>
          <w:rFonts w:ascii="Myriad Pro" w:hAnsi="Myriad Pro"/>
          <w:sz w:val="26"/>
          <w:szCs w:val="26"/>
        </w:rPr>
        <w:t>Прочие расходы</w:t>
      </w:r>
      <w:r w:rsidR="00655FFA" w:rsidRPr="00FB0A3A">
        <w:rPr>
          <w:rFonts w:ascii="Myriad Pro" w:hAnsi="Myriad Pro"/>
          <w:sz w:val="26"/>
          <w:szCs w:val="26"/>
        </w:rPr>
        <w:t>»</w:t>
      </w:r>
      <w:r w:rsidRPr="00FB0A3A">
        <w:rPr>
          <w:rFonts w:ascii="Myriad Pro" w:hAnsi="Myriad Pro"/>
          <w:sz w:val="26"/>
          <w:szCs w:val="26"/>
        </w:rPr>
        <w:t xml:space="preserve"> </w:t>
      </w:r>
      <w:r w:rsidR="00655FFA" w:rsidRPr="00FB0A3A">
        <w:rPr>
          <w:rFonts w:ascii="Myriad Pro" w:hAnsi="Myriad Pro"/>
          <w:sz w:val="26"/>
          <w:szCs w:val="26"/>
        </w:rPr>
        <w:t>«</w:t>
      </w:r>
      <w:r w:rsidRPr="00FB0A3A">
        <w:rPr>
          <w:rFonts w:ascii="Myriad Pro" w:hAnsi="Myriad Pro"/>
          <w:sz w:val="26"/>
          <w:szCs w:val="26"/>
        </w:rPr>
        <w:t>Расходы в виде списанной дебиторской задолженности, по которой истек срок исковой давности</w:t>
      </w:r>
      <w:r w:rsidR="00655FFA" w:rsidRPr="00FB0A3A">
        <w:rPr>
          <w:rFonts w:ascii="Myriad Pro" w:hAnsi="Myriad Pro"/>
          <w:sz w:val="26"/>
          <w:szCs w:val="26"/>
        </w:rPr>
        <w:t>»</w:t>
      </w:r>
      <w:r w:rsidRPr="00FB0A3A">
        <w:rPr>
          <w:rFonts w:ascii="Myriad Pro" w:hAnsi="Myriad Pro"/>
          <w:sz w:val="26"/>
          <w:szCs w:val="26"/>
        </w:rPr>
        <w:t xml:space="preserve"> за 2017 год;</w:t>
      </w:r>
    </w:p>
    <w:p w14:paraId="4810407B" w14:textId="11ABD257" w:rsidR="00507677" w:rsidRPr="00FB0A3A" w:rsidRDefault="00507677" w:rsidP="009B0BC1">
      <w:pPr>
        <w:pStyle w:val="a4"/>
        <w:numPr>
          <w:ilvl w:val="0"/>
          <w:numId w:val="11"/>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 xml:space="preserve">Анализ счета 91.02 </w:t>
      </w:r>
      <w:r w:rsidR="00655FFA" w:rsidRPr="00FB0A3A">
        <w:rPr>
          <w:rFonts w:ascii="Myriad Pro" w:hAnsi="Myriad Pro"/>
          <w:sz w:val="26"/>
          <w:szCs w:val="26"/>
        </w:rPr>
        <w:t>«</w:t>
      </w:r>
      <w:r w:rsidRPr="00FB0A3A">
        <w:rPr>
          <w:rFonts w:ascii="Myriad Pro" w:hAnsi="Myriad Pro"/>
          <w:sz w:val="26"/>
          <w:szCs w:val="26"/>
        </w:rPr>
        <w:t>Прочие расходы</w:t>
      </w:r>
      <w:r w:rsidR="00655FFA" w:rsidRPr="00FB0A3A">
        <w:rPr>
          <w:rFonts w:ascii="Myriad Pro" w:hAnsi="Myriad Pro"/>
          <w:sz w:val="26"/>
          <w:szCs w:val="26"/>
        </w:rPr>
        <w:t>»</w:t>
      </w:r>
      <w:r w:rsidRPr="00FB0A3A">
        <w:rPr>
          <w:rFonts w:ascii="Myriad Pro" w:hAnsi="Myriad Pro"/>
          <w:sz w:val="26"/>
          <w:szCs w:val="26"/>
        </w:rPr>
        <w:t xml:space="preserve"> </w:t>
      </w:r>
      <w:r w:rsidR="00655FFA" w:rsidRPr="00FB0A3A">
        <w:rPr>
          <w:rFonts w:ascii="Myriad Pro" w:hAnsi="Myriad Pro"/>
          <w:sz w:val="26"/>
          <w:szCs w:val="26"/>
        </w:rPr>
        <w:t>«</w:t>
      </w:r>
      <w:r w:rsidRPr="00FB0A3A">
        <w:rPr>
          <w:rFonts w:ascii="Myriad Pro" w:hAnsi="Myriad Pro"/>
          <w:sz w:val="26"/>
          <w:szCs w:val="26"/>
        </w:rPr>
        <w:t>Расходы в виде отчислений в резерв по сомнительным долгам</w:t>
      </w:r>
      <w:r w:rsidR="00655FFA" w:rsidRPr="00FB0A3A">
        <w:rPr>
          <w:rFonts w:ascii="Myriad Pro" w:hAnsi="Myriad Pro"/>
          <w:sz w:val="26"/>
          <w:szCs w:val="26"/>
        </w:rPr>
        <w:t>»</w:t>
      </w:r>
      <w:r w:rsidRPr="00FB0A3A">
        <w:rPr>
          <w:rFonts w:ascii="Myriad Pro" w:hAnsi="Myriad Pro"/>
          <w:sz w:val="26"/>
          <w:szCs w:val="26"/>
        </w:rPr>
        <w:t xml:space="preserve"> за 2017 год;</w:t>
      </w:r>
    </w:p>
    <w:p w14:paraId="44297815" w14:textId="6DF150D3" w:rsidR="00F4464D" w:rsidRPr="00FB0A3A" w:rsidRDefault="00F4464D" w:rsidP="009B0BC1">
      <w:pPr>
        <w:pStyle w:val="a4"/>
        <w:numPr>
          <w:ilvl w:val="0"/>
          <w:numId w:val="11"/>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 xml:space="preserve">Анализ счета 91.02 </w:t>
      </w:r>
      <w:r w:rsidR="00655FFA" w:rsidRPr="00FB0A3A">
        <w:rPr>
          <w:rFonts w:ascii="Myriad Pro" w:hAnsi="Myriad Pro"/>
          <w:sz w:val="26"/>
          <w:szCs w:val="26"/>
        </w:rPr>
        <w:t>«</w:t>
      </w:r>
      <w:r w:rsidRPr="00FB0A3A">
        <w:rPr>
          <w:rFonts w:ascii="Myriad Pro" w:hAnsi="Myriad Pro"/>
          <w:sz w:val="26"/>
          <w:szCs w:val="26"/>
        </w:rPr>
        <w:t>Прочие расходы</w:t>
      </w:r>
      <w:r w:rsidR="00655FFA" w:rsidRPr="00FB0A3A">
        <w:rPr>
          <w:rFonts w:ascii="Myriad Pro" w:hAnsi="Myriad Pro"/>
          <w:sz w:val="26"/>
          <w:szCs w:val="26"/>
        </w:rPr>
        <w:t>»</w:t>
      </w:r>
      <w:r w:rsidRPr="00FB0A3A">
        <w:rPr>
          <w:rFonts w:ascii="Myriad Pro" w:hAnsi="Myriad Pro"/>
          <w:sz w:val="26"/>
          <w:szCs w:val="26"/>
        </w:rPr>
        <w:t xml:space="preserve"> </w:t>
      </w:r>
      <w:r w:rsidR="00655FFA" w:rsidRPr="00FB0A3A">
        <w:rPr>
          <w:rFonts w:ascii="Myriad Pro" w:hAnsi="Myriad Pro"/>
          <w:sz w:val="26"/>
          <w:szCs w:val="26"/>
        </w:rPr>
        <w:t>«</w:t>
      </w:r>
      <w:r w:rsidRPr="00FB0A3A">
        <w:rPr>
          <w:rFonts w:ascii="Myriad Pro" w:hAnsi="Myriad Pro"/>
          <w:sz w:val="26"/>
          <w:szCs w:val="26"/>
        </w:rPr>
        <w:t>Расходы в виде списанной дебиторской задолженности, по которым истек срок исковой давности</w:t>
      </w:r>
      <w:r w:rsidR="00655FFA" w:rsidRPr="00FB0A3A">
        <w:rPr>
          <w:rFonts w:ascii="Myriad Pro" w:hAnsi="Myriad Pro"/>
          <w:sz w:val="26"/>
          <w:szCs w:val="26"/>
        </w:rPr>
        <w:t>»</w:t>
      </w:r>
      <w:r w:rsidRPr="00FB0A3A">
        <w:rPr>
          <w:rFonts w:ascii="Myriad Pro" w:hAnsi="Myriad Pro"/>
          <w:sz w:val="26"/>
          <w:szCs w:val="26"/>
        </w:rPr>
        <w:t xml:space="preserve"> за 2017 год;</w:t>
      </w:r>
    </w:p>
    <w:p w14:paraId="60E3FBB1" w14:textId="7B5F4EEE" w:rsidR="00F4464D" w:rsidRPr="00FB0A3A" w:rsidRDefault="00F4464D" w:rsidP="009B0BC1">
      <w:pPr>
        <w:pStyle w:val="a4"/>
        <w:numPr>
          <w:ilvl w:val="0"/>
          <w:numId w:val="11"/>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Отчет по проводкам 91.02, 62.01.01. за 2017 год (списание задолженности на сумму 15 792,14 тыс. руб.);</w:t>
      </w:r>
    </w:p>
    <w:p w14:paraId="487D3ED4" w14:textId="447B41E6" w:rsidR="00507677" w:rsidRPr="00FB0A3A" w:rsidRDefault="00507677" w:rsidP="009B0BC1">
      <w:pPr>
        <w:pStyle w:val="a4"/>
        <w:numPr>
          <w:ilvl w:val="0"/>
          <w:numId w:val="11"/>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 xml:space="preserve">Анализ счета </w:t>
      </w:r>
      <w:r w:rsidR="00655FFA" w:rsidRPr="00FB0A3A">
        <w:rPr>
          <w:rFonts w:ascii="Myriad Pro" w:hAnsi="Myriad Pro"/>
          <w:sz w:val="26"/>
          <w:szCs w:val="26"/>
        </w:rPr>
        <w:t>«</w:t>
      </w:r>
      <w:r w:rsidR="00CB1625" w:rsidRPr="00FB0A3A">
        <w:rPr>
          <w:rFonts w:ascii="Myriad Pro" w:hAnsi="Myriad Pro"/>
          <w:sz w:val="26"/>
          <w:szCs w:val="26"/>
        </w:rPr>
        <w:t>63</w:t>
      </w:r>
      <w:r w:rsidR="00655FFA" w:rsidRPr="00FB0A3A">
        <w:rPr>
          <w:rFonts w:ascii="Myriad Pro" w:hAnsi="Myriad Pro"/>
          <w:sz w:val="26"/>
          <w:szCs w:val="26"/>
        </w:rPr>
        <w:t>»</w:t>
      </w:r>
      <w:r w:rsidR="00CB1625" w:rsidRPr="00FB0A3A">
        <w:rPr>
          <w:rFonts w:ascii="Myriad Pro" w:hAnsi="Myriad Pro"/>
          <w:sz w:val="26"/>
          <w:szCs w:val="26"/>
        </w:rPr>
        <w:t xml:space="preserve"> </w:t>
      </w:r>
      <w:r w:rsidR="00655FFA" w:rsidRPr="00FB0A3A">
        <w:rPr>
          <w:rFonts w:ascii="Myriad Pro" w:hAnsi="Myriad Pro"/>
          <w:sz w:val="26"/>
          <w:szCs w:val="26"/>
        </w:rPr>
        <w:t>«</w:t>
      </w:r>
      <w:r w:rsidRPr="00FB0A3A">
        <w:rPr>
          <w:rFonts w:ascii="Myriad Pro" w:hAnsi="Myriad Pro"/>
          <w:sz w:val="26"/>
          <w:szCs w:val="26"/>
        </w:rPr>
        <w:t>Резерв по сомнительным долгам</w:t>
      </w:r>
      <w:r w:rsidR="00655FFA" w:rsidRPr="00FB0A3A">
        <w:rPr>
          <w:rFonts w:ascii="Myriad Pro" w:hAnsi="Myriad Pro"/>
          <w:sz w:val="26"/>
          <w:szCs w:val="26"/>
        </w:rPr>
        <w:t>»</w:t>
      </w:r>
      <w:r w:rsidRPr="00FB0A3A">
        <w:rPr>
          <w:rFonts w:ascii="Myriad Pro" w:hAnsi="Myriad Pro"/>
          <w:sz w:val="26"/>
          <w:szCs w:val="26"/>
        </w:rPr>
        <w:t xml:space="preserve"> за 2017 год;</w:t>
      </w:r>
    </w:p>
    <w:p w14:paraId="43E49467" w14:textId="77777777" w:rsidR="00F67F79" w:rsidRPr="00FB0A3A" w:rsidRDefault="00F67F79" w:rsidP="009B0BC1">
      <w:pPr>
        <w:pStyle w:val="a4"/>
        <w:numPr>
          <w:ilvl w:val="0"/>
          <w:numId w:val="11"/>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Отчет о наличии дебиторской задолженности (задолженность по срокам возникновения) (физлица);</w:t>
      </w:r>
    </w:p>
    <w:p w14:paraId="2D6595E7" w14:textId="6BF6DC26" w:rsidR="00F67F79" w:rsidRPr="00FB0A3A" w:rsidRDefault="00F67F79" w:rsidP="009B0BC1">
      <w:pPr>
        <w:pStyle w:val="a4"/>
        <w:numPr>
          <w:ilvl w:val="0"/>
          <w:numId w:val="11"/>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 xml:space="preserve"> Отчет о наличии дебиторской задолженности (задолженность по срокам возникновения) (юрлица);</w:t>
      </w:r>
    </w:p>
    <w:p w14:paraId="13384B0E" w14:textId="2CA8DED7" w:rsidR="00507677" w:rsidRPr="00FB0A3A" w:rsidRDefault="00D30EF3" w:rsidP="009B0BC1">
      <w:pPr>
        <w:pStyle w:val="a4"/>
        <w:numPr>
          <w:ilvl w:val="0"/>
          <w:numId w:val="11"/>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Движение резервов по сомнительным долгам по сбытовой деятельности за 2017-2018 гг.</w:t>
      </w:r>
    </w:p>
    <w:p w14:paraId="7300538B" w14:textId="1E72310F" w:rsidR="008C068E" w:rsidRPr="00FB0A3A" w:rsidRDefault="008C068E" w:rsidP="00A31747">
      <w:pPr>
        <w:tabs>
          <w:tab w:val="left" w:pos="1134"/>
        </w:tabs>
        <w:spacing w:after="0" w:line="360" w:lineRule="auto"/>
        <w:ind w:firstLine="567"/>
        <w:contextualSpacing/>
        <w:jc w:val="both"/>
        <w:rPr>
          <w:rFonts w:ascii="Myriad Pro" w:eastAsia="Calibri" w:hAnsi="Myriad Pro" w:cs="Times New Roman"/>
          <w:sz w:val="26"/>
          <w:szCs w:val="26"/>
        </w:rPr>
      </w:pPr>
    </w:p>
    <w:p w14:paraId="0BCFB5D1" w14:textId="77777777" w:rsidR="00AF5157" w:rsidRPr="00FB0A3A" w:rsidRDefault="00AF5157" w:rsidP="005F3224">
      <w:pPr>
        <w:tabs>
          <w:tab w:val="left" w:pos="1134"/>
        </w:tabs>
        <w:spacing w:after="0" w:line="360" w:lineRule="auto"/>
        <w:contextualSpacing/>
        <w:jc w:val="both"/>
        <w:rPr>
          <w:rFonts w:ascii="Myriad Pro" w:eastAsia="Calibri" w:hAnsi="Myriad Pro" w:cs="Times New Roman"/>
          <w:b/>
          <w:sz w:val="26"/>
          <w:szCs w:val="26"/>
        </w:rPr>
      </w:pPr>
      <w:r w:rsidRPr="00FB0A3A">
        <w:rPr>
          <w:rFonts w:ascii="Myriad Pro" w:eastAsia="Calibri" w:hAnsi="Myriad Pro" w:cs="Times New Roman"/>
          <w:b/>
          <w:sz w:val="26"/>
          <w:szCs w:val="26"/>
        </w:rPr>
        <w:t>ПОЗИЦИЯ ОРГАНА РЕГУЛИРОВАНИЯ</w:t>
      </w:r>
    </w:p>
    <w:p w14:paraId="3A7EC833" w14:textId="4D10E2DC" w:rsidR="00AF5157" w:rsidRPr="00FB0A3A" w:rsidRDefault="00AF5157"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Предложение Филиала по включению расходов по созданию резервов по сомнительным долгам и списанию безнадежной задолженности по осуществлению сбытовой деятельности составит 1 300 482,54 тыс. руб.</w:t>
      </w:r>
    </w:p>
    <w:p w14:paraId="08E179B2" w14:textId="1F71F82D" w:rsidR="00AF5157" w:rsidRPr="00FB0A3A" w:rsidRDefault="00AF5157"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Комитетом расходы приняты частично в размере 1 232 381,37 тыс. руб. в соответствии с пунктом 48</w:t>
      </w:r>
      <w:r w:rsidR="00A72A59" w:rsidRPr="00FB0A3A">
        <w:rPr>
          <w:rFonts w:ascii="Myriad Pro" w:eastAsia="Calibri" w:hAnsi="Myriad Pro" w:cs="Times New Roman"/>
          <w:sz w:val="26"/>
          <w:szCs w:val="26"/>
        </w:rPr>
        <w:t xml:space="preserve"> Методических указаний 20-э/2 (отражено в протоколе</w:t>
      </w:r>
      <w:r w:rsidRPr="00FB0A3A">
        <w:rPr>
          <w:rFonts w:ascii="Myriad Pro" w:eastAsia="Calibri" w:hAnsi="Myriad Pro" w:cs="Times New Roman"/>
          <w:sz w:val="26"/>
          <w:szCs w:val="26"/>
        </w:rPr>
        <w:t xml:space="preserve"> от 28.12.201</w:t>
      </w:r>
      <w:r w:rsidR="00A72A59" w:rsidRPr="00FB0A3A">
        <w:rPr>
          <w:rFonts w:ascii="Myriad Pro" w:eastAsia="Calibri" w:hAnsi="Myriad Pro" w:cs="Times New Roman"/>
          <w:sz w:val="26"/>
          <w:szCs w:val="26"/>
        </w:rPr>
        <w:t>8</w:t>
      </w:r>
      <w:r w:rsidRPr="00FB0A3A">
        <w:rPr>
          <w:rFonts w:ascii="Myriad Pro" w:eastAsia="Calibri" w:hAnsi="Myriad Pro" w:cs="Times New Roman"/>
          <w:sz w:val="26"/>
          <w:szCs w:val="26"/>
        </w:rPr>
        <w:t>г.)</w:t>
      </w:r>
    </w:p>
    <w:p w14:paraId="12B42DB1" w14:textId="70EC5C5E" w:rsidR="00AF5157" w:rsidRPr="00FB0A3A" w:rsidRDefault="00A72A59"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После изучения особого мнения и доп. материалов, представленных Филиалом</w:t>
      </w:r>
      <w:r w:rsidR="00647E6F" w:rsidRPr="00FB0A3A">
        <w:rPr>
          <w:rFonts w:ascii="Myriad Pro" w:eastAsia="Calibri" w:hAnsi="Myriad Pro" w:cs="Times New Roman"/>
          <w:sz w:val="26"/>
          <w:szCs w:val="26"/>
        </w:rPr>
        <w:t>,</w:t>
      </w:r>
      <w:r w:rsidRPr="00FB0A3A">
        <w:rPr>
          <w:rFonts w:ascii="Myriad Pro" w:eastAsia="Calibri" w:hAnsi="Myriad Pro" w:cs="Times New Roman"/>
          <w:sz w:val="26"/>
          <w:szCs w:val="26"/>
        </w:rPr>
        <w:t xml:space="preserve"> </w:t>
      </w:r>
      <w:r w:rsidR="00AF5157" w:rsidRPr="00FB0A3A">
        <w:rPr>
          <w:rFonts w:ascii="Myriad Pro" w:eastAsia="Calibri" w:hAnsi="Myriad Pro" w:cs="Times New Roman"/>
          <w:sz w:val="26"/>
          <w:szCs w:val="26"/>
        </w:rPr>
        <w:t>Комитетом расходы приняты частично в размере 772 263,34 тыс. руб.</w:t>
      </w:r>
      <w:r w:rsidRPr="00FB0A3A">
        <w:rPr>
          <w:rFonts w:ascii="Myriad Pro" w:eastAsia="Calibri" w:hAnsi="Myriad Pro" w:cs="Times New Roman"/>
          <w:sz w:val="26"/>
          <w:szCs w:val="26"/>
        </w:rPr>
        <w:t xml:space="preserve"> </w:t>
      </w:r>
      <w:r w:rsidR="00AF5157" w:rsidRPr="00FB0A3A">
        <w:rPr>
          <w:rFonts w:ascii="Myriad Pro" w:eastAsia="Calibri" w:hAnsi="Myriad Pro" w:cs="Times New Roman"/>
          <w:sz w:val="26"/>
          <w:szCs w:val="26"/>
        </w:rPr>
        <w:t>(</w:t>
      </w:r>
      <w:r w:rsidRPr="00FB0A3A">
        <w:rPr>
          <w:rFonts w:ascii="Myriad Pro" w:eastAsia="Calibri" w:hAnsi="Myriad Pro" w:cs="Times New Roman"/>
          <w:sz w:val="26"/>
          <w:szCs w:val="26"/>
        </w:rPr>
        <w:t>отражено в протоколе от 29.12.2018г.)</w:t>
      </w:r>
      <w:r w:rsidR="00AF5157" w:rsidRPr="00FB0A3A">
        <w:rPr>
          <w:rFonts w:ascii="Myriad Pro" w:eastAsia="Calibri" w:hAnsi="Myriad Pro" w:cs="Times New Roman"/>
          <w:sz w:val="26"/>
          <w:szCs w:val="26"/>
        </w:rPr>
        <w:t>.</w:t>
      </w:r>
    </w:p>
    <w:p w14:paraId="69FB8424" w14:textId="77777777" w:rsidR="00AF5157" w:rsidRPr="00FB0A3A" w:rsidRDefault="00AF5157" w:rsidP="00A31747">
      <w:pPr>
        <w:tabs>
          <w:tab w:val="left" w:pos="1134"/>
        </w:tabs>
        <w:spacing w:after="0" w:line="360" w:lineRule="auto"/>
        <w:ind w:firstLine="567"/>
        <w:contextualSpacing/>
        <w:jc w:val="both"/>
        <w:rPr>
          <w:rFonts w:ascii="Myriad Pro" w:eastAsia="Calibri" w:hAnsi="Myriad Pro" w:cs="Times New Roman"/>
          <w:b/>
          <w:sz w:val="26"/>
          <w:szCs w:val="26"/>
        </w:rPr>
      </w:pPr>
    </w:p>
    <w:p w14:paraId="1DD0DE6C" w14:textId="2CD32BFD" w:rsidR="00AF5157" w:rsidRPr="00FB0A3A" w:rsidRDefault="00AF5157" w:rsidP="005F3224">
      <w:pPr>
        <w:tabs>
          <w:tab w:val="left" w:pos="1134"/>
        </w:tabs>
        <w:spacing w:after="0" w:line="360" w:lineRule="auto"/>
        <w:contextualSpacing/>
        <w:jc w:val="both"/>
        <w:rPr>
          <w:rFonts w:ascii="Myriad Pro" w:eastAsia="Calibri" w:hAnsi="Myriad Pro" w:cs="Times New Roman"/>
          <w:sz w:val="26"/>
          <w:szCs w:val="26"/>
        </w:rPr>
      </w:pPr>
      <w:r w:rsidRPr="00FB0A3A">
        <w:rPr>
          <w:rFonts w:ascii="Myriad Pro" w:eastAsia="Calibri" w:hAnsi="Myriad Pro" w:cs="Times New Roman"/>
          <w:b/>
          <w:sz w:val="26"/>
          <w:szCs w:val="26"/>
        </w:rPr>
        <w:lastRenderedPageBreak/>
        <w:t>ПОЗИЦИЯ ИСПОЛНИТЕЛЯ</w:t>
      </w:r>
    </w:p>
    <w:p w14:paraId="02609EDA" w14:textId="77777777" w:rsidR="00AF5157" w:rsidRPr="00FB0A3A" w:rsidRDefault="00AF5157"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В соответствии с пунктом 70 Положения по ведению бухгалтерского учета и бухгалтерской отчетности в Российской Федерации, утвержденного приказом Министерства финансов Российской Федерации от 29.07.1998 № 34н, организация создает резервы сомнительных долгов в случае признания дебиторской задолженности сомнительной с отнесением сумм резервов на финансовые результаты организации.</w:t>
      </w:r>
    </w:p>
    <w:p w14:paraId="12AD9E18" w14:textId="77777777" w:rsidR="00AF5157" w:rsidRPr="00FB0A3A" w:rsidRDefault="00AF5157"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Сомнительной считается дебиторская задолженность организации, которая не погашена или с высокой степенью вероятности не будет погашена в сроки, установленные договором, и не обеспечена соответствующими гарантиями.</w:t>
      </w:r>
    </w:p>
    <w:p w14:paraId="7D080446" w14:textId="77777777" w:rsidR="00AF5157" w:rsidRPr="00FB0A3A" w:rsidRDefault="00AF5157"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Величина резерва определяется отдельно по каждому сомнительному долгу в зависимости от финансового состояния (платежеспособности) должника и оценки вероятности погашения долга полностью или частично.</w:t>
      </w:r>
    </w:p>
    <w:p w14:paraId="373647B4" w14:textId="664A4125" w:rsidR="00AF5157" w:rsidRPr="00FB0A3A" w:rsidRDefault="00AF5157"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 xml:space="preserve">Пунктом 77 названного Положения предусмотрено, что дебиторская задолженность, по которой срок исковой давности истек, другие долги, нереальные для взыскания, списываются по каждому обязательству на основании данных проведенной инвентаризации, письменного обоснования и приказа (распоряжения) руководителя организации и относятся соответственно на счет средств резерва сомнительных долгов либо на финансовые результаты у коммерческой организации, если в период, предшествующий отчетному, суммы этих долгов не резервировались в порядке, предусмотренном пунктом 70 </w:t>
      </w:r>
      <w:r w:rsidR="00647E6F" w:rsidRPr="00FB0A3A">
        <w:rPr>
          <w:rFonts w:ascii="Myriad Pro" w:eastAsia="Calibri" w:hAnsi="Myriad Pro" w:cs="Times New Roman"/>
          <w:sz w:val="26"/>
          <w:szCs w:val="26"/>
        </w:rPr>
        <w:t xml:space="preserve">названного </w:t>
      </w:r>
      <w:r w:rsidRPr="00FB0A3A">
        <w:rPr>
          <w:rFonts w:ascii="Myriad Pro" w:eastAsia="Calibri" w:hAnsi="Myriad Pro" w:cs="Times New Roman"/>
          <w:sz w:val="26"/>
          <w:szCs w:val="26"/>
        </w:rPr>
        <w:t>Положения, или на увеличение расходов у некоммерческой организации.</w:t>
      </w:r>
    </w:p>
    <w:p w14:paraId="534A5E1C" w14:textId="49B227D2" w:rsidR="00F1403E" w:rsidRPr="00FB0A3A" w:rsidRDefault="00AF5157"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Понятие сомнительных и безнадежных долгов содержится в статье </w:t>
      </w:r>
      <w:hyperlink r:id="rId87" w:tgtFrame="_blank" w:tooltip="НК РФ &gt;  Раздел VIII. Федеральные налоги &gt; Глава 25. Налог на прибыль организаций &gt; Статья 266. Расходы на формирование резервов по сомнительным долгам" w:history="1">
        <w:r w:rsidRPr="00FB0A3A">
          <w:rPr>
            <w:rFonts w:ascii="Myriad Pro" w:eastAsia="Calibri" w:hAnsi="Myriad Pro" w:cs="Times New Roman"/>
            <w:sz w:val="26"/>
            <w:szCs w:val="26"/>
          </w:rPr>
          <w:t>266</w:t>
        </w:r>
      </w:hyperlink>
      <w:r w:rsidRPr="00FB0A3A">
        <w:rPr>
          <w:rFonts w:ascii="Myriad Pro" w:eastAsia="Calibri" w:hAnsi="Myriad Pro" w:cs="Times New Roman"/>
          <w:sz w:val="26"/>
          <w:szCs w:val="26"/>
        </w:rPr>
        <w:t xml:space="preserve"> Налогового кодекса Российской Федерации. Сомнительным долгом признается любая задолженность перед налогоплательщиком, возникшая в связи с реализацией товаров, выполнением работ, оказанием услуг, в случае если эта задолженность не погашена в сроки, установленные договором, и не обеспечена залогом, поручительством, банковской гарантией (часть 1). Безнадежными долгами (долгами, нереальными ко взысканию) признаются те долги перед налогоплательщиком, по которым истек установленный срок исковой давности, а </w:t>
      </w:r>
      <w:r w:rsidRPr="00FB0A3A">
        <w:rPr>
          <w:rFonts w:ascii="Myriad Pro" w:eastAsia="Calibri" w:hAnsi="Myriad Pro" w:cs="Times New Roman"/>
          <w:sz w:val="26"/>
          <w:szCs w:val="26"/>
        </w:rPr>
        <w:lastRenderedPageBreak/>
        <w:t>также те долги, по которым в соответствии с гражданским законодательством обязательство прекращено вследствие невозможности его исполнения, на основании акта государственного орг</w:t>
      </w:r>
      <w:r w:rsidR="00F1403E" w:rsidRPr="00FB0A3A">
        <w:rPr>
          <w:rFonts w:ascii="Myriad Pro" w:eastAsia="Calibri" w:hAnsi="Myriad Pro" w:cs="Times New Roman"/>
          <w:sz w:val="26"/>
          <w:szCs w:val="26"/>
        </w:rPr>
        <w:t>ана или ликвидации организации.</w:t>
      </w:r>
    </w:p>
    <w:p w14:paraId="561F831E" w14:textId="2B486991" w:rsidR="00AF5157" w:rsidRPr="00FB0A3A" w:rsidRDefault="00AF5157"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 xml:space="preserve">Безнадежными долгами (долгами, нереальными ко взысканию) также признаются долги, невозможность взыскания которых подтверждена постановлением судебного пристава-исполнителя об окончании исполнительного производства, вынесенным в порядке, установленном Федеральным законом от 02.10.2007 № 229-ФЗ </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Об исполнительном производстве</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 в случае возврата взыскателю исполнительного документа по следующим основаниям: невозможно установить место нахождения должника, его имущества либо получить сведения о наличии принадлежащих ему денежных средств и иных ценностей, находящихся на счетах, во вкладах или на хранении в банках или иных кредитных организациях; у должника отсутствует имущество, на которое может быть обращено взыскание, и все принятые судебным приставом-исполнителем допустимые законом меры по отысканию его имущества оказались безрезультатными (часть 2).</w:t>
      </w:r>
    </w:p>
    <w:p w14:paraId="7D43BD4C" w14:textId="021E0E84" w:rsidR="00AF5157" w:rsidRPr="00FB0A3A" w:rsidRDefault="00AF5157"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В соответствии с частями 4 и 5 статьи </w:t>
      </w:r>
      <w:hyperlink r:id="rId88" w:tgtFrame="_blank" w:tooltip="НК РФ &gt;  Раздел VIII. Федеральные налоги &gt; Глава 25. Налог на прибыль организаций &gt; Статья 266. Расходы на формирование резервов по сомнительным долгам" w:history="1">
        <w:r w:rsidRPr="00FB0A3A">
          <w:rPr>
            <w:rFonts w:ascii="Myriad Pro" w:eastAsia="Calibri" w:hAnsi="Myriad Pro" w:cs="Times New Roman"/>
            <w:sz w:val="26"/>
            <w:szCs w:val="26"/>
          </w:rPr>
          <w:t>266 НК РФ</w:t>
        </w:r>
      </w:hyperlink>
      <w:r w:rsidRPr="00FB0A3A">
        <w:rPr>
          <w:rFonts w:ascii="Myriad Pro" w:eastAsia="Calibri" w:hAnsi="Myriad Pro" w:cs="Times New Roman"/>
          <w:sz w:val="26"/>
          <w:szCs w:val="26"/>
        </w:rPr>
        <w:t> сумма резерва по сомнительным долгам определяется по результатам проведенной на последнее число отчетного (налогового) периода инвентаризации дебиторской задолженности. Резерв по сомнительным долгам используется организацией лишь на покрытие убытков от безнадежных долгов, признанных таковыми в порядке, установленном настоящей статьей.</w:t>
      </w:r>
    </w:p>
    <w:p w14:paraId="72B9A362" w14:textId="6731B30F" w:rsidR="00AF5157" w:rsidRPr="00FB0A3A" w:rsidRDefault="00AF5157"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Если до конца отчетного года, следующего за годом создания резерва сомнительных долгов, этот резерв в какой-либо части не будет использован, то неизрасходованные суммы присоединяются при составлении бухгалтерского баланса на конец отчетного года к финансовым результатам.</w:t>
      </w:r>
    </w:p>
    <w:p w14:paraId="5C913314" w14:textId="77777777" w:rsidR="00747079" w:rsidRPr="00FB0A3A" w:rsidRDefault="00AF5157"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 xml:space="preserve">В случае, если налогоплательщик принял решение о создании резерва по сомнительным долгам, списание долгов, признаваемых безнадежными в соответствии с настоящей статьей, осуществляется за счет суммы созданного резерва. В случае, если сумма созданного резерва меньше суммы безнадежных </w:t>
      </w:r>
      <w:r w:rsidRPr="00FB0A3A">
        <w:rPr>
          <w:rFonts w:ascii="Myriad Pro" w:eastAsia="Calibri" w:hAnsi="Myriad Pro" w:cs="Times New Roman"/>
          <w:sz w:val="26"/>
          <w:szCs w:val="26"/>
        </w:rPr>
        <w:lastRenderedPageBreak/>
        <w:t>долгов, подлежащих списанию, разница (убыток) подлежит включению в состав внереализационных расходов.</w:t>
      </w:r>
    </w:p>
    <w:p w14:paraId="3289F2BE" w14:textId="77777777" w:rsidR="0060170E" w:rsidRPr="00FB0A3A" w:rsidRDefault="00747079"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 xml:space="preserve">Исходя из </w:t>
      </w:r>
      <w:r w:rsidR="00B469A9" w:rsidRPr="00FB0A3A">
        <w:rPr>
          <w:rFonts w:ascii="Myriad Pro" w:eastAsia="Calibri" w:hAnsi="Myriad Pro" w:cs="Times New Roman"/>
          <w:sz w:val="26"/>
          <w:szCs w:val="26"/>
        </w:rPr>
        <w:t>приведенных правовых норм, расходы на формирование резерва по сомнительным долгам могут быть заявлены как в плановом порядке в случае, если дебиторская задолженность не погашена или с высокой степенью вероятности не будет погашена в сроки, установленные договором, но не признана безнадежной, так и при корректировке НВВ по фактическим результатам деятельности регулируемой организации в предыдущем периоде регулирования в случае списания такой задолженности как безнадежной ко взысканию.</w:t>
      </w:r>
    </w:p>
    <w:p w14:paraId="16A9F200" w14:textId="2719D26D" w:rsidR="001A49C2" w:rsidRPr="00FB0A3A" w:rsidRDefault="00747079"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Исполнителем проанализированы документы</w:t>
      </w:r>
      <w:r w:rsidR="0060170E" w:rsidRPr="00FB0A3A">
        <w:rPr>
          <w:rFonts w:ascii="Myriad Pro" w:eastAsia="Calibri" w:hAnsi="Myriad Pro" w:cs="Times New Roman"/>
          <w:sz w:val="26"/>
          <w:szCs w:val="26"/>
        </w:rPr>
        <w:t>,</w:t>
      </w:r>
      <w:r w:rsidRPr="00FB0A3A">
        <w:rPr>
          <w:rFonts w:ascii="Myriad Pro" w:eastAsia="Calibri" w:hAnsi="Myriad Pro" w:cs="Times New Roman"/>
          <w:sz w:val="26"/>
          <w:szCs w:val="26"/>
        </w:rPr>
        <w:t xml:space="preserve"> предоставленные Филиалом. </w:t>
      </w:r>
    </w:p>
    <w:p w14:paraId="1C9B5963" w14:textId="34CFEAF4" w:rsidR="001A49C2" w:rsidRPr="00FB0A3A" w:rsidRDefault="001A49C2"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В соответствии с </w:t>
      </w:r>
      <w:hyperlink r:id="rId89" w:tgtFrame="_blank" w:history="1">
        <w:r w:rsidRPr="00FB0A3A">
          <w:rPr>
            <w:rFonts w:ascii="Myriad Pro" w:eastAsia="Calibri" w:hAnsi="Myriad Pro" w:cs="Times New Roman"/>
            <w:sz w:val="26"/>
            <w:szCs w:val="26"/>
          </w:rPr>
          <w:t xml:space="preserve">Приказом Минэнерго России </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О присвоении статуса гарантирующего поставщика территориальной сетевой организации</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 xml:space="preserve"> от 22 февраля 2013 года № 68</w:t>
        </w:r>
      </w:hyperlink>
      <w:r w:rsidRPr="00FB0A3A">
        <w:rPr>
          <w:rFonts w:ascii="Myriad Pro" w:eastAsia="Calibri" w:hAnsi="Myriad Pro" w:cs="Times New Roman"/>
          <w:sz w:val="26"/>
          <w:szCs w:val="26"/>
        </w:rPr>
        <w:t> </w:t>
      </w:r>
      <w:r w:rsidR="0025782C" w:rsidRPr="00FB0A3A">
        <w:rPr>
          <w:rFonts w:ascii="Myriad Pro" w:eastAsia="Calibri" w:hAnsi="Myriad Pro" w:cs="Times New Roman"/>
          <w:sz w:val="26"/>
          <w:szCs w:val="26"/>
        </w:rPr>
        <w:t>ПАО «МРСК</w:t>
      </w:r>
      <w:r w:rsidR="00597FD5" w:rsidRPr="00FB0A3A">
        <w:rPr>
          <w:rFonts w:ascii="Myriad Pro" w:eastAsia="Calibri" w:hAnsi="Myriad Pro" w:cs="Times New Roman"/>
          <w:sz w:val="26"/>
          <w:szCs w:val="26"/>
        </w:rPr>
        <w:t xml:space="preserve"> Северо-Запада</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 xml:space="preserve"> присвоен статус гарантирующего поставщика электроэнергии в Мурманской области. Для выполнения функций гарантирующего поставщика, в составе филиала </w:t>
      </w:r>
      <w:r w:rsidR="0025782C" w:rsidRPr="00FB0A3A">
        <w:rPr>
          <w:rFonts w:ascii="Myriad Pro" w:eastAsia="Calibri" w:hAnsi="Myriad Pro" w:cs="Times New Roman"/>
          <w:sz w:val="26"/>
          <w:szCs w:val="26"/>
        </w:rPr>
        <w:t>ПАО «МРСК</w:t>
      </w:r>
      <w:r w:rsidR="00597FD5" w:rsidRPr="00FB0A3A">
        <w:rPr>
          <w:rFonts w:ascii="Myriad Pro" w:eastAsia="Calibri" w:hAnsi="Myriad Pro" w:cs="Times New Roman"/>
          <w:sz w:val="26"/>
          <w:szCs w:val="26"/>
        </w:rPr>
        <w:t xml:space="preserve"> Северо-Запада</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 xml:space="preserve"> </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Колэнерго</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 xml:space="preserve"> создано производственное отделение Энергосбыт.</w:t>
      </w:r>
    </w:p>
    <w:p w14:paraId="7DCED4DE" w14:textId="5175E2E4" w:rsidR="001A49C2" w:rsidRPr="00FB0A3A" w:rsidRDefault="001A49C2"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Приказом Минэнерго РФ от 18 ноября 2014 г. №843 был определён победитель конкурса на присвоение статуса гарантирующего поставщика электроэнергии на территории М</w:t>
      </w:r>
      <w:r w:rsidR="00057572" w:rsidRPr="00FB0A3A">
        <w:rPr>
          <w:rFonts w:ascii="Myriad Pro" w:eastAsia="Calibri" w:hAnsi="Myriad Pro" w:cs="Times New Roman"/>
          <w:sz w:val="26"/>
          <w:szCs w:val="26"/>
        </w:rPr>
        <w:t>урманской области. Им стало ОАО</w:t>
      </w:r>
      <w:r w:rsidR="008A1FE3">
        <w:rPr>
          <w:rFonts w:ascii="Myriad Pro" w:eastAsia="Calibri" w:hAnsi="Myriad Pro" w:cs="Times New Roman"/>
          <w:sz w:val="26"/>
          <w:szCs w:val="26"/>
        </w:rPr>
        <w:t> </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Атомэнергосбыт</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 xml:space="preserve"> – энергосбытовая компания предприятий Государственной корпорации по атомной энергии </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Росатом</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 xml:space="preserve">, входящая в состав ОАО </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Концерн Росэнергоатом</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w:t>
      </w:r>
    </w:p>
    <w:p w14:paraId="42E5794C" w14:textId="5E23041D" w:rsidR="001A49C2" w:rsidRPr="00FB0A3A" w:rsidRDefault="00057572"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 xml:space="preserve">Приказ №14 </w:t>
      </w:r>
      <w:r w:rsidR="001A49C2" w:rsidRPr="00FB0A3A">
        <w:rPr>
          <w:rFonts w:ascii="Myriad Pro" w:eastAsia="Calibri" w:hAnsi="Myriad Pro" w:cs="Times New Roman"/>
          <w:sz w:val="26"/>
          <w:szCs w:val="26"/>
        </w:rPr>
        <w:t xml:space="preserve">о присвоении статуса </w:t>
      </w:r>
      <w:r w:rsidR="00647E6F" w:rsidRPr="00FB0A3A">
        <w:rPr>
          <w:rFonts w:ascii="Myriad Pro" w:eastAsia="Calibri" w:hAnsi="Myriad Pro" w:cs="Times New Roman"/>
          <w:sz w:val="26"/>
          <w:szCs w:val="26"/>
        </w:rPr>
        <w:t xml:space="preserve">гарантирующего </w:t>
      </w:r>
      <w:r w:rsidR="00164398" w:rsidRPr="00FB0A3A">
        <w:rPr>
          <w:rFonts w:ascii="Myriad Pro" w:eastAsia="Calibri" w:hAnsi="Myriad Pro" w:cs="Times New Roman"/>
          <w:sz w:val="26"/>
          <w:szCs w:val="26"/>
        </w:rPr>
        <w:t>поставщика ОАО</w:t>
      </w:r>
      <w:r w:rsidR="00647E6F" w:rsidRPr="00FB0A3A">
        <w:rPr>
          <w:rFonts w:ascii="Myriad Pro" w:eastAsia="Calibri" w:hAnsi="Myriad Pro" w:cs="Times New Roman"/>
          <w:sz w:val="26"/>
          <w:szCs w:val="26"/>
        </w:rPr>
        <w:t> </w:t>
      </w:r>
      <w:r w:rsidR="00655FFA" w:rsidRPr="00FB0A3A">
        <w:rPr>
          <w:rFonts w:ascii="Myriad Pro" w:eastAsia="Calibri" w:hAnsi="Myriad Pro" w:cs="Times New Roman"/>
          <w:sz w:val="26"/>
          <w:szCs w:val="26"/>
        </w:rPr>
        <w:t>«</w:t>
      </w:r>
      <w:r w:rsidR="001A49C2" w:rsidRPr="00FB0A3A">
        <w:rPr>
          <w:rFonts w:ascii="Myriad Pro" w:eastAsia="Calibri" w:hAnsi="Myriad Pro" w:cs="Times New Roman"/>
          <w:sz w:val="26"/>
          <w:szCs w:val="26"/>
        </w:rPr>
        <w:t>Атомнергосбыт</w:t>
      </w:r>
      <w:r w:rsidR="00655FFA" w:rsidRPr="00FB0A3A">
        <w:rPr>
          <w:rFonts w:ascii="Myriad Pro" w:eastAsia="Calibri" w:hAnsi="Myriad Pro" w:cs="Times New Roman"/>
          <w:sz w:val="26"/>
          <w:szCs w:val="26"/>
        </w:rPr>
        <w:t>»</w:t>
      </w:r>
      <w:r w:rsidR="001A49C2" w:rsidRPr="00FB0A3A">
        <w:rPr>
          <w:rFonts w:ascii="Myriad Pro" w:eastAsia="Calibri" w:hAnsi="Myriad Pro" w:cs="Times New Roman"/>
          <w:sz w:val="26"/>
          <w:szCs w:val="26"/>
        </w:rPr>
        <w:t xml:space="preserve"> был датирован 23 января 2</w:t>
      </w:r>
      <w:r w:rsidR="00220E41" w:rsidRPr="00FB0A3A">
        <w:rPr>
          <w:rFonts w:ascii="Myriad Pro" w:eastAsia="Calibri" w:hAnsi="Myriad Pro" w:cs="Times New Roman"/>
          <w:sz w:val="26"/>
          <w:szCs w:val="26"/>
        </w:rPr>
        <w:t>015 года</w:t>
      </w:r>
      <w:r w:rsidR="001A49C2" w:rsidRPr="00FB0A3A">
        <w:rPr>
          <w:rFonts w:ascii="Myriad Pro" w:eastAsia="Calibri" w:hAnsi="Myriad Pro" w:cs="Times New Roman"/>
          <w:sz w:val="26"/>
          <w:szCs w:val="26"/>
        </w:rPr>
        <w:t>. Согласно документу</w:t>
      </w:r>
      <w:r w:rsidR="00220E41" w:rsidRPr="00FB0A3A">
        <w:rPr>
          <w:rFonts w:ascii="Myriad Pro" w:eastAsia="Calibri" w:hAnsi="Myriad Pro" w:cs="Times New Roman"/>
          <w:sz w:val="26"/>
          <w:szCs w:val="26"/>
        </w:rPr>
        <w:t>,</w:t>
      </w:r>
      <w:r w:rsidR="001A49C2" w:rsidRPr="00FB0A3A">
        <w:rPr>
          <w:rFonts w:ascii="Myriad Pro" w:eastAsia="Calibri" w:hAnsi="Myriad Pro" w:cs="Times New Roman"/>
          <w:sz w:val="26"/>
          <w:szCs w:val="26"/>
        </w:rPr>
        <w:t xml:space="preserve"> статус гарантирующего поставщика был передан от </w:t>
      </w:r>
      <w:r w:rsidR="0025782C" w:rsidRPr="00FB0A3A">
        <w:rPr>
          <w:rFonts w:ascii="Myriad Pro" w:eastAsia="Calibri" w:hAnsi="Myriad Pro" w:cs="Times New Roman"/>
          <w:sz w:val="26"/>
          <w:szCs w:val="26"/>
        </w:rPr>
        <w:t>ПАО «МРСК</w:t>
      </w:r>
      <w:r w:rsidR="00597FD5" w:rsidRPr="00FB0A3A">
        <w:rPr>
          <w:rFonts w:ascii="Myriad Pro" w:eastAsia="Calibri" w:hAnsi="Myriad Pro" w:cs="Times New Roman"/>
          <w:sz w:val="26"/>
          <w:szCs w:val="26"/>
        </w:rPr>
        <w:t xml:space="preserve"> Северо-Запада</w:t>
      </w:r>
      <w:r w:rsidR="00655FFA" w:rsidRPr="00FB0A3A">
        <w:rPr>
          <w:rFonts w:ascii="Myriad Pro" w:eastAsia="Calibri" w:hAnsi="Myriad Pro" w:cs="Times New Roman"/>
          <w:sz w:val="26"/>
          <w:szCs w:val="26"/>
        </w:rPr>
        <w:t>»</w:t>
      </w:r>
      <w:r w:rsidR="001A49C2" w:rsidRPr="00FB0A3A">
        <w:rPr>
          <w:rFonts w:ascii="Myriad Pro" w:eastAsia="Calibri" w:hAnsi="Myriad Pro" w:cs="Times New Roman"/>
          <w:sz w:val="26"/>
          <w:szCs w:val="26"/>
        </w:rPr>
        <w:t xml:space="preserve"> - </w:t>
      </w:r>
      <w:r w:rsidR="00647E6F" w:rsidRPr="00FB0A3A">
        <w:rPr>
          <w:rFonts w:ascii="Myriad Pro" w:eastAsia="Calibri" w:hAnsi="Myriad Pro" w:cs="Times New Roman"/>
          <w:sz w:val="26"/>
          <w:szCs w:val="26"/>
        </w:rPr>
        <w:t xml:space="preserve">ОАО </w:t>
      </w:r>
      <w:r w:rsidR="00655FFA" w:rsidRPr="00FB0A3A">
        <w:rPr>
          <w:rFonts w:ascii="Myriad Pro" w:eastAsia="Calibri" w:hAnsi="Myriad Pro" w:cs="Times New Roman"/>
          <w:sz w:val="26"/>
          <w:szCs w:val="26"/>
        </w:rPr>
        <w:t>«</w:t>
      </w:r>
      <w:r w:rsidR="001A49C2" w:rsidRPr="00FB0A3A">
        <w:rPr>
          <w:rFonts w:ascii="Myriad Pro" w:eastAsia="Calibri" w:hAnsi="Myriad Pro" w:cs="Times New Roman"/>
          <w:sz w:val="26"/>
          <w:szCs w:val="26"/>
        </w:rPr>
        <w:t>Атомэнергосбыту</w:t>
      </w:r>
      <w:r w:rsidR="00655FFA" w:rsidRPr="00FB0A3A">
        <w:rPr>
          <w:rFonts w:ascii="Myriad Pro" w:eastAsia="Calibri" w:hAnsi="Myriad Pro" w:cs="Times New Roman"/>
          <w:sz w:val="26"/>
          <w:szCs w:val="26"/>
        </w:rPr>
        <w:t>»</w:t>
      </w:r>
      <w:r w:rsidR="001A49C2" w:rsidRPr="00FB0A3A">
        <w:rPr>
          <w:rFonts w:ascii="Myriad Pro" w:eastAsia="Calibri" w:hAnsi="Myriad Pro" w:cs="Times New Roman"/>
          <w:sz w:val="26"/>
          <w:szCs w:val="26"/>
        </w:rPr>
        <w:t xml:space="preserve"> с 1 февраля 2015 года.</w:t>
      </w:r>
    </w:p>
    <w:p w14:paraId="0F2F3A20" w14:textId="3FB6A5D6" w:rsidR="001A49C2" w:rsidRPr="00FB0A3A" w:rsidRDefault="001A49C2"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 xml:space="preserve">Таким образом, </w:t>
      </w:r>
      <w:r w:rsidR="00220E41" w:rsidRPr="00FB0A3A">
        <w:rPr>
          <w:rFonts w:ascii="Myriad Pro" w:eastAsia="Calibri" w:hAnsi="Myriad Pro" w:cs="Times New Roman"/>
          <w:sz w:val="26"/>
          <w:szCs w:val="26"/>
        </w:rPr>
        <w:t>филиал</w:t>
      </w:r>
      <w:r w:rsidRPr="00FB0A3A">
        <w:rPr>
          <w:rFonts w:ascii="Myriad Pro" w:eastAsia="Calibri" w:hAnsi="Myriad Pro" w:cs="Times New Roman"/>
          <w:sz w:val="26"/>
          <w:szCs w:val="26"/>
        </w:rPr>
        <w:t xml:space="preserve"> </w:t>
      </w:r>
      <w:r w:rsidR="0025782C" w:rsidRPr="00FB0A3A">
        <w:rPr>
          <w:rFonts w:ascii="Myriad Pro" w:eastAsia="Calibri" w:hAnsi="Myriad Pro" w:cs="Times New Roman"/>
          <w:sz w:val="26"/>
          <w:szCs w:val="26"/>
        </w:rPr>
        <w:t>ПАО «МРСК</w:t>
      </w:r>
      <w:r w:rsidR="00597FD5" w:rsidRPr="00FB0A3A">
        <w:rPr>
          <w:rFonts w:ascii="Myriad Pro" w:eastAsia="Calibri" w:hAnsi="Myriad Pro" w:cs="Times New Roman"/>
          <w:sz w:val="26"/>
          <w:szCs w:val="26"/>
        </w:rPr>
        <w:t xml:space="preserve"> Северо-Запада</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 xml:space="preserve"> </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Колэнерго</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 xml:space="preserve"> имел статус гарантирующего поставщика электроэнергии на территории Мурманской области в период с 01.03.2013 по 01.02.2015 г. </w:t>
      </w:r>
    </w:p>
    <w:p w14:paraId="3AE8A5FF" w14:textId="3320E20C" w:rsidR="00F12EBA" w:rsidRPr="00FB0A3A" w:rsidRDefault="00F12EBA"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 xml:space="preserve">Исполнителем статья </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Резерв по сомнительным долгам</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 xml:space="preserve"> будет рассмотрена отдельно в части текущей деятельности по оказанию услуг по передаче </w:t>
      </w:r>
      <w:r w:rsidRPr="00FB0A3A">
        <w:rPr>
          <w:rFonts w:ascii="Myriad Pro" w:eastAsia="Calibri" w:hAnsi="Myriad Pro" w:cs="Times New Roman"/>
          <w:sz w:val="26"/>
          <w:szCs w:val="26"/>
        </w:rPr>
        <w:lastRenderedPageBreak/>
        <w:t>электрической энергии и сбытовой деятельности в период с 01.03.2013 по 01.02.2015 г.</w:t>
      </w:r>
    </w:p>
    <w:p w14:paraId="4B3FC29D" w14:textId="1EA69958" w:rsidR="00F12EBA" w:rsidRPr="00FB0A3A" w:rsidRDefault="00F12EBA" w:rsidP="00A31747">
      <w:pPr>
        <w:tabs>
          <w:tab w:val="left" w:pos="1134"/>
        </w:tabs>
        <w:spacing w:after="0" w:line="360" w:lineRule="auto"/>
        <w:ind w:firstLine="567"/>
        <w:contextualSpacing/>
        <w:jc w:val="both"/>
        <w:rPr>
          <w:rFonts w:ascii="Myriad Pro" w:eastAsia="Calibri" w:hAnsi="Myriad Pro" w:cs="Times New Roman"/>
          <w:sz w:val="26"/>
          <w:szCs w:val="26"/>
        </w:rPr>
      </w:pPr>
      <w:r w:rsidRPr="00297DA6">
        <w:rPr>
          <w:rFonts w:ascii="Myriad Pro" w:eastAsia="Calibri" w:hAnsi="Myriad Pro" w:cs="Times New Roman"/>
          <w:sz w:val="26"/>
          <w:szCs w:val="26"/>
        </w:rPr>
        <w:t xml:space="preserve">Исполнитель при определении расходов по рассматриваемой статье руководствовался мнением </w:t>
      </w:r>
      <w:r w:rsidRPr="00CC16E6">
        <w:rPr>
          <w:rFonts w:ascii="Myriad Pro" w:eastAsia="Calibri" w:hAnsi="Myriad Pro" w:cs="Times New Roman"/>
          <w:sz w:val="26"/>
          <w:szCs w:val="26"/>
        </w:rPr>
        <w:t>Верховного Суда Российской Федерации от 05.12.2019 по делу №1-АПА19-16, который указал, что при корректировке неподконтрольных расходов учитывается только фактическое списание задолженности, безнадежной ко взысканию (абз. 3, стр. 6. Определения Верховного Суда РФ от 05.12.2019).</w:t>
      </w:r>
      <w:r w:rsidRPr="00FB0A3A">
        <w:rPr>
          <w:rFonts w:ascii="Myriad Pro" w:eastAsia="Calibri" w:hAnsi="Myriad Pro" w:cs="Times New Roman"/>
          <w:sz w:val="26"/>
          <w:szCs w:val="26"/>
        </w:rPr>
        <w:t xml:space="preserve"> </w:t>
      </w:r>
    </w:p>
    <w:p w14:paraId="785586FA" w14:textId="2F9781E8" w:rsidR="008E0073" w:rsidRPr="00FB0A3A" w:rsidRDefault="00655FFA" w:rsidP="005F3224">
      <w:pPr>
        <w:tabs>
          <w:tab w:val="left" w:pos="1134"/>
        </w:tabs>
        <w:spacing w:before="240" w:after="0" w:line="360" w:lineRule="auto"/>
        <w:jc w:val="both"/>
        <w:rPr>
          <w:rFonts w:ascii="Myriad Pro" w:hAnsi="Myriad Pro"/>
          <w:b/>
          <w:i/>
          <w:sz w:val="26"/>
          <w:szCs w:val="26"/>
        </w:rPr>
      </w:pPr>
      <w:r w:rsidRPr="00FB0A3A">
        <w:rPr>
          <w:rFonts w:ascii="Myriad Pro" w:hAnsi="Myriad Pro"/>
          <w:b/>
          <w:i/>
          <w:sz w:val="26"/>
          <w:szCs w:val="26"/>
        </w:rPr>
        <w:t>«</w:t>
      </w:r>
      <w:r w:rsidR="008E0073" w:rsidRPr="00FB0A3A">
        <w:rPr>
          <w:rFonts w:ascii="Myriad Pro" w:hAnsi="Myriad Pro"/>
          <w:b/>
          <w:i/>
          <w:sz w:val="26"/>
          <w:szCs w:val="26"/>
        </w:rPr>
        <w:t>Резерв по сомнительным долгам</w:t>
      </w:r>
      <w:r w:rsidRPr="00FB0A3A">
        <w:rPr>
          <w:rFonts w:ascii="Myriad Pro" w:hAnsi="Myriad Pro"/>
          <w:b/>
          <w:i/>
          <w:sz w:val="26"/>
          <w:szCs w:val="26"/>
        </w:rPr>
        <w:t>»</w:t>
      </w:r>
      <w:r w:rsidR="008E0073" w:rsidRPr="00FB0A3A">
        <w:rPr>
          <w:rFonts w:ascii="Myriad Pro" w:hAnsi="Myriad Pro"/>
          <w:b/>
          <w:i/>
          <w:sz w:val="26"/>
          <w:szCs w:val="26"/>
        </w:rPr>
        <w:t xml:space="preserve"> (оказание услуг по передаче электрической энергии).</w:t>
      </w:r>
    </w:p>
    <w:p w14:paraId="46A5D4A3" w14:textId="012430CF" w:rsidR="008E0073" w:rsidRPr="00FB0A3A" w:rsidRDefault="008E0073"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 xml:space="preserve">Филиалом для включения в НВВ 2019 был заявлен резерв, созданный на покрытие сомнительной дебиторской задолженности в деятельности по услугам передачи электрической энергии </w:t>
      </w:r>
      <w:r w:rsidR="00E663D3">
        <w:rPr>
          <w:rFonts w:ascii="Myriad Pro" w:eastAsia="Calibri" w:hAnsi="Myriad Pro" w:cs="Times New Roman"/>
          <w:sz w:val="26"/>
          <w:szCs w:val="26"/>
        </w:rPr>
        <w:t>в размере</w:t>
      </w:r>
      <w:r w:rsidRPr="00FB0A3A">
        <w:rPr>
          <w:rFonts w:ascii="Myriad Pro" w:eastAsia="Calibri" w:hAnsi="Myriad Pro" w:cs="Times New Roman"/>
          <w:sz w:val="26"/>
          <w:szCs w:val="26"/>
        </w:rPr>
        <w:t xml:space="preserve"> 92 737 370,66 руб.</w:t>
      </w:r>
    </w:p>
    <w:p w14:paraId="62DB5BD6" w14:textId="77777777" w:rsidR="008E0073" w:rsidRPr="00FB0A3A" w:rsidRDefault="008E0073"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Создание резерва подтверждено:</w:t>
      </w:r>
    </w:p>
    <w:p w14:paraId="145F0CCB" w14:textId="6C8BDD2A" w:rsidR="008E0073" w:rsidRPr="00FB0A3A" w:rsidRDefault="008E0073" w:rsidP="009B0BC1">
      <w:pPr>
        <w:pStyle w:val="a4"/>
        <w:numPr>
          <w:ilvl w:val="0"/>
          <w:numId w:val="63"/>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 xml:space="preserve">оборотно-сальдовой ведомостью по счету </w:t>
      </w:r>
      <w:r w:rsidR="00655FFA" w:rsidRPr="00FB0A3A">
        <w:rPr>
          <w:rFonts w:ascii="Myriad Pro" w:hAnsi="Myriad Pro"/>
          <w:sz w:val="26"/>
          <w:szCs w:val="26"/>
        </w:rPr>
        <w:t>«</w:t>
      </w:r>
      <w:r w:rsidRPr="00FB0A3A">
        <w:rPr>
          <w:rFonts w:ascii="Myriad Pro" w:hAnsi="Myriad Pro"/>
          <w:sz w:val="26"/>
          <w:szCs w:val="26"/>
        </w:rPr>
        <w:t>63</w:t>
      </w:r>
      <w:r w:rsidR="00655FFA" w:rsidRPr="00FB0A3A">
        <w:rPr>
          <w:rFonts w:ascii="Myriad Pro" w:hAnsi="Myriad Pro"/>
          <w:sz w:val="26"/>
          <w:szCs w:val="26"/>
        </w:rPr>
        <w:t>»</w:t>
      </w:r>
      <w:r w:rsidRPr="00FB0A3A">
        <w:rPr>
          <w:rFonts w:ascii="Myriad Pro" w:hAnsi="Myriad Pro"/>
          <w:sz w:val="26"/>
          <w:szCs w:val="26"/>
        </w:rPr>
        <w:t xml:space="preserve"> </w:t>
      </w:r>
      <w:r w:rsidR="00655FFA" w:rsidRPr="00FB0A3A">
        <w:rPr>
          <w:rFonts w:ascii="Myriad Pro" w:hAnsi="Myriad Pro"/>
          <w:sz w:val="26"/>
          <w:szCs w:val="26"/>
        </w:rPr>
        <w:t>«</w:t>
      </w:r>
      <w:r w:rsidRPr="00FB0A3A">
        <w:rPr>
          <w:rFonts w:ascii="Myriad Pro" w:hAnsi="Myriad Pro"/>
          <w:sz w:val="26"/>
          <w:szCs w:val="26"/>
        </w:rPr>
        <w:t>Резерв по сомнительным долгам</w:t>
      </w:r>
      <w:r w:rsidR="00655FFA" w:rsidRPr="00FB0A3A">
        <w:rPr>
          <w:rFonts w:ascii="Myriad Pro" w:hAnsi="Myriad Pro"/>
          <w:sz w:val="26"/>
          <w:szCs w:val="26"/>
        </w:rPr>
        <w:t>»</w:t>
      </w:r>
      <w:r w:rsidRPr="00FB0A3A">
        <w:rPr>
          <w:rFonts w:ascii="Myriad Pro" w:hAnsi="Myriad Pro"/>
          <w:sz w:val="26"/>
          <w:szCs w:val="26"/>
        </w:rPr>
        <w:t>;</w:t>
      </w:r>
    </w:p>
    <w:p w14:paraId="1D7A7861" w14:textId="78A2BB44" w:rsidR="008E0073" w:rsidRPr="00FB0A3A" w:rsidRDefault="005F3224" w:rsidP="009B0BC1">
      <w:pPr>
        <w:pStyle w:val="a4"/>
        <w:numPr>
          <w:ilvl w:val="0"/>
          <w:numId w:val="63"/>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п</w:t>
      </w:r>
      <w:r w:rsidR="008E0073" w:rsidRPr="00FB0A3A">
        <w:rPr>
          <w:rFonts w:ascii="Myriad Pro" w:hAnsi="Myriad Pro"/>
          <w:sz w:val="26"/>
          <w:szCs w:val="26"/>
        </w:rPr>
        <w:t xml:space="preserve">ротоколами заседаний постоянно действующей центральной инвентаризационной комиссии по инвентаризации финансовых обязательств (расчетов) ПАО </w:t>
      </w:r>
      <w:r w:rsidR="00655FFA" w:rsidRPr="00FB0A3A">
        <w:rPr>
          <w:rFonts w:ascii="Myriad Pro" w:hAnsi="Myriad Pro"/>
          <w:sz w:val="26"/>
          <w:szCs w:val="26"/>
        </w:rPr>
        <w:t>«</w:t>
      </w:r>
      <w:r w:rsidR="008E0073" w:rsidRPr="00FB0A3A">
        <w:rPr>
          <w:rFonts w:ascii="Myriad Pro" w:hAnsi="Myriad Pro"/>
          <w:sz w:val="26"/>
          <w:szCs w:val="26"/>
        </w:rPr>
        <w:t>МРСК Северо-Запада</w:t>
      </w:r>
      <w:r w:rsidR="00655FFA" w:rsidRPr="00FB0A3A">
        <w:rPr>
          <w:rFonts w:ascii="Myriad Pro" w:hAnsi="Myriad Pro"/>
          <w:sz w:val="26"/>
          <w:szCs w:val="26"/>
        </w:rPr>
        <w:t>»</w:t>
      </w:r>
      <w:r w:rsidR="008E0073" w:rsidRPr="00FB0A3A">
        <w:rPr>
          <w:rFonts w:ascii="Myriad Pro" w:hAnsi="Myriad Pro"/>
          <w:sz w:val="26"/>
          <w:szCs w:val="26"/>
        </w:rPr>
        <w:t>;</w:t>
      </w:r>
    </w:p>
    <w:p w14:paraId="7E68D04A" w14:textId="134128FB" w:rsidR="008E0073" w:rsidRPr="00FB0A3A" w:rsidRDefault="008E0073" w:rsidP="009B0BC1">
      <w:pPr>
        <w:pStyle w:val="a4"/>
        <w:numPr>
          <w:ilvl w:val="0"/>
          <w:numId w:val="63"/>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актами по оценке обязательств и резервов по форме ВН-14 (по каждому контрагенту, включенному в резерв);</w:t>
      </w:r>
    </w:p>
    <w:p w14:paraId="160BA9C9" w14:textId="133D3D25" w:rsidR="008E0073" w:rsidRPr="00FB0A3A" w:rsidRDefault="008E0073" w:rsidP="009B0BC1">
      <w:pPr>
        <w:pStyle w:val="a4"/>
        <w:numPr>
          <w:ilvl w:val="0"/>
          <w:numId w:val="63"/>
        </w:numPr>
        <w:tabs>
          <w:tab w:val="left" w:pos="1134"/>
        </w:tabs>
        <w:spacing w:after="200" w:line="360" w:lineRule="auto"/>
        <w:ind w:left="0" w:firstLine="567"/>
        <w:contextualSpacing w:val="0"/>
        <w:jc w:val="both"/>
        <w:rPr>
          <w:rFonts w:ascii="Myriad Pro" w:hAnsi="Myriad Pro"/>
          <w:sz w:val="26"/>
          <w:szCs w:val="26"/>
        </w:rPr>
      </w:pPr>
      <w:r w:rsidRPr="00FB0A3A">
        <w:rPr>
          <w:rFonts w:ascii="Myriad Pro" w:hAnsi="Myriad Pro"/>
          <w:sz w:val="26"/>
          <w:szCs w:val="26"/>
        </w:rPr>
        <w:t>Справкой к акту №1 от 18.01.2018 инвентаризации расчетов с покупателями, поставщиками и прочими дебиторами, и кредиторами по состоянию на 31.12.2017.</w:t>
      </w:r>
    </w:p>
    <w:tbl>
      <w:tblPr>
        <w:tblStyle w:val="afff6"/>
        <w:tblW w:w="5109" w:type="pct"/>
        <w:tblLayout w:type="fixed"/>
        <w:tblLook w:val="04A0" w:firstRow="1" w:lastRow="0" w:firstColumn="1" w:lastColumn="0" w:noHBand="0" w:noVBand="1"/>
      </w:tblPr>
      <w:tblGrid>
        <w:gridCol w:w="1981"/>
        <w:gridCol w:w="1281"/>
        <w:gridCol w:w="1482"/>
        <w:gridCol w:w="685"/>
        <w:gridCol w:w="1427"/>
        <w:gridCol w:w="1417"/>
        <w:gridCol w:w="1275"/>
      </w:tblGrid>
      <w:tr w:rsidR="008E0073" w:rsidRPr="008A1FE3" w14:paraId="30D00C60" w14:textId="77777777" w:rsidTr="008A1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87D4415" w14:textId="77777777" w:rsidR="008E0073" w:rsidRPr="008A1FE3" w:rsidRDefault="008E0073" w:rsidP="005F3224">
            <w:pPr>
              <w:tabs>
                <w:tab w:val="left" w:pos="1134"/>
              </w:tabs>
              <w:jc w:val="center"/>
              <w:rPr>
                <w:rFonts w:eastAsia="Calibri" w:cs="Times New Roman"/>
                <w:szCs w:val="18"/>
              </w:rPr>
            </w:pPr>
            <w:r w:rsidRPr="008A1FE3">
              <w:rPr>
                <w:rFonts w:eastAsia="Calibri" w:cs="Times New Roman"/>
                <w:szCs w:val="18"/>
              </w:rPr>
              <w:t>Наименование организации</w:t>
            </w:r>
          </w:p>
        </w:tc>
        <w:tc>
          <w:tcPr>
            <w:tcW w:w="276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8A9BF15" w14:textId="77777777" w:rsidR="008E0073" w:rsidRPr="008A1FE3" w:rsidRDefault="008E0073" w:rsidP="005F3224">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Cs w:val="18"/>
              </w:rPr>
            </w:pPr>
            <w:r w:rsidRPr="008A1FE3">
              <w:rPr>
                <w:rFonts w:eastAsia="Calibri" w:cs="Times New Roman"/>
                <w:szCs w:val="18"/>
              </w:rPr>
              <w:t>Оборот за период (2017)</w:t>
            </w:r>
          </w:p>
        </w:tc>
        <w:tc>
          <w:tcPr>
            <w:tcW w:w="2112"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3146039" w14:textId="77777777" w:rsidR="008E0073" w:rsidRPr="008A1FE3" w:rsidRDefault="008E0073" w:rsidP="005F3224">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Cs w:val="18"/>
              </w:rPr>
            </w:pPr>
            <w:r w:rsidRPr="008A1FE3">
              <w:rPr>
                <w:rFonts w:eastAsia="Calibri" w:cs="Times New Roman"/>
                <w:szCs w:val="18"/>
              </w:rPr>
              <w:t>Сальдо на конец периода (31.12.2017)</w:t>
            </w:r>
          </w:p>
        </w:tc>
        <w:tc>
          <w:tcPr>
            <w:tcW w:w="2692"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FBC2B25" w14:textId="77777777" w:rsidR="008E0073" w:rsidRPr="008A1FE3" w:rsidRDefault="008E0073" w:rsidP="005F3224">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Cs w:val="18"/>
              </w:rPr>
            </w:pPr>
            <w:r w:rsidRPr="008A1FE3">
              <w:rPr>
                <w:rFonts w:eastAsia="Calibri" w:cs="Times New Roman"/>
                <w:szCs w:val="18"/>
              </w:rPr>
              <w:t>в том числе:</w:t>
            </w:r>
          </w:p>
        </w:tc>
      </w:tr>
      <w:tr w:rsidR="005F3224" w:rsidRPr="008A1FE3" w14:paraId="247F94E7" w14:textId="77777777" w:rsidTr="008A1FE3">
        <w:tc>
          <w:tcPr>
            <w:cnfStyle w:val="001000000000" w:firstRow="0" w:lastRow="0" w:firstColumn="1" w:lastColumn="0" w:oddVBand="0" w:evenVBand="0" w:oddHBand="0" w:evenHBand="0" w:firstRowFirstColumn="0" w:firstRowLastColumn="0" w:lastRowFirstColumn="0" w:lastRowLastColumn="0"/>
            <w:tcW w:w="198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87798DD" w14:textId="77777777" w:rsidR="008E0073" w:rsidRPr="008A1FE3" w:rsidRDefault="008E0073" w:rsidP="005F3224">
            <w:pPr>
              <w:tabs>
                <w:tab w:val="left" w:pos="1134"/>
              </w:tabs>
              <w:rPr>
                <w:rFonts w:eastAsia="Calibri" w:cs="Times New Roman"/>
                <w:szCs w:val="18"/>
              </w:rPr>
            </w:pPr>
          </w:p>
        </w:tc>
        <w:tc>
          <w:tcPr>
            <w:tcW w:w="12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5F3035E4" w14:textId="77777777" w:rsidR="008E0073" w:rsidRPr="008A1FE3" w:rsidRDefault="008E0073" w:rsidP="005F3224">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color w:val="FFFFFF" w:themeColor="background1"/>
                <w:szCs w:val="18"/>
              </w:rPr>
            </w:pPr>
            <w:r w:rsidRPr="008A1FE3">
              <w:rPr>
                <w:rFonts w:eastAsia="Calibri" w:cs="Times New Roman"/>
                <w:color w:val="FFFFFF" w:themeColor="background1"/>
                <w:szCs w:val="18"/>
              </w:rPr>
              <w:t>Дебет</w:t>
            </w:r>
          </w:p>
        </w:tc>
        <w:tc>
          <w:tcPr>
            <w:tcW w:w="14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57906356" w14:textId="77777777" w:rsidR="008E0073" w:rsidRPr="008A1FE3" w:rsidRDefault="008E0073" w:rsidP="005F3224">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color w:val="FFFFFF" w:themeColor="background1"/>
                <w:szCs w:val="18"/>
              </w:rPr>
            </w:pPr>
            <w:r w:rsidRPr="008A1FE3">
              <w:rPr>
                <w:rFonts w:eastAsia="Calibri" w:cs="Times New Roman"/>
                <w:color w:val="FFFFFF" w:themeColor="background1"/>
                <w:szCs w:val="18"/>
              </w:rPr>
              <w:t>Кредит</w:t>
            </w:r>
          </w:p>
        </w:tc>
        <w:tc>
          <w:tcPr>
            <w:tcW w:w="6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593FCF94" w14:textId="77777777" w:rsidR="008E0073" w:rsidRPr="008A1FE3" w:rsidRDefault="008E0073" w:rsidP="005F3224">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color w:val="FFFFFF" w:themeColor="background1"/>
                <w:szCs w:val="18"/>
              </w:rPr>
            </w:pPr>
            <w:r w:rsidRPr="008A1FE3">
              <w:rPr>
                <w:rFonts w:eastAsia="Calibri" w:cs="Times New Roman"/>
                <w:color w:val="FFFFFF" w:themeColor="background1"/>
                <w:szCs w:val="18"/>
              </w:rPr>
              <w:t>Дебет</w:t>
            </w:r>
          </w:p>
        </w:tc>
        <w:tc>
          <w:tcPr>
            <w:tcW w:w="14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000B4BD8" w14:textId="77777777" w:rsidR="008E0073" w:rsidRPr="008A1FE3" w:rsidRDefault="008E0073" w:rsidP="005F3224">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color w:val="FFFFFF" w:themeColor="background1"/>
                <w:szCs w:val="18"/>
              </w:rPr>
            </w:pPr>
            <w:r w:rsidRPr="008A1FE3">
              <w:rPr>
                <w:rFonts w:eastAsia="Calibri" w:cs="Times New Roman"/>
                <w:color w:val="FFFFFF" w:themeColor="background1"/>
                <w:szCs w:val="18"/>
              </w:rPr>
              <w:t>Кредит</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4C69403C" w14:textId="77777777" w:rsidR="008E0073" w:rsidRPr="008A1FE3" w:rsidRDefault="008E0073" w:rsidP="005F3224">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color w:val="FFFFFF" w:themeColor="background1"/>
                <w:szCs w:val="18"/>
              </w:rPr>
            </w:pPr>
            <w:r w:rsidRPr="008A1FE3">
              <w:rPr>
                <w:rFonts w:eastAsia="Calibri" w:cs="Times New Roman"/>
                <w:color w:val="FFFFFF" w:themeColor="background1"/>
                <w:szCs w:val="18"/>
              </w:rPr>
              <w:t>Основной долг</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7CD2226C" w14:textId="77777777" w:rsidR="008E0073" w:rsidRPr="008A1FE3" w:rsidRDefault="008E0073" w:rsidP="005F3224">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color w:val="FFFFFF" w:themeColor="background1"/>
                <w:szCs w:val="18"/>
              </w:rPr>
            </w:pPr>
            <w:r w:rsidRPr="008A1FE3">
              <w:rPr>
                <w:rFonts w:eastAsia="Calibri" w:cs="Times New Roman"/>
                <w:color w:val="FFFFFF" w:themeColor="background1"/>
                <w:szCs w:val="18"/>
              </w:rPr>
              <w:t>Проценты, пени, штрафы</w:t>
            </w:r>
          </w:p>
        </w:tc>
      </w:tr>
      <w:tr w:rsidR="005F3224" w:rsidRPr="008A1FE3" w14:paraId="65B1CAAB" w14:textId="77777777" w:rsidTr="008A1FE3">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FFFFFF" w:themeColor="background1"/>
            </w:tcBorders>
            <w:hideMark/>
          </w:tcPr>
          <w:p w14:paraId="4D802B92" w14:textId="77777777" w:rsidR="008E0073" w:rsidRPr="008A1FE3" w:rsidRDefault="008E0073" w:rsidP="005F3224">
            <w:pPr>
              <w:tabs>
                <w:tab w:val="left" w:pos="1134"/>
              </w:tabs>
              <w:rPr>
                <w:rFonts w:eastAsia="Calibri" w:cs="Times New Roman"/>
                <w:szCs w:val="18"/>
              </w:rPr>
            </w:pPr>
            <w:r w:rsidRPr="008A1FE3">
              <w:rPr>
                <w:rFonts w:eastAsia="Calibri" w:cs="Times New Roman"/>
                <w:szCs w:val="18"/>
              </w:rPr>
              <w:t>ГИРТЕК</w:t>
            </w:r>
          </w:p>
        </w:tc>
        <w:tc>
          <w:tcPr>
            <w:tcW w:w="1281" w:type="dxa"/>
            <w:tcBorders>
              <w:top w:val="single" w:sz="4" w:space="0" w:color="FFFFFF" w:themeColor="background1"/>
            </w:tcBorders>
            <w:hideMark/>
          </w:tcPr>
          <w:p w14:paraId="49146F15" w14:textId="51944142" w:rsidR="008E0073" w:rsidRPr="008A1FE3" w:rsidRDefault="008E0073" w:rsidP="005F3224">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1482" w:type="dxa"/>
            <w:tcBorders>
              <w:top w:val="single" w:sz="4" w:space="0" w:color="FFFFFF" w:themeColor="background1"/>
            </w:tcBorders>
            <w:hideMark/>
          </w:tcPr>
          <w:p w14:paraId="2FF659D0" w14:textId="77777777" w:rsidR="008E0073" w:rsidRPr="008A1FE3" w:rsidRDefault="008E0073" w:rsidP="005F3224">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8A1FE3">
              <w:rPr>
                <w:rFonts w:eastAsia="Calibri" w:cs="Times New Roman"/>
                <w:szCs w:val="18"/>
              </w:rPr>
              <w:t>2 391 136,67</w:t>
            </w:r>
          </w:p>
        </w:tc>
        <w:tc>
          <w:tcPr>
            <w:tcW w:w="685" w:type="dxa"/>
            <w:tcBorders>
              <w:top w:val="single" w:sz="4" w:space="0" w:color="FFFFFF" w:themeColor="background1"/>
            </w:tcBorders>
            <w:hideMark/>
          </w:tcPr>
          <w:p w14:paraId="18E04A98" w14:textId="3F986A53" w:rsidR="008E0073" w:rsidRPr="008A1FE3" w:rsidRDefault="008E0073" w:rsidP="005F3224">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1427" w:type="dxa"/>
            <w:tcBorders>
              <w:top w:val="single" w:sz="4" w:space="0" w:color="FFFFFF" w:themeColor="background1"/>
            </w:tcBorders>
            <w:hideMark/>
          </w:tcPr>
          <w:p w14:paraId="6F9A6E60" w14:textId="77777777" w:rsidR="008E0073" w:rsidRPr="008A1FE3" w:rsidRDefault="008E0073" w:rsidP="005F3224">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8A1FE3">
              <w:rPr>
                <w:rFonts w:eastAsia="Calibri" w:cs="Times New Roman"/>
                <w:szCs w:val="18"/>
              </w:rPr>
              <w:t>2 391 136,67</w:t>
            </w:r>
          </w:p>
        </w:tc>
        <w:tc>
          <w:tcPr>
            <w:tcW w:w="1417" w:type="dxa"/>
            <w:tcBorders>
              <w:top w:val="single" w:sz="4" w:space="0" w:color="FFFFFF" w:themeColor="background1"/>
            </w:tcBorders>
            <w:hideMark/>
          </w:tcPr>
          <w:p w14:paraId="12894BD1" w14:textId="77777777" w:rsidR="008E0073" w:rsidRPr="008A1FE3" w:rsidRDefault="008E0073" w:rsidP="005F3224">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8A1FE3">
              <w:rPr>
                <w:rFonts w:eastAsia="Calibri" w:cs="Times New Roman"/>
                <w:szCs w:val="18"/>
              </w:rPr>
              <w:t>0,00</w:t>
            </w:r>
          </w:p>
        </w:tc>
        <w:tc>
          <w:tcPr>
            <w:tcW w:w="1275" w:type="dxa"/>
            <w:tcBorders>
              <w:top w:val="single" w:sz="4" w:space="0" w:color="FFFFFF" w:themeColor="background1"/>
            </w:tcBorders>
            <w:hideMark/>
          </w:tcPr>
          <w:p w14:paraId="382E5CFB" w14:textId="77777777" w:rsidR="008E0073" w:rsidRPr="008A1FE3" w:rsidRDefault="008E0073" w:rsidP="005F3224">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8A1FE3">
              <w:rPr>
                <w:rFonts w:eastAsia="Calibri" w:cs="Times New Roman"/>
                <w:szCs w:val="18"/>
              </w:rPr>
              <w:t>2 391 136,67</w:t>
            </w:r>
          </w:p>
        </w:tc>
      </w:tr>
      <w:tr w:rsidR="005F3224" w:rsidRPr="008A1FE3" w14:paraId="2B40144A" w14:textId="77777777" w:rsidTr="008A1FE3">
        <w:tc>
          <w:tcPr>
            <w:cnfStyle w:val="001000000000" w:firstRow="0" w:lastRow="0" w:firstColumn="1" w:lastColumn="0" w:oddVBand="0" w:evenVBand="0" w:oddHBand="0" w:evenHBand="0" w:firstRowFirstColumn="0" w:firstRowLastColumn="0" w:lastRowFirstColumn="0" w:lastRowLastColumn="0"/>
            <w:tcW w:w="1980" w:type="dxa"/>
            <w:hideMark/>
          </w:tcPr>
          <w:p w14:paraId="70B8F8E1" w14:textId="77777777" w:rsidR="008E0073" w:rsidRPr="008A1FE3" w:rsidRDefault="008E0073" w:rsidP="005F3224">
            <w:pPr>
              <w:tabs>
                <w:tab w:val="left" w:pos="1134"/>
              </w:tabs>
              <w:rPr>
                <w:rFonts w:eastAsia="Calibri" w:cs="Times New Roman"/>
                <w:szCs w:val="18"/>
              </w:rPr>
            </w:pPr>
            <w:r w:rsidRPr="008A1FE3">
              <w:rPr>
                <w:rFonts w:eastAsia="Calibri" w:cs="Times New Roman"/>
                <w:szCs w:val="18"/>
              </w:rPr>
              <w:t>ЖКУ Молочный</w:t>
            </w:r>
          </w:p>
        </w:tc>
        <w:tc>
          <w:tcPr>
            <w:tcW w:w="1281" w:type="dxa"/>
            <w:hideMark/>
          </w:tcPr>
          <w:p w14:paraId="0330CC20" w14:textId="5533DAD4" w:rsidR="008E0073" w:rsidRPr="008A1FE3" w:rsidRDefault="008E0073" w:rsidP="005F3224">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1482" w:type="dxa"/>
            <w:hideMark/>
          </w:tcPr>
          <w:p w14:paraId="021388D3" w14:textId="77777777" w:rsidR="008E0073" w:rsidRPr="008A1FE3" w:rsidRDefault="008E0073" w:rsidP="005F3224">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8A1FE3">
              <w:rPr>
                <w:rFonts w:eastAsia="Calibri" w:cs="Times New Roman"/>
                <w:szCs w:val="18"/>
              </w:rPr>
              <w:t>1 571 307,62</w:t>
            </w:r>
          </w:p>
        </w:tc>
        <w:tc>
          <w:tcPr>
            <w:tcW w:w="685" w:type="dxa"/>
            <w:hideMark/>
          </w:tcPr>
          <w:p w14:paraId="4274A5AD" w14:textId="415EC757" w:rsidR="008E0073" w:rsidRPr="008A1FE3" w:rsidRDefault="008E0073" w:rsidP="005F3224">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1427" w:type="dxa"/>
            <w:hideMark/>
          </w:tcPr>
          <w:p w14:paraId="1004AFF8" w14:textId="77777777" w:rsidR="008E0073" w:rsidRPr="008A1FE3" w:rsidRDefault="008E0073" w:rsidP="005F3224">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8A1FE3">
              <w:rPr>
                <w:rFonts w:eastAsia="Calibri" w:cs="Times New Roman"/>
                <w:szCs w:val="18"/>
              </w:rPr>
              <w:t>1 571 307,62</w:t>
            </w:r>
          </w:p>
        </w:tc>
        <w:tc>
          <w:tcPr>
            <w:tcW w:w="1417" w:type="dxa"/>
            <w:hideMark/>
          </w:tcPr>
          <w:p w14:paraId="1EDF6BED" w14:textId="77777777" w:rsidR="008E0073" w:rsidRPr="008A1FE3" w:rsidRDefault="008E0073" w:rsidP="005F3224">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8A1FE3">
              <w:rPr>
                <w:rFonts w:eastAsia="Calibri" w:cs="Times New Roman"/>
                <w:szCs w:val="18"/>
              </w:rPr>
              <w:t>1 515 750,11</w:t>
            </w:r>
          </w:p>
        </w:tc>
        <w:tc>
          <w:tcPr>
            <w:tcW w:w="1275" w:type="dxa"/>
            <w:hideMark/>
          </w:tcPr>
          <w:p w14:paraId="7C3C2ABA" w14:textId="77777777" w:rsidR="008E0073" w:rsidRPr="008A1FE3" w:rsidRDefault="008E0073" w:rsidP="005F3224">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8A1FE3">
              <w:rPr>
                <w:rFonts w:eastAsia="Calibri" w:cs="Times New Roman"/>
                <w:szCs w:val="18"/>
              </w:rPr>
              <w:t>55 557,51</w:t>
            </w:r>
          </w:p>
        </w:tc>
      </w:tr>
      <w:tr w:rsidR="005F3224" w:rsidRPr="008A1FE3" w14:paraId="1F732B44" w14:textId="77777777" w:rsidTr="008A1FE3">
        <w:tc>
          <w:tcPr>
            <w:cnfStyle w:val="001000000000" w:firstRow="0" w:lastRow="0" w:firstColumn="1" w:lastColumn="0" w:oddVBand="0" w:evenVBand="0" w:oddHBand="0" w:evenHBand="0" w:firstRowFirstColumn="0" w:firstRowLastColumn="0" w:lastRowFirstColumn="0" w:lastRowLastColumn="0"/>
            <w:tcW w:w="1980" w:type="dxa"/>
            <w:hideMark/>
          </w:tcPr>
          <w:p w14:paraId="545711F4" w14:textId="77777777" w:rsidR="008E0073" w:rsidRPr="008A1FE3" w:rsidRDefault="008E0073" w:rsidP="005F3224">
            <w:pPr>
              <w:tabs>
                <w:tab w:val="left" w:pos="1134"/>
              </w:tabs>
              <w:rPr>
                <w:rFonts w:eastAsia="Calibri" w:cs="Times New Roman"/>
                <w:szCs w:val="18"/>
              </w:rPr>
            </w:pPr>
            <w:r w:rsidRPr="008A1FE3">
              <w:rPr>
                <w:rFonts w:eastAsia="Calibri" w:cs="Times New Roman"/>
                <w:szCs w:val="18"/>
              </w:rPr>
              <w:t>Наш дом</w:t>
            </w:r>
          </w:p>
        </w:tc>
        <w:tc>
          <w:tcPr>
            <w:tcW w:w="1281" w:type="dxa"/>
            <w:hideMark/>
          </w:tcPr>
          <w:p w14:paraId="2B58AAE3" w14:textId="6C1223A7" w:rsidR="008E0073" w:rsidRPr="008A1FE3" w:rsidRDefault="008E0073" w:rsidP="005F3224">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1482" w:type="dxa"/>
            <w:hideMark/>
          </w:tcPr>
          <w:p w14:paraId="03A099DD" w14:textId="77777777" w:rsidR="008E0073" w:rsidRPr="008A1FE3" w:rsidRDefault="008E0073" w:rsidP="005F3224">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8A1FE3">
              <w:rPr>
                <w:rFonts w:eastAsia="Calibri" w:cs="Times New Roman"/>
                <w:szCs w:val="18"/>
              </w:rPr>
              <w:t>12 918 544,86</w:t>
            </w:r>
          </w:p>
        </w:tc>
        <w:tc>
          <w:tcPr>
            <w:tcW w:w="685" w:type="dxa"/>
            <w:hideMark/>
          </w:tcPr>
          <w:p w14:paraId="433B6D21" w14:textId="0EEEAFB6" w:rsidR="008E0073" w:rsidRPr="008A1FE3" w:rsidRDefault="008E0073" w:rsidP="005F3224">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1427" w:type="dxa"/>
            <w:hideMark/>
          </w:tcPr>
          <w:p w14:paraId="59D66D85" w14:textId="77777777" w:rsidR="008E0073" w:rsidRPr="008A1FE3" w:rsidRDefault="008E0073" w:rsidP="005F3224">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8A1FE3">
              <w:rPr>
                <w:rFonts w:eastAsia="Calibri" w:cs="Times New Roman"/>
                <w:szCs w:val="18"/>
              </w:rPr>
              <w:t>12 918 544,86</w:t>
            </w:r>
          </w:p>
        </w:tc>
        <w:tc>
          <w:tcPr>
            <w:tcW w:w="1417" w:type="dxa"/>
            <w:hideMark/>
          </w:tcPr>
          <w:p w14:paraId="12345BB0" w14:textId="77777777" w:rsidR="008E0073" w:rsidRPr="008A1FE3" w:rsidRDefault="008E0073" w:rsidP="005F3224">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8A1FE3">
              <w:rPr>
                <w:rFonts w:eastAsia="Calibri" w:cs="Times New Roman"/>
                <w:szCs w:val="18"/>
              </w:rPr>
              <w:t>12 183 736,41</w:t>
            </w:r>
          </w:p>
        </w:tc>
        <w:tc>
          <w:tcPr>
            <w:tcW w:w="1275" w:type="dxa"/>
            <w:hideMark/>
          </w:tcPr>
          <w:p w14:paraId="7DAE36A4" w14:textId="77777777" w:rsidR="008E0073" w:rsidRPr="008A1FE3" w:rsidRDefault="008E0073" w:rsidP="005F3224">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8A1FE3">
              <w:rPr>
                <w:rFonts w:eastAsia="Calibri" w:cs="Times New Roman"/>
                <w:szCs w:val="18"/>
              </w:rPr>
              <w:t>734 808,45</w:t>
            </w:r>
          </w:p>
        </w:tc>
      </w:tr>
      <w:tr w:rsidR="005F3224" w:rsidRPr="008A1FE3" w14:paraId="2673BACC" w14:textId="77777777" w:rsidTr="008A1FE3">
        <w:tc>
          <w:tcPr>
            <w:cnfStyle w:val="001000000000" w:firstRow="0" w:lastRow="0" w:firstColumn="1" w:lastColumn="0" w:oddVBand="0" w:evenVBand="0" w:oddHBand="0" w:evenHBand="0" w:firstRowFirstColumn="0" w:firstRowLastColumn="0" w:lastRowFirstColumn="0" w:lastRowLastColumn="0"/>
            <w:tcW w:w="1980" w:type="dxa"/>
            <w:hideMark/>
          </w:tcPr>
          <w:p w14:paraId="204F8295" w14:textId="77777777" w:rsidR="008E0073" w:rsidRPr="008A1FE3" w:rsidRDefault="008E0073" w:rsidP="005F3224">
            <w:pPr>
              <w:tabs>
                <w:tab w:val="left" w:pos="1134"/>
              </w:tabs>
              <w:rPr>
                <w:rFonts w:eastAsia="Calibri" w:cs="Times New Roman"/>
                <w:szCs w:val="18"/>
              </w:rPr>
            </w:pPr>
            <w:r w:rsidRPr="008A1FE3">
              <w:rPr>
                <w:rFonts w:eastAsia="Calibri" w:cs="Times New Roman"/>
                <w:szCs w:val="18"/>
              </w:rPr>
              <w:t>Просвет</w:t>
            </w:r>
          </w:p>
        </w:tc>
        <w:tc>
          <w:tcPr>
            <w:tcW w:w="1281" w:type="dxa"/>
            <w:hideMark/>
          </w:tcPr>
          <w:p w14:paraId="25514E6B" w14:textId="75D79E46" w:rsidR="008E0073" w:rsidRPr="008A1FE3" w:rsidRDefault="008E0073" w:rsidP="005F3224">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1482" w:type="dxa"/>
            <w:hideMark/>
          </w:tcPr>
          <w:p w14:paraId="3B3A32DE" w14:textId="77777777" w:rsidR="008E0073" w:rsidRPr="008A1FE3" w:rsidRDefault="008E0073" w:rsidP="005F3224">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8A1FE3">
              <w:rPr>
                <w:rFonts w:eastAsia="Calibri" w:cs="Times New Roman"/>
                <w:szCs w:val="18"/>
              </w:rPr>
              <w:t>9 594 303,17</w:t>
            </w:r>
          </w:p>
        </w:tc>
        <w:tc>
          <w:tcPr>
            <w:tcW w:w="685" w:type="dxa"/>
            <w:hideMark/>
          </w:tcPr>
          <w:p w14:paraId="42BE39E0" w14:textId="6BDFD65E" w:rsidR="008E0073" w:rsidRPr="008A1FE3" w:rsidRDefault="008E0073" w:rsidP="005F3224">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1427" w:type="dxa"/>
            <w:hideMark/>
          </w:tcPr>
          <w:p w14:paraId="16BF2E4E" w14:textId="77777777" w:rsidR="008E0073" w:rsidRPr="008A1FE3" w:rsidRDefault="008E0073" w:rsidP="005F3224">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8A1FE3">
              <w:rPr>
                <w:rFonts w:eastAsia="Calibri" w:cs="Times New Roman"/>
                <w:szCs w:val="18"/>
              </w:rPr>
              <w:t>9 594 303,17</w:t>
            </w:r>
          </w:p>
        </w:tc>
        <w:tc>
          <w:tcPr>
            <w:tcW w:w="1417" w:type="dxa"/>
            <w:hideMark/>
          </w:tcPr>
          <w:p w14:paraId="3F601757" w14:textId="77777777" w:rsidR="008E0073" w:rsidRPr="008A1FE3" w:rsidRDefault="008E0073" w:rsidP="005F3224">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8A1FE3">
              <w:rPr>
                <w:rFonts w:eastAsia="Calibri" w:cs="Times New Roman"/>
                <w:szCs w:val="18"/>
              </w:rPr>
              <w:t>9 511 188,17</w:t>
            </w:r>
          </w:p>
        </w:tc>
        <w:tc>
          <w:tcPr>
            <w:tcW w:w="1275" w:type="dxa"/>
            <w:hideMark/>
          </w:tcPr>
          <w:p w14:paraId="646C3680" w14:textId="77777777" w:rsidR="008E0073" w:rsidRPr="008A1FE3" w:rsidRDefault="008E0073" w:rsidP="005F3224">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8A1FE3">
              <w:rPr>
                <w:rFonts w:eastAsia="Calibri" w:cs="Times New Roman"/>
                <w:szCs w:val="18"/>
              </w:rPr>
              <w:t>83 115,00</w:t>
            </w:r>
          </w:p>
        </w:tc>
      </w:tr>
      <w:tr w:rsidR="005F3224" w:rsidRPr="008A1FE3" w14:paraId="096FD7F3" w14:textId="77777777" w:rsidTr="008A1FE3">
        <w:tc>
          <w:tcPr>
            <w:cnfStyle w:val="001000000000" w:firstRow="0" w:lastRow="0" w:firstColumn="1" w:lastColumn="0" w:oddVBand="0" w:evenVBand="0" w:oddHBand="0" w:evenHBand="0" w:firstRowFirstColumn="0" w:firstRowLastColumn="0" w:lastRowFirstColumn="0" w:lastRowLastColumn="0"/>
            <w:tcW w:w="1980" w:type="dxa"/>
            <w:hideMark/>
          </w:tcPr>
          <w:p w14:paraId="40D1E5F9" w14:textId="77777777" w:rsidR="008E0073" w:rsidRPr="008A1FE3" w:rsidRDefault="008E0073" w:rsidP="005F3224">
            <w:pPr>
              <w:tabs>
                <w:tab w:val="left" w:pos="1134"/>
              </w:tabs>
              <w:rPr>
                <w:rFonts w:eastAsia="Calibri" w:cs="Times New Roman"/>
                <w:szCs w:val="18"/>
              </w:rPr>
            </w:pPr>
            <w:r w:rsidRPr="008A1FE3">
              <w:rPr>
                <w:rFonts w:eastAsia="Calibri" w:cs="Times New Roman"/>
                <w:szCs w:val="18"/>
              </w:rPr>
              <w:t>ПрофСервис</w:t>
            </w:r>
          </w:p>
        </w:tc>
        <w:tc>
          <w:tcPr>
            <w:tcW w:w="1281" w:type="dxa"/>
            <w:hideMark/>
          </w:tcPr>
          <w:p w14:paraId="4F704E55" w14:textId="052FC691" w:rsidR="008E0073" w:rsidRPr="008A1FE3" w:rsidRDefault="008E0073" w:rsidP="005F3224">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1482" w:type="dxa"/>
            <w:hideMark/>
          </w:tcPr>
          <w:p w14:paraId="2279FAA8" w14:textId="77777777" w:rsidR="008E0073" w:rsidRPr="008A1FE3" w:rsidRDefault="008E0073" w:rsidP="005F3224">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8A1FE3">
              <w:rPr>
                <w:rFonts w:eastAsia="Calibri" w:cs="Times New Roman"/>
                <w:szCs w:val="18"/>
              </w:rPr>
              <w:t>5 777 140,03</w:t>
            </w:r>
          </w:p>
        </w:tc>
        <w:tc>
          <w:tcPr>
            <w:tcW w:w="685" w:type="dxa"/>
            <w:hideMark/>
          </w:tcPr>
          <w:p w14:paraId="3C91C876" w14:textId="14E16A3E" w:rsidR="008E0073" w:rsidRPr="008A1FE3" w:rsidRDefault="008E0073" w:rsidP="005F3224">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1427" w:type="dxa"/>
            <w:hideMark/>
          </w:tcPr>
          <w:p w14:paraId="3FC43102" w14:textId="77777777" w:rsidR="008E0073" w:rsidRPr="008A1FE3" w:rsidRDefault="008E0073" w:rsidP="005F3224">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8A1FE3">
              <w:rPr>
                <w:rFonts w:eastAsia="Calibri" w:cs="Times New Roman"/>
                <w:szCs w:val="18"/>
              </w:rPr>
              <w:t>5 777 140,03</w:t>
            </w:r>
          </w:p>
        </w:tc>
        <w:tc>
          <w:tcPr>
            <w:tcW w:w="1417" w:type="dxa"/>
            <w:hideMark/>
          </w:tcPr>
          <w:p w14:paraId="6498E0E8" w14:textId="77777777" w:rsidR="008E0073" w:rsidRPr="008A1FE3" w:rsidRDefault="008E0073" w:rsidP="005F3224">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8A1FE3">
              <w:rPr>
                <w:rFonts w:eastAsia="Calibri" w:cs="Times New Roman"/>
                <w:szCs w:val="18"/>
              </w:rPr>
              <w:t>5 545 282,45</w:t>
            </w:r>
          </w:p>
        </w:tc>
        <w:tc>
          <w:tcPr>
            <w:tcW w:w="1275" w:type="dxa"/>
            <w:hideMark/>
          </w:tcPr>
          <w:p w14:paraId="57F9138C" w14:textId="77777777" w:rsidR="008E0073" w:rsidRPr="008A1FE3" w:rsidRDefault="008E0073" w:rsidP="005F3224">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8A1FE3">
              <w:rPr>
                <w:rFonts w:eastAsia="Calibri" w:cs="Times New Roman"/>
                <w:szCs w:val="18"/>
              </w:rPr>
              <w:t>231 857,58</w:t>
            </w:r>
          </w:p>
        </w:tc>
      </w:tr>
      <w:tr w:rsidR="005F3224" w:rsidRPr="008A1FE3" w14:paraId="72B841C7" w14:textId="77777777" w:rsidTr="008A1FE3">
        <w:tc>
          <w:tcPr>
            <w:cnfStyle w:val="001000000000" w:firstRow="0" w:lastRow="0" w:firstColumn="1" w:lastColumn="0" w:oddVBand="0" w:evenVBand="0" w:oddHBand="0" w:evenHBand="0" w:firstRowFirstColumn="0" w:firstRowLastColumn="0" w:lastRowFirstColumn="0" w:lastRowLastColumn="0"/>
            <w:tcW w:w="1980" w:type="dxa"/>
            <w:hideMark/>
          </w:tcPr>
          <w:p w14:paraId="22BC42F2" w14:textId="77777777" w:rsidR="008E0073" w:rsidRPr="008A1FE3" w:rsidRDefault="008E0073" w:rsidP="005F3224">
            <w:pPr>
              <w:tabs>
                <w:tab w:val="left" w:pos="1134"/>
              </w:tabs>
              <w:rPr>
                <w:rFonts w:eastAsia="Calibri" w:cs="Times New Roman"/>
                <w:szCs w:val="18"/>
              </w:rPr>
            </w:pPr>
            <w:r w:rsidRPr="008A1FE3">
              <w:rPr>
                <w:rFonts w:eastAsia="Calibri" w:cs="Times New Roman"/>
                <w:szCs w:val="18"/>
              </w:rPr>
              <w:lastRenderedPageBreak/>
              <w:t>СЕЗ с.п.Тулома</w:t>
            </w:r>
          </w:p>
        </w:tc>
        <w:tc>
          <w:tcPr>
            <w:tcW w:w="1281" w:type="dxa"/>
            <w:hideMark/>
          </w:tcPr>
          <w:p w14:paraId="2B610433" w14:textId="26B57D87" w:rsidR="008E0073" w:rsidRPr="008A1FE3" w:rsidRDefault="008E0073" w:rsidP="005F3224">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1482" w:type="dxa"/>
            <w:hideMark/>
          </w:tcPr>
          <w:p w14:paraId="43EADA8A" w14:textId="77777777" w:rsidR="008E0073" w:rsidRPr="008A1FE3" w:rsidRDefault="008E0073" w:rsidP="005F3224">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8A1FE3">
              <w:rPr>
                <w:rFonts w:eastAsia="Calibri" w:cs="Times New Roman"/>
                <w:szCs w:val="18"/>
              </w:rPr>
              <w:t>6 017 780,31</w:t>
            </w:r>
          </w:p>
        </w:tc>
        <w:tc>
          <w:tcPr>
            <w:tcW w:w="685" w:type="dxa"/>
            <w:hideMark/>
          </w:tcPr>
          <w:p w14:paraId="23CEBAF3" w14:textId="1B9D75F1" w:rsidR="008E0073" w:rsidRPr="008A1FE3" w:rsidRDefault="008E0073" w:rsidP="005F3224">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1427" w:type="dxa"/>
            <w:hideMark/>
          </w:tcPr>
          <w:p w14:paraId="4CE6B572" w14:textId="77777777" w:rsidR="008E0073" w:rsidRPr="008A1FE3" w:rsidRDefault="008E0073" w:rsidP="005F3224">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8A1FE3">
              <w:rPr>
                <w:rFonts w:eastAsia="Calibri" w:cs="Times New Roman"/>
                <w:szCs w:val="18"/>
              </w:rPr>
              <w:t>6 017 780,31</w:t>
            </w:r>
          </w:p>
        </w:tc>
        <w:tc>
          <w:tcPr>
            <w:tcW w:w="1417" w:type="dxa"/>
            <w:hideMark/>
          </w:tcPr>
          <w:p w14:paraId="49CBC6F5" w14:textId="77777777" w:rsidR="008E0073" w:rsidRPr="008A1FE3" w:rsidRDefault="008E0073" w:rsidP="005F3224">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8A1FE3">
              <w:rPr>
                <w:rFonts w:eastAsia="Calibri" w:cs="Times New Roman"/>
                <w:szCs w:val="18"/>
              </w:rPr>
              <w:t>6 008 381,97</w:t>
            </w:r>
          </w:p>
        </w:tc>
        <w:tc>
          <w:tcPr>
            <w:tcW w:w="1275" w:type="dxa"/>
            <w:hideMark/>
          </w:tcPr>
          <w:p w14:paraId="299C781A" w14:textId="77777777" w:rsidR="008E0073" w:rsidRPr="008A1FE3" w:rsidRDefault="008E0073" w:rsidP="005F3224">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8A1FE3">
              <w:rPr>
                <w:rFonts w:eastAsia="Calibri" w:cs="Times New Roman"/>
                <w:szCs w:val="18"/>
              </w:rPr>
              <w:t>9 398,34</w:t>
            </w:r>
          </w:p>
        </w:tc>
      </w:tr>
      <w:tr w:rsidR="005F3224" w:rsidRPr="008A1FE3" w14:paraId="05311041" w14:textId="77777777" w:rsidTr="008A1FE3">
        <w:tc>
          <w:tcPr>
            <w:cnfStyle w:val="001000000000" w:firstRow="0" w:lastRow="0" w:firstColumn="1" w:lastColumn="0" w:oddVBand="0" w:evenVBand="0" w:oddHBand="0" w:evenHBand="0" w:firstRowFirstColumn="0" w:firstRowLastColumn="0" w:lastRowFirstColumn="0" w:lastRowLastColumn="0"/>
            <w:tcW w:w="1980" w:type="dxa"/>
            <w:hideMark/>
          </w:tcPr>
          <w:p w14:paraId="21C0624F" w14:textId="77777777" w:rsidR="008E0073" w:rsidRPr="008A1FE3" w:rsidRDefault="008E0073" w:rsidP="005F3224">
            <w:pPr>
              <w:tabs>
                <w:tab w:val="left" w:pos="1134"/>
              </w:tabs>
              <w:rPr>
                <w:rFonts w:eastAsia="Calibri" w:cs="Times New Roman"/>
                <w:szCs w:val="18"/>
              </w:rPr>
            </w:pPr>
            <w:r w:rsidRPr="008A1FE3">
              <w:rPr>
                <w:rFonts w:eastAsia="Calibri" w:cs="Times New Roman"/>
                <w:szCs w:val="18"/>
              </w:rPr>
              <w:t>СК МИР</w:t>
            </w:r>
          </w:p>
        </w:tc>
        <w:tc>
          <w:tcPr>
            <w:tcW w:w="1281" w:type="dxa"/>
            <w:hideMark/>
          </w:tcPr>
          <w:p w14:paraId="6C8843A4" w14:textId="02C2667C" w:rsidR="008E0073" w:rsidRPr="008A1FE3" w:rsidRDefault="008E0073" w:rsidP="005F3224">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1482" w:type="dxa"/>
            <w:hideMark/>
          </w:tcPr>
          <w:p w14:paraId="4297EDB4" w14:textId="77777777" w:rsidR="008E0073" w:rsidRPr="008A1FE3" w:rsidRDefault="008E0073" w:rsidP="005F3224">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8A1FE3">
              <w:rPr>
                <w:rFonts w:eastAsia="Calibri" w:cs="Times New Roman"/>
                <w:szCs w:val="18"/>
              </w:rPr>
              <w:t>1 983 760,48</w:t>
            </w:r>
          </w:p>
        </w:tc>
        <w:tc>
          <w:tcPr>
            <w:tcW w:w="685" w:type="dxa"/>
            <w:hideMark/>
          </w:tcPr>
          <w:p w14:paraId="5986E76F" w14:textId="76E264E8" w:rsidR="008E0073" w:rsidRPr="008A1FE3" w:rsidRDefault="008E0073" w:rsidP="005F3224">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1427" w:type="dxa"/>
            <w:hideMark/>
          </w:tcPr>
          <w:p w14:paraId="27696D62" w14:textId="77777777" w:rsidR="008E0073" w:rsidRPr="008A1FE3" w:rsidRDefault="008E0073" w:rsidP="005F3224">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8A1FE3">
              <w:rPr>
                <w:rFonts w:eastAsia="Calibri" w:cs="Times New Roman"/>
                <w:szCs w:val="18"/>
              </w:rPr>
              <w:t>1 983 760,48</w:t>
            </w:r>
          </w:p>
        </w:tc>
        <w:tc>
          <w:tcPr>
            <w:tcW w:w="1417" w:type="dxa"/>
            <w:hideMark/>
          </w:tcPr>
          <w:p w14:paraId="12961D33" w14:textId="77777777" w:rsidR="008E0073" w:rsidRPr="008A1FE3" w:rsidRDefault="008E0073" w:rsidP="005F3224">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8A1FE3">
              <w:rPr>
                <w:rFonts w:eastAsia="Calibri" w:cs="Times New Roman"/>
                <w:szCs w:val="18"/>
              </w:rPr>
              <w:t>0,00</w:t>
            </w:r>
          </w:p>
        </w:tc>
        <w:tc>
          <w:tcPr>
            <w:tcW w:w="1275" w:type="dxa"/>
            <w:hideMark/>
          </w:tcPr>
          <w:p w14:paraId="23EAE3C7" w14:textId="77777777" w:rsidR="008E0073" w:rsidRPr="008A1FE3" w:rsidRDefault="008E0073" w:rsidP="005F3224">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8A1FE3">
              <w:rPr>
                <w:rFonts w:eastAsia="Calibri" w:cs="Times New Roman"/>
                <w:szCs w:val="18"/>
              </w:rPr>
              <w:t>1 983 760,48</w:t>
            </w:r>
          </w:p>
        </w:tc>
      </w:tr>
      <w:tr w:rsidR="005F3224" w:rsidRPr="008A1FE3" w14:paraId="00F66565" w14:textId="77777777" w:rsidTr="008A1FE3">
        <w:tc>
          <w:tcPr>
            <w:cnfStyle w:val="001000000000" w:firstRow="0" w:lastRow="0" w:firstColumn="1" w:lastColumn="0" w:oddVBand="0" w:evenVBand="0" w:oddHBand="0" w:evenHBand="0" w:firstRowFirstColumn="0" w:firstRowLastColumn="0" w:lastRowFirstColumn="0" w:lastRowLastColumn="0"/>
            <w:tcW w:w="1980" w:type="dxa"/>
            <w:hideMark/>
          </w:tcPr>
          <w:p w14:paraId="4649419D" w14:textId="77777777" w:rsidR="008E0073" w:rsidRPr="008A1FE3" w:rsidRDefault="008E0073" w:rsidP="005F3224">
            <w:pPr>
              <w:tabs>
                <w:tab w:val="left" w:pos="1134"/>
              </w:tabs>
              <w:rPr>
                <w:rFonts w:eastAsia="Calibri" w:cs="Times New Roman"/>
                <w:szCs w:val="18"/>
              </w:rPr>
            </w:pPr>
            <w:r w:rsidRPr="008A1FE3">
              <w:rPr>
                <w:rFonts w:eastAsia="Calibri" w:cs="Times New Roman"/>
                <w:szCs w:val="18"/>
              </w:rPr>
              <w:t>СтройЭнергоИнвест</w:t>
            </w:r>
          </w:p>
        </w:tc>
        <w:tc>
          <w:tcPr>
            <w:tcW w:w="1281" w:type="dxa"/>
            <w:hideMark/>
          </w:tcPr>
          <w:p w14:paraId="03670020" w14:textId="66460B85" w:rsidR="008E0073" w:rsidRPr="008A1FE3" w:rsidRDefault="008E0073" w:rsidP="005F3224">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1482" w:type="dxa"/>
            <w:hideMark/>
          </w:tcPr>
          <w:p w14:paraId="217C882B" w14:textId="77777777" w:rsidR="008E0073" w:rsidRPr="008A1FE3" w:rsidRDefault="008E0073" w:rsidP="005F3224">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8A1FE3">
              <w:rPr>
                <w:rFonts w:eastAsia="Calibri" w:cs="Times New Roman"/>
                <w:szCs w:val="18"/>
              </w:rPr>
              <w:t>6 146 038,55</w:t>
            </w:r>
          </w:p>
        </w:tc>
        <w:tc>
          <w:tcPr>
            <w:tcW w:w="685" w:type="dxa"/>
            <w:hideMark/>
          </w:tcPr>
          <w:p w14:paraId="4180AA78" w14:textId="2834EC2C" w:rsidR="008E0073" w:rsidRPr="008A1FE3" w:rsidRDefault="008E0073" w:rsidP="005F3224">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1427" w:type="dxa"/>
            <w:hideMark/>
          </w:tcPr>
          <w:p w14:paraId="00189710" w14:textId="77777777" w:rsidR="008E0073" w:rsidRPr="008A1FE3" w:rsidRDefault="008E0073" w:rsidP="005F3224">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8A1FE3">
              <w:rPr>
                <w:rFonts w:eastAsia="Calibri" w:cs="Times New Roman"/>
                <w:szCs w:val="18"/>
              </w:rPr>
              <w:t>6 146 038,55</w:t>
            </w:r>
          </w:p>
        </w:tc>
        <w:tc>
          <w:tcPr>
            <w:tcW w:w="1417" w:type="dxa"/>
            <w:hideMark/>
          </w:tcPr>
          <w:p w14:paraId="4A67EFA4" w14:textId="77777777" w:rsidR="008E0073" w:rsidRPr="008A1FE3" w:rsidRDefault="008E0073" w:rsidP="005F3224">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8A1FE3">
              <w:rPr>
                <w:rFonts w:eastAsia="Calibri" w:cs="Times New Roman"/>
                <w:szCs w:val="18"/>
              </w:rPr>
              <w:t>0,00</w:t>
            </w:r>
          </w:p>
        </w:tc>
        <w:tc>
          <w:tcPr>
            <w:tcW w:w="1275" w:type="dxa"/>
            <w:hideMark/>
          </w:tcPr>
          <w:p w14:paraId="10615494" w14:textId="77777777" w:rsidR="008E0073" w:rsidRPr="008A1FE3" w:rsidRDefault="008E0073" w:rsidP="005F3224">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8A1FE3">
              <w:rPr>
                <w:rFonts w:eastAsia="Calibri" w:cs="Times New Roman"/>
                <w:szCs w:val="18"/>
              </w:rPr>
              <w:t>6 146 038,55</w:t>
            </w:r>
          </w:p>
        </w:tc>
      </w:tr>
      <w:tr w:rsidR="005F3224" w:rsidRPr="008A1FE3" w14:paraId="7EAEB21F" w14:textId="77777777" w:rsidTr="008A1FE3">
        <w:tc>
          <w:tcPr>
            <w:cnfStyle w:val="001000000000" w:firstRow="0" w:lastRow="0" w:firstColumn="1" w:lastColumn="0" w:oddVBand="0" w:evenVBand="0" w:oddHBand="0" w:evenHBand="0" w:firstRowFirstColumn="0" w:firstRowLastColumn="0" w:lastRowFirstColumn="0" w:lastRowLastColumn="0"/>
            <w:tcW w:w="1980" w:type="dxa"/>
            <w:hideMark/>
          </w:tcPr>
          <w:p w14:paraId="079C8CF1" w14:textId="77777777" w:rsidR="008E0073" w:rsidRPr="008A1FE3" w:rsidRDefault="008E0073" w:rsidP="005F3224">
            <w:pPr>
              <w:tabs>
                <w:tab w:val="left" w:pos="1134"/>
              </w:tabs>
              <w:rPr>
                <w:rFonts w:eastAsia="Calibri" w:cs="Times New Roman"/>
                <w:szCs w:val="18"/>
              </w:rPr>
            </w:pPr>
            <w:r w:rsidRPr="008A1FE3">
              <w:rPr>
                <w:rFonts w:eastAsia="Calibri" w:cs="Times New Roman"/>
                <w:szCs w:val="18"/>
              </w:rPr>
              <w:t>ТС-Африканда</w:t>
            </w:r>
          </w:p>
        </w:tc>
        <w:tc>
          <w:tcPr>
            <w:tcW w:w="1281" w:type="dxa"/>
            <w:hideMark/>
          </w:tcPr>
          <w:p w14:paraId="1BD7A457" w14:textId="11551B52" w:rsidR="008E0073" w:rsidRPr="008A1FE3" w:rsidRDefault="008E0073" w:rsidP="005F3224">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1482" w:type="dxa"/>
            <w:hideMark/>
          </w:tcPr>
          <w:p w14:paraId="3AC851B8" w14:textId="77777777" w:rsidR="008E0073" w:rsidRPr="008A1FE3" w:rsidRDefault="008E0073" w:rsidP="005F3224">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8A1FE3">
              <w:rPr>
                <w:rFonts w:eastAsia="Calibri" w:cs="Times New Roman"/>
                <w:szCs w:val="18"/>
              </w:rPr>
              <w:t>6 848 195,51</w:t>
            </w:r>
          </w:p>
        </w:tc>
        <w:tc>
          <w:tcPr>
            <w:tcW w:w="685" w:type="dxa"/>
            <w:hideMark/>
          </w:tcPr>
          <w:p w14:paraId="31F3D334" w14:textId="0905C945" w:rsidR="008E0073" w:rsidRPr="008A1FE3" w:rsidRDefault="008E0073" w:rsidP="005F3224">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1427" w:type="dxa"/>
            <w:hideMark/>
          </w:tcPr>
          <w:p w14:paraId="71FA3B78" w14:textId="77777777" w:rsidR="008E0073" w:rsidRPr="008A1FE3" w:rsidRDefault="008E0073" w:rsidP="005F3224">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8A1FE3">
              <w:rPr>
                <w:rFonts w:eastAsia="Calibri" w:cs="Times New Roman"/>
                <w:szCs w:val="18"/>
              </w:rPr>
              <w:t>6 848 195,51</w:t>
            </w:r>
          </w:p>
        </w:tc>
        <w:tc>
          <w:tcPr>
            <w:tcW w:w="1417" w:type="dxa"/>
            <w:hideMark/>
          </w:tcPr>
          <w:p w14:paraId="27C852AC" w14:textId="77777777" w:rsidR="008E0073" w:rsidRPr="008A1FE3" w:rsidRDefault="008E0073" w:rsidP="005F3224">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8A1FE3">
              <w:rPr>
                <w:rFonts w:eastAsia="Calibri" w:cs="Times New Roman"/>
                <w:szCs w:val="18"/>
              </w:rPr>
              <w:t>6 649 249,19</w:t>
            </w:r>
          </w:p>
        </w:tc>
        <w:tc>
          <w:tcPr>
            <w:tcW w:w="1275" w:type="dxa"/>
            <w:hideMark/>
          </w:tcPr>
          <w:p w14:paraId="4B184F80" w14:textId="77777777" w:rsidR="008E0073" w:rsidRPr="008A1FE3" w:rsidRDefault="008E0073" w:rsidP="005F3224">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8A1FE3">
              <w:rPr>
                <w:rFonts w:eastAsia="Calibri" w:cs="Times New Roman"/>
                <w:szCs w:val="18"/>
              </w:rPr>
              <w:t>198 946,32</w:t>
            </w:r>
          </w:p>
        </w:tc>
      </w:tr>
      <w:tr w:rsidR="005F3224" w:rsidRPr="008A1FE3" w14:paraId="78B15528" w14:textId="77777777" w:rsidTr="008A1FE3">
        <w:tc>
          <w:tcPr>
            <w:cnfStyle w:val="001000000000" w:firstRow="0" w:lastRow="0" w:firstColumn="1" w:lastColumn="0" w:oddVBand="0" w:evenVBand="0" w:oddHBand="0" w:evenHBand="0" w:firstRowFirstColumn="0" w:firstRowLastColumn="0" w:lastRowFirstColumn="0" w:lastRowLastColumn="0"/>
            <w:tcW w:w="1980" w:type="dxa"/>
            <w:hideMark/>
          </w:tcPr>
          <w:p w14:paraId="0EF43A30" w14:textId="414FEA1D" w:rsidR="008E0073" w:rsidRPr="008A1FE3" w:rsidRDefault="008E0073" w:rsidP="005F3224">
            <w:pPr>
              <w:tabs>
                <w:tab w:val="left" w:pos="1134"/>
              </w:tabs>
              <w:rPr>
                <w:rFonts w:eastAsia="Calibri" w:cs="Times New Roman"/>
                <w:szCs w:val="18"/>
              </w:rPr>
            </w:pPr>
            <w:r w:rsidRPr="008A1FE3">
              <w:rPr>
                <w:rFonts w:eastAsia="Calibri" w:cs="Times New Roman"/>
                <w:szCs w:val="18"/>
              </w:rPr>
              <w:t xml:space="preserve">УК </w:t>
            </w:r>
            <w:r w:rsidR="00655FFA" w:rsidRPr="008A1FE3">
              <w:rPr>
                <w:rFonts w:eastAsia="Calibri" w:cs="Times New Roman"/>
                <w:szCs w:val="18"/>
              </w:rPr>
              <w:t>«</w:t>
            </w:r>
            <w:r w:rsidRPr="008A1FE3">
              <w:rPr>
                <w:rFonts w:eastAsia="Calibri" w:cs="Times New Roman"/>
                <w:szCs w:val="18"/>
              </w:rPr>
              <w:t>Стройгазинвест</w:t>
            </w:r>
            <w:r w:rsidR="00655FFA" w:rsidRPr="008A1FE3">
              <w:rPr>
                <w:rFonts w:eastAsia="Calibri" w:cs="Times New Roman"/>
                <w:szCs w:val="18"/>
              </w:rPr>
              <w:t>»</w:t>
            </w:r>
          </w:p>
        </w:tc>
        <w:tc>
          <w:tcPr>
            <w:tcW w:w="1281" w:type="dxa"/>
            <w:hideMark/>
          </w:tcPr>
          <w:p w14:paraId="4A68FEB5" w14:textId="3E07238C" w:rsidR="008E0073" w:rsidRPr="008A1FE3" w:rsidRDefault="008E0073" w:rsidP="005F3224">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1482" w:type="dxa"/>
            <w:hideMark/>
          </w:tcPr>
          <w:p w14:paraId="3900333B" w14:textId="77777777" w:rsidR="008E0073" w:rsidRPr="008A1FE3" w:rsidRDefault="008E0073" w:rsidP="005F3224">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8A1FE3">
              <w:rPr>
                <w:rFonts w:eastAsia="Calibri" w:cs="Times New Roman"/>
                <w:szCs w:val="18"/>
              </w:rPr>
              <w:t>15 078 753,29</w:t>
            </w:r>
          </w:p>
        </w:tc>
        <w:tc>
          <w:tcPr>
            <w:tcW w:w="685" w:type="dxa"/>
            <w:hideMark/>
          </w:tcPr>
          <w:p w14:paraId="57BA313A" w14:textId="32EB96A4" w:rsidR="008E0073" w:rsidRPr="008A1FE3" w:rsidRDefault="008E0073" w:rsidP="005F3224">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1427" w:type="dxa"/>
            <w:hideMark/>
          </w:tcPr>
          <w:p w14:paraId="1CFF7343" w14:textId="77777777" w:rsidR="008E0073" w:rsidRPr="008A1FE3" w:rsidRDefault="008E0073" w:rsidP="005F3224">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8A1FE3">
              <w:rPr>
                <w:rFonts w:eastAsia="Calibri" w:cs="Times New Roman"/>
                <w:szCs w:val="18"/>
              </w:rPr>
              <w:t>15 078 753,29</w:t>
            </w:r>
          </w:p>
        </w:tc>
        <w:tc>
          <w:tcPr>
            <w:tcW w:w="1417" w:type="dxa"/>
            <w:hideMark/>
          </w:tcPr>
          <w:p w14:paraId="0EF5881E" w14:textId="77777777" w:rsidR="008E0073" w:rsidRPr="008A1FE3" w:rsidRDefault="008E0073" w:rsidP="005F3224">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8A1FE3">
              <w:rPr>
                <w:rFonts w:eastAsia="Calibri" w:cs="Times New Roman"/>
                <w:szCs w:val="18"/>
              </w:rPr>
              <w:t>0,00</w:t>
            </w:r>
          </w:p>
        </w:tc>
        <w:tc>
          <w:tcPr>
            <w:tcW w:w="1275" w:type="dxa"/>
            <w:hideMark/>
          </w:tcPr>
          <w:p w14:paraId="7C7391E7" w14:textId="77777777" w:rsidR="008E0073" w:rsidRPr="008A1FE3" w:rsidRDefault="008E0073" w:rsidP="005F3224">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8A1FE3">
              <w:rPr>
                <w:rFonts w:eastAsia="Calibri" w:cs="Times New Roman"/>
                <w:szCs w:val="18"/>
              </w:rPr>
              <w:t>15 078 753,29</w:t>
            </w:r>
          </w:p>
        </w:tc>
      </w:tr>
      <w:tr w:rsidR="005F3224" w:rsidRPr="008A1FE3" w14:paraId="5278E0E8" w14:textId="77777777" w:rsidTr="008A1FE3">
        <w:tc>
          <w:tcPr>
            <w:cnfStyle w:val="001000000000" w:firstRow="0" w:lastRow="0" w:firstColumn="1" w:lastColumn="0" w:oddVBand="0" w:evenVBand="0" w:oddHBand="0" w:evenHBand="0" w:firstRowFirstColumn="0" w:firstRowLastColumn="0" w:lastRowFirstColumn="0" w:lastRowLastColumn="0"/>
            <w:tcW w:w="1980" w:type="dxa"/>
            <w:hideMark/>
          </w:tcPr>
          <w:p w14:paraId="461CE4AE" w14:textId="77777777" w:rsidR="008E0073" w:rsidRPr="008A1FE3" w:rsidRDefault="008E0073" w:rsidP="005F3224">
            <w:pPr>
              <w:tabs>
                <w:tab w:val="left" w:pos="1134"/>
              </w:tabs>
              <w:rPr>
                <w:rFonts w:eastAsia="Calibri" w:cs="Times New Roman"/>
                <w:szCs w:val="18"/>
              </w:rPr>
            </w:pPr>
            <w:r w:rsidRPr="008A1FE3">
              <w:rPr>
                <w:rFonts w:eastAsia="Calibri" w:cs="Times New Roman"/>
                <w:szCs w:val="18"/>
              </w:rPr>
              <w:t>Услуги ЖКХ</w:t>
            </w:r>
          </w:p>
        </w:tc>
        <w:tc>
          <w:tcPr>
            <w:tcW w:w="1281" w:type="dxa"/>
            <w:hideMark/>
          </w:tcPr>
          <w:p w14:paraId="5D7DB882" w14:textId="77777777" w:rsidR="008E0073" w:rsidRPr="008A1FE3" w:rsidRDefault="008E0073" w:rsidP="005F3224">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8A1FE3">
              <w:rPr>
                <w:rFonts w:eastAsia="Calibri" w:cs="Times New Roman"/>
                <w:szCs w:val="18"/>
              </w:rPr>
              <w:t>7 535 786,29</w:t>
            </w:r>
          </w:p>
        </w:tc>
        <w:tc>
          <w:tcPr>
            <w:tcW w:w="1482" w:type="dxa"/>
            <w:hideMark/>
          </w:tcPr>
          <w:p w14:paraId="3B1C3023" w14:textId="77777777" w:rsidR="008E0073" w:rsidRPr="008A1FE3" w:rsidRDefault="008E0073" w:rsidP="005F3224">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8A1FE3">
              <w:rPr>
                <w:rFonts w:eastAsia="Calibri" w:cs="Times New Roman"/>
                <w:szCs w:val="18"/>
              </w:rPr>
              <w:t>7 535 786,29</w:t>
            </w:r>
          </w:p>
        </w:tc>
        <w:tc>
          <w:tcPr>
            <w:tcW w:w="685" w:type="dxa"/>
            <w:hideMark/>
          </w:tcPr>
          <w:p w14:paraId="436F918C" w14:textId="12FED0D2" w:rsidR="008E0073" w:rsidRPr="008A1FE3" w:rsidRDefault="008E0073" w:rsidP="005F3224">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1427" w:type="dxa"/>
            <w:hideMark/>
          </w:tcPr>
          <w:p w14:paraId="2A2F71BE" w14:textId="549DC774" w:rsidR="008E0073" w:rsidRPr="008A1FE3" w:rsidRDefault="008E0073" w:rsidP="005F3224">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1417" w:type="dxa"/>
          </w:tcPr>
          <w:p w14:paraId="792B3D3E" w14:textId="77777777" w:rsidR="008E0073" w:rsidRPr="008A1FE3" w:rsidRDefault="008E0073" w:rsidP="005F3224">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1275" w:type="dxa"/>
          </w:tcPr>
          <w:p w14:paraId="0AD96EB6" w14:textId="77777777" w:rsidR="008E0073" w:rsidRPr="008A1FE3" w:rsidRDefault="008E0073" w:rsidP="005F3224">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r>
      <w:tr w:rsidR="005F3224" w:rsidRPr="008A1FE3" w14:paraId="75148724" w14:textId="77777777" w:rsidTr="008A1FE3">
        <w:tc>
          <w:tcPr>
            <w:cnfStyle w:val="001000000000" w:firstRow="0" w:lastRow="0" w:firstColumn="1" w:lastColumn="0" w:oddVBand="0" w:evenVBand="0" w:oddHBand="0" w:evenHBand="0" w:firstRowFirstColumn="0" w:firstRowLastColumn="0" w:lastRowFirstColumn="0" w:lastRowLastColumn="0"/>
            <w:tcW w:w="1980" w:type="dxa"/>
            <w:hideMark/>
          </w:tcPr>
          <w:p w14:paraId="0259053E" w14:textId="77777777" w:rsidR="008E0073" w:rsidRPr="008A1FE3" w:rsidRDefault="008E0073" w:rsidP="005F3224">
            <w:pPr>
              <w:tabs>
                <w:tab w:val="left" w:pos="1134"/>
              </w:tabs>
              <w:rPr>
                <w:rFonts w:eastAsia="Calibri" w:cs="Times New Roman"/>
                <w:szCs w:val="18"/>
              </w:rPr>
            </w:pPr>
            <w:r w:rsidRPr="008A1FE3">
              <w:rPr>
                <w:rFonts w:eastAsia="Calibri" w:cs="Times New Roman"/>
                <w:szCs w:val="18"/>
              </w:rPr>
              <w:t>ФОКУС</w:t>
            </w:r>
          </w:p>
        </w:tc>
        <w:tc>
          <w:tcPr>
            <w:tcW w:w="1281" w:type="dxa"/>
            <w:hideMark/>
          </w:tcPr>
          <w:p w14:paraId="2C2AD0A6" w14:textId="43F98BB3" w:rsidR="008E0073" w:rsidRPr="008A1FE3" w:rsidRDefault="008E0073" w:rsidP="005F3224">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1482" w:type="dxa"/>
            <w:hideMark/>
          </w:tcPr>
          <w:p w14:paraId="019341D5" w14:textId="77777777" w:rsidR="008E0073" w:rsidRPr="008A1FE3" w:rsidRDefault="008E0073" w:rsidP="005F3224">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8A1FE3">
              <w:rPr>
                <w:rFonts w:eastAsia="Calibri" w:cs="Times New Roman"/>
                <w:szCs w:val="18"/>
              </w:rPr>
              <w:t>674 732,56</w:t>
            </w:r>
          </w:p>
        </w:tc>
        <w:tc>
          <w:tcPr>
            <w:tcW w:w="685" w:type="dxa"/>
            <w:hideMark/>
          </w:tcPr>
          <w:p w14:paraId="0951447A" w14:textId="577134B5" w:rsidR="008E0073" w:rsidRPr="008A1FE3" w:rsidRDefault="008E0073" w:rsidP="005F3224">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1427" w:type="dxa"/>
            <w:hideMark/>
          </w:tcPr>
          <w:p w14:paraId="0DBCA35D" w14:textId="77777777" w:rsidR="008E0073" w:rsidRPr="008A1FE3" w:rsidRDefault="008E0073" w:rsidP="005F3224">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8A1FE3">
              <w:rPr>
                <w:rFonts w:eastAsia="Calibri" w:cs="Times New Roman"/>
                <w:szCs w:val="18"/>
              </w:rPr>
              <w:t>674 732,56</w:t>
            </w:r>
          </w:p>
        </w:tc>
        <w:tc>
          <w:tcPr>
            <w:tcW w:w="1417" w:type="dxa"/>
            <w:hideMark/>
          </w:tcPr>
          <w:p w14:paraId="18D3D7C1" w14:textId="77777777" w:rsidR="008E0073" w:rsidRPr="008A1FE3" w:rsidRDefault="008E0073" w:rsidP="005F3224">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8A1FE3">
              <w:rPr>
                <w:rFonts w:eastAsia="Calibri" w:cs="Times New Roman"/>
                <w:szCs w:val="18"/>
              </w:rPr>
              <w:t>0,00</w:t>
            </w:r>
          </w:p>
        </w:tc>
        <w:tc>
          <w:tcPr>
            <w:tcW w:w="1275" w:type="dxa"/>
            <w:hideMark/>
          </w:tcPr>
          <w:p w14:paraId="1208C259" w14:textId="77777777" w:rsidR="008E0073" w:rsidRPr="008A1FE3" w:rsidRDefault="008E0073" w:rsidP="005F3224">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8A1FE3">
              <w:rPr>
                <w:rFonts w:eastAsia="Calibri" w:cs="Times New Roman"/>
                <w:szCs w:val="18"/>
              </w:rPr>
              <w:t>674 732,56</w:t>
            </w:r>
          </w:p>
        </w:tc>
      </w:tr>
      <w:tr w:rsidR="005F3224" w:rsidRPr="008A1FE3" w14:paraId="45261295" w14:textId="77777777" w:rsidTr="008A1FE3">
        <w:tc>
          <w:tcPr>
            <w:cnfStyle w:val="001000000000" w:firstRow="0" w:lastRow="0" w:firstColumn="1" w:lastColumn="0" w:oddVBand="0" w:evenVBand="0" w:oddHBand="0" w:evenHBand="0" w:firstRowFirstColumn="0" w:firstRowLastColumn="0" w:lastRowFirstColumn="0" w:lastRowLastColumn="0"/>
            <w:tcW w:w="1980" w:type="dxa"/>
            <w:hideMark/>
          </w:tcPr>
          <w:p w14:paraId="2F91581E" w14:textId="77777777" w:rsidR="008E0073" w:rsidRPr="008A1FE3" w:rsidRDefault="008E0073" w:rsidP="005F3224">
            <w:pPr>
              <w:tabs>
                <w:tab w:val="left" w:pos="1134"/>
              </w:tabs>
              <w:rPr>
                <w:rFonts w:eastAsia="Calibri" w:cs="Times New Roman"/>
                <w:szCs w:val="18"/>
              </w:rPr>
            </w:pPr>
            <w:r w:rsidRPr="008A1FE3">
              <w:rPr>
                <w:rFonts w:eastAsia="Calibri" w:cs="Times New Roman"/>
                <w:szCs w:val="18"/>
              </w:rPr>
              <w:t>ЦКТ</w:t>
            </w:r>
          </w:p>
        </w:tc>
        <w:tc>
          <w:tcPr>
            <w:tcW w:w="1281" w:type="dxa"/>
            <w:hideMark/>
          </w:tcPr>
          <w:p w14:paraId="75EE45A5" w14:textId="77777777" w:rsidR="008E0073" w:rsidRPr="008A1FE3" w:rsidRDefault="008E0073" w:rsidP="005F3224">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8A1FE3">
              <w:rPr>
                <w:rFonts w:eastAsia="Calibri" w:cs="Times New Roman"/>
                <w:szCs w:val="18"/>
              </w:rPr>
              <w:t>2 128 069,79</w:t>
            </w:r>
          </w:p>
        </w:tc>
        <w:tc>
          <w:tcPr>
            <w:tcW w:w="1482" w:type="dxa"/>
            <w:hideMark/>
          </w:tcPr>
          <w:p w14:paraId="50F2C779" w14:textId="77777777" w:rsidR="008E0073" w:rsidRPr="008A1FE3" w:rsidRDefault="008E0073" w:rsidP="005F3224">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8A1FE3">
              <w:rPr>
                <w:rFonts w:eastAsia="Calibri" w:cs="Times New Roman"/>
                <w:szCs w:val="18"/>
              </w:rPr>
              <w:t>2 128 069,79</w:t>
            </w:r>
          </w:p>
        </w:tc>
        <w:tc>
          <w:tcPr>
            <w:tcW w:w="685" w:type="dxa"/>
            <w:hideMark/>
          </w:tcPr>
          <w:p w14:paraId="0CDB429B" w14:textId="2CFFE610" w:rsidR="008E0073" w:rsidRPr="008A1FE3" w:rsidRDefault="008E0073" w:rsidP="005F3224">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1427" w:type="dxa"/>
            <w:hideMark/>
          </w:tcPr>
          <w:p w14:paraId="5296D906" w14:textId="7029B346" w:rsidR="008E0073" w:rsidRPr="008A1FE3" w:rsidRDefault="008E0073" w:rsidP="005F3224">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1417" w:type="dxa"/>
          </w:tcPr>
          <w:p w14:paraId="0010952C" w14:textId="77777777" w:rsidR="008E0073" w:rsidRPr="008A1FE3" w:rsidRDefault="008E0073" w:rsidP="005F3224">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1275" w:type="dxa"/>
          </w:tcPr>
          <w:p w14:paraId="1737723B" w14:textId="77777777" w:rsidR="008E0073" w:rsidRPr="008A1FE3" w:rsidRDefault="008E0073" w:rsidP="005F3224">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r>
      <w:tr w:rsidR="005F3224" w:rsidRPr="008A1FE3" w14:paraId="2E668619" w14:textId="77777777" w:rsidTr="008A1FE3">
        <w:tc>
          <w:tcPr>
            <w:cnfStyle w:val="001000000000" w:firstRow="0" w:lastRow="0" w:firstColumn="1" w:lastColumn="0" w:oddVBand="0" w:evenVBand="0" w:oddHBand="0" w:evenHBand="0" w:firstRowFirstColumn="0" w:firstRowLastColumn="0" w:lastRowFirstColumn="0" w:lastRowLastColumn="0"/>
            <w:tcW w:w="1980" w:type="dxa"/>
            <w:hideMark/>
          </w:tcPr>
          <w:p w14:paraId="60A3BAC2" w14:textId="77777777" w:rsidR="008E0073" w:rsidRPr="008A1FE3" w:rsidRDefault="008E0073" w:rsidP="005F3224">
            <w:pPr>
              <w:tabs>
                <w:tab w:val="left" w:pos="1134"/>
              </w:tabs>
              <w:rPr>
                <w:rFonts w:eastAsia="Calibri" w:cs="Times New Roman"/>
                <w:szCs w:val="18"/>
              </w:rPr>
            </w:pPr>
            <w:r w:rsidRPr="008A1FE3">
              <w:rPr>
                <w:rFonts w:eastAsia="Calibri" w:cs="Times New Roman"/>
                <w:szCs w:val="18"/>
              </w:rPr>
              <w:t>Эко-сервис</w:t>
            </w:r>
          </w:p>
        </w:tc>
        <w:tc>
          <w:tcPr>
            <w:tcW w:w="1281" w:type="dxa"/>
            <w:hideMark/>
          </w:tcPr>
          <w:p w14:paraId="044089EF" w14:textId="0ACF7EDE" w:rsidR="008E0073" w:rsidRPr="008A1FE3" w:rsidRDefault="008E0073" w:rsidP="005F3224">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1482" w:type="dxa"/>
            <w:hideMark/>
          </w:tcPr>
          <w:p w14:paraId="3AF8470E" w14:textId="77777777" w:rsidR="008E0073" w:rsidRPr="008A1FE3" w:rsidRDefault="008E0073" w:rsidP="005F3224">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8A1FE3">
              <w:rPr>
                <w:rFonts w:eastAsia="Calibri" w:cs="Times New Roman"/>
                <w:szCs w:val="18"/>
              </w:rPr>
              <w:t>8 127 070,76</w:t>
            </w:r>
          </w:p>
        </w:tc>
        <w:tc>
          <w:tcPr>
            <w:tcW w:w="685" w:type="dxa"/>
            <w:hideMark/>
          </w:tcPr>
          <w:p w14:paraId="61CAA486" w14:textId="5542B6A1" w:rsidR="008E0073" w:rsidRPr="008A1FE3" w:rsidRDefault="008E0073" w:rsidP="005F3224">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1427" w:type="dxa"/>
            <w:hideMark/>
          </w:tcPr>
          <w:p w14:paraId="36168A9D" w14:textId="77777777" w:rsidR="008E0073" w:rsidRPr="008A1FE3" w:rsidRDefault="008E0073" w:rsidP="005F3224">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8A1FE3">
              <w:rPr>
                <w:rFonts w:eastAsia="Calibri" w:cs="Times New Roman"/>
                <w:szCs w:val="18"/>
              </w:rPr>
              <w:t>8 127 070,76</w:t>
            </w:r>
          </w:p>
        </w:tc>
        <w:tc>
          <w:tcPr>
            <w:tcW w:w="1417" w:type="dxa"/>
            <w:hideMark/>
          </w:tcPr>
          <w:p w14:paraId="19D06C06" w14:textId="77777777" w:rsidR="008E0073" w:rsidRPr="008A1FE3" w:rsidRDefault="008E0073" w:rsidP="005F3224">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8A1FE3">
              <w:rPr>
                <w:rFonts w:eastAsia="Calibri" w:cs="Times New Roman"/>
                <w:szCs w:val="18"/>
              </w:rPr>
              <w:t>7 441 918,88</w:t>
            </w:r>
          </w:p>
        </w:tc>
        <w:tc>
          <w:tcPr>
            <w:tcW w:w="1275" w:type="dxa"/>
            <w:hideMark/>
          </w:tcPr>
          <w:p w14:paraId="6BCCE47D" w14:textId="77777777" w:rsidR="008E0073" w:rsidRPr="008A1FE3" w:rsidRDefault="008E0073" w:rsidP="005F3224">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8A1FE3">
              <w:rPr>
                <w:rFonts w:eastAsia="Calibri" w:cs="Times New Roman"/>
                <w:szCs w:val="18"/>
              </w:rPr>
              <w:t>685 151,88</w:t>
            </w:r>
          </w:p>
        </w:tc>
      </w:tr>
      <w:tr w:rsidR="005F3224" w:rsidRPr="008A1FE3" w14:paraId="786A1F4C" w14:textId="77777777" w:rsidTr="008A1FE3">
        <w:tc>
          <w:tcPr>
            <w:cnfStyle w:val="001000000000" w:firstRow="0" w:lastRow="0" w:firstColumn="1" w:lastColumn="0" w:oddVBand="0" w:evenVBand="0" w:oddHBand="0" w:evenHBand="0" w:firstRowFirstColumn="0" w:firstRowLastColumn="0" w:lastRowFirstColumn="0" w:lastRowLastColumn="0"/>
            <w:tcW w:w="1980" w:type="dxa"/>
            <w:hideMark/>
          </w:tcPr>
          <w:p w14:paraId="2E333C22" w14:textId="77777777" w:rsidR="008E0073" w:rsidRPr="008A1FE3" w:rsidRDefault="008E0073" w:rsidP="005F3224">
            <w:pPr>
              <w:tabs>
                <w:tab w:val="left" w:pos="1134"/>
              </w:tabs>
              <w:rPr>
                <w:rFonts w:eastAsia="Calibri" w:cs="Times New Roman"/>
                <w:szCs w:val="18"/>
              </w:rPr>
            </w:pPr>
            <w:r w:rsidRPr="008A1FE3">
              <w:rPr>
                <w:rFonts w:eastAsia="Calibri" w:cs="Times New Roman"/>
                <w:szCs w:val="18"/>
              </w:rPr>
              <w:t>ЭНЕРГИЯ-М</w:t>
            </w:r>
          </w:p>
        </w:tc>
        <w:tc>
          <w:tcPr>
            <w:tcW w:w="1281" w:type="dxa"/>
            <w:hideMark/>
          </w:tcPr>
          <w:p w14:paraId="7E96B007" w14:textId="7B65303A" w:rsidR="008E0073" w:rsidRPr="008A1FE3" w:rsidRDefault="008E0073" w:rsidP="005F3224">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1482" w:type="dxa"/>
            <w:hideMark/>
          </w:tcPr>
          <w:p w14:paraId="75EBE7EA" w14:textId="77777777" w:rsidR="008E0073" w:rsidRPr="008A1FE3" w:rsidRDefault="008E0073" w:rsidP="005F3224">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8A1FE3">
              <w:rPr>
                <w:rFonts w:eastAsia="Calibri" w:cs="Times New Roman"/>
                <w:szCs w:val="18"/>
              </w:rPr>
              <w:t>1 500 270,42</w:t>
            </w:r>
          </w:p>
        </w:tc>
        <w:tc>
          <w:tcPr>
            <w:tcW w:w="685" w:type="dxa"/>
            <w:hideMark/>
          </w:tcPr>
          <w:p w14:paraId="762CE115" w14:textId="73F816EE" w:rsidR="008E0073" w:rsidRPr="008A1FE3" w:rsidRDefault="008E0073" w:rsidP="005F3224">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1427" w:type="dxa"/>
            <w:hideMark/>
          </w:tcPr>
          <w:p w14:paraId="32C3E42E" w14:textId="77777777" w:rsidR="008E0073" w:rsidRPr="008A1FE3" w:rsidRDefault="008E0073" w:rsidP="005F3224">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8A1FE3">
              <w:rPr>
                <w:rFonts w:eastAsia="Calibri" w:cs="Times New Roman"/>
                <w:szCs w:val="18"/>
              </w:rPr>
              <w:t>1 500 270,42</w:t>
            </w:r>
          </w:p>
        </w:tc>
        <w:tc>
          <w:tcPr>
            <w:tcW w:w="1417" w:type="dxa"/>
            <w:hideMark/>
          </w:tcPr>
          <w:p w14:paraId="201594CD" w14:textId="77777777" w:rsidR="008E0073" w:rsidRPr="008A1FE3" w:rsidRDefault="008E0073" w:rsidP="005F3224">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8A1FE3">
              <w:rPr>
                <w:rFonts w:eastAsia="Calibri" w:cs="Times New Roman"/>
                <w:szCs w:val="18"/>
              </w:rPr>
              <w:t>0,00</w:t>
            </w:r>
          </w:p>
        </w:tc>
        <w:tc>
          <w:tcPr>
            <w:tcW w:w="1275" w:type="dxa"/>
            <w:hideMark/>
          </w:tcPr>
          <w:p w14:paraId="76FA3903" w14:textId="77777777" w:rsidR="008E0073" w:rsidRPr="008A1FE3" w:rsidRDefault="008E0073" w:rsidP="005F3224">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8A1FE3">
              <w:rPr>
                <w:rFonts w:eastAsia="Calibri" w:cs="Times New Roman"/>
                <w:szCs w:val="18"/>
              </w:rPr>
              <w:t>1 500 270,42</w:t>
            </w:r>
          </w:p>
        </w:tc>
      </w:tr>
      <w:tr w:rsidR="005F3224" w:rsidRPr="008A1FE3" w14:paraId="2C791915" w14:textId="77777777" w:rsidTr="008A1FE3">
        <w:tc>
          <w:tcPr>
            <w:cnfStyle w:val="001000000000" w:firstRow="0" w:lastRow="0" w:firstColumn="1" w:lastColumn="0" w:oddVBand="0" w:evenVBand="0" w:oddHBand="0" w:evenHBand="0" w:firstRowFirstColumn="0" w:firstRowLastColumn="0" w:lastRowFirstColumn="0" w:lastRowLastColumn="0"/>
            <w:tcW w:w="1980" w:type="dxa"/>
            <w:hideMark/>
          </w:tcPr>
          <w:p w14:paraId="1A3FA684" w14:textId="77777777" w:rsidR="008E0073" w:rsidRPr="008A1FE3" w:rsidRDefault="008E0073" w:rsidP="005F3224">
            <w:pPr>
              <w:tabs>
                <w:tab w:val="left" w:pos="1134"/>
              </w:tabs>
              <w:rPr>
                <w:rFonts w:eastAsia="Calibri" w:cs="Times New Roman"/>
                <w:szCs w:val="18"/>
              </w:rPr>
            </w:pPr>
            <w:r w:rsidRPr="008A1FE3">
              <w:rPr>
                <w:rFonts w:eastAsia="Calibri" w:cs="Times New Roman"/>
                <w:szCs w:val="18"/>
              </w:rPr>
              <w:t>ЭнергоХолдинг</w:t>
            </w:r>
          </w:p>
        </w:tc>
        <w:tc>
          <w:tcPr>
            <w:tcW w:w="1281" w:type="dxa"/>
            <w:hideMark/>
          </w:tcPr>
          <w:p w14:paraId="16E3CBD4" w14:textId="0F949E07" w:rsidR="008E0073" w:rsidRPr="008A1FE3" w:rsidRDefault="008E0073" w:rsidP="005F3224">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1482" w:type="dxa"/>
            <w:hideMark/>
          </w:tcPr>
          <w:p w14:paraId="3C0F4E7F" w14:textId="77777777" w:rsidR="008E0073" w:rsidRPr="008A1FE3" w:rsidRDefault="008E0073" w:rsidP="005F3224">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8A1FE3">
              <w:rPr>
                <w:rFonts w:eastAsia="Calibri" w:cs="Times New Roman"/>
                <w:szCs w:val="18"/>
              </w:rPr>
              <w:t>4 444 480,35</w:t>
            </w:r>
          </w:p>
        </w:tc>
        <w:tc>
          <w:tcPr>
            <w:tcW w:w="685" w:type="dxa"/>
            <w:hideMark/>
          </w:tcPr>
          <w:p w14:paraId="324326BE" w14:textId="537F25DE" w:rsidR="008E0073" w:rsidRPr="008A1FE3" w:rsidRDefault="008E0073" w:rsidP="005F3224">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1427" w:type="dxa"/>
            <w:hideMark/>
          </w:tcPr>
          <w:p w14:paraId="5532213C" w14:textId="77777777" w:rsidR="008E0073" w:rsidRPr="008A1FE3" w:rsidRDefault="008E0073" w:rsidP="005F3224">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8A1FE3">
              <w:rPr>
                <w:rFonts w:eastAsia="Calibri" w:cs="Times New Roman"/>
                <w:szCs w:val="18"/>
              </w:rPr>
              <w:t>4 444 480,35</w:t>
            </w:r>
          </w:p>
        </w:tc>
        <w:tc>
          <w:tcPr>
            <w:tcW w:w="1417" w:type="dxa"/>
            <w:hideMark/>
          </w:tcPr>
          <w:p w14:paraId="7F31EF4F" w14:textId="77777777" w:rsidR="008E0073" w:rsidRPr="008A1FE3" w:rsidRDefault="008E0073" w:rsidP="005F3224">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8A1FE3">
              <w:rPr>
                <w:rFonts w:eastAsia="Calibri" w:cs="Times New Roman"/>
                <w:szCs w:val="18"/>
              </w:rPr>
              <w:t>3 743 947,91</w:t>
            </w:r>
          </w:p>
        </w:tc>
        <w:tc>
          <w:tcPr>
            <w:tcW w:w="1275" w:type="dxa"/>
            <w:hideMark/>
          </w:tcPr>
          <w:p w14:paraId="39B694D9" w14:textId="77777777" w:rsidR="008E0073" w:rsidRPr="008A1FE3" w:rsidRDefault="008E0073" w:rsidP="005F3224">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8A1FE3">
              <w:rPr>
                <w:rFonts w:eastAsia="Calibri" w:cs="Times New Roman"/>
                <w:szCs w:val="18"/>
              </w:rPr>
              <w:t>700 532,44</w:t>
            </w:r>
          </w:p>
        </w:tc>
      </w:tr>
      <w:tr w:rsidR="005F3224" w:rsidRPr="008A1FE3" w14:paraId="4ED3CC79" w14:textId="77777777" w:rsidTr="008A1FE3">
        <w:tc>
          <w:tcPr>
            <w:cnfStyle w:val="001000000000" w:firstRow="0" w:lastRow="0" w:firstColumn="1" w:lastColumn="0" w:oddVBand="0" w:evenVBand="0" w:oddHBand="0" w:evenHBand="0" w:firstRowFirstColumn="0" w:firstRowLastColumn="0" w:lastRowFirstColumn="0" w:lastRowLastColumn="0"/>
            <w:tcW w:w="1980" w:type="dxa"/>
            <w:noWrap/>
            <w:hideMark/>
          </w:tcPr>
          <w:p w14:paraId="3CC402B6" w14:textId="77777777" w:rsidR="008E0073" w:rsidRPr="008A1FE3" w:rsidRDefault="008E0073" w:rsidP="005F3224">
            <w:pPr>
              <w:tabs>
                <w:tab w:val="left" w:pos="1134"/>
              </w:tabs>
              <w:rPr>
                <w:rFonts w:eastAsia="Calibri" w:cs="Times New Roman"/>
                <w:szCs w:val="18"/>
              </w:rPr>
            </w:pPr>
            <w:r w:rsidRPr="008A1FE3">
              <w:rPr>
                <w:rFonts w:eastAsia="Calibri" w:cs="Times New Roman"/>
                <w:szCs w:val="18"/>
              </w:rPr>
              <w:t>Итого</w:t>
            </w:r>
          </w:p>
        </w:tc>
        <w:tc>
          <w:tcPr>
            <w:tcW w:w="1281" w:type="dxa"/>
            <w:hideMark/>
          </w:tcPr>
          <w:p w14:paraId="46A8CFEA" w14:textId="77777777" w:rsidR="008E0073" w:rsidRPr="008A1FE3" w:rsidRDefault="008E0073" w:rsidP="005F3224">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8A1FE3">
              <w:rPr>
                <w:rFonts w:eastAsia="Calibri" w:cs="Times New Roman"/>
                <w:szCs w:val="18"/>
              </w:rPr>
              <w:t>9 663 856,08</w:t>
            </w:r>
          </w:p>
        </w:tc>
        <w:tc>
          <w:tcPr>
            <w:tcW w:w="1482" w:type="dxa"/>
            <w:hideMark/>
          </w:tcPr>
          <w:p w14:paraId="553D2F01" w14:textId="77777777" w:rsidR="008E0073" w:rsidRPr="008A1FE3" w:rsidRDefault="008E0073" w:rsidP="005F3224">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8A1FE3">
              <w:rPr>
                <w:rFonts w:eastAsia="Calibri" w:cs="Times New Roman"/>
                <w:szCs w:val="18"/>
              </w:rPr>
              <w:t>92 737 370,66</w:t>
            </w:r>
          </w:p>
        </w:tc>
        <w:tc>
          <w:tcPr>
            <w:tcW w:w="685" w:type="dxa"/>
            <w:hideMark/>
          </w:tcPr>
          <w:p w14:paraId="274121E4" w14:textId="4FDC9FBF" w:rsidR="008E0073" w:rsidRPr="008A1FE3" w:rsidRDefault="008E0073" w:rsidP="005F3224">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1427" w:type="dxa"/>
            <w:hideMark/>
          </w:tcPr>
          <w:p w14:paraId="08BDEA38" w14:textId="77777777" w:rsidR="008E0073" w:rsidRPr="008A1FE3" w:rsidRDefault="008E0073" w:rsidP="005F3224">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8A1FE3">
              <w:rPr>
                <w:rFonts w:eastAsia="Calibri" w:cs="Times New Roman"/>
                <w:szCs w:val="18"/>
              </w:rPr>
              <w:t>83 073 514,58</w:t>
            </w:r>
          </w:p>
        </w:tc>
        <w:tc>
          <w:tcPr>
            <w:tcW w:w="1417" w:type="dxa"/>
            <w:hideMark/>
          </w:tcPr>
          <w:p w14:paraId="78CF1745" w14:textId="77777777" w:rsidR="008E0073" w:rsidRPr="008A1FE3" w:rsidRDefault="008E0073" w:rsidP="005F3224">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8A1FE3">
              <w:rPr>
                <w:rFonts w:eastAsia="Calibri" w:cs="Times New Roman"/>
                <w:szCs w:val="18"/>
              </w:rPr>
              <w:t>52 599 455,09</w:t>
            </w:r>
          </w:p>
        </w:tc>
        <w:tc>
          <w:tcPr>
            <w:tcW w:w="1275" w:type="dxa"/>
            <w:hideMark/>
          </w:tcPr>
          <w:p w14:paraId="3BBCA35C" w14:textId="77777777" w:rsidR="008E0073" w:rsidRPr="008A1FE3" w:rsidRDefault="008E0073" w:rsidP="005F3224">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8A1FE3">
              <w:rPr>
                <w:rFonts w:eastAsia="Calibri" w:cs="Times New Roman"/>
                <w:szCs w:val="18"/>
              </w:rPr>
              <w:t>30 474 059,49</w:t>
            </w:r>
          </w:p>
        </w:tc>
      </w:tr>
    </w:tbl>
    <w:p w14:paraId="49F9B141" w14:textId="64B5D53F" w:rsidR="00241DD7" w:rsidRPr="00FB0A3A" w:rsidRDefault="00241DD7" w:rsidP="005F3224">
      <w:pPr>
        <w:pStyle w:val="afff7"/>
        <w:spacing w:after="200"/>
      </w:pPr>
      <w:r w:rsidRPr="00FB0A3A">
        <w:t xml:space="preserve">Также в 2017 году была списана дебиторская задолженность, безнадежная ко взысканию в размере </w:t>
      </w:r>
      <w:r w:rsidR="006E5E1A" w:rsidRPr="00FB0A3A">
        <w:t>84 330,35 тыс. руб.</w:t>
      </w:r>
      <w:r w:rsidRPr="00FB0A3A">
        <w:t xml:space="preserve"> </w:t>
      </w:r>
      <w:r w:rsidR="006E5E1A" w:rsidRPr="00FB0A3A">
        <w:t>(филиалом приложены копии приказов о списании дебиторской задолженности).</w:t>
      </w:r>
    </w:p>
    <w:tbl>
      <w:tblPr>
        <w:tblStyle w:val="afff6"/>
        <w:tblW w:w="5080" w:type="pct"/>
        <w:tblLayout w:type="fixed"/>
        <w:tblLook w:val="04A0" w:firstRow="1" w:lastRow="0" w:firstColumn="1" w:lastColumn="0" w:noHBand="0" w:noVBand="1"/>
      </w:tblPr>
      <w:tblGrid>
        <w:gridCol w:w="575"/>
        <w:gridCol w:w="2718"/>
        <w:gridCol w:w="1277"/>
        <w:gridCol w:w="1380"/>
        <w:gridCol w:w="1558"/>
        <w:gridCol w:w="1986"/>
      </w:tblGrid>
      <w:tr w:rsidR="00F51BD5" w:rsidRPr="008A1FE3" w14:paraId="60C55A93" w14:textId="77777777" w:rsidTr="005C6F98">
        <w:trPr>
          <w:cnfStyle w:val="100000000000" w:firstRow="1" w:lastRow="0" w:firstColumn="0" w:lastColumn="0" w:oddVBand="0" w:evenVBand="0" w:oddHBand="0"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57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30F6AAA" w14:textId="77777777" w:rsidR="00F51BD5" w:rsidRPr="008A1FE3" w:rsidRDefault="00F51BD5" w:rsidP="00F51BD5">
            <w:pPr>
              <w:tabs>
                <w:tab w:val="left" w:pos="1134"/>
              </w:tabs>
              <w:jc w:val="center"/>
              <w:rPr>
                <w:rFonts w:eastAsia="Calibri" w:cs="Times New Roman"/>
                <w:sz w:val="20"/>
                <w:szCs w:val="20"/>
              </w:rPr>
            </w:pPr>
            <w:r w:rsidRPr="008A1FE3">
              <w:rPr>
                <w:rFonts w:eastAsia="Calibri" w:cs="Times New Roman"/>
                <w:sz w:val="20"/>
                <w:szCs w:val="20"/>
              </w:rPr>
              <w:t>№ п/п</w:t>
            </w:r>
          </w:p>
        </w:tc>
        <w:tc>
          <w:tcPr>
            <w:tcW w:w="271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17BE57C" w14:textId="77777777" w:rsidR="00F51BD5" w:rsidRPr="008A1FE3" w:rsidRDefault="00F51BD5" w:rsidP="00F51BD5">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 w:val="20"/>
                <w:szCs w:val="20"/>
              </w:rPr>
            </w:pPr>
            <w:r w:rsidRPr="008A1FE3">
              <w:rPr>
                <w:rFonts w:eastAsia="Calibri" w:cs="Times New Roman"/>
                <w:sz w:val="20"/>
                <w:szCs w:val="20"/>
              </w:rPr>
              <w:t>Наименование организации</w:t>
            </w:r>
          </w:p>
        </w:tc>
        <w:tc>
          <w:tcPr>
            <w:tcW w:w="4215"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591F84D6" w14:textId="77777777" w:rsidR="00F51BD5" w:rsidRPr="008A1FE3" w:rsidRDefault="00F51BD5" w:rsidP="00F51BD5">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 w:val="20"/>
                <w:szCs w:val="20"/>
              </w:rPr>
            </w:pPr>
            <w:r w:rsidRPr="008A1FE3">
              <w:rPr>
                <w:rFonts w:eastAsia="Calibri" w:cs="Times New Roman"/>
                <w:sz w:val="20"/>
                <w:szCs w:val="20"/>
              </w:rPr>
              <w:t>Списано в 2017 году</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937E7D3" w14:textId="77777777" w:rsidR="00F51BD5" w:rsidRPr="008A1FE3" w:rsidRDefault="00F51BD5" w:rsidP="00F51BD5">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 w:val="20"/>
                <w:szCs w:val="20"/>
              </w:rPr>
            </w:pPr>
            <w:r w:rsidRPr="008A1FE3">
              <w:rPr>
                <w:rFonts w:eastAsia="Calibri" w:cs="Times New Roman"/>
                <w:sz w:val="20"/>
                <w:szCs w:val="20"/>
              </w:rPr>
              <w:t>Приказ о списании</w:t>
            </w:r>
          </w:p>
        </w:tc>
      </w:tr>
      <w:tr w:rsidR="00F51BD5" w:rsidRPr="008A1FE3" w14:paraId="3FD82718" w14:textId="77777777" w:rsidTr="005C6F98">
        <w:trPr>
          <w:trHeight w:val="866"/>
        </w:trPr>
        <w:tc>
          <w:tcPr>
            <w:cnfStyle w:val="001000000000" w:firstRow="0" w:lastRow="0" w:firstColumn="1" w:lastColumn="0" w:oddVBand="0" w:evenVBand="0" w:oddHBand="0" w:evenHBand="0" w:firstRowFirstColumn="0" w:firstRowLastColumn="0" w:lastRowFirstColumn="0" w:lastRowLastColumn="0"/>
            <w:tcW w:w="57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E3099D7" w14:textId="77777777" w:rsidR="00F51BD5" w:rsidRPr="008A1FE3" w:rsidRDefault="00F51BD5" w:rsidP="00F51BD5">
            <w:pPr>
              <w:tabs>
                <w:tab w:val="left" w:pos="1134"/>
              </w:tabs>
              <w:rPr>
                <w:rFonts w:eastAsia="Calibri" w:cs="Times New Roman"/>
                <w:sz w:val="20"/>
                <w:szCs w:val="20"/>
              </w:rPr>
            </w:pPr>
          </w:p>
        </w:tc>
        <w:tc>
          <w:tcPr>
            <w:tcW w:w="271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98A77D0" w14:textId="77777777" w:rsidR="00F51BD5" w:rsidRPr="008A1FE3" w:rsidRDefault="00F51BD5" w:rsidP="00F51BD5">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p>
        </w:tc>
        <w:tc>
          <w:tcPr>
            <w:tcW w:w="12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502354EE" w14:textId="77777777" w:rsidR="00F51BD5" w:rsidRPr="008A1FE3" w:rsidRDefault="00F51BD5" w:rsidP="00F51BD5">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color w:val="FFFFFF" w:themeColor="background1"/>
                <w:sz w:val="20"/>
                <w:szCs w:val="20"/>
              </w:rPr>
            </w:pPr>
            <w:r w:rsidRPr="008A1FE3">
              <w:rPr>
                <w:rFonts w:eastAsia="Calibri" w:cs="Times New Roman"/>
                <w:color w:val="FFFFFF" w:themeColor="background1"/>
                <w:sz w:val="20"/>
                <w:szCs w:val="20"/>
              </w:rPr>
              <w:t>Всего, в т.ч.</w:t>
            </w:r>
          </w:p>
        </w:tc>
        <w:tc>
          <w:tcPr>
            <w:tcW w:w="13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767E1DBA" w14:textId="77777777" w:rsidR="00F51BD5" w:rsidRPr="008A1FE3" w:rsidRDefault="00F51BD5" w:rsidP="00F51BD5">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color w:val="FFFFFF" w:themeColor="background1"/>
                <w:sz w:val="20"/>
                <w:szCs w:val="20"/>
              </w:rPr>
            </w:pPr>
            <w:r w:rsidRPr="008A1FE3">
              <w:rPr>
                <w:rFonts w:eastAsia="Calibri" w:cs="Times New Roman"/>
                <w:color w:val="FFFFFF" w:themeColor="background1"/>
                <w:sz w:val="20"/>
                <w:szCs w:val="20"/>
              </w:rPr>
              <w:t>основного долга</w:t>
            </w:r>
          </w:p>
        </w:tc>
        <w:tc>
          <w:tcPr>
            <w:tcW w:w="15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5F475EA8" w14:textId="77777777" w:rsidR="00F51BD5" w:rsidRPr="008A1FE3" w:rsidRDefault="00F51BD5" w:rsidP="00F51BD5">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color w:val="FFFFFF" w:themeColor="background1"/>
                <w:sz w:val="20"/>
                <w:szCs w:val="20"/>
              </w:rPr>
            </w:pPr>
            <w:r w:rsidRPr="008A1FE3">
              <w:rPr>
                <w:rFonts w:eastAsia="Calibri" w:cs="Times New Roman"/>
                <w:color w:val="FFFFFF" w:themeColor="background1"/>
                <w:sz w:val="20"/>
                <w:szCs w:val="20"/>
              </w:rPr>
              <w:t>прочая задолженность</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5007370F" w14:textId="77777777" w:rsidR="00F51BD5" w:rsidRPr="008A1FE3" w:rsidRDefault="00F51BD5" w:rsidP="00F51BD5">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color w:val="FFFFFF" w:themeColor="background1"/>
                <w:sz w:val="20"/>
                <w:szCs w:val="20"/>
              </w:rPr>
            </w:pPr>
          </w:p>
        </w:tc>
      </w:tr>
      <w:tr w:rsidR="006E5E1A" w:rsidRPr="008A1FE3" w14:paraId="5C4B392C" w14:textId="77777777" w:rsidTr="005C6F98">
        <w:trPr>
          <w:trHeight w:val="535"/>
        </w:trPr>
        <w:tc>
          <w:tcPr>
            <w:cnfStyle w:val="001000000000" w:firstRow="0" w:lastRow="0" w:firstColumn="1" w:lastColumn="0" w:oddVBand="0" w:evenVBand="0" w:oddHBand="0" w:evenHBand="0" w:firstRowFirstColumn="0" w:firstRowLastColumn="0" w:lastRowFirstColumn="0" w:lastRowLastColumn="0"/>
            <w:tcW w:w="574" w:type="dxa"/>
            <w:tcBorders>
              <w:top w:val="single" w:sz="4" w:space="0" w:color="FFFFFF" w:themeColor="background1"/>
            </w:tcBorders>
            <w:noWrap/>
            <w:hideMark/>
          </w:tcPr>
          <w:p w14:paraId="6260AC18" w14:textId="77777777" w:rsidR="00241DD7" w:rsidRPr="008A1FE3" w:rsidRDefault="00241DD7" w:rsidP="00F51BD5">
            <w:pPr>
              <w:tabs>
                <w:tab w:val="left" w:pos="1134"/>
              </w:tabs>
              <w:jc w:val="center"/>
              <w:rPr>
                <w:rFonts w:eastAsia="Calibri" w:cs="Times New Roman"/>
                <w:sz w:val="20"/>
                <w:szCs w:val="20"/>
              </w:rPr>
            </w:pPr>
            <w:r w:rsidRPr="008A1FE3">
              <w:rPr>
                <w:rFonts w:eastAsia="Calibri" w:cs="Times New Roman"/>
                <w:sz w:val="20"/>
                <w:szCs w:val="20"/>
              </w:rPr>
              <w:t>1</w:t>
            </w:r>
          </w:p>
        </w:tc>
        <w:tc>
          <w:tcPr>
            <w:tcW w:w="2718" w:type="dxa"/>
            <w:tcBorders>
              <w:top w:val="single" w:sz="4" w:space="0" w:color="FFFFFF" w:themeColor="background1"/>
            </w:tcBorders>
            <w:hideMark/>
          </w:tcPr>
          <w:p w14:paraId="31B6EF88" w14:textId="77986041" w:rsidR="00241DD7" w:rsidRPr="008A1FE3" w:rsidRDefault="00241DD7" w:rsidP="00F51BD5">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8A1FE3">
              <w:rPr>
                <w:rFonts w:eastAsia="Calibri" w:cs="Times New Roman"/>
                <w:sz w:val="20"/>
                <w:szCs w:val="20"/>
              </w:rPr>
              <w:t xml:space="preserve">ООО </w:t>
            </w:r>
            <w:r w:rsidR="00655FFA" w:rsidRPr="008A1FE3">
              <w:rPr>
                <w:rFonts w:eastAsia="Calibri" w:cs="Times New Roman"/>
                <w:sz w:val="20"/>
                <w:szCs w:val="20"/>
              </w:rPr>
              <w:t>«</w:t>
            </w:r>
            <w:r w:rsidRPr="008A1FE3">
              <w:rPr>
                <w:rFonts w:eastAsia="Calibri" w:cs="Times New Roman"/>
                <w:sz w:val="20"/>
                <w:szCs w:val="20"/>
              </w:rPr>
              <w:t>Кольская тепловая компания</w:t>
            </w:r>
            <w:r w:rsidR="00655FFA" w:rsidRPr="008A1FE3">
              <w:rPr>
                <w:rFonts w:eastAsia="Calibri" w:cs="Times New Roman"/>
                <w:sz w:val="20"/>
                <w:szCs w:val="20"/>
              </w:rPr>
              <w:t>»</w:t>
            </w:r>
          </w:p>
        </w:tc>
        <w:tc>
          <w:tcPr>
            <w:tcW w:w="1277" w:type="dxa"/>
            <w:tcBorders>
              <w:top w:val="single" w:sz="4" w:space="0" w:color="FFFFFF" w:themeColor="background1"/>
            </w:tcBorders>
            <w:hideMark/>
          </w:tcPr>
          <w:p w14:paraId="521013F0" w14:textId="77777777" w:rsidR="00241DD7" w:rsidRPr="008A1FE3" w:rsidRDefault="00241DD7" w:rsidP="00F51BD5">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8A1FE3">
              <w:rPr>
                <w:rFonts w:eastAsia="Calibri" w:cs="Times New Roman"/>
                <w:sz w:val="20"/>
                <w:szCs w:val="20"/>
              </w:rPr>
              <w:t>74 666,50</w:t>
            </w:r>
          </w:p>
        </w:tc>
        <w:tc>
          <w:tcPr>
            <w:tcW w:w="1380" w:type="dxa"/>
            <w:tcBorders>
              <w:top w:val="single" w:sz="4" w:space="0" w:color="FFFFFF" w:themeColor="background1"/>
            </w:tcBorders>
            <w:hideMark/>
          </w:tcPr>
          <w:p w14:paraId="4DD9CEBB" w14:textId="77777777" w:rsidR="00241DD7" w:rsidRPr="008A1FE3" w:rsidRDefault="00241DD7" w:rsidP="00F51BD5">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8A1FE3">
              <w:rPr>
                <w:rFonts w:eastAsia="Calibri" w:cs="Times New Roman"/>
                <w:sz w:val="20"/>
                <w:szCs w:val="20"/>
              </w:rPr>
              <w:t>70 699,51</w:t>
            </w:r>
          </w:p>
        </w:tc>
        <w:tc>
          <w:tcPr>
            <w:tcW w:w="1558" w:type="dxa"/>
            <w:tcBorders>
              <w:top w:val="single" w:sz="4" w:space="0" w:color="FFFFFF" w:themeColor="background1"/>
            </w:tcBorders>
            <w:hideMark/>
          </w:tcPr>
          <w:p w14:paraId="37DCAF08" w14:textId="77777777" w:rsidR="00241DD7" w:rsidRPr="008A1FE3" w:rsidRDefault="00241DD7" w:rsidP="00F51BD5">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8A1FE3">
              <w:rPr>
                <w:rFonts w:eastAsia="Calibri" w:cs="Times New Roman"/>
                <w:sz w:val="20"/>
                <w:szCs w:val="20"/>
              </w:rPr>
              <w:t>3 966,99</w:t>
            </w:r>
          </w:p>
        </w:tc>
        <w:tc>
          <w:tcPr>
            <w:tcW w:w="1986" w:type="dxa"/>
            <w:tcBorders>
              <w:top w:val="single" w:sz="4" w:space="0" w:color="FFFFFF" w:themeColor="background1"/>
            </w:tcBorders>
            <w:noWrap/>
            <w:hideMark/>
          </w:tcPr>
          <w:p w14:paraId="28338A3E" w14:textId="77777777" w:rsidR="00241DD7" w:rsidRPr="008A1FE3" w:rsidRDefault="00241DD7" w:rsidP="00F51BD5">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8A1FE3">
              <w:rPr>
                <w:rFonts w:eastAsia="Calibri" w:cs="Times New Roman"/>
                <w:sz w:val="20"/>
                <w:szCs w:val="20"/>
              </w:rPr>
              <w:t>№410 от 29.09.2017</w:t>
            </w:r>
          </w:p>
        </w:tc>
      </w:tr>
      <w:tr w:rsidR="006E5E1A" w:rsidRPr="008A1FE3" w14:paraId="1F8CC392" w14:textId="77777777" w:rsidTr="005C6F98">
        <w:trPr>
          <w:trHeight w:val="259"/>
        </w:trPr>
        <w:tc>
          <w:tcPr>
            <w:cnfStyle w:val="001000000000" w:firstRow="0" w:lastRow="0" w:firstColumn="1" w:lastColumn="0" w:oddVBand="0" w:evenVBand="0" w:oddHBand="0" w:evenHBand="0" w:firstRowFirstColumn="0" w:firstRowLastColumn="0" w:lastRowFirstColumn="0" w:lastRowLastColumn="0"/>
            <w:tcW w:w="574" w:type="dxa"/>
            <w:noWrap/>
            <w:hideMark/>
          </w:tcPr>
          <w:p w14:paraId="4CDD4638" w14:textId="77777777" w:rsidR="00241DD7" w:rsidRPr="008A1FE3" w:rsidRDefault="00241DD7" w:rsidP="00F51BD5">
            <w:pPr>
              <w:tabs>
                <w:tab w:val="left" w:pos="1134"/>
              </w:tabs>
              <w:jc w:val="center"/>
              <w:rPr>
                <w:rFonts w:eastAsia="Calibri" w:cs="Times New Roman"/>
                <w:sz w:val="20"/>
                <w:szCs w:val="20"/>
              </w:rPr>
            </w:pPr>
            <w:r w:rsidRPr="008A1FE3">
              <w:rPr>
                <w:rFonts w:eastAsia="Calibri" w:cs="Times New Roman"/>
                <w:sz w:val="20"/>
                <w:szCs w:val="20"/>
              </w:rPr>
              <w:t>2</w:t>
            </w:r>
          </w:p>
        </w:tc>
        <w:tc>
          <w:tcPr>
            <w:tcW w:w="2718" w:type="dxa"/>
            <w:hideMark/>
          </w:tcPr>
          <w:p w14:paraId="5FDBA823" w14:textId="777F75A1" w:rsidR="00241DD7" w:rsidRPr="008A1FE3" w:rsidRDefault="00241DD7" w:rsidP="00F51BD5">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8A1FE3">
              <w:rPr>
                <w:rFonts w:eastAsia="Calibri" w:cs="Times New Roman"/>
                <w:sz w:val="20"/>
                <w:szCs w:val="20"/>
              </w:rPr>
              <w:t xml:space="preserve">МУП </w:t>
            </w:r>
            <w:r w:rsidR="00655FFA" w:rsidRPr="008A1FE3">
              <w:rPr>
                <w:rFonts w:eastAsia="Calibri" w:cs="Times New Roman"/>
                <w:sz w:val="20"/>
                <w:szCs w:val="20"/>
              </w:rPr>
              <w:t>«</w:t>
            </w:r>
            <w:r w:rsidRPr="008A1FE3">
              <w:rPr>
                <w:rFonts w:eastAsia="Calibri" w:cs="Times New Roman"/>
                <w:sz w:val="20"/>
                <w:szCs w:val="20"/>
              </w:rPr>
              <w:t>Услуги ЖКХ</w:t>
            </w:r>
            <w:r w:rsidR="00655FFA" w:rsidRPr="008A1FE3">
              <w:rPr>
                <w:rFonts w:eastAsia="Calibri" w:cs="Times New Roman"/>
                <w:sz w:val="20"/>
                <w:szCs w:val="20"/>
              </w:rPr>
              <w:t>»</w:t>
            </w:r>
            <w:r w:rsidRPr="008A1FE3">
              <w:rPr>
                <w:rFonts w:eastAsia="Calibri" w:cs="Times New Roman"/>
                <w:sz w:val="20"/>
                <w:szCs w:val="20"/>
              </w:rPr>
              <w:t xml:space="preserve"> </w:t>
            </w:r>
          </w:p>
        </w:tc>
        <w:tc>
          <w:tcPr>
            <w:tcW w:w="1277" w:type="dxa"/>
            <w:noWrap/>
            <w:hideMark/>
          </w:tcPr>
          <w:p w14:paraId="08CE1FBC" w14:textId="77777777" w:rsidR="00241DD7" w:rsidRPr="008A1FE3" w:rsidRDefault="00241DD7" w:rsidP="00F51BD5">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8A1FE3">
              <w:rPr>
                <w:rFonts w:eastAsia="Calibri" w:cs="Times New Roman"/>
                <w:sz w:val="20"/>
                <w:szCs w:val="20"/>
              </w:rPr>
              <w:t>7 535,79</w:t>
            </w:r>
          </w:p>
        </w:tc>
        <w:tc>
          <w:tcPr>
            <w:tcW w:w="1380" w:type="dxa"/>
            <w:hideMark/>
          </w:tcPr>
          <w:p w14:paraId="66A41AAE" w14:textId="77777777" w:rsidR="00241DD7" w:rsidRPr="008A1FE3" w:rsidRDefault="00241DD7" w:rsidP="00F51BD5">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8A1FE3">
              <w:rPr>
                <w:rFonts w:eastAsia="Calibri" w:cs="Times New Roman"/>
                <w:sz w:val="20"/>
                <w:szCs w:val="20"/>
              </w:rPr>
              <w:t>7 234,10</w:t>
            </w:r>
          </w:p>
        </w:tc>
        <w:tc>
          <w:tcPr>
            <w:tcW w:w="1558" w:type="dxa"/>
            <w:hideMark/>
          </w:tcPr>
          <w:p w14:paraId="40A06592" w14:textId="77777777" w:rsidR="00241DD7" w:rsidRPr="008A1FE3" w:rsidRDefault="00241DD7" w:rsidP="00F51BD5">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8A1FE3">
              <w:rPr>
                <w:rFonts w:eastAsia="Calibri" w:cs="Times New Roman"/>
                <w:sz w:val="20"/>
                <w:szCs w:val="20"/>
              </w:rPr>
              <w:t>301,69</w:t>
            </w:r>
          </w:p>
        </w:tc>
        <w:tc>
          <w:tcPr>
            <w:tcW w:w="1986" w:type="dxa"/>
            <w:noWrap/>
            <w:hideMark/>
          </w:tcPr>
          <w:p w14:paraId="64655C24" w14:textId="77777777" w:rsidR="00241DD7" w:rsidRPr="008A1FE3" w:rsidRDefault="00241DD7" w:rsidP="00F51BD5">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8A1FE3">
              <w:rPr>
                <w:rFonts w:eastAsia="Calibri" w:cs="Times New Roman"/>
                <w:sz w:val="20"/>
                <w:szCs w:val="20"/>
              </w:rPr>
              <w:t>№533 от 08.12.2017</w:t>
            </w:r>
          </w:p>
        </w:tc>
      </w:tr>
      <w:tr w:rsidR="006E5E1A" w:rsidRPr="008A1FE3" w14:paraId="52AC75E7" w14:textId="77777777" w:rsidTr="005C6F98">
        <w:trPr>
          <w:trHeight w:val="259"/>
        </w:trPr>
        <w:tc>
          <w:tcPr>
            <w:cnfStyle w:val="001000000000" w:firstRow="0" w:lastRow="0" w:firstColumn="1" w:lastColumn="0" w:oddVBand="0" w:evenVBand="0" w:oddHBand="0" w:evenHBand="0" w:firstRowFirstColumn="0" w:firstRowLastColumn="0" w:lastRowFirstColumn="0" w:lastRowLastColumn="0"/>
            <w:tcW w:w="574" w:type="dxa"/>
            <w:noWrap/>
            <w:hideMark/>
          </w:tcPr>
          <w:p w14:paraId="7637807E" w14:textId="77777777" w:rsidR="00241DD7" w:rsidRPr="008A1FE3" w:rsidRDefault="00241DD7" w:rsidP="00F51BD5">
            <w:pPr>
              <w:tabs>
                <w:tab w:val="left" w:pos="1134"/>
              </w:tabs>
              <w:jc w:val="center"/>
              <w:rPr>
                <w:rFonts w:eastAsia="Calibri" w:cs="Times New Roman"/>
                <w:sz w:val="20"/>
                <w:szCs w:val="20"/>
              </w:rPr>
            </w:pPr>
            <w:r w:rsidRPr="008A1FE3">
              <w:rPr>
                <w:rFonts w:eastAsia="Calibri" w:cs="Times New Roman"/>
                <w:sz w:val="20"/>
                <w:szCs w:val="20"/>
              </w:rPr>
              <w:t>3</w:t>
            </w:r>
          </w:p>
        </w:tc>
        <w:tc>
          <w:tcPr>
            <w:tcW w:w="2718" w:type="dxa"/>
            <w:hideMark/>
          </w:tcPr>
          <w:p w14:paraId="4A49546A" w14:textId="081B9122" w:rsidR="00241DD7" w:rsidRPr="008A1FE3" w:rsidRDefault="00241DD7" w:rsidP="00F51BD5">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8A1FE3">
              <w:rPr>
                <w:rFonts w:eastAsia="Calibri" w:cs="Times New Roman"/>
                <w:sz w:val="20"/>
                <w:szCs w:val="20"/>
              </w:rPr>
              <w:t xml:space="preserve">ООО </w:t>
            </w:r>
            <w:r w:rsidR="00655FFA" w:rsidRPr="008A1FE3">
              <w:rPr>
                <w:rFonts w:eastAsia="Calibri" w:cs="Times New Roman"/>
                <w:sz w:val="20"/>
                <w:szCs w:val="20"/>
              </w:rPr>
              <w:t>«</w:t>
            </w:r>
            <w:r w:rsidRPr="008A1FE3">
              <w:rPr>
                <w:rFonts w:eastAsia="Calibri" w:cs="Times New Roman"/>
                <w:sz w:val="20"/>
                <w:szCs w:val="20"/>
              </w:rPr>
              <w:t>ЦКТ</w:t>
            </w:r>
            <w:r w:rsidR="00655FFA" w:rsidRPr="008A1FE3">
              <w:rPr>
                <w:rFonts w:eastAsia="Calibri" w:cs="Times New Roman"/>
                <w:sz w:val="20"/>
                <w:szCs w:val="20"/>
              </w:rPr>
              <w:t>»</w:t>
            </w:r>
          </w:p>
        </w:tc>
        <w:tc>
          <w:tcPr>
            <w:tcW w:w="1277" w:type="dxa"/>
            <w:noWrap/>
            <w:hideMark/>
          </w:tcPr>
          <w:p w14:paraId="7A383D0C" w14:textId="77777777" w:rsidR="00241DD7" w:rsidRPr="008A1FE3" w:rsidRDefault="00241DD7" w:rsidP="00F51BD5">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8A1FE3">
              <w:rPr>
                <w:rFonts w:eastAsia="Calibri" w:cs="Times New Roman"/>
                <w:sz w:val="20"/>
                <w:szCs w:val="20"/>
              </w:rPr>
              <w:t>2 128,07</w:t>
            </w:r>
          </w:p>
        </w:tc>
        <w:tc>
          <w:tcPr>
            <w:tcW w:w="1380" w:type="dxa"/>
            <w:hideMark/>
          </w:tcPr>
          <w:p w14:paraId="5A8AEDB1" w14:textId="77777777" w:rsidR="00241DD7" w:rsidRPr="008A1FE3" w:rsidRDefault="00241DD7" w:rsidP="00F51BD5">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8A1FE3">
              <w:rPr>
                <w:rFonts w:eastAsia="Calibri" w:cs="Times New Roman"/>
                <w:sz w:val="20"/>
                <w:szCs w:val="20"/>
              </w:rPr>
              <w:t>2 079,43</w:t>
            </w:r>
          </w:p>
        </w:tc>
        <w:tc>
          <w:tcPr>
            <w:tcW w:w="1558" w:type="dxa"/>
            <w:hideMark/>
          </w:tcPr>
          <w:p w14:paraId="1ECD94B7" w14:textId="77777777" w:rsidR="00241DD7" w:rsidRPr="008A1FE3" w:rsidRDefault="00241DD7" w:rsidP="00F51BD5">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8A1FE3">
              <w:rPr>
                <w:rFonts w:eastAsia="Calibri" w:cs="Times New Roman"/>
                <w:sz w:val="20"/>
                <w:szCs w:val="20"/>
              </w:rPr>
              <w:t>48,64</w:t>
            </w:r>
          </w:p>
        </w:tc>
        <w:tc>
          <w:tcPr>
            <w:tcW w:w="1986" w:type="dxa"/>
            <w:noWrap/>
            <w:hideMark/>
          </w:tcPr>
          <w:p w14:paraId="4FCEFC28" w14:textId="77777777" w:rsidR="00241DD7" w:rsidRPr="008A1FE3" w:rsidRDefault="00241DD7" w:rsidP="00F51BD5">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8A1FE3">
              <w:rPr>
                <w:rFonts w:eastAsia="Calibri" w:cs="Times New Roman"/>
                <w:sz w:val="20"/>
                <w:szCs w:val="20"/>
              </w:rPr>
              <w:t>№599 от 29.12.2017</w:t>
            </w:r>
          </w:p>
        </w:tc>
      </w:tr>
      <w:tr w:rsidR="006E5E1A" w:rsidRPr="008A1FE3" w14:paraId="57E1CA34" w14:textId="77777777" w:rsidTr="005C6F98">
        <w:trPr>
          <w:trHeight w:val="276"/>
        </w:trPr>
        <w:tc>
          <w:tcPr>
            <w:cnfStyle w:val="001000000000" w:firstRow="0" w:lastRow="0" w:firstColumn="1" w:lastColumn="0" w:oddVBand="0" w:evenVBand="0" w:oddHBand="0" w:evenHBand="0" w:firstRowFirstColumn="0" w:firstRowLastColumn="0" w:lastRowFirstColumn="0" w:lastRowLastColumn="0"/>
            <w:tcW w:w="574" w:type="dxa"/>
            <w:noWrap/>
            <w:hideMark/>
          </w:tcPr>
          <w:p w14:paraId="3D3403EC" w14:textId="682513B2" w:rsidR="00241DD7" w:rsidRPr="008A1FE3" w:rsidRDefault="00F51BD5" w:rsidP="00F51BD5">
            <w:pPr>
              <w:tabs>
                <w:tab w:val="left" w:pos="1134"/>
              </w:tabs>
              <w:jc w:val="center"/>
              <w:rPr>
                <w:rFonts w:eastAsia="Calibri" w:cs="Times New Roman"/>
                <w:b/>
                <w:sz w:val="20"/>
                <w:szCs w:val="20"/>
              </w:rPr>
            </w:pPr>
            <w:r w:rsidRPr="008A1FE3">
              <w:rPr>
                <w:rFonts w:eastAsia="Calibri" w:cs="Times New Roman"/>
                <w:b/>
                <w:sz w:val="20"/>
                <w:szCs w:val="20"/>
              </w:rPr>
              <w:t>4</w:t>
            </w:r>
          </w:p>
        </w:tc>
        <w:tc>
          <w:tcPr>
            <w:tcW w:w="2718" w:type="dxa"/>
            <w:hideMark/>
          </w:tcPr>
          <w:p w14:paraId="0F8748E2" w14:textId="77777777" w:rsidR="00241DD7" w:rsidRPr="008A1FE3" w:rsidRDefault="00241DD7" w:rsidP="00F51BD5">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b/>
                <w:sz w:val="20"/>
                <w:szCs w:val="20"/>
              </w:rPr>
            </w:pPr>
            <w:r w:rsidRPr="008A1FE3">
              <w:rPr>
                <w:rFonts w:eastAsia="Calibri" w:cs="Times New Roman"/>
                <w:b/>
                <w:sz w:val="20"/>
                <w:szCs w:val="20"/>
              </w:rPr>
              <w:t>ИТОГО</w:t>
            </w:r>
          </w:p>
        </w:tc>
        <w:tc>
          <w:tcPr>
            <w:tcW w:w="1277" w:type="dxa"/>
            <w:noWrap/>
            <w:hideMark/>
          </w:tcPr>
          <w:p w14:paraId="5403B8E7" w14:textId="77777777" w:rsidR="00241DD7" w:rsidRPr="008A1FE3" w:rsidRDefault="00241DD7" w:rsidP="00F51BD5">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b/>
                <w:sz w:val="20"/>
                <w:szCs w:val="20"/>
              </w:rPr>
            </w:pPr>
            <w:r w:rsidRPr="008A1FE3">
              <w:rPr>
                <w:rFonts w:eastAsia="Calibri" w:cs="Times New Roman"/>
                <w:b/>
                <w:sz w:val="20"/>
                <w:szCs w:val="20"/>
              </w:rPr>
              <w:t>84 330,35</w:t>
            </w:r>
          </w:p>
        </w:tc>
        <w:tc>
          <w:tcPr>
            <w:tcW w:w="1380" w:type="dxa"/>
            <w:noWrap/>
            <w:hideMark/>
          </w:tcPr>
          <w:p w14:paraId="2DD9559A" w14:textId="77777777" w:rsidR="00241DD7" w:rsidRPr="008A1FE3" w:rsidRDefault="00241DD7" w:rsidP="00F51BD5">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b/>
                <w:sz w:val="20"/>
                <w:szCs w:val="20"/>
              </w:rPr>
            </w:pPr>
            <w:r w:rsidRPr="008A1FE3">
              <w:rPr>
                <w:rFonts w:eastAsia="Calibri" w:cs="Times New Roman"/>
                <w:b/>
                <w:sz w:val="20"/>
                <w:szCs w:val="20"/>
              </w:rPr>
              <w:t>80 013,04</w:t>
            </w:r>
          </w:p>
        </w:tc>
        <w:tc>
          <w:tcPr>
            <w:tcW w:w="1558" w:type="dxa"/>
            <w:noWrap/>
            <w:hideMark/>
          </w:tcPr>
          <w:p w14:paraId="05B5CD11" w14:textId="77777777" w:rsidR="00241DD7" w:rsidRPr="008A1FE3" w:rsidRDefault="00241DD7" w:rsidP="00F51BD5">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b/>
                <w:sz w:val="20"/>
                <w:szCs w:val="20"/>
              </w:rPr>
            </w:pPr>
            <w:r w:rsidRPr="008A1FE3">
              <w:rPr>
                <w:rFonts w:eastAsia="Calibri" w:cs="Times New Roman"/>
                <w:b/>
                <w:sz w:val="20"/>
                <w:szCs w:val="20"/>
              </w:rPr>
              <w:t>4 317,31</w:t>
            </w:r>
          </w:p>
        </w:tc>
        <w:tc>
          <w:tcPr>
            <w:tcW w:w="1986" w:type="dxa"/>
            <w:hideMark/>
          </w:tcPr>
          <w:p w14:paraId="2A88A9AB" w14:textId="1A24CC4A" w:rsidR="00241DD7" w:rsidRPr="008A1FE3" w:rsidRDefault="00241DD7" w:rsidP="00F51BD5">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b/>
                <w:sz w:val="20"/>
                <w:szCs w:val="20"/>
              </w:rPr>
            </w:pPr>
          </w:p>
        </w:tc>
      </w:tr>
    </w:tbl>
    <w:p w14:paraId="06AF469A" w14:textId="0A329A41" w:rsidR="008E0073" w:rsidRPr="00DB13E0" w:rsidRDefault="008E0073" w:rsidP="00F51BD5">
      <w:pPr>
        <w:pStyle w:val="afff7"/>
      </w:pPr>
      <w:r w:rsidRPr="00FB0A3A">
        <w:t xml:space="preserve">По мнению Исполнителя, сумма сомнительной дебиторской задолженности за услуги по передаче электроэнергии для включения в НВВ 2019 года в качестве </w:t>
      </w:r>
      <w:r w:rsidRPr="00DB13E0">
        <w:t>резерва сомнительных долгов составляет 52 599 455,09 руб. (суммы по МУП </w:t>
      </w:r>
      <w:r w:rsidR="00655FFA" w:rsidRPr="00DB13E0">
        <w:t>«</w:t>
      </w:r>
      <w:r w:rsidRPr="00DB13E0">
        <w:t>Услуги ЖКХ</w:t>
      </w:r>
      <w:r w:rsidR="00655FFA" w:rsidRPr="00DB13E0">
        <w:t>»</w:t>
      </w:r>
      <w:r w:rsidRPr="00DB13E0">
        <w:t xml:space="preserve"> и ООО </w:t>
      </w:r>
      <w:r w:rsidR="00655FFA" w:rsidRPr="00DB13E0">
        <w:t>«</w:t>
      </w:r>
      <w:r w:rsidRPr="00DB13E0">
        <w:t>ЦКТ</w:t>
      </w:r>
      <w:r w:rsidR="00655FFA" w:rsidRPr="00DB13E0">
        <w:t>»</w:t>
      </w:r>
      <w:r w:rsidRPr="00DB13E0">
        <w:t xml:space="preserve"> списаны в 2017 году из созданного резерва).</w:t>
      </w:r>
    </w:p>
    <w:p w14:paraId="57D1CB0C" w14:textId="14B5C8DC" w:rsidR="006E5E1A" w:rsidRPr="00DB13E0" w:rsidRDefault="006E5E1A" w:rsidP="00A31747">
      <w:pPr>
        <w:tabs>
          <w:tab w:val="left" w:pos="1134"/>
        </w:tabs>
        <w:spacing w:after="0" w:line="360" w:lineRule="auto"/>
        <w:ind w:firstLine="567"/>
        <w:contextualSpacing/>
        <w:jc w:val="both"/>
        <w:rPr>
          <w:rFonts w:ascii="Myriad Pro" w:eastAsia="Calibri" w:hAnsi="Myriad Pro" w:cs="Times New Roman"/>
          <w:sz w:val="26"/>
          <w:szCs w:val="26"/>
        </w:rPr>
      </w:pPr>
      <w:r w:rsidRPr="00DB13E0">
        <w:rPr>
          <w:rFonts w:ascii="Myriad Pro" w:eastAsia="Calibri" w:hAnsi="Myriad Pro" w:cs="Times New Roman"/>
          <w:sz w:val="26"/>
          <w:szCs w:val="26"/>
        </w:rPr>
        <w:t>Согласно мнению Верховного Суда Российской Федерации от 05.12.2019 по делу №1-АПА19-16 сумма 80 013,04 тыс. руб. должна быть учтена в корректировке неподконтрольных расходов по фактическим данным за 2017 год.</w:t>
      </w:r>
    </w:p>
    <w:p w14:paraId="1FDF6586" w14:textId="34D57ACF" w:rsidR="008660DE" w:rsidRPr="00FB0A3A" w:rsidRDefault="00655FFA" w:rsidP="00F51BD5">
      <w:pPr>
        <w:tabs>
          <w:tab w:val="left" w:pos="1134"/>
        </w:tabs>
        <w:spacing w:before="240" w:after="0" w:line="360" w:lineRule="auto"/>
        <w:jc w:val="both"/>
        <w:rPr>
          <w:rFonts w:ascii="Myriad Pro" w:hAnsi="Myriad Pro"/>
          <w:b/>
          <w:i/>
          <w:sz w:val="26"/>
          <w:szCs w:val="26"/>
        </w:rPr>
      </w:pPr>
      <w:r w:rsidRPr="00DB13E0">
        <w:rPr>
          <w:rFonts w:ascii="Myriad Pro" w:eastAsia="Calibri" w:hAnsi="Myriad Pro" w:cs="Times New Roman"/>
          <w:b/>
          <w:i/>
          <w:sz w:val="26"/>
          <w:szCs w:val="26"/>
        </w:rPr>
        <w:lastRenderedPageBreak/>
        <w:t>«</w:t>
      </w:r>
      <w:r w:rsidR="008660DE" w:rsidRPr="00DB13E0">
        <w:rPr>
          <w:rFonts w:ascii="Myriad Pro" w:eastAsia="Calibri" w:hAnsi="Myriad Pro" w:cs="Times New Roman"/>
          <w:b/>
          <w:i/>
          <w:sz w:val="26"/>
          <w:szCs w:val="26"/>
        </w:rPr>
        <w:t>Резерв по сомнительным долгам</w:t>
      </w:r>
      <w:r w:rsidRPr="00DB13E0">
        <w:rPr>
          <w:rFonts w:ascii="Myriad Pro" w:eastAsia="Calibri" w:hAnsi="Myriad Pro" w:cs="Times New Roman"/>
          <w:b/>
          <w:i/>
          <w:sz w:val="26"/>
          <w:szCs w:val="26"/>
        </w:rPr>
        <w:t>»</w:t>
      </w:r>
      <w:r w:rsidR="008660DE" w:rsidRPr="00DB13E0">
        <w:rPr>
          <w:rFonts w:ascii="Myriad Pro" w:eastAsia="Calibri" w:hAnsi="Myriad Pro" w:cs="Times New Roman"/>
          <w:b/>
          <w:i/>
          <w:sz w:val="26"/>
          <w:szCs w:val="26"/>
        </w:rPr>
        <w:t xml:space="preserve"> (</w:t>
      </w:r>
      <w:r w:rsidR="008660DE" w:rsidRPr="00DB13E0">
        <w:rPr>
          <w:rFonts w:ascii="Myriad Pro" w:hAnsi="Myriad Pro"/>
          <w:b/>
          <w:i/>
          <w:sz w:val="26"/>
          <w:szCs w:val="26"/>
        </w:rPr>
        <w:t>сбытовая деятельность в период</w:t>
      </w:r>
      <w:r w:rsidR="008660DE" w:rsidRPr="00FB0A3A">
        <w:rPr>
          <w:rFonts w:ascii="Myriad Pro" w:hAnsi="Myriad Pro"/>
          <w:b/>
          <w:i/>
          <w:sz w:val="26"/>
          <w:szCs w:val="26"/>
        </w:rPr>
        <w:t xml:space="preserve"> </w:t>
      </w:r>
      <w:r w:rsidR="008660DE" w:rsidRPr="00FB0A3A">
        <w:rPr>
          <w:rFonts w:ascii="Myriad Pro" w:eastAsia="Calibri" w:hAnsi="Myriad Pro" w:cs="Times New Roman"/>
          <w:b/>
          <w:i/>
          <w:sz w:val="26"/>
          <w:szCs w:val="26"/>
        </w:rPr>
        <w:t>01.03.2013 по 01.02.2015 г.</w:t>
      </w:r>
      <w:r w:rsidR="00F51BD5" w:rsidRPr="00FB0A3A">
        <w:rPr>
          <w:rFonts w:ascii="Myriad Pro" w:hAnsi="Myriad Pro"/>
          <w:b/>
          <w:i/>
          <w:sz w:val="26"/>
          <w:szCs w:val="26"/>
        </w:rPr>
        <w:t>)</w:t>
      </w:r>
    </w:p>
    <w:p w14:paraId="7AFF3525" w14:textId="52295387" w:rsidR="008660DE" w:rsidRPr="00FB0A3A" w:rsidRDefault="008660DE" w:rsidP="00A31747">
      <w:pPr>
        <w:pStyle w:val="a4"/>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 xml:space="preserve">Исполнителем проанализирована информация, представленная филиалом ПАО </w:t>
      </w:r>
      <w:r w:rsidR="00655FFA" w:rsidRPr="00FB0A3A">
        <w:rPr>
          <w:rFonts w:ascii="Myriad Pro" w:hAnsi="Myriad Pro"/>
          <w:sz w:val="26"/>
          <w:szCs w:val="26"/>
        </w:rPr>
        <w:t>«</w:t>
      </w:r>
      <w:r w:rsidRPr="00FB0A3A">
        <w:rPr>
          <w:rFonts w:ascii="Myriad Pro" w:hAnsi="Myriad Pro"/>
          <w:sz w:val="26"/>
          <w:szCs w:val="26"/>
        </w:rPr>
        <w:t>МРСК Северо-Запада</w:t>
      </w:r>
      <w:r w:rsidR="00655FFA" w:rsidRPr="00FB0A3A">
        <w:rPr>
          <w:rFonts w:ascii="Myriad Pro" w:hAnsi="Myriad Pro"/>
          <w:sz w:val="26"/>
          <w:szCs w:val="26"/>
        </w:rPr>
        <w:t>»</w:t>
      </w:r>
      <w:r w:rsidRPr="00FB0A3A">
        <w:rPr>
          <w:rFonts w:ascii="Myriad Pro" w:hAnsi="Myriad Pro"/>
          <w:sz w:val="26"/>
          <w:szCs w:val="26"/>
        </w:rPr>
        <w:t xml:space="preserve"> </w:t>
      </w:r>
      <w:r w:rsidR="00655FFA" w:rsidRPr="00FB0A3A">
        <w:rPr>
          <w:rFonts w:ascii="Myriad Pro" w:hAnsi="Myriad Pro"/>
          <w:sz w:val="26"/>
          <w:szCs w:val="26"/>
        </w:rPr>
        <w:t>«</w:t>
      </w:r>
      <w:r w:rsidRPr="00FB0A3A">
        <w:rPr>
          <w:rFonts w:ascii="Myriad Pro" w:hAnsi="Myriad Pro"/>
          <w:sz w:val="26"/>
          <w:szCs w:val="26"/>
        </w:rPr>
        <w:t>Колэнерго</w:t>
      </w:r>
      <w:r w:rsidR="00655FFA" w:rsidRPr="00FB0A3A">
        <w:rPr>
          <w:rFonts w:ascii="Myriad Pro" w:hAnsi="Myriad Pro"/>
          <w:sz w:val="26"/>
          <w:szCs w:val="26"/>
        </w:rPr>
        <w:t>»</w:t>
      </w:r>
      <w:r w:rsidRPr="00FB0A3A">
        <w:rPr>
          <w:rFonts w:ascii="Myriad Pro" w:hAnsi="Myriad Pro"/>
          <w:sz w:val="26"/>
          <w:szCs w:val="26"/>
        </w:rPr>
        <w:t xml:space="preserve"> по данной статье. </w:t>
      </w:r>
    </w:p>
    <w:p w14:paraId="5845315D" w14:textId="5F0DFB16" w:rsidR="00F1403E" w:rsidRPr="00FB0A3A" w:rsidRDefault="001A49C2"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 xml:space="preserve">В соответствии со </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Справкой к акту №1 от 18.01.2018 инвентаризации расчетов с покупателями, поставщиками и прочими дебиторами</w:t>
      </w:r>
      <w:r w:rsidR="00F1403E" w:rsidRPr="00FB0A3A">
        <w:rPr>
          <w:rFonts w:ascii="Myriad Pro" w:eastAsia="Calibri" w:hAnsi="Myriad Pro" w:cs="Times New Roman"/>
          <w:sz w:val="26"/>
          <w:szCs w:val="26"/>
        </w:rPr>
        <w:t>,</w:t>
      </w:r>
      <w:r w:rsidRPr="00FB0A3A">
        <w:rPr>
          <w:rFonts w:ascii="Myriad Pro" w:eastAsia="Calibri" w:hAnsi="Myriad Pro" w:cs="Times New Roman"/>
          <w:sz w:val="26"/>
          <w:szCs w:val="26"/>
        </w:rPr>
        <w:t xml:space="preserve"> и кредиторами по состоянию на 31.12.2017</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 xml:space="preserve"> (7700 строк) дебиторская задолженность </w:t>
      </w:r>
      <w:r w:rsidR="00F1403E" w:rsidRPr="00FB0A3A">
        <w:rPr>
          <w:rFonts w:ascii="Myriad Pro" w:eastAsia="Calibri" w:hAnsi="Myriad Pro" w:cs="Times New Roman"/>
          <w:sz w:val="26"/>
          <w:szCs w:val="26"/>
        </w:rPr>
        <w:t>потребителей по договорам электроснабжения (отбор: реализация (сбыт) электроэнергии) по состоянию на 31.12.2017 составила 1 163 208 913,12 руб.</w:t>
      </w:r>
    </w:p>
    <w:p w14:paraId="72B51989" w14:textId="668B0B7D" w:rsidR="00F1403E" w:rsidRPr="00FB0A3A" w:rsidRDefault="00F1403E"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 xml:space="preserve">Указанная дебиторская задолженность </w:t>
      </w:r>
      <w:r w:rsidR="00E663D3">
        <w:rPr>
          <w:rFonts w:ascii="Myriad Pro" w:eastAsia="Calibri" w:hAnsi="Myriad Pro" w:cs="Times New Roman"/>
          <w:sz w:val="26"/>
          <w:szCs w:val="26"/>
        </w:rPr>
        <w:t>в размере</w:t>
      </w:r>
      <w:r w:rsidR="001B4783" w:rsidRPr="00FB0A3A">
        <w:rPr>
          <w:rFonts w:ascii="Myriad Pro" w:eastAsia="Calibri" w:hAnsi="Myriad Pro" w:cs="Times New Roman"/>
          <w:sz w:val="26"/>
          <w:szCs w:val="26"/>
        </w:rPr>
        <w:t xml:space="preserve"> 1 163 208 913,12 </w:t>
      </w:r>
      <w:r w:rsidR="00647E6F" w:rsidRPr="00FB0A3A">
        <w:rPr>
          <w:rFonts w:ascii="Myriad Pro" w:eastAsia="Calibri" w:hAnsi="Myriad Pro" w:cs="Times New Roman"/>
          <w:sz w:val="26"/>
          <w:szCs w:val="26"/>
        </w:rPr>
        <w:t xml:space="preserve">руб. </w:t>
      </w:r>
      <w:r w:rsidRPr="00FB0A3A">
        <w:rPr>
          <w:rFonts w:ascii="Myriad Pro" w:eastAsia="Calibri" w:hAnsi="Myriad Pro" w:cs="Times New Roman"/>
          <w:sz w:val="26"/>
          <w:szCs w:val="26"/>
        </w:rPr>
        <w:t xml:space="preserve">также подтверждена: </w:t>
      </w:r>
    </w:p>
    <w:p w14:paraId="40B9116A" w14:textId="0AF0F1D0" w:rsidR="00F1403E" w:rsidRPr="00FB0A3A" w:rsidRDefault="00655FFA" w:rsidP="009B0BC1">
      <w:pPr>
        <w:pStyle w:val="a4"/>
        <w:numPr>
          <w:ilvl w:val="0"/>
          <w:numId w:val="64"/>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w:t>
      </w:r>
      <w:r w:rsidR="00F1403E" w:rsidRPr="00FB0A3A">
        <w:rPr>
          <w:rFonts w:ascii="Myriad Pro" w:hAnsi="Myriad Pro"/>
          <w:sz w:val="26"/>
          <w:szCs w:val="26"/>
        </w:rPr>
        <w:t>Отчетом о наличии дебиторской задолженности (задолженность по срокам возникновения) (физлица)</w:t>
      </w:r>
      <w:r w:rsidRPr="00FB0A3A">
        <w:rPr>
          <w:rFonts w:ascii="Myriad Pro" w:hAnsi="Myriad Pro"/>
          <w:sz w:val="26"/>
          <w:szCs w:val="26"/>
        </w:rPr>
        <w:t>»</w:t>
      </w:r>
      <w:r w:rsidR="00F1403E" w:rsidRPr="00FB0A3A">
        <w:rPr>
          <w:rFonts w:ascii="Myriad Pro" w:hAnsi="Myriad Pro"/>
          <w:sz w:val="26"/>
          <w:szCs w:val="26"/>
        </w:rPr>
        <w:t xml:space="preserve"> на сумму 39 510 999,38 руб.;</w:t>
      </w:r>
    </w:p>
    <w:p w14:paraId="0F6DDC8F" w14:textId="55710596" w:rsidR="00F1403E" w:rsidRPr="00FB0A3A" w:rsidRDefault="00655FFA" w:rsidP="009B0BC1">
      <w:pPr>
        <w:pStyle w:val="a4"/>
        <w:numPr>
          <w:ilvl w:val="0"/>
          <w:numId w:val="64"/>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w:t>
      </w:r>
      <w:r w:rsidR="00F1403E" w:rsidRPr="00FB0A3A">
        <w:rPr>
          <w:rFonts w:ascii="Myriad Pro" w:hAnsi="Myriad Pro"/>
          <w:sz w:val="26"/>
          <w:szCs w:val="26"/>
        </w:rPr>
        <w:t>Отчетом о наличии дебиторской задолженности (задолженность по срокам возникновения) (юрлица) на сумму 1 112 417 313,94 руб.;</w:t>
      </w:r>
    </w:p>
    <w:p w14:paraId="2397ECCE" w14:textId="7FBDB1E5" w:rsidR="00F1403E" w:rsidRPr="00FB0A3A" w:rsidRDefault="00F1403E" w:rsidP="009B0BC1">
      <w:pPr>
        <w:pStyle w:val="a4"/>
        <w:numPr>
          <w:ilvl w:val="0"/>
          <w:numId w:val="64"/>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решения</w:t>
      </w:r>
      <w:r w:rsidR="00241E5D" w:rsidRPr="00FB0A3A">
        <w:rPr>
          <w:rFonts w:ascii="Myriad Pro" w:hAnsi="Myriad Pro"/>
          <w:sz w:val="26"/>
          <w:szCs w:val="26"/>
        </w:rPr>
        <w:t>ми</w:t>
      </w:r>
      <w:r w:rsidRPr="00FB0A3A">
        <w:rPr>
          <w:rFonts w:ascii="Myriad Pro" w:hAnsi="Myriad Pro"/>
          <w:sz w:val="26"/>
          <w:szCs w:val="26"/>
        </w:rPr>
        <w:t xml:space="preserve"> Арбитражного суда </w:t>
      </w:r>
      <w:r w:rsidR="00241E5D" w:rsidRPr="00FB0A3A">
        <w:rPr>
          <w:rFonts w:ascii="Myriad Pro" w:hAnsi="Myriad Pro"/>
          <w:sz w:val="26"/>
          <w:szCs w:val="26"/>
        </w:rPr>
        <w:t>Мурманской области на сумму 8 252 355,77 руб., взысканных с Администрации сельского поселения Териберка;</w:t>
      </w:r>
    </w:p>
    <w:p w14:paraId="181679E9" w14:textId="6200012B" w:rsidR="00241E5D" w:rsidRPr="00FB0A3A" w:rsidRDefault="00241E5D" w:rsidP="009B0BC1">
      <w:pPr>
        <w:pStyle w:val="a4"/>
        <w:numPr>
          <w:ilvl w:val="0"/>
          <w:numId w:val="64"/>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 xml:space="preserve">Постановлением 13ААС А42-10774/2015 от 03.07.2017 на сумму 3 028 244,03 руб., взысканных с </w:t>
      </w:r>
      <w:r w:rsidR="00CB1625" w:rsidRPr="00FB0A3A">
        <w:rPr>
          <w:rFonts w:ascii="Myriad Pro" w:hAnsi="Myriad Pro"/>
          <w:sz w:val="26"/>
          <w:szCs w:val="26"/>
        </w:rPr>
        <w:t xml:space="preserve">ООО </w:t>
      </w:r>
      <w:r w:rsidR="00655FFA" w:rsidRPr="00FB0A3A">
        <w:rPr>
          <w:rFonts w:ascii="Myriad Pro" w:hAnsi="Myriad Pro"/>
          <w:sz w:val="26"/>
          <w:szCs w:val="26"/>
        </w:rPr>
        <w:t>«</w:t>
      </w:r>
      <w:r w:rsidR="00CB1625" w:rsidRPr="00FB0A3A">
        <w:rPr>
          <w:rFonts w:ascii="Myriad Pro" w:hAnsi="Myriad Pro"/>
          <w:sz w:val="26"/>
          <w:szCs w:val="26"/>
        </w:rPr>
        <w:t>МСВ-Энергосеть</w:t>
      </w:r>
      <w:r w:rsidR="00655FFA" w:rsidRPr="00FB0A3A">
        <w:rPr>
          <w:rFonts w:ascii="Myriad Pro" w:hAnsi="Myriad Pro"/>
          <w:sz w:val="26"/>
          <w:szCs w:val="26"/>
        </w:rPr>
        <w:t>»</w:t>
      </w:r>
      <w:r w:rsidRPr="00FB0A3A">
        <w:rPr>
          <w:rFonts w:ascii="Myriad Pro" w:hAnsi="Myriad Pro"/>
          <w:sz w:val="26"/>
          <w:szCs w:val="26"/>
        </w:rPr>
        <w:t>.</w:t>
      </w:r>
    </w:p>
    <w:p w14:paraId="5477CC74" w14:textId="77BDA9A7" w:rsidR="00241E5D" w:rsidRPr="00FB0A3A" w:rsidRDefault="00241E5D"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hAnsi="Myriad Pro"/>
          <w:sz w:val="26"/>
          <w:szCs w:val="26"/>
        </w:rPr>
        <w:t xml:space="preserve">Указанная выше задолженность является сомнительной, </w:t>
      </w:r>
      <w:r w:rsidRPr="00FB0A3A">
        <w:rPr>
          <w:rFonts w:ascii="Myriad Pro" w:eastAsia="Calibri" w:hAnsi="Myriad Pro" w:cs="Times New Roman"/>
          <w:sz w:val="26"/>
          <w:szCs w:val="26"/>
        </w:rPr>
        <w:t>не обеспечена залогом, поручительством, банковской гарантией.</w:t>
      </w:r>
    </w:p>
    <w:p w14:paraId="7B317928" w14:textId="1EACA7A8" w:rsidR="00A702D3" w:rsidRPr="00FB0A3A" w:rsidRDefault="00241E5D"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 xml:space="preserve">Филиалом создан резерв </w:t>
      </w:r>
      <w:r w:rsidR="00EF6886" w:rsidRPr="00FB0A3A">
        <w:rPr>
          <w:rFonts w:ascii="Myriad Pro" w:eastAsia="Calibri" w:hAnsi="Myriad Pro" w:cs="Times New Roman"/>
          <w:sz w:val="26"/>
          <w:szCs w:val="26"/>
        </w:rPr>
        <w:t xml:space="preserve">на покрытие </w:t>
      </w:r>
      <w:r w:rsidRPr="00FB0A3A">
        <w:rPr>
          <w:rFonts w:ascii="Myriad Pro" w:eastAsia="Calibri" w:hAnsi="Myriad Pro" w:cs="Times New Roman"/>
          <w:sz w:val="26"/>
          <w:szCs w:val="26"/>
        </w:rPr>
        <w:t>сомнительных долгов по сбытовой деятельности в 2017 году на сумму 1 010 187 791,83 руб.</w:t>
      </w:r>
      <w:r w:rsidR="00D30EF3" w:rsidRPr="00FB0A3A">
        <w:rPr>
          <w:rFonts w:ascii="Myriad Pro" w:eastAsia="Calibri" w:hAnsi="Myriad Pro" w:cs="Times New Roman"/>
          <w:sz w:val="26"/>
          <w:szCs w:val="26"/>
        </w:rPr>
        <w:t xml:space="preserve"> (подтверждено анализом счета 63 и 91.02). </w:t>
      </w:r>
    </w:p>
    <w:p w14:paraId="23AB4518" w14:textId="09C67593" w:rsidR="00D30EF3" w:rsidRPr="00FB0A3A" w:rsidRDefault="00D30EF3"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 xml:space="preserve">С учетом </w:t>
      </w:r>
      <w:r w:rsidR="006D2037" w:rsidRPr="00FB0A3A">
        <w:rPr>
          <w:rFonts w:ascii="Myriad Pro" w:eastAsia="Calibri" w:hAnsi="Myriad Pro" w:cs="Times New Roman"/>
          <w:sz w:val="26"/>
          <w:szCs w:val="26"/>
        </w:rPr>
        <w:t>созданного резерва на 01.01.2017</w:t>
      </w:r>
      <w:r w:rsidRPr="00FB0A3A">
        <w:rPr>
          <w:rFonts w:ascii="Myriad Pro" w:eastAsia="Calibri" w:hAnsi="Myriad Pro" w:cs="Times New Roman"/>
          <w:sz w:val="26"/>
          <w:szCs w:val="26"/>
        </w:rPr>
        <w:t xml:space="preserve"> г. </w:t>
      </w:r>
      <w:r w:rsidR="00E663D3">
        <w:rPr>
          <w:rFonts w:ascii="Myriad Pro" w:eastAsia="Calibri" w:hAnsi="Myriad Pro" w:cs="Times New Roman"/>
          <w:sz w:val="26"/>
          <w:szCs w:val="26"/>
        </w:rPr>
        <w:t>в размере</w:t>
      </w:r>
      <w:r w:rsidRPr="00FB0A3A">
        <w:rPr>
          <w:rFonts w:ascii="Myriad Pro" w:eastAsia="Calibri" w:hAnsi="Myriad Pro" w:cs="Times New Roman"/>
          <w:sz w:val="26"/>
          <w:szCs w:val="26"/>
        </w:rPr>
        <w:t xml:space="preserve"> 277 570,70 </w:t>
      </w:r>
      <w:r w:rsidR="00164398" w:rsidRPr="00FB0A3A">
        <w:rPr>
          <w:rFonts w:ascii="Myriad Pro" w:eastAsia="Calibri" w:hAnsi="Myriad Pro" w:cs="Times New Roman"/>
          <w:sz w:val="26"/>
          <w:szCs w:val="26"/>
        </w:rPr>
        <w:t xml:space="preserve">тыс. руб. </w:t>
      </w:r>
      <w:r w:rsidRPr="00FB0A3A">
        <w:rPr>
          <w:rFonts w:ascii="Myriad Pro" w:eastAsia="Calibri" w:hAnsi="Myriad Pro" w:cs="Times New Roman"/>
          <w:sz w:val="26"/>
          <w:szCs w:val="26"/>
        </w:rPr>
        <w:t>сумма резерва по состоянию на 31.12</w:t>
      </w:r>
      <w:r w:rsidR="006D2037" w:rsidRPr="00FB0A3A">
        <w:rPr>
          <w:rFonts w:ascii="Myriad Pro" w:eastAsia="Calibri" w:hAnsi="Myriad Pro" w:cs="Times New Roman"/>
          <w:sz w:val="26"/>
          <w:szCs w:val="26"/>
        </w:rPr>
        <w:t xml:space="preserve">.2017 составила </w:t>
      </w:r>
      <w:r w:rsidR="008D2898" w:rsidRPr="00FB0A3A">
        <w:rPr>
          <w:rFonts w:ascii="Myriad Pro" w:eastAsia="Calibri" w:hAnsi="Myriad Pro" w:cs="Times New Roman"/>
          <w:sz w:val="26"/>
          <w:szCs w:val="26"/>
        </w:rPr>
        <w:t xml:space="preserve">1 228 520,20 </w:t>
      </w:r>
      <w:r w:rsidR="00164398" w:rsidRPr="00FB0A3A">
        <w:rPr>
          <w:rFonts w:ascii="Myriad Pro" w:eastAsia="Calibri" w:hAnsi="Myriad Pro" w:cs="Times New Roman"/>
          <w:sz w:val="26"/>
          <w:szCs w:val="26"/>
        </w:rPr>
        <w:t xml:space="preserve">тыс. руб. </w:t>
      </w:r>
      <w:r w:rsidR="008D2898" w:rsidRPr="00FB0A3A">
        <w:rPr>
          <w:rFonts w:ascii="Myriad Pro" w:eastAsia="Calibri" w:hAnsi="Myriad Pro" w:cs="Times New Roman"/>
          <w:sz w:val="26"/>
          <w:szCs w:val="26"/>
        </w:rPr>
        <w:t>Сумма для включения в НВВ по мнению Филиала</w:t>
      </w:r>
      <w:r w:rsidRPr="00FB0A3A">
        <w:rPr>
          <w:rFonts w:ascii="Myriad Pro" w:eastAsia="Calibri" w:hAnsi="Myriad Pro" w:cs="Times New Roman"/>
          <w:sz w:val="26"/>
          <w:szCs w:val="26"/>
        </w:rPr>
        <w:t xml:space="preserve"> </w:t>
      </w:r>
      <w:r w:rsidR="008D2898" w:rsidRPr="00FB0A3A">
        <w:rPr>
          <w:rFonts w:ascii="Myriad Pro" w:eastAsia="Calibri" w:hAnsi="Myriad Pro" w:cs="Times New Roman"/>
          <w:sz w:val="26"/>
          <w:szCs w:val="26"/>
        </w:rPr>
        <w:t>1 284</w:t>
      </w:r>
      <w:r w:rsidR="0049085D" w:rsidRPr="00FB0A3A">
        <w:rPr>
          <w:rFonts w:ascii="Myriad Pro" w:eastAsia="Calibri" w:hAnsi="Myriad Pro" w:cs="Times New Roman"/>
          <w:sz w:val="26"/>
          <w:szCs w:val="26"/>
        </w:rPr>
        <w:t> </w:t>
      </w:r>
      <w:r w:rsidR="008D2898" w:rsidRPr="00FB0A3A">
        <w:rPr>
          <w:rFonts w:ascii="Myriad Pro" w:eastAsia="Calibri" w:hAnsi="Myriad Pro" w:cs="Times New Roman"/>
          <w:sz w:val="26"/>
          <w:szCs w:val="26"/>
        </w:rPr>
        <w:t>690</w:t>
      </w:r>
      <w:r w:rsidR="0049085D" w:rsidRPr="00FB0A3A">
        <w:rPr>
          <w:rFonts w:ascii="Myriad Pro" w:eastAsia="Calibri" w:hAnsi="Myriad Pro" w:cs="Times New Roman"/>
          <w:sz w:val="26"/>
          <w:szCs w:val="26"/>
        </w:rPr>
        <w:t>,</w:t>
      </w:r>
      <w:r w:rsidR="008D2898" w:rsidRPr="00FB0A3A">
        <w:rPr>
          <w:rFonts w:ascii="Myriad Pro" w:eastAsia="Calibri" w:hAnsi="Myriad Pro" w:cs="Times New Roman"/>
          <w:sz w:val="26"/>
          <w:szCs w:val="26"/>
        </w:rPr>
        <w:t>394</w:t>
      </w:r>
      <w:r w:rsidR="00CE2507" w:rsidRPr="00FB0A3A">
        <w:rPr>
          <w:rFonts w:ascii="Myriad Pro" w:eastAsia="Calibri" w:hAnsi="Myriad Pro" w:cs="Times New Roman"/>
          <w:sz w:val="26"/>
          <w:szCs w:val="26"/>
        </w:rPr>
        <w:t xml:space="preserve"> тыс. руб., </w:t>
      </w:r>
      <w:r w:rsidRPr="00FB0A3A">
        <w:rPr>
          <w:rFonts w:ascii="Myriad Pro" w:eastAsia="Calibri" w:hAnsi="Myriad Pro" w:cs="Times New Roman"/>
          <w:sz w:val="26"/>
          <w:szCs w:val="26"/>
        </w:rPr>
        <w:t>в том числе</w:t>
      </w:r>
      <w:r w:rsidR="00A702D3" w:rsidRPr="00FB0A3A">
        <w:rPr>
          <w:rFonts w:ascii="Myriad Pro" w:eastAsia="Calibri" w:hAnsi="Myriad Pro" w:cs="Times New Roman"/>
          <w:sz w:val="26"/>
          <w:szCs w:val="26"/>
        </w:rPr>
        <w:t xml:space="preserve"> согласно </w:t>
      </w:r>
      <w:r w:rsidR="00655FFA" w:rsidRPr="00FB0A3A">
        <w:rPr>
          <w:rFonts w:ascii="Myriad Pro" w:eastAsia="Calibri" w:hAnsi="Myriad Pro" w:cs="Times New Roman"/>
          <w:sz w:val="26"/>
          <w:szCs w:val="26"/>
        </w:rPr>
        <w:t>«</w:t>
      </w:r>
      <w:r w:rsidR="00A702D3" w:rsidRPr="00FB0A3A">
        <w:rPr>
          <w:rFonts w:ascii="Myriad Pro" w:eastAsia="Calibri" w:hAnsi="Myriad Pro" w:cs="Times New Roman"/>
          <w:sz w:val="26"/>
          <w:szCs w:val="26"/>
        </w:rPr>
        <w:t>Движение резервов по сомнительным долгам по сбытовой деятельности за 2017-2018 гг.</w:t>
      </w:r>
      <w:r w:rsidR="00655FFA" w:rsidRPr="00FB0A3A">
        <w:rPr>
          <w:rFonts w:ascii="Myriad Pro" w:eastAsia="Calibri" w:hAnsi="Myriad Pro" w:cs="Times New Roman"/>
          <w:sz w:val="26"/>
          <w:szCs w:val="26"/>
        </w:rPr>
        <w:t>»</w:t>
      </w:r>
      <w:r w:rsidRPr="00FB0A3A">
        <w:rPr>
          <w:rFonts w:ascii="Myriad Pro" w:eastAsia="Calibri" w:hAnsi="Myriad Pro" w:cs="Times New Roman"/>
          <w:sz w:val="26"/>
          <w:szCs w:val="26"/>
        </w:rPr>
        <w:t>:</w:t>
      </w:r>
    </w:p>
    <w:p w14:paraId="43F77B29" w14:textId="1AB1F761" w:rsidR="00CE2507" w:rsidRPr="00FB0A3A" w:rsidRDefault="00D30EF3" w:rsidP="009B0BC1">
      <w:pPr>
        <w:pStyle w:val="a4"/>
        <w:numPr>
          <w:ilvl w:val="0"/>
          <w:numId w:val="64"/>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 xml:space="preserve">основной долг </w:t>
      </w:r>
      <w:r w:rsidR="00E663D3">
        <w:rPr>
          <w:rFonts w:ascii="Myriad Pro" w:hAnsi="Myriad Pro"/>
          <w:sz w:val="26"/>
          <w:szCs w:val="26"/>
        </w:rPr>
        <w:t>в размере</w:t>
      </w:r>
      <w:r w:rsidRPr="00FB0A3A">
        <w:rPr>
          <w:rFonts w:ascii="Myriad Pro" w:hAnsi="Myriad Pro"/>
          <w:sz w:val="26"/>
          <w:szCs w:val="26"/>
        </w:rPr>
        <w:t xml:space="preserve"> 1 213</w:t>
      </w:r>
      <w:r w:rsidR="0049085D" w:rsidRPr="00FB0A3A">
        <w:rPr>
          <w:rFonts w:ascii="Myriad Pro" w:hAnsi="Myriad Pro"/>
          <w:sz w:val="26"/>
          <w:szCs w:val="26"/>
        </w:rPr>
        <w:t> </w:t>
      </w:r>
      <w:r w:rsidRPr="00FB0A3A">
        <w:rPr>
          <w:rFonts w:ascii="Myriad Pro" w:hAnsi="Myriad Pro"/>
          <w:sz w:val="26"/>
          <w:szCs w:val="26"/>
        </w:rPr>
        <w:t>891</w:t>
      </w:r>
      <w:r w:rsidR="0049085D" w:rsidRPr="00FB0A3A">
        <w:rPr>
          <w:rFonts w:ascii="Myriad Pro" w:hAnsi="Myriad Pro"/>
          <w:sz w:val="26"/>
          <w:szCs w:val="26"/>
        </w:rPr>
        <w:t>,</w:t>
      </w:r>
      <w:r w:rsidRPr="00FB0A3A">
        <w:rPr>
          <w:rFonts w:ascii="Myriad Pro" w:hAnsi="Myriad Pro"/>
          <w:sz w:val="26"/>
          <w:szCs w:val="26"/>
        </w:rPr>
        <w:t xml:space="preserve">397 </w:t>
      </w:r>
      <w:r w:rsidR="0049085D" w:rsidRPr="00FB0A3A">
        <w:rPr>
          <w:rFonts w:ascii="Myriad Pro" w:hAnsi="Myriad Pro"/>
          <w:sz w:val="26"/>
          <w:szCs w:val="26"/>
        </w:rPr>
        <w:t>тыс.</w:t>
      </w:r>
      <w:r w:rsidR="00164398" w:rsidRPr="00FB0A3A">
        <w:rPr>
          <w:rFonts w:ascii="Myriad Pro" w:hAnsi="Myriad Pro"/>
          <w:sz w:val="26"/>
          <w:szCs w:val="26"/>
        </w:rPr>
        <w:t xml:space="preserve"> </w:t>
      </w:r>
      <w:r w:rsidRPr="00FB0A3A">
        <w:rPr>
          <w:rFonts w:ascii="Myriad Pro" w:hAnsi="Myriad Pro"/>
          <w:sz w:val="26"/>
          <w:szCs w:val="26"/>
        </w:rPr>
        <w:t>руб.;</w:t>
      </w:r>
      <w:r w:rsidR="00CE2507" w:rsidRPr="00FB0A3A">
        <w:rPr>
          <w:rFonts w:ascii="Myriad Pro" w:hAnsi="Myriad Pro"/>
          <w:sz w:val="26"/>
          <w:szCs w:val="26"/>
        </w:rPr>
        <w:t xml:space="preserve"> </w:t>
      </w:r>
    </w:p>
    <w:p w14:paraId="2060901B" w14:textId="21C8B09E" w:rsidR="00CE2507" w:rsidRPr="00FB0A3A" w:rsidRDefault="00CE2507" w:rsidP="009B0BC1">
      <w:pPr>
        <w:pStyle w:val="a4"/>
        <w:numPr>
          <w:ilvl w:val="0"/>
          <w:numId w:val="64"/>
        </w:numPr>
        <w:tabs>
          <w:tab w:val="left" w:pos="1134"/>
        </w:tabs>
        <w:spacing w:after="200" w:line="360" w:lineRule="auto"/>
        <w:ind w:left="0" w:firstLine="567"/>
        <w:contextualSpacing w:val="0"/>
        <w:jc w:val="both"/>
        <w:rPr>
          <w:rFonts w:ascii="Myriad Pro" w:hAnsi="Myriad Pro"/>
          <w:sz w:val="26"/>
          <w:szCs w:val="26"/>
        </w:rPr>
      </w:pPr>
      <w:r w:rsidRPr="00FB0A3A">
        <w:rPr>
          <w:rFonts w:ascii="Myriad Pro" w:hAnsi="Myriad Pro"/>
          <w:sz w:val="26"/>
          <w:szCs w:val="26"/>
        </w:rPr>
        <w:t xml:space="preserve">проценты, пени, штрафы </w:t>
      </w:r>
      <w:r w:rsidR="00E663D3">
        <w:rPr>
          <w:rFonts w:ascii="Myriad Pro" w:hAnsi="Myriad Pro"/>
          <w:sz w:val="26"/>
          <w:szCs w:val="26"/>
        </w:rPr>
        <w:t>в размере</w:t>
      </w:r>
      <w:r w:rsidRPr="00FB0A3A">
        <w:rPr>
          <w:rFonts w:ascii="Myriad Pro" w:hAnsi="Myriad Pro"/>
          <w:sz w:val="26"/>
          <w:szCs w:val="26"/>
        </w:rPr>
        <w:t xml:space="preserve"> 70</w:t>
      </w:r>
      <w:r w:rsidR="0049085D" w:rsidRPr="00FB0A3A">
        <w:rPr>
          <w:rFonts w:ascii="Myriad Pro" w:hAnsi="Myriad Pro"/>
          <w:sz w:val="26"/>
          <w:szCs w:val="26"/>
        </w:rPr>
        <w:t> </w:t>
      </w:r>
      <w:r w:rsidRPr="00FB0A3A">
        <w:rPr>
          <w:rFonts w:ascii="Myriad Pro" w:hAnsi="Myriad Pro"/>
          <w:sz w:val="26"/>
          <w:szCs w:val="26"/>
        </w:rPr>
        <w:t>798</w:t>
      </w:r>
      <w:r w:rsidR="0049085D" w:rsidRPr="00FB0A3A">
        <w:rPr>
          <w:rFonts w:ascii="Myriad Pro" w:hAnsi="Myriad Pro"/>
          <w:sz w:val="26"/>
          <w:szCs w:val="26"/>
        </w:rPr>
        <w:t>,</w:t>
      </w:r>
      <w:r w:rsidRPr="00FB0A3A">
        <w:rPr>
          <w:rFonts w:ascii="Myriad Pro" w:hAnsi="Myriad Pro"/>
          <w:sz w:val="26"/>
          <w:szCs w:val="26"/>
        </w:rPr>
        <w:t>996</w:t>
      </w:r>
      <w:r w:rsidR="0049085D" w:rsidRPr="00FB0A3A">
        <w:rPr>
          <w:rFonts w:ascii="Myriad Pro" w:hAnsi="Myriad Pro"/>
          <w:sz w:val="26"/>
          <w:szCs w:val="26"/>
        </w:rPr>
        <w:t xml:space="preserve"> тыс.</w:t>
      </w:r>
      <w:r w:rsidRPr="00FB0A3A">
        <w:rPr>
          <w:rFonts w:ascii="Myriad Pro" w:hAnsi="Myriad Pro"/>
          <w:sz w:val="26"/>
          <w:szCs w:val="26"/>
        </w:rPr>
        <w:t xml:space="preserve"> руб.</w:t>
      </w:r>
    </w:p>
    <w:tbl>
      <w:tblPr>
        <w:tblStyle w:val="afff6"/>
        <w:tblW w:w="5000" w:type="pct"/>
        <w:tblLayout w:type="fixed"/>
        <w:tblLook w:val="04A0" w:firstRow="1" w:lastRow="0" w:firstColumn="1" w:lastColumn="0" w:noHBand="0" w:noVBand="1"/>
      </w:tblPr>
      <w:tblGrid>
        <w:gridCol w:w="1568"/>
        <w:gridCol w:w="990"/>
        <w:gridCol w:w="929"/>
        <w:gridCol w:w="1338"/>
        <w:gridCol w:w="929"/>
        <w:gridCol w:w="1301"/>
        <w:gridCol w:w="1280"/>
        <w:gridCol w:w="1009"/>
      </w:tblGrid>
      <w:tr w:rsidR="005C6F98" w:rsidRPr="005C6F98" w14:paraId="4E369CC6" w14:textId="77777777" w:rsidTr="005C6F98">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83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B5C94C1" w14:textId="77777777" w:rsidR="00121A80" w:rsidRPr="005C6F98" w:rsidRDefault="00121A80" w:rsidP="009E11D7">
            <w:pPr>
              <w:tabs>
                <w:tab w:val="left" w:pos="1134"/>
              </w:tabs>
              <w:jc w:val="center"/>
              <w:rPr>
                <w:rFonts w:eastAsia="Calibri" w:cs="Times New Roman"/>
                <w:szCs w:val="18"/>
              </w:rPr>
            </w:pPr>
            <w:r w:rsidRPr="005C6F98">
              <w:rPr>
                <w:rFonts w:eastAsia="Calibri" w:cs="Times New Roman"/>
                <w:szCs w:val="18"/>
              </w:rPr>
              <w:lastRenderedPageBreak/>
              <w:t>Наименование резерва (расшифровать)</w:t>
            </w:r>
          </w:p>
        </w:tc>
        <w:tc>
          <w:tcPr>
            <w:tcW w:w="53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9C386E2" w14:textId="77777777" w:rsidR="00121A80" w:rsidRPr="005C6F98" w:rsidRDefault="00121A80" w:rsidP="009E11D7">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Cs w:val="18"/>
              </w:rPr>
            </w:pPr>
            <w:r w:rsidRPr="005C6F98">
              <w:rPr>
                <w:rFonts w:eastAsia="Calibri" w:cs="Times New Roman"/>
                <w:szCs w:val="18"/>
              </w:rPr>
              <w:t>Сальдо  резерва на 31.12.2016</w:t>
            </w:r>
          </w:p>
        </w:tc>
        <w:tc>
          <w:tcPr>
            <w:tcW w:w="1709" w:type="pct"/>
            <w:gridSpan w:val="3"/>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2D1A4C9E" w14:textId="77777777" w:rsidR="00121A80" w:rsidRPr="005C6F98" w:rsidRDefault="00121A80" w:rsidP="009E11D7">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Cs w:val="18"/>
              </w:rPr>
            </w:pPr>
            <w:r w:rsidRPr="005C6F98">
              <w:rPr>
                <w:rFonts w:eastAsia="Calibri" w:cs="Times New Roman"/>
                <w:szCs w:val="18"/>
              </w:rPr>
              <w:t>Движение резерва за 2017 год</w:t>
            </w:r>
          </w:p>
        </w:tc>
        <w:tc>
          <w:tcPr>
            <w:tcW w:w="69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E8D3167" w14:textId="31A446B9" w:rsidR="00121A80" w:rsidRPr="005C6F98" w:rsidRDefault="00121A80" w:rsidP="009E11D7">
            <w:pPr>
              <w:tabs>
                <w:tab w:val="left" w:pos="1134"/>
              </w:tabs>
              <w:ind w:right="-111"/>
              <w:cnfStyle w:val="100000000000" w:firstRow="1" w:lastRow="0" w:firstColumn="0" w:lastColumn="0" w:oddVBand="0" w:evenVBand="0" w:oddHBand="0" w:evenHBand="0" w:firstRowFirstColumn="0" w:firstRowLastColumn="0" w:lastRowFirstColumn="0" w:lastRowLastColumn="0"/>
              <w:rPr>
                <w:rFonts w:eastAsia="Calibri" w:cs="Times New Roman"/>
                <w:szCs w:val="18"/>
              </w:rPr>
            </w:pPr>
            <w:r w:rsidRPr="005C6F98">
              <w:rPr>
                <w:rFonts w:eastAsia="Calibri" w:cs="Times New Roman"/>
                <w:szCs w:val="18"/>
              </w:rPr>
              <w:t>Сальдо</w:t>
            </w:r>
          </w:p>
          <w:p w14:paraId="64FA0BEF" w14:textId="29A0F2BE" w:rsidR="00121A80" w:rsidRPr="005C6F98" w:rsidRDefault="00121A80" w:rsidP="009E11D7">
            <w:pPr>
              <w:tabs>
                <w:tab w:val="left" w:pos="1134"/>
              </w:tabs>
              <w:ind w:right="-111"/>
              <w:cnfStyle w:val="100000000000" w:firstRow="1" w:lastRow="0" w:firstColumn="0" w:lastColumn="0" w:oddVBand="0" w:evenVBand="0" w:oddHBand="0" w:evenHBand="0" w:firstRowFirstColumn="0" w:firstRowLastColumn="0" w:lastRowFirstColumn="0" w:lastRowLastColumn="0"/>
              <w:rPr>
                <w:rFonts w:eastAsia="Calibri" w:cs="Times New Roman"/>
                <w:szCs w:val="18"/>
              </w:rPr>
            </w:pPr>
            <w:r w:rsidRPr="005C6F98">
              <w:rPr>
                <w:rFonts w:eastAsia="Calibri" w:cs="Times New Roman"/>
                <w:szCs w:val="18"/>
              </w:rPr>
              <w:t>резерва на 31.12.2017</w:t>
            </w:r>
          </w:p>
        </w:tc>
        <w:tc>
          <w:tcPr>
            <w:tcW w:w="122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67A8B50D" w14:textId="77777777" w:rsidR="00121A80" w:rsidRPr="005C6F98" w:rsidRDefault="00121A80" w:rsidP="009E11D7">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Cs w:val="18"/>
              </w:rPr>
            </w:pPr>
            <w:r w:rsidRPr="005C6F98">
              <w:rPr>
                <w:rFonts w:eastAsia="Calibri" w:cs="Times New Roman"/>
                <w:szCs w:val="18"/>
              </w:rPr>
              <w:t>в том числе:</w:t>
            </w:r>
          </w:p>
        </w:tc>
      </w:tr>
      <w:tr w:rsidR="005C6F98" w:rsidRPr="005C6F98" w14:paraId="7787599B" w14:textId="77777777" w:rsidTr="005C6F98">
        <w:trPr>
          <w:trHeight w:val="453"/>
        </w:trPr>
        <w:tc>
          <w:tcPr>
            <w:cnfStyle w:val="001000000000" w:firstRow="0" w:lastRow="0" w:firstColumn="1" w:lastColumn="0" w:oddVBand="0" w:evenVBand="0" w:oddHBand="0" w:evenHBand="0" w:firstRowFirstColumn="0" w:firstRowLastColumn="0" w:lastRowFirstColumn="0" w:lastRowLastColumn="0"/>
            <w:tcW w:w="83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02924BC" w14:textId="77777777" w:rsidR="00121A80" w:rsidRPr="005C6F98" w:rsidRDefault="00121A80" w:rsidP="009E11D7">
            <w:pPr>
              <w:tabs>
                <w:tab w:val="left" w:pos="1134"/>
              </w:tabs>
              <w:rPr>
                <w:rFonts w:eastAsia="Calibri" w:cs="Times New Roman"/>
                <w:szCs w:val="18"/>
              </w:rPr>
            </w:pPr>
          </w:p>
        </w:tc>
        <w:tc>
          <w:tcPr>
            <w:tcW w:w="53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572FABD" w14:textId="77777777" w:rsidR="00121A80" w:rsidRPr="005C6F98" w:rsidRDefault="00121A80"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1709" w:type="pct"/>
            <w:gridSpan w:val="3"/>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070A1894" w14:textId="77777777" w:rsidR="00121A80" w:rsidRPr="005C6F98" w:rsidRDefault="00121A80"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color w:val="FFFFFF" w:themeColor="background1"/>
                <w:szCs w:val="18"/>
              </w:rPr>
            </w:pPr>
          </w:p>
        </w:tc>
        <w:tc>
          <w:tcPr>
            <w:tcW w:w="69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295D992B" w14:textId="77777777" w:rsidR="00121A80" w:rsidRPr="005C6F98" w:rsidRDefault="00121A80"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color w:val="FFFFFF" w:themeColor="background1"/>
                <w:szCs w:val="18"/>
              </w:rPr>
            </w:pPr>
          </w:p>
        </w:tc>
        <w:tc>
          <w:tcPr>
            <w:tcW w:w="68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06C9D154" w14:textId="28719F4C" w:rsidR="00121A80" w:rsidRPr="005C6F98" w:rsidRDefault="003E35B3"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color w:val="FFFFFF" w:themeColor="background1"/>
                <w:szCs w:val="18"/>
              </w:rPr>
            </w:pPr>
            <w:r w:rsidRPr="005C6F98">
              <w:rPr>
                <w:rFonts w:eastAsia="Calibri" w:cs="Times New Roman"/>
                <w:color w:val="FFFFFF" w:themeColor="background1"/>
                <w:szCs w:val="18"/>
              </w:rPr>
              <w:t>о</w:t>
            </w:r>
            <w:r w:rsidR="00121A80" w:rsidRPr="005C6F98">
              <w:rPr>
                <w:rFonts w:eastAsia="Calibri" w:cs="Times New Roman"/>
                <w:color w:val="FFFFFF" w:themeColor="background1"/>
                <w:szCs w:val="18"/>
              </w:rPr>
              <w:t>сновной долг</w:t>
            </w:r>
          </w:p>
        </w:tc>
        <w:tc>
          <w:tcPr>
            <w:tcW w:w="54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07703AAB" w14:textId="475EFEA0" w:rsidR="00121A80" w:rsidRPr="005C6F98" w:rsidRDefault="003E35B3"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color w:val="FFFFFF" w:themeColor="background1"/>
                <w:szCs w:val="18"/>
              </w:rPr>
            </w:pPr>
            <w:r w:rsidRPr="005C6F98">
              <w:rPr>
                <w:rFonts w:eastAsia="Calibri" w:cs="Times New Roman"/>
                <w:color w:val="FFFFFF" w:themeColor="background1"/>
                <w:szCs w:val="18"/>
              </w:rPr>
              <w:t>п</w:t>
            </w:r>
            <w:r w:rsidR="00121A80" w:rsidRPr="005C6F98">
              <w:rPr>
                <w:rFonts w:eastAsia="Calibri" w:cs="Times New Roman"/>
                <w:color w:val="FFFFFF" w:themeColor="background1"/>
                <w:szCs w:val="18"/>
              </w:rPr>
              <w:t>роценты, пени, штрафы</w:t>
            </w:r>
          </w:p>
        </w:tc>
      </w:tr>
      <w:tr w:rsidR="005C6F98" w:rsidRPr="005C6F98" w14:paraId="1DB8987C" w14:textId="77777777" w:rsidTr="005C6F98">
        <w:trPr>
          <w:trHeight w:val="504"/>
        </w:trPr>
        <w:tc>
          <w:tcPr>
            <w:cnfStyle w:val="001000000000" w:firstRow="0" w:lastRow="0" w:firstColumn="1" w:lastColumn="0" w:oddVBand="0" w:evenVBand="0" w:oddHBand="0" w:evenHBand="0" w:firstRowFirstColumn="0" w:firstRowLastColumn="0" w:lastRowFirstColumn="0" w:lastRowLastColumn="0"/>
            <w:tcW w:w="83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E8584F3" w14:textId="77777777" w:rsidR="00121A80" w:rsidRPr="005C6F98" w:rsidRDefault="00121A80" w:rsidP="009E11D7">
            <w:pPr>
              <w:tabs>
                <w:tab w:val="left" w:pos="1134"/>
              </w:tabs>
              <w:rPr>
                <w:rFonts w:eastAsia="Calibri" w:cs="Times New Roman"/>
                <w:szCs w:val="18"/>
              </w:rPr>
            </w:pPr>
          </w:p>
        </w:tc>
        <w:tc>
          <w:tcPr>
            <w:tcW w:w="53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34A18A7" w14:textId="77777777" w:rsidR="00121A80" w:rsidRPr="005C6F98" w:rsidRDefault="00121A80"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4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4CA05EE3" w14:textId="77777777" w:rsidR="00121A80" w:rsidRPr="005C6F98" w:rsidRDefault="00121A80"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color w:val="FFFFFF" w:themeColor="background1"/>
                <w:szCs w:val="18"/>
              </w:rPr>
            </w:pPr>
            <w:r w:rsidRPr="005C6F98">
              <w:rPr>
                <w:rFonts w:eastAsia="Calibri" w:cs="Times New Roman"/>
                <w:color w:val="FFFFFF" w:themeColor="background1"/>
                <w:szCs w:val="18"/>
              </w:rPr>
              <w:t>Списание</w:t>
            </w:r>
          </w:p>
        </w:tc>
        <w:tc>
          <w:tcPr>
            <w:tcW w:w="7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21FE4608" w14:textId="4A6349F3" w:rsidR="00121A80" w:rsidRPr="005C6F98" w:rsidRDefault="00121A80"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color w:val="FFFFFF" w:themeColor="background1"/>
                <w:szCs w:val="18"/>
              </w:rPr>
            </w:pPr>
            <w:r w:rsidRPr="005C6F98">
              <w:rPr>
                <w:rFonts w:eastAsia="Calibri" w:cs="Times New Roman"/>
                <w:color w:val="FFFFFF" w:themeColor="background1"/>
                <w:szCs w:val="18"/>
              </w:rPr>
              <w:t>Восстанов</w:t>
            </w:r>
            <w:r w:rsidR="009E11D7" w:rsidRPr="005C6F98">
              <w:rPr>
                <w:rFonts w:eastAsia="Calibri" w:cs="Times New Roman"/>
                <w:color w:val="FFFFFF" w:themeColor="background1"/>
                <w:szCs w:val="18"/>
              </w:rPr>
              <w:t>-</w:t>
            </w:r>
            <w:r w:rsidRPr="005C6F98">
              <w:rPr>
                <w:rFonts w:eastAsia="Calibri" w:cs="Times New Roman"/>
                <w:color w:val="FFFFFF" w:themeColor="background1"/>
                <w:szCs w:val="18"/>
              </w:rPr>
              <w:t>ление</w:t>
            </w:r>
          </w:p>
        </w:tc>
        <w:tc>
          <w:tcPr>
            <w:tcW w:w="4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32D15283" w14:textId="77777777" w:rsidR="00121A80" w:rsidRPr="005C6F98" w:rsidRDefault="00121A80"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color w:val="FFFFFF" w:themeColor="background1"/>
                <w:szCs w:val="18"/>
              </w:rPr>
            </w:pPr>
            <w:r w:rsidRPr="005C6F98">
              <w:rPr>
                <w:rFonts w:eastAsia="Calibri" w:cs="Times New Roman"/>
                <w:color w:val="FFFFFF" w:themeColor="background1"/>
                <w:szCs w:val="18"/>
              </w:rPr>
              <w:t>Создание</w:t>
            </w:r>
          </w:p>
        </w:tc>
        <w:tc>
          <w:tcPr>
            <w:tcW w:w="69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23572882" w14:textId="77777777" w:rsidR="00121A80" w:rsidRPr="005C6F98" w:rsidRDefault="00121A80"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color w:val="FFFFFF" w:themeColor="background1"/>
                <w:szCs w:val="18"/>
              </w:rPr>
            </w:pPr>
          </w:p>
        </w:tc>
        <w:tc>
          <w:tcPr>
            <w:tcW w:w="68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61B9D08D" w14:textId="77777777" w:rsidR="00121A80" w:rsidRPr="005C6F98" w:rsidRDefault="00121A80"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color w:val="FFFFFF" w:themeColor="background1"/>
                <w:szCs w:val="18"/>
              </w:rPr>
            </w:pPr>
          </w:p>
        </w:tc>
        <w:tc>
          <w:tcPr>
            <w:tcW w:w="54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30829C72" w14:textId="77777777" w:rsidR="00121A80" w:rsidRPr="005C6F98" w:rsidRDefault="00121A80"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color w:val="FFFFFF" w:themeColor="background1"/>
                <w:szCs w:val="18"/>
              </w:rPr>
            </w:pPr>
          </w:p>
        </w:tc>
      </w:tr>
      <w:tr w:rsidR="005C6F98" w:rsidRPr="005C6F98" w14:paraId="34372DFA" w14:textId="77777777" w:rsidTr="005C6F98">
        <w:trPr>
          <w:trHeight w:val="1230"/>
        </w:trPr>
        <w:tc>
          <w:tcPr>
            <w:cnfStyle w:val="001000000000" w:firstRow="0" w:lastRow="0" w:firstColumn="1" w:lastColumn="0" w:oddVBand="0" w:evenVBand="0" w:oddHBand="0" w:evenHBand="0" w:firstRowFirstColumn="0" w:firstRowLastColumn="0" w:lastRowFirstColumn="0" w:lastRowLastColumn="0"/>
            <w:tcW w:w="839" w:type="pct"/>
            <w:tcBorders>
              <w:top w:val="single" w:sz="4" w:space="0" w:color="FFFFFF" w:themeColor="background1"/>
            </w:tcBorders>
            <w:hideMark/>
          </w:tcPr>
          <w:p w14:paraId="4DBE8312" w14:textId="77777777" w:rsidR="008D2898" w:rsidRPr="005C6F98" w:rsidRDefault="008D2898" w:rsidP="009E11D7">
            <w:pPr>
              <w:tabs>
                <w:tab w:val="left" w:pos="1134"/>
              </w:tabs>
              <w:rPr>
                <w:rFonts w:eastAsia="Calibri" w:cs="Times New Roman"/>
                <w:sz w:val="17"/>
                <w:szCs w:val="17"/>
              </w:rPr>
            </w:pPr>
            <w:r w:rsidRPr="005C6F98">
              <w:rPr>
                <w:rFonts w:eastAsia="Calibri" w:cs="Times New Roman"/>
                <w:sz w:val="17"/>
                <w:szCs w:val="17"/>
              </w:rPr>
              <w:t>Резерв по сомнительным долгам по сбытовой деятельности 2017 г.</w:t>
            </w:r>
          </w:p>
        </w:tc>
        <w:tc>
          <w:tcPr>
            <w:tcW w:w="530" w:type="pct"/>
            <w:tcBorders>
              <w:top w:val="single" w:sz="4" w:space="0" w:color="FFFFFF" w:themeColor="background1"/>
            </w:tcBorders>
            <w:hideMark/>
          </w:tcPr>
          <w:p w14:paraId="20B721F5" w14:textId="77777777" w:rsidR="008D2898" w:rsidRPr="005C6F98" w:rsidRDefault="008D2898"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7"/>
                <w:szCs w:val="17"/>
              </w:rPr>
            </w:pPr>
            <w:r w:rsidRPr="005C6F98">
              <w:rPr>
                <w:rFonts w:eastAsia="Calibri" w:cs="Times New Roman"/>
                <w:sz w:val="17"/>
                <w:szCs w:val="17"/>
              </w:rPr>
              <w:t>277 570,70</w:t>
            </w:r>
          </w:p>
        </w:tc>
        <w:tc>
          <w:tcPr>
            <w:tcW w:w="497" w:type="pct"/>
            <w:tcBorders>
              <w:top w:val="single" w:sz="4" w:space="0" w:color="FFFFFF" w:themeColor="background1"/>
            </w:tcBorders>
            <w:hideMark/>
          </w:tcPr>
          <w:p w14:paraId="2C9E745E" w14:textId="77777777" w:rsidR="008D2898" w:rsidRPr="005C6F98" w:rsidRDefault="008D2898"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7"/>
                <w:szCs w:val="17"/>
              </w:rPr>
            </w:pPr>
            <w:r w:rsidRPr="005C6F98">
              <w:rPr>
                <w:rFonts w:eastAsia="Calibri" w:cs="Times New Roman"/>
                <w:sz w:val="17"/>
                <w:szCs w:val="17"/>
              </w:rPr>
              <w:t>56 170,19</w:t>
            </w:r>
          </w:p>
        </w:tc>
        <w:tc>
          <w:tcPr>
            <w:tcW w:w="716" w:type="pct"/>
            <w:tcBorders>
              <w:top w:val="single" w:sz="4" w:space="0" w:color="FFFFFF" w:themeColor="background1"/>
            </w:tcBorders>
            <w:hideMark/>
          </w:tcPr>
          <w:p w14:paraId="55E3151C" w14:textId="77777777" w:rsidR="008D2898" w:rsidRPr="005C6F98" w:rsidRDefault="008D2898"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7"/>
                <w:szCs w:val="17"/>
              </w:rPr>
            </w:pPr>
            <w:r w:rsidRPr="005C6F98">
              <w:rPr>
                <w:rFonts w:eastAsia="Calibri" w:cs="Times New Roman"/>
                <w:sz w:val="17"/>
                <w:szCs w:val="17"/>
              </w:rPr>
              <w:t>3 068,10</w:t>
            </w:r>
          </w:p>
        </w:tc>
        <w:tc>
          <w:tcPr>
            <w:tcW w:w="497" w:type="pct"/>
            <w:tcBorders>
              <w:top w:val="single" w:sz="4" w:space="0" w:color="FFFFFF" w:themeColor="background1"/>
            </w:tcBorders>
            <w:hideMark/>
          </w:tcPr>
          <w:p w14:paraId="03ADC0A5" w14:textId="77777777" w:rsidR="008D2898" w:rsidRPr="005C6F98" w:rsidRDefault="008D2898" w:rsidP="005C6F98">
            <w:pPr>
              <w:tabs>
                <w:tab w:val="left" w:pos="1134"/>
              </w:tabs>
              <w:ind w:right="-99"/>
              <w:cnfStyle w:val="000000000000" w:firstRow="0" w:lastRow="0" w:firstColumn="0" w:lastColumn="0" w:oddVBand="0" w:evenVBand="0" w:oddHBand="0" w:evenHBand="0" w:firstRowFirstColumn="0" w:firstRowLastColumn="0" w:lastRowFirstColumn="0" w:lastRowLastColumn="0"/>
              <w:rPr>
                <w:rFonts w:eastAsia="Calibri" w:cs="Times New Roman"/>
                <w:sz w:val="17"/>
                <w:szCs w:val="17"/>
              </w:rPr>
            </w:pPr>
            <w:r w:rsidRPr="005C6F98">
              <w:rPr>
                <w:rFonts w:eastAsia="Calibri" w:cs="Times New Roman"/>
                <w:sz w:val="17"/>
                <w:szCs w:val="17"/>
              </w:rPr>
              <w:t>1 010 187,8</w:t>
            </w:r>
          </w:p>
        </w:tc>
        <w:tc>
          <w:tcPr>
            <w:tcW w:w="696" w:type="pct"/>
            <w:tcBorders>
              <w:top w:val="single" w:sz="4" w:space="0" w:color="FFFFFF" w:themeColor="background1"/>
            </w:tcBorders>
            <w:hideMark/>
          </w:tcPr>
          <w:p w14:paraId="3BC43BE1" w14:textId="77777777" w:rsidR="008D2898" w:rsidRPr="005C6F98" w:rsidRDefault="008D2898"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7"/>
                <w:szCs w:val="17"/>
              </w:rPr>
            </w:pPr>
            <w:r w:rsidRPr="005C6F98">
              <w:rPr>
                <w:rFonts w:eastAsia="Calibri" w:cs="Times New Roman"/>
                <w:sz w:val="17"/>
                <w:szCs w:val="17"/>
              </w:rPr>
              <w:t>1 228 520,20</w:t>
            </w:r>
          </w:p>
        </w:tc>
        <w:tc>
          <w:tcPr>
            <w:tcW w:w="685" w:type="pct"/>
            <w:tcBorders>
              <w:top w:val="single" w:sz="4" w:space="0" w:color="FFFFFF" w:themeColor="background1"/>
            </w:tcBorders>
          </w:tcPr>
          <w:p w14:paraId="7239FA95" w14:textId="77777777" w:rsidR="008D2898" w:rsidRPr="005C6F98" w:rsidRDefault="008D2898"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7"/>
                <w:szCs w:val="17"/>
              </w:rPr>
            </w:pPr>
          </w:p>
        </w:tc>
        <w:tc>
          <w:tcPr>
            <w:tcW w:w="541" w:type="pct"/>
            <w:tcBorders>
              <w:top w:val="single" w:sz="4" w:space="0" w:color="FFFFFF" w:themeColor="background1"/>
            </w:tcBorders>
          </w:tcPr>
          <w:p w14:paraId="354F09C9" w14:textId="77777777" w:rsidR="008D2898" w:rsidRPr="005C6F98" w:rsidRDefault="008D2898"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7"/>
                <w:szCs w:val="17"/>
              </w:rPr>
            </w:pPr>
          </w:p>
        </w:tc>
      </w:tr>
      <w:tr w:rsidR="005C6F98" w:rsidRPr="005C6F98" w14:paraId="5140D44F" w14:textId="77777777" w:rsidTr="005C6F98">
        <w:trPr>
          <w:trHeight w:val="410"/>
        </w:trPr>
        <w:tc>
          <w:tcPr>
            <w:cnfStyle w:val="001000000000" w:firstRow="0" w:lastRow="0" w:firstColumn="1" w:lastColumn="0" w:oddVBand="0" w:evenVBand="0" w:oddHBand="0" w:evenHBand="0" w:firstRowFirstColumn="0" w:firstRowLastColumn="0" w:lastRowFirstColumn="0" w:lastRowLastColumn="0"/>
            <w:tcW w:w="839" w:type="pct"/>
          </w:tcPr>
          <w:p w14:paraId="43EB8E03" w14:textId="77777777" w:rsidR="008D2898" w:rsidRPr="005C6F98" w:rsidRDefault="008D2898" w:rsidP="009E11D7">
            <w:pPr>
              <w:tabs>
                <w:tab w:val="left" w:pos="1134"/>
              </w:tabs>
              <w:rPr>
                <w:rFonts w:eastAsia="Calibri" w:cs="Times New Roman"/>
                <w:sz w:val="17"/>
                <w:szCs w:val="17"/>
              </w:rPr>
            </w:pPr>
            <w:r w:rsidRPr="005C6F98">
              <w:rPr>
                <w:rFonts w:eastAsia="Calibri" w:cs="Times New Roman"/>
                <w:sz w:val="17"/>
                <w:szCs w:val="17"/>
              </w:rPr>
              <w:t>Списано в 2017 году</w:t>
            </w:r>
          </w:p>
        </w:tc>
        <w:tc>
          <w:tcPr>
            <w:tcW w:w="530" w:type="pct"/>
          </w:tcPr>
          <w:p w14:paraId="3EB3D9CA" w14:textId="77777777" w:rsidR="008D2898" w:rsidRPr="005C6F98" w:rsidRDefault="008D2898"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7"/>
                <w:szCs w:val="17"/>
              </w:rPr>
            </w:pPr>
          </w:p>
        </w:tc>
        <w:tc>
          <w:tcPr>
            <w:tcW w:w="497" w:type="pct"/>
          </w:tcPr>
          <w:p w14:paraId="14B6E5EA" w14:textId="77777777" w:rsidR="008D2898" w:rsidRPr="005C6F98" w:rsidRDefault="008D2898"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7"/>
                <w:szCs w:val="17"/>
              </w:rPr>
            </w:pPr>
          </w:p>
        </w:tc>
        <w:tc>
          <w:tcPr>
            <w:tcW w:w="716" w:type="pct"/>
          </w:tcPr>
          <w:p w14:paraId="479EF914" w14:textId="77777777" w:rsidR="008D2898" w:rsidRPr="005C6F98" w:rsidRDefault="008D2898"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7"/>
                <w:szCs w:val="17"/>
              </w:rPr>
            </w:pPr>
          </w:p>
        </w:tc>
        <w:tc>
          <w:tcPr>
            <w:tcW w:w="497" w:type="pct"/>
          </w:tcPr>
          <w:p w14:paraId="38C66183" w14:textId="77777777" w:rsidR="008D2898" w:rsidRPr="005C6F98" w:rsidRDefault="008D2898"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7"/>
                <w:szCs w:val="17"/>
              </w:rPr>
            </w:pPr>
          </w:p>
        </w:tc>
        <w:tc>
          <w:tcPr>
            <w:tcW w:w="696" w:type="pct"/>
          </w:tcPr>
          <w:p w14:paraId="2D97B1FD" w14:textId="77777777" w:rsidR="008D2898" w:rsidRPr="005C6F98" w:rsidRDefault="008D2898"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7"/>
                <w:szCs w:val="17"/>
              </w:rPr>
            </w:pPr>
            <w:r w:rsidRPr="005C6F98">
              <w:rPr>
                <w:rFonts w:eastAsia="Calibri" w:cs="Times New Roman"/>
                <w:sz w:val="17"/>
                <w:szCs w:val="17"/>
              </w:rPr>
              <w:t>56 170,19</w:t>
            </w:r>
          </w:p>
        </w:tc>
        <w:tc>
          <w:tcPr>
            <w:tcW w:w="685" w:type="pct"/>
          </w:tcPr>
          <w:p w14:paraId="2F93F0C2" w14:textId="77777777" w:rsidR="008D2898" w:rsidRPr="005C6F98" w:rsidRDefault="008D2898"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7"/>
                <w:szCs w:val="17"/>
              </w:rPr>
            </w:pPr>
          </w:p>
        </w:tc>
        <w:tc>
          <w:tcPr>
            <w:tcW w:w="541" w:type="pct"/>
          </w:tcPr>
          <w:p w14:paraId="5987FEA5" w14:textId="77777777" w:rsidR="008D2898" w:rsidRPr="005C6F98" w:rsidRDefault="008D2898"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7"/>
                <w:szCs w:val="17"/>
              </w:rPr>
            </w:pPr>
          </w:p>
        </w:tc>
      </w:tr>
      <w:tr w:rsidR="005C6F98" w:rsidRPr="005C6F98" w14:paraId="24685F89" w14:textId="77777777" w:rsidTr="005C6F98">
        <w:trPr>
          <w:trHeight w:val="426"/>
        </w:trPr>
        <w:tc>
          <w:tcPr>
            <w:cnfStyle w:val="001000000000" w:firstRow="0" w:lastRow="0" w:firstColumn="1" w:lastColumn="0" w:oddVBand="0" w:evenVBand="0" w:oddHBand="0" w:evenHBand="0" w:firstRowFirstColumn="0" w:firstRowLastColumn="0" w:lastRowFirstColumn="0" w:lastRowLastColumn="0"/>
            <w:tcW w:w="839" w:type="pct"/>
          </w:tcPr>
          <w:p w14:paraId="3F1DC8C5" w14:textId="77777777" w:rsidR="008D2898" w:rsidRPr="005C6F98" w:rsidRDefault="008D2898" w:rsidP="009E11D7">
            <w:pPr>
              <w:tabs>
                <w:tab w:val="left" w:pos="1134"/>
              </w:tabs>
              <w:rPr>
                <w:rFonts w:eastAsia="Calibri" w:cs="Times New Roman"/>
                <w:sz w:val="17"/>
                <w:szCs w:val="17"/>
              </w:rPr>
            </w:pPr>
            <w:r w:rsidRPr="005C6F98">
              <w:rPr>
                <w:rFonts w:eastAsia="Calibri" w:cs="Times New Roman"/>
                <w:sz w:val="17"/>
                <w:szCs w:val="17"/>
              </w:rPr>
              <w:t>Сумма резерва для включения в НВВ</w:t>
            </w:r>
          </w:p>
        </w:tc>
        <w:tc>
          <w:tcPr>
            <w:tcW w:w="530" w:type="pct"/>
          </w:tcPr>
          <w:p w14:paraId="74AC00E2" w14:textId="77777777" w:rsidR="008D2898" w:rsidRPr="005C6F98" w:rsidRDefault="008D2898"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7"/>
                <w:szCs w:val="17"/>
              </w:rPr>
            </w:pPr>
          </w:p>
        </w:tc>
        <w:tc>
          <w:tcPr>
            <w:tcW w:w="497" w:type="pct"/>
          </w:tcPr>
          <w:p w14:paraId="05AADDB5" w14:textId="77777777" w:rsidR="008D2898" w:rsidRPr="005C6F98" w:rsidRDefault="008D2898"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7"/>
                <w:szCs w:val="17"/>
              </w:rPr>
            </w:pPr>
          </w:p>
        </w:tc>
        <w:tc>
          <w:tcPr>
            <w:tcW w:w="716" w:type="pct"/>
          </w:tcPr>
          <w:p w14:paraId="0708291F" w14:textId="77777777" w:rsidR="008D2898" w:rsidRPr="005C6F98" w:rsidRDefault="008D2898"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7"/>
                <w:szCs w:val="17"/>
              </w:rPr>
            </w:pPr>
          </w:p>
        </w:tc>
        <w:tc>
          <w:tcPr>
            <w:tcW w:w="497" w:type="pct"/>
          </w:tcPr>
          <w:p w14:paraId="5F1E3EDC" w14:textId="77777777" w:rsidR="008D2898" w:rsidRPr="005C6F98" w:rsidRDefault="008D2898"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7"/>
                <w:szCs w:val="17"/>
              </w:rPr>
            </w:pPr>
          </w:p>
        </w:tc>
        <w:tc>
          <w:tcPr>
            <w:tcW w:w="696" w:type="pct"/>
          </w:tcPr>
          <w:p w14:paraId="265E6B65" w14:textId="6F257473" w:rsidR="008D2898" w:rsidRPr="005C6F98" w:rsidRDefault="008D2898"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7"/>
                <w:szCs w:val="17"/>
              </w:rPr>
            </w:pPr>
            <w:r w:rsidRPr="005C6F98">
              <w:rPr>
                <w:rFonts w:eastAsia="Calibri" w:cs="Times New Roman"/>
                <w:sz w:val="17"/>
                <w:szCs w:val="17"/>
              </w:rPr>
              <w:t>1 284</w:t>
            </w:r>
            <w:r w:rsidR="001C721C" w:rsidRPr="005C6F98">
              <w:rPr>
                <w:rFonts w:eastAsia="Calibri" w:cs="Times New Roman"/>
                <w:sz w:val="17"/>
                <w:szCs w:val="17"/>
              </w:rPr>
              <w:t> </w:t>
            </w:r>
            <w:r w:rsidRPr="005C6F98">
              <w:rPr>
                <w:rFonts w:eastAsia="Calibri" w:cs="Times New Roman"/>
                <w:sz w:val="17"/>
                <w:szCs w:val="17"/>
              </w:rPr>
              <w:t>690</w:t>
            </w:r>
            <w:r w:rsidR="001C721C" w:rsidRPr="005C6F98">
              <w:rPr>
                <w:rFonts w:eastAsia="Calibri" w:cs="Times New Roman"/>
                <w:sz w:val="17"/>
                <w:szCs w:val="17"/>
              </w:rPr>
              <w:t>,</w:t>
            </w:r>
            <w:r w:rsidRPr="005C6F98">
              <w:rPr>
                <w:rFonts w:eastAsia="Calibri" w:cs="Times New Roman"/>
                <w:sz w:val="17"/>
                <w:szCs w:val="17"/>
              </w:rPr>
              <w:t>394</w:t>
            </w:r>
          </w:p>
        </w:tc>
        <w:tc>
          <w:tcPr>
            <w:tcW w:w="685" w:type="pct"/>
          </w:tcPr>
          <w:p w14:paraId="0F4AC3A2" w14:textId="671347EA" w:rsidR="008D2898" w:rsidRPr="005C6F98" w:rsidRDefault="008D2898"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7"/>
                <w:szCs w:val="17"/>
              </w:rPr>
            </w:pPr>
            <w:r w:rsidRPr="005C6F98">
              <w:rPr>
                <w:rFonts w:eastAsia="Calibri" w:cs="Times New Roman"/>
                <w:sz w:val="17"/>
                <w:szCs w:val="17"/>
              </w:rPr>
              <w:t>1 213</w:t>
            </w:r>
            <w:r w:rsidR="001C721C" w:rsidRPr="005C6F98">
              <w:rPr>
                <w:rFonts w:eastAsia="Calibri" w:cs="Times New Roman"/>
                <w:sz w:val="17"/>
                <w:szCs w:val="17"/>
              </w:rPr>
              <w:t> </w:t>
            </w:r>
            <w:r w:rsidRPr="005C6F98">
              <w:rPr>
                <w:rFonts w:eastAsia="Calibri" w:cs="Times New Roman"/>
                <w:sz w:val="17"/>
                <w:szCs w:val="17"/>
              </w:rPr>
              <w:t>891</w:t>
            </w:r>
            <w:r w:rsidR="001C721C" w:rsidRPr="005C6F98">
              <w:rPr>
                <w:rFonts w:eastAsia="Calibri" w:cs="Times New Roman"/>
                <w:sz w:val="17"/>
                <w:szCs w:val="17"/>
              </w:rPr>
              <w:t>,</w:t>
            </w:r>
            <w:r w:rsidRPr="005C6F98">
              <w:rPr>
                <w:rFonts w:eastAsia="Calibri" w:cs="Times New Roman"/>
                <w:sz w:val="17"/>
                <w:szCs w:val="17"/>
              </w:rPr>
              <w:t xml:space="preserve"> 397</w:t>
            </w:r>
          </w:p>
        </w:tc>
        <w:tc>
          <w:tcPr>
            <w:tcW w:w="541" w:type="pct"/>
          </w:tcPr>
          <w:p w14:paraId="423FCB55" w14:textId="4E5EF317" w:rsidR="008D2898" w:rsidRPr="005C6F98" w:rsidRDefault="008D2898"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7"/>
                <w:szCs w:val="17"/>
              </w:rPr>
            </w:pPr>
            <w:r w:rsidRPr="005C6F98">
              <w:rPr>
                <w:rFonts w:eastAsia="Calibri" w:cs="Times New Roman"/>
                <w:sz w:val="17"/>
                <w:szCs w:val="17"/>
              </w:rPr>
              <w:t>70</w:t>
            </w:r>
            <w:r w:rsidR="001C721C" w:rsidRPr="005C6F98">
              <w:rPr>
                <w:rFonts w:eastAsia="Calibri" w:cs="Times New Roman"/>
                <w:sz w:val="17"/>
                <w:szCs w:val="17"/>
              </w:rPr>
              <w:t> </w:t>
            </w:r>
            <w:r w:rsidRPr="005C6F98">
              <w:rPr>
                <w:rFonts w:eastAsia="Calibri" w:cs="Times New Roman"/>
                <w:sz w:val="17"/>
                <w:szCs w:val="17"/>
              </w:rPr>
              <w:t>798</w:t>
            </w:r>
            <w:r w:rsidR="001C721C" w:rsidRPr="005C6F98">
              <w:rPr>
                <w:rFonts w:eastAsia="Calibri" w:cs="Times New Roman"/>
                <w:sz w:val="17"/>
                <w:szCs w:val="17"/>
              </w:rPr>
              <w:t>,</w:t>
            </w:r>
            <w:r w:rsidRPr="005C6F98">
              <w:rPr>
                <w:rFonts w:eastAsia="Calibri" w:cs="Times New Roman"/>
                <w:sz w:val="17"/>
                <w:szCs w:val="17"/>
              </w:rPr>
              <w:t>99</w:t>
            </w:r>
            <w:r w:rsidR="001C721C" w:rsidRPr="005C6F98">
              <w:rPr>
                <w:rFonts w:eastAsia="Calibri" w:cs="Times New Roman"/>
                <w:sz w:val="17"/>
                <w:szCs w:val="17"/>
              </w:rPr>
              <w:t>6</w:t>
            </w:r>
          </w:p>
        </w:tc>
      </w:tr>
    </w:tbl>
    <w:p w14:paraId="10DE7E43" w14:textId="6D31ED14" w:rsidR="00241E5D" w:rsidRPr="00FB0A3A" w:rsidRDefault="00CF2897" w:rsidP="009E11D7">
      <w:pPr>
        <w:pStyle w:val="afff7"/>
        <w:spacing w:after="200"/>
      </w:pPr>
      <w:r w:rsidRPr="00FB0A3A">
        <w:t xml:space="preserve">Сумма </w:t>
      </w:r>
      <w:r w:rsidR="00A702D3" w:rsidRPr="00FB0A3A">
        <w:t xml:space="preserve">дебиторской задолженности, списанная по приказам в 2017 году по деятельности реализация </w:t>
      </w:r>
      <w:r w:rsidR="000B523E" w:rsidRPr="00FB0A3A">
        <w:t>(сбыт) электроэнергии и включаемая Филиалом в плановые расходы по рассматриваемой статье -</w:t>
      </w:r>
      <w:r w:rsidR="00A702D3" w:rsidRPr="00FB0A3A">
        <w:t xml:space="preserve"> 56 170 192,40 руб., в том числе </w:t>
      </w:r>
      <w:r w:rsidRPr="00FB0A3A">
        <w:t>основного долга</w:t>
      </w:r>
      <w:r w:rsidR="005C4AA6" w:rsidRPr="00FB0A3A">
        <w:t xml:space="preserve"> </w:t>
      </w:r>
      <w:r w:rsidRPr="00FB0A3A">
        <w:t>46 465 096,34 руб.</w:t>
      </w:r>
      <w:r w:rsidR="00A702D3" w:rsidRPr="00FB0A3A">
        <w:t xml:space="preserve"> и проценты, пени, штрафы 9 705 096,06 руб.</w:t>
      </w:r>
    </w:p>
    <w:tbl>
      <w:tblPr>
        <w:tblStyle w:val="afff6"/>
        <w:tblW w:w="5000" w:type="pct"/>
        <w:tblLayout w:type="fixed"/>
        <w:tblLook w:val="04A0" w:firstRow="1" w:lastRow="0" w:firstColumn="1" w:lastColumn="0" w:noHBand="0" w:noVBand="1"/>
      </w:tblPr>
      <w:tblGrid>
        <w:gridCol w:w="556"/>
        <w:gridCol w:w="3627"/>
        <w:gridCol w:w="1677"/>
        <w:gridCol w:w="1817"/>
        <w:gridCol w:w="1667"/>
      </w:tblGrid>
      <w:tr w:rsidR="00CF2897" w:rsidRPr="00FB0A3A" w14:paraId="352FD621" w14:textId="77777777" w:rsidTr="002267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C71A453" w14:textId="77777777" w:rsidR="00CF2897" w:rsidRPr="00FB0A3A" w:rsidRDefault="00CF2897" w:rsidP="009E11D7">
            <w:pPr>
              <w:tabs>
                <w:tab w:val="left" w:pos="1134"/>
              </w:tabs>
              <w:jc w:val="center"/>
              <w:rPr>
                <w:rFonts w:eastAsia="Calibri" w:cs="Times New Roman"/>
                <w:szCs w:val="18"/>
              </w:rPr>
            </w:pPr>
            <w:r w:rsidRPr="00FB0A3A">
              <w:rPr>
                <w:rFonts w:eastAsia="Calibri" w:cs="Times New Roman"/>
                <w:szCs w:val="18"/>
              </w:rPr>
              <w:t>№ п/п</w:t>
            </w:r>
          </w:p>
        </w:tc>
        <w:tc>
          <w:tcPr>
            <w:tcW w:w="368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EB9B5AE" w14:textId="77777777" w:rsidR="00CF2897" w:rsidRPr="00FB0A3A" w:rsidRDefault="00CF2897" w:rsidP="009E11D7">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Наименование организации</w:t>
            </w:r>
          </w:p>
        </w:tc>
        <w:tc>
          <w:tcPr>
            <w:tcW w:w="5238"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57BB086" w14:textId="77777777" w:rsidR="00CF2897" w:rsidRPr="00FB0A3A" w:rsidRDefault="00CF2897" w:rsidP="009E11D7">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Списание</w:t>
            </w:r>
          </w:p>
        </w:tc>
      </w:tr>
      <w:tr w:rsidR="00CF2897" w:rsidRPr="00FB0A3A" w14:paraId="0053A1E2" w14:textId="77777777" w:rsidTr="002267D7">
        <w:trPr>
          <w:trHeight w:val="450"/>
        </w:trPr>
        <w:tc>
          <w:tcPr>
            <w:cnfStyle w:val="001000000000" w:firstRow="0" w:lastRow="0" w:firstColumn="1" w:lastColumn="0" w:oddVBand="0" w:evenVBand="0" w:oddHBand="0" w:evenHBand="0" w:firstRowFirstColumn="0" w:firstRowLastColumn="0" w:lastRowFirstColumn="0" w:lastRowLastColumn="0"/>
            <w:tcW w:w="56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736747A" w14:textId="77777777" w:rsidR="00CF2897" w:rsidRPr="00FB0A3A" w:rsidRDefault="00CF2897" w:rsidP="009E11D7">
            <w:pPr>
              <w:tabs>
                <w:tab w:val="left" w:pos="1134"/>
              </w:tabs>
              <w:rPr>
                <w:rFonts w:eastAsia="Calibri" w:cs="Times New Roman"/>
                <w:szCs w:val="18"/>
              </w:rPr>
            </w:pPr>
          </w:p>
        </w:tc>
        <w:tc>
          <w:tcPr>
            <w:tcW w:w="368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F1F208B" w14:textId="77777777" w:rsidR="00CF2897" w:rsidRPr="00FB0A3A" w:rsidRDefault="00CF2897"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170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7830657C" w14:textId="77777777" w:rsidR="00CF2897" w:rsidRPr="00FB0A3A" w:rsidRDefault="00CF2897"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color w:val="FFFFFF" w:themeColor="background1"/>
                <w:szCs w:val="18"/>
              </w:rPr>
            </w:pPr>
            <w:r w:rsidRPr="00FB0A3A">
              <w:rPr>
                <w:rFonts w:eastAsia="Calibri" w:cs="Times New Roman"/>
                <w:color w:val="FFFFFF" w:themeColor="background1"/>
                <w:szCs w:val="18"/>
              </w:rPr>
              <w:t>Всего, в том числе:</w:t>
            </w:r>
          </w:p>
        </w:tc>
        <w:tc>
          <w:tcPr>
            <w:tcW w:w="184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73B242F3" w14:textId="7A5F0F24" w:rsidR="00CF2897" w:rsidRPr="00FB0A3A" w:rsidRDefault="003E35B3"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color w:val="FFFFFF" w:themeColor="background1"/>
                <w:szCs w:val="18"/>
              </w:rPr>
            </w:pPr>
            <w:r w:rsidRPr="00FB0A3A">
              <w:rPr>
                <w:rFonts w:eastAsia="Calibri" w:cs="Times New Roman"/>
                <w:color w:val="FFFFFF" w:themeColor="background1"/>
                <w:szCs w:val="18"/>
              </w:rPr>
              <w:t>о</w:t>
            </w:r>
            <w:r w:rsidR="00CF2897" w:rsidRPr="00FB0A3A">
              <w:rPr>
                <w:rFonts w:eastAsia="Calibri" w:cs="Times New Roman"/>
                <w:color w:val="FFFFFF" w:themeColor="background1"/>
                <w:szCs w:val="18"/>
              </w:rPr>
              <w:t>сновной долг</w:t>
            </w:r>
          </w:p>
        </w:tc>
        <w:tc>
          <w:tcPr>
            <w:tcW w:w="169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8BF5CB1" w14:textId="4F9743AE" w:rsidR="00CF2897" w:rsidRPr="00FB0A3A" w:rsidRDefault="003E35B3"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color w:val="FFFFFF" w:themeColor="background1"/>
                <w:szCs w:val="18"/>
              </w:rPr>
            </w:pPr>
            <w:r w:rsidRPr="00FB0A3A">
              <w:rPr>
                <w:rFonts w:eastAsia="Calibri" w:cs="Times New Roman"/>
                <w:color w:val="FFFFFF" w:themeColor="background1"/>
                <w:szCs w:val="18"/>
              </w:rPr>
              <w:t>п</w:t>
            </w:r>
            <w:r w:rsidR="00CF2897" w:rsidRPr="00FB0A3A">
              <w:rPr>
                <w:rFonts w:eastAsia="Calibri" w:cs="Times New Roman"/>
                <w:color w:val="FFFFFF" w:themeColor="background1"/>
                <w:szCs w:val="18"/>
              </w:rPr>
              <w:t>роценты, пени</w:t>
            </w:r>
            <w:r w:rsidR="00C951A1" w:rsidRPr="00FB0A3A">
              <w:rPr>
                <w:rFonts w:eastAsia="Calibri" w:cs="Times New Roman"/>
                <w:color w:val="FFFFFF" w:themeColor="background1"/>
                <w:szCs w:val="18"/>
              </w:rPr>
              <w:t>,</w:t>
            </w:r>
            <w:r w:rsidR="00CF2897" w:rsidRPr="00FB0A3A">
              <w:rPr>
                <w:rFonts w:eastAsia="Calibri" w:cs="Times New Roman"/>
                <w:color w:val="FFFFFF" w:themeColor="background1"/>
                <w:szCs w:val="18"/>
              </w:rPr>
              <w:t xml:space="preserve"> штрафы</w:t>
            </w:r>
          </w:p>
        </w:tc>
      </w:tr>
      <w:tr w:rsidR="00CF2897" w:rsidRPr="00FB0A3A" w14:paraId="581AE786" w14:textId="77777777" w:rsidTr="002267D7">
        <w:trPr>
          <w:trHeight w:val="450"/>
        </w:trPr>
        <w:tc>
          <w:tcPr>
            <w:cnfStyle w:val="001000000000" w:firstRow="0" w:lastRow="0" w:firstColumn="1" w:lastColumn="0" w:oddVBand="0" w:evenVBand="0" w:oddHBand="0" w:evenHBand="0" w:firstRowFirstColumn="0" w:firstRowLastColumn="0" w:lastRowFirstColumn="0" w:lastRowLastColumn="0"/>
            <w:tcW w:w="56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3761BB1" w14:textId="77777777" w:rsidR="00CF2897" w:rsidRPr="00FB0A3A" w:rsidRDefault="00CF2897" w:rsidP="009E11D7">
            <w:pPr>
              <w:tabs>
                <w:tab w:val="left" w:pos="1134"/>
              </w:tabs>
              <w:rPr>
                <w:rFonts w:eastAsia="Calibri" w:cs="Times New Roman"/>
                <w:szCs w:val="18"/>
              </w:rPr>
            </w:pPr>
          </w:p>
        </w:tc>
        <w:tc>
          <w:tcPr>
            <w:tcW w:w="368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5111ED0" w14:textId="77777777" w:rsidR="00CF2897" w:rsidRPr="00FB0A3A" w:rsidRDefault="00CF2897"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170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7CD7B453" w14:textId="77777777" w:rsidR="00CF2897" w:rsidRPr="00FB0A3A" w:rsidRDefault="00CF2897"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184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7A2DDF24" w14:textId="77777777" w:rsidR="00CF2897" w:rsidRPr="00FB0A3A" w:rsidRDefault="00CF2897"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169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4CD6662F" w14:textId="77777777" w:rsidR="00CF2897" w:rsidRPr="00FB0A3A" w:rsidRDefault="00CF2897"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r>
      <w:tr w:rsidR="00CF2897" w:rsidRPr="00FB0A3A" w14:paraId="4312C99F" w14:textId="77777777" w:rsidTr="002267D7">
        <w:tc>
          <w:tcPr>
            <w:cnfStyle w:val="001000000000" w:firstRow="0" w:lastRow="0" w:firstColumn="1" w:lastColumn="0" w:oddVBand="0" w:evenVBand="0" w:oddHBand="0" w:evenHBand="0" w:firstRowFirstColumn="0" w:firstRowLastColumn="0" w:lastRowFirstColumn="0" w:lastRowLastColumn="0"/>
            <w:tcW w:w="562" w:type="dxa"/>
            <w:tcBorders>
              <w:top w:val="single" w:sz="4" w:space="0" w:color="FFFFFF" w:themeColor="background1"/>
            </w:tcBorders>
            <w:noWrap/>
            <w:hideMark/>
          </w:tcPr>
          <w:p w14:paraId="1B30E057" w14:textId="77777777" w:rsidR="00CF2897" w:rsidRPr="00FB0A3A" w:rsidRDefault="00CF2897" w:rsidP="009E11D7">
            <w:pPr>
              <w:tabs>
                <w:tab w:val="left" w:pos="1134"/>
              </w:tabs>
              <w:jc w:val="center"/>
              <w:rPr>
                <w:rFonts w:eastAsia="Calibri" w:cs="Times New Roman"/>
                <w:szCs w:val="18"/>
              </w:rPr>
            </w:pPr>
            <w:r w:rsidRPr="00FB0A3A">
              <w:rPr>
                <w:rFonts w:eastAsia="Calibri" w:cs="Times New Roman"/>
                <w:szCs w:val="18"/>
              </w:rPr>
              <w:t>1</w:t>
            </w:r>
          </w:p>
        </w:tc>
        <w:tc>
          <w:tcPr>
            <w:tcW w:w="3686" w:type="dxa"/>
            <w:tcBorders>
              <w:top w:val="single" w:sz="4" w:space="0" w:color="FFFFFF" w:themeColor="background1"/>
            </w:tcBorders>
            <w:hideMark/>
          </w:tcPr>
          <w:p w14:paraId="3D1B2938" w14:textId="44244DBC" w:rsidR="00CF2897" w:rsidRPr="00FB0A3A" w:rsidRDefault="00CF2897" w:rsidP="009E11D7">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Общество с</w:t>
            </w:r>
            <w:r w:rsidR="00CB1625" w:rsidRPr="00FB0A3A">
              <w:rPr>
                <w:rFonts w:eastAsia="Calibri" w:cs="Times New Roman"/>
                <w:szCs w:val="18"/>
              </w:rPr>
              <w:t xml:space="preserve"> ограниченной ответственностью </w:t>
            </w:r>
            <w:r w:rsidR="00655FFA" w:rsidRPr="00FB0A3A">
              <w:rPr>
                <w:rFonts w:eastAsia="Calibri" w:cs="Times New Roman"/>
                <w:szCs w:val="18"/>
              </w:rPr>
              <w:t>«</w:t>
            </w:r>
            <w:r w:rsidR="00CB1625" w:rsidRPr="00FB0A3A">
              <w:rPr>
                <w:rFonts w:eastAsia="Calibri" w:cs="Times New Roman"/>
                <w:szCs w:val="18"/>
              </w:rPr>
              <w:t>Енский</w:t>
            </w:r>
            <w:r w:rsidR="00655FFA" w:rsidRPr="00FB0A3A">
              <w:rPr>
                <w:rFonts w:eastAsia="Calibri" w:cs="Times New Roman"/>
                <w:szCs w:val="18"/>
              </w:rPr>
              <w:t>»</w:t>
            </w:r>
          </w:p>
        </w:tc>
        <w:tc>
          <w:tcPr>
            <w:tcW w:w="1702" w:type="dxa"/>
            <w:tcBorders>
              <w:top w:val="single" w:sz="4" w:space="0" w:color="FFFFFF" w:themeColor="background1"/>
            </w:tcBorders>
            <w:noWrap/>
            <w:hideMark/>
          </w:tcPr>
          <w:p w14:paraId="56092B59" w14:textId="77777777" w:rsidR="00CF2897" w:rsidRPr="00FB0A3A" w:rsidRDefault="00CF2897"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5 493 783,70</w:t>
            </w:r>
          </w:p>
        </w:tc>
        <w:tc>
          <w:tcPr>
            <w:tcW w:w="1844" w:type="dxa"/>
            <w:tcBorders>
              <w:top w:val="single" w:sz="4" w:space="0" w:color="FFFFFF" w:themeColor="background1"/>
            </w:tcBorders>
            <w:noWrap/>
            <w:hideMark/>
          </w:tcPr>
          <w:p w14:paraId="38D0E5A6" w14:textId="77777777" w:rsidR="00CF2897" w:rsidRPr="00FB0A3A" w:rsidRDefault="00CF2897"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5 493 783,70</w:t>
            </w:r>
          </w:p>
        </w:tc>
        <w:tc>
          <w:tcPr>
            <w:tcW w:w="1692" w:type="dxa"/>
            <w:tcBorders>
              <w:top w:val="single" w:sz="4" w:space="0" w:color="FFFFFF" w:themeColor="background1"/>
            </w:tcBorders>
            <w:noWrap/>
            <w:hideMark/>
          </w:tcPr>
          <w:p w14:paraId="4106F5DC" w14:textId="77777777" w:rsidR="00CF2897" w:rsidRPr="00FB0A3A" w:rsidRDefault="00CF2897"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0,00</w:t>
            </w:r>
          </w:p>
        </w:tc>
      </w:tr>
      <w:tr w:rsidR="00CF2897" w:rsidRPr="00FB0A3A" w14:paraId="3F537A72" w14:textId="77777777" w:rsidTr="009E11D7">
        <w:tc>
          <w:tcPr>
            <w:cnfStyle w:val="001000000000" w:firstRow="0" w:lastRow="0" w:firstColumn="1" w:lastColumn="0" w:oddVBand="0" w:evenVBand="0" w:oddHBand="0" w:evenHBand="0" w:firstRowFirstColumn="0" w:firstRowLastColumn="0" w:lastRowFirstColumn="0" w:lastRowLastColumn="0"/>
            <w:tcW w:w="562" w:type="dxa"/>
            <w:noWrap/>
            <w:hideMark/>
          </w:tcPr>
          <w:p w14:paraId="42CDA44A" w14:textId="77777777" w:rsidR="00CF2897" w:rsidRPr="00FB0A3A" w:rsidRDefault="00CF2897" w:rsidP="009E11D7">
            <w:pPr>
              <w:tabs>
                <w:tab w:val="left" w:pos="1134"/>
              </w:tabs>
              <w:jc w:val="center"/>
              <w:rPr>
                <w:rFonts w:eastAsia="Calibri" w:cs="Times New Roman"/>
                <w:szCs w:val="18"/>
              </w:rPr>
            </w:pPr>
            <w:r w:rsidRPr="00FB0A3A">
              <w:rPr>
                <w:rFonts w:eastAsia="Calibri" w:cs="Times New Roman"/>
                <w:szCs w:val="18"/>
              </w:rPr>
              <w:t>2</w:t>
            </w:r>
          </w:p>
        </w:tc>
        <w:tc>
          <w:tcPr>
            <w:tcW w:w="3686" w:type="dxa"/>
            <w:hideMark/>
          </w:tcPr>
          <w:p w14:paraId="66248851" w14:textId="4938DB7D" w:rsidR="00CF2897" w:rsidRPr="00FB0A3A" w:rsidRDefault="00CB1625" w:rsidP="009E11D7">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 xml:space="preserve">ООО </w:t>
            </w:r>
            <w:r w:rsidR="00655FFA" w:rsidRPr="00FB0A3A">
              <w:rPr>
                <w:rFonts w:eastAsia="Calibri" w:cs="Times New Roman"/>
                <w:szCs w:val="18"/>
              </w:rPr>
              <w:t>«</w:t>
            </w:r>
            <w:r w:rsidRPr="00FB0A3A">
              <w:rPr>
                <w:rFonts w:eastAsia="Calibri" w:cs="Times New Roman"/>
                <w:szCs w:val="18"/>
              </w:rPr>
              <w:t>УК-КОЛА ДОМ</w:t>
            </w:r>
            <w:r w:rsidR="00655FFA" w:rsidRPr="00FB0A3A">
              <w:rPr>
                <w:rFonts w:eastAsia="Calibri" w:cs="Times New Roman"/>
                <w:szCs w:val="18"/>
              </w:rPr>
              <w:t>»</w:t>
            </w:r>
            <w:r w:rsidR="00CF2897" w:rsidRPr="00FB0A3A">
              <w:rPr>
                <w:rFonts w:eastAsia="Calibri" w:cs="Times New Roman"/>
                <w:szCs w:val="18"/>
              </w:rPr>
              <w:t xml:space="preserve"> </w:t>
            </w:r>
          </w:p>
        </w:tc>
        <w:tc>
          <w:tcPr>
            <w:tcW w:w="1702" w:type="dxa"/>
            <w:noWrap/>
            <w:hideMark/>
          </w:tcPr>
          <w:p w14:paraId="228E78AC" w14:textId="77777777" w:rsidR="00CF2897" w:rsidRPr="00FB0A3A" w:rsidRDefault="00CF2897"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11 812,28</w:t>
            </w:r>
          </w:p>
        </w:tc>
        <w:tc>
          <w:tcPr>
            <w:tcW w:w="1844" w:type="dxa"/>
            <w:noWrap/>
            <w:hideMark/>
          </w:tcPr>
          <w:p w14:paraId="4EB831E1" w14:textId="7EC8104E" w:rsidR="00CF2897" w:rsidRPr="00FB0A3A" w:rsidRDefault="00CF2897"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1692" w:type="dxa"/>
            <w:noWrap/>
            <w:hideMark/>
          </w:tcPr>
          <w:p w14:paraId="0B5E64F3" w14:textId="77777777" w:rsidR="00CF2897" w:rsidRPr="00FB0A3A" w:rsidRDefault="00CF2897"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11 812,28</w:t>
            </w:r>
          </w:p>
        </w:tc>
      </w:tr>
      <w:tr w:rsidR="00CF2897" w:rsidRPr="00FB0A3A" w14:paraId="3A274F48" w14:textId="77777777" w:rsidTr="009E11D7">
        <w:tc>
          <w:tcPr>
            <w:cnfStyle w:val="001000000000" w:firstRow="0" w:lastRow="0" w:firstColumn="1" w:lastColumn="0" w:oddVBand="0" w:evenVBand="0" w:oddHBand="0" w:evenHBand="0" w:firstRowFirstColumn="0" w:firstRowLastColumn="0" w:lastRowFirstColumn="0" w:lastRowLastColumn="0"/>
            <w:tcW w:w="562" w:type="dxa"/>
            <w:noWrap/>
            <w:hideMark/>
          </w:tcPr>
          <w:p w14:paraId="008D3BCA" w14:textId="77777777" w:rsidR="00CF2897" w:rsidRPr="00FB0A3A" w:rsidRDefault="00CF2897" w:rsidP="009E11D7">
            <w:pPr>
              <w:tabs>
                <w:tab w:val="left" w:pos="1134"/>
              </w:tabs>
              <w:jc w:val="center"/>
              <w:rPr>
                <w:rFonts w:eastAsia="Calibri" w:cs="Times New Roman"/>
                <w:szCs w:val="18"/>
              </w:rPr>
            </w:pPr>
            <w:r w:rsidRPr="00FB0A3A">
              <w:rPr>
                <w:rFonts w:eastAsia="Calibri" w:cs="Times New Roman"/>
                <w:szCs w:val="18"/>
              </w:rPr>
              <w:t>3</w:t>
            </w:r>
          </w:p>
        </w:tc>
        <w:tc>
          <w:tcPr>
            <w:tcW w:w="3686" w:type="dxa"/>
            <w:hideMark/>
          </w:tcPr>
          <w:p w14:paraId="453B55BA" w14:textId="15D82997" w:rsidR="00CF2897" w:rsidRPr="00FB0A3A" w:rsidRDefault="00CF2897" w:rsidP="009E11D7">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 xml:space="preserve">ООО </w:t>
            </w:r>
            <w:r w:rsidR="00655FFA" w:rsidRPr="00FB0A3A">
              <w:rPr>
                <w:rFonts w:eastAsia="Calibri" w:cs="Times New Roman"/>
                <w:szCs w:val="18"/>
              </w:rPr>
              <w:t>«</w:t>
            </w:r>
            <w:r w:rsidRPr="00FB0A3A">
              <w:rPr>
                <w:rFonts w:eastAsia="Calibri" w:cs="Times New Roman"/>
                <w:szCs w:val="18"/>
              </w:rPr>
              <w:t>Партнер</w:t>
            </w:r>
            <w:r w:rsidR="00655FFA" w:rsidRPr="00FB0A3A">
              <w:rPr>
                <w:rFonts w:eastAsia="Calibri" w:cs="Times New Roman"/>
                <w:szCs w:val="18"/>
              </w:rPr>
              <w:t>»</w:t>
            </w:r>
          </w:p>
        </w:tc>
        <w:tc>
          <w:tcPr>
            <w:tcW w:w="1702" w:type="dxa"/>
            <w:noWrap/>
            <w:hideMark/>
          </w:tcPr>
          <w:p w14:paraId="105493E5" w14:textId="77777777" w:rsidR="00CF2897" w:rsidRPr="00FB0A3A" w:rsidRDefault="00CF2897"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328 002,52</w:t>
            </w:r>
          </w:p>
        </w:tc>
        <w:tc>
          <w:tcPr>
            <w:tcW w:w="1844" w:type="dxa"/>
            <w:noWrap/>
            <w:hideMark/>
          </w:tcPr>
          <w:p w14:paraId="17BA7689" w14:textId="5C268003" w:rsidR="00CF2897" w:rsidRPr="00FB0A3A" w:rsidRDefault="00CF2897"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1692" w:type="dxa"/>
            <w:noWrap/>
            <w:hideMark/>
          </w:tcPr>
          <w:p w14:paraId="67621E0A" w14:textId="77777777" w:rsidR="00CF2897" w:rsidRPr="00FB0A3A" w:rsidRDefault="00CF2897"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328 002,52</w:t>
            </w:r>
          </w:p>
        </w:tc>
      </w:tr>
      <w:tr w:rsidR="00CF2897" w:rsidRPr="00FB0A3A" w14:paraId="1531EBA8" w14:textId="77777777" w:rsidTr="009E11D7">
        <w:tc>
          <w:tcPr>
            <w:cnfStyle w:val="001000000000" w:firstRow="0" w:lastRow="0" w:firstColumn="1" w:lastColumn="0" w:oddVBand="0" w:evenVBand="0" w:oddHBand="0" w:evenHBand="0" w:firstRowFirstColumn="0" w:firstRowLastColumn="0" w:lastRowFirstColumn="0" w:lastRowLastColumn="0"/>
            <w:tcW w:w="562" w:type="dxa"/>
            <w:noWrap/>
            <w:hideMark/>
          </w:tcPr>
          <w:p w14:paraId="11195B58" w14:textId="77777777" w:rsidR="00CF2897" w:rsidRPr="00FB0A3A" w:rsidRDefault="00CF2897" w:rsidP="009E11D7">
            <w:pPr>
              <w:tabs>
                <w:tab w:val="left" w:pos="1134"/>
              </w:tabs>
              <w:jc w:val="center"/>
              <w:rPr>
                <w:rFonts w:eastAsia="Calibri" w:cs="Times New Roman"/>
                <w:szCs w:val="18"/>
              </w:rPr>
            </w:pPr>
            <w:r w:rsidRPr="00FB0A3A">
              <w:rPr>
                <w:rFonts w:eastAsia="Calibri" w:cs="Times New Roman"/>
                <w:szCs w:val="18"/>
              </w:rPr>
              <w:t>4</w:t>
            </w:r>
          </w:p>
        </w:tc>
        <w:tc>
          <w:tcPr>
            <w:tcW w:w="3686" w:type="dxa"/>
            <w:hideMark/>
          </w:tcPr>
          <w:p w14:paraId="14D1FED0" w14:textId="7FDFB2F0" w:rsidR="00CF2897" w:rsidRPr="00FB0A3A" w:rsidRDefault="00CF2897" w:rsidP="009E11D7">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 xml:space="preserve">Управляющая ремонтно-строительная компания </w:t>
            </w:r>
            <w:r w:rsidR="00655FFA" w:rsidRPr="00FB0A3A">
              <w:rPr>
                <w:rFonts w:eastAsia="Calibri" w:cs="Times New Roman"/>
                <w:szCs w:val="18"/>
              </w:rPr>
              <w:t>«</w:t>
            </w:r>
            <w:r w:rsidRPr="00FB0A3A">
              <w:rPr>
                <w:rFonts w:eastAsia="Calibri" w:cs="Times New Roman"/>
                <w:szCs w:val="18"/>
              </w:rPr>
              <w:t>Дом-Сервис</w:t>
            </w:r>
            <w:r w:rsidR="00655FFA" w:rsidRPr="00FB0A3A">
              <w:rPr>
                <w:rFonts w:eastAsia="Calibri" w:cs="Times New Roman"/>
                <w:szCs w:val="18"/>
              </w:rPr>
              <w:t>»</w:t>
            </w:r>
          </w:p>
        </w:tc>
        <w:tc>
          <w:tcPr>
            <w:tcW w:w="1702" w:type="dxa"/>
            <w:noWrap/>
            <w:hideMark/>
          </w:tcPr>
          <w:p w14:paraId="57291BBF" w14:textId="77777777" w:rsidR="00CF2897" w:rsidRPr="00FB0A3A" w:rsidRDefault="00CF2897"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108 402,94</w:t>
            </w:r>
          </w:p>
        </w:tc>
        <w:tc>
          <w:tcPr>
            <w:tcW w:w="1844" w:type="dxa"/>
            <w:noWrap/>
            <w:hideMark/>
          </w:tcPr>
          <w:p w14:paraId="5F1A5257" w14:textId="4C09E0B6" w:rsidR="00CF2897" w:rsidRPr="00FB0A3A" w:rsidRDefault="00CF2897"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1692" w:type="dxa"/>
            <w:noWrap/>
            <w:hideMark/>
          </w:tcPr>
          <w:p w14:paraId="0FD5B949" w14:textId="77777777" w:rsidR="00CF2897" w:rsidRPr="00FB0A3A" w:rsidRDefault="00CF2897"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108 402,94</w:t>
            </w:r>
          </w:p>
        </w:tc>
      </w:tr>
      <w:tr w:rsidR="00CF2897" w:rsidRPr="00FB0A3A" w14:paraId="53F0B97F" w14:textId="77777777" w:rsidTr="009E11D7">
        <w:tc>
          <w:tcPr>
            <w:cnfStyle w:val="001000000000" w:firstRow="0" w:lastRow="0" w:firstColumn="1" w:lastColumn="0" w:oddVBand="0" w:evenVBand="0" w:oddHBand="0" w:evenHBand="0" w:firstRowFirstColumn="0" w:firstRowLastColumn="0" w:lastRowFirstColumn="0" w:lastRowLastColumn="0"/>
            <w:tcW w:w="562" w:type="dxa"/>
            <w:noWrap/>
            <w:hideMark/>
          </w:tcPr>
          <w:p w14:paraId="372A401B" w14:textId="77777777" w:rsidR="00CF2897" w:rsidRPr="00FB0A3A" w:rsidRDefault="00CF2897" w:rsidP="009E11D7">
            <w:pPr>
              <w:tabs>
                <w:tab w:val="left" w:pos="1134"/>
              </w:tabs>
              <w:jc w:val="center"/>
              <w:rPr>
                <w:rFonts w:eastAsia="Calibri" w:cs="Times New Roman"/>
                <w:szCs w:val="18"/>
              </w:rPr>
            </w:pPr>
            <w:r w:rsidRPr="00FB0A3A">
              <w:rPr>
                <w:rFonts w:eastAsia="Calibri" w:cs="Times New Roman"/>
                <w:szCs w:val="18"/>
              </w:rPr>
              <w:t>5</w:t>
            </w:r>
          </w:p>
        </w:tc>
        <w:tc>
          <w:tcPr>
            <w:tcW w:w="3686" w:type="dxa"/>
            <w:hideMark/>
          </w:tcPr>
          <w:p w14:paraId="6AEA2EDD" w14:textId="77777777" w:rsidR="00CF2897" w:rsidRPr="00FB0A3A" w:rsidRDefault="00CF2897" w:rsidP="009E11D7">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ЖКС Октябрьского района</w:t>
            </w:r>
          </w:p>
        </w:tc>
        <w:tc>
          <w:tcPr>
            <w:tcW w:w="1702" w:type="dxa"/>
            <w:noWrap/>
            <w:hideMark/>
          </w:tcPr>
          <w:p w14:paraId="3514B312" w14:textId="77777777" w:rsidR="00CF2897" w:rsidRPr="00FB0A3A" w:rsidRDefault="00CF2897"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533 817,33</w:t>
            </w:r>
          </w:p>
        </w:tc>
        <w:tc>
          <w:tcPr>
            <w:tcW w:w="1844" w:type="dxa"/>
            <w:noWrap/>
            <w:hideMark/>
          </w:tcPr>
          <w:p w14:paraId="76268AD5" w14:textId="31FE75FE" w:rsidR="00CF2897" w:rsidRPr="00FB0A3A" w:rsidRDefault="00CF2897"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1692" w:type="dxa"/>
            <w:noWrap/>
            <w:hideMark/>
          </w:tcPr>
          <w:p w14:paraId="3FA910A7" w14:textId="77777777" w:rsidR="00CF2897" w:rsidRPr="00FB0A3A" w:rsidRDefault="00CF2897"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533 817,33</w:t>
            </w:r>
          </w:p>
        </w:tc>
      </w:tr>
      <w:tr w:rsidR="00CF2897" w:rsidRPr="00FB0A3A" w14:paraId="6B01F779" w14:textId="77777777" w:rsidTr="009E11D7">
        <w:tc>
          <w:tcPr>
            <w:cnfStyle w:val="001000000000" w:firstRow="0" w:lastRow="0" w:firstColumn="1" w:lastColumn="0" w:oddVBand="0" w:evenVBand="0" w:oddHBand="0" w:evenHBand="0" w:firstRowFirstColumn="0" w:firstRowLastColumn="0" w:lastRowFirstColumn="0" w:lastRowLastColumn="0"/>
            <w:tcW w:w="562" w:type="dxa"/>
            <w:noWrap/>
            <w:hideMark/>
          </w:tcPr>
          <w:p w14:paraId="55092D61" w14:textId="77777777" w:rsidR="00CF2897" w:rsidRPr="00FB0A3A" w:rsidRDefault="00CF2897" w:rsidP="009E11D7">
            <w:pPr>
              <w:tabs>
                <w:tab w:val="left" w:pos="1134"/>
              </w:tabs>
              <w:jc w:val="center"/>
              <w:rPr>
                <w:rFonts w:eastAsia="Calibri" w:cs="Times New Roman"/>
                <w:szCs w:val="18"/>
              </w:rPr>
            </w:pPr>
            <w:r w:rsidRPr="00FB0A3A">
              <w:rPr>
                <w:rFonts w:eastAsia="Calibri" w:cs="Times New Roman"/>
                <w:szCs w:val="18"/>
              </w:rPr>
              <w:t>6</w:t>
            </w:r>
          </w:p>
        </w:tc>
        <w:tc>
          <w:tcPr>
            <w:tcW w:w="3686" w:type="dxa"/>
            <w:hideMark/>
          </w:tcPr>
          <w:p w14:paraId="5C1EBFD3" w14:textId="77777777" w:rsidR="00CF2897" w:rsidRPr="00FB0A3A" w:rsidRDefault="00CF2897" w:rsidP="009E11D7">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ООО УК Стройтехресурс</w:t>
            </w:r>
          </w:p>
        </w:tc>
        <w:tc>
          <w:tcPr>
            <w:tcW w:w="1702" w:type="dxa"/>
            <w:noWrap/>
            <w:hideMark/>
          </w:tcPr>
          <w:p w14:paraId="22B1D679" w14:textId="77777777" w:rsidR="00CF2897" w:rsidRPr="00FB0A3A" w:rsidRDefault="00CF2897"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310 509,49</w:t>
            </w:r>
          </w:p>
        </w:tc>
        <w:tc>
          <w:tcPr>
            <w:tcW w:w="1844" w:type="dxa"/>
            <w:noWrap/>
            <w:hideMark/>
          </w:tcPr>
          <w:p w14:paraId="1B7DAB1D" w14:textId="0A015CE1" w:rsidR="00CF2897" w:rsidRPr="00FB0A3A" w:rsidRDefault="00CF2897"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1692" w:type="dxa"/>
            <w:noWrap/>
            <w:hideMark/>
          </w:tcPr>
          <w:p w14:paraId="3F1A3221" w14:textId="77777777" w:rsidR="00CF2897" w:rsidRPr="00FB0A3A" w:rsidRDefault="00CF2897"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310 509,49</w:t>
            </w:r>
          </w:p>
        </w:tc>
      </w:tr>
      <w:tr w:rsidR="00CF2897" w:rsidRPr="00FB0A3A" w14:paraId="71ACCD58" w14:textId="77777777" w:rsidTr="009E11D7">
        <w:tc>
          <w:tcPr>
            <w:cnfStyle w:val="001000000000" w:firstRow="0" w:lastRow="0" w:firstColumn="1" w:lastColumn="0" w:oddVBand="0" w:evenVBand="0" w:oddHBand="0" w:evenHBand="0" w:firstRowFirstColumn="0" w:firstRowLastColumn="0" w:lastRowFirstColumn="0" w:lastRowLastColumn="0"/>
            <w:tcW w:w="562" w:type="dxa"/>
            <w:noWrap/>
            <w:hideMark/>
          </w:tcPr>
          <w:p w14:paraId="457FD4D8" w14:textId="77777777" w:rsidR="00CF2897" w:rsidRPr="00FB0A3A" w:rsidRDefault="00CF2897" w:rsidP="009E11D7">
            <w:pPr>
              <w:tabs>
                <w:tab w:val="left" w:pos="1134"/>
              </w:tabs>
              <w:jc w:val="center"/>
              <w:rPr>
                <w:rFonts w:eastAsia="Calibri" w:cs="Times New Roman"/>
                <w:szCs w:val="18"/>
              </w:rPr>
            </w:pPr>
            <w:r w:rsidRPr="00FB0A3A">
              <w:rPr>
                <w:rFonts w:eastAsia="Calibri" w:cs="Times New Roman"/>
                <w:szCs w:val="18"/>
              </w:rPr>
              <w:t>7</w:t>
            </w:r>
          </w:p>
        </w:tc>
        <w:tc>
          <w:tcPr>
            <w:tcW w:w="3686" w:type="dxa"/>
            <w:hideMark/>
          </w:tcPr>
          <w:p w14:paraId="54152DEC" w14:textId="6D942571" w:rsidR="00CF2897" w:rsidRPr="00FB0A3A" w:rsidRDefault="00CB1625" w:rsidP="009E11D7">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 xml:space="preserve">ООО </w:t>
            </w:r>
            <w:r w:rsidR="00655FFA" w:rsidRPr="00FB0A3A">
              <w:rPr>
                <w:rFonts w:eastAsia="Calibri" w:cs="Times New Roman"/>
                <w:szCs w:val="18"/>
              </w:rPr>
              <w:t>«</w:t>
            </w:r>
            <w:r w:rsidRPr="00FB0A3A">
              <w:rPr>
                <w:rFonts w:eastAsia="Calibri" w:cs="Times New Roman"/>
                <w:szCs w:val="18"/>
              </w:rPr>
              <w:t>УК</w:t>
            </w:r>
            <w:r w:rsidR="00655FFA" w:rsidRPr="00FB0A3A">
              <w:rPr>
                <w:rFonts w:eastAsia="Calibri" w:cs="Times New Roman"/>
                <w:szCs w:val="18"/>
              </w:rPr>
              <w:t>»</w:t>
            </w:r>
            <w:r w:rsidRPr="00FB0A3A">
              <w:rPr>
                <w:rFonts w:eastAsia="Calibri" w:cs="Times New Roman"/>
                <w:szCs w:val="18"/>
              </w:rPr>
              <w:t xml:space="preserve"> ЖКХ п.Пушной</w:t>
            </w:r>
            <w:r w:rsidR="00655FFA" w:rsidRPr="00FB0A3A">
              <w:rPr>
                <w:rFonts w:eastAsia="Calibri" w:cs="Times New Roman"/>
                <w:szCs w:val="18"/>
              </w:rPr>
              <w:t>»</w:t>
            </w:r>
          </w:p>
        </w:tc>
        <w:tc>
          <w:tcPr>
            <w:tcW w:w="1702" w:type="dxa"/>
            <w:noWrap/>
            <w:hideMark/>
          </w:tcPr>
          <w:p w14:paraId="4B8F8D34" w14:textId="77777777" w:rsidR="00CF2897" w:rsidRPr="00FB0A3A" w:rsidRDefault="00CF2897"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50 424,35</w:t>
            </w:r>
          </w:p>
        </w:tc>
        <w:tc>
          <w:tcPr>
            <w:tcW w:w="1844" w:type="dxa"/>
            <w:noWrap/>
            <w:hideMark/>
          </w:tcPr>
          <w:p w14:paraId="5D28CEE4" w14:textId="7154E1C7" w:rsidR="00CF2897" w:rsidRPr="00FB0A3A" w:rsidRDefault="00CF2897"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1692" w:type="dxa"/>
            <w:noWrap/>
            <w:hideMark/>
          </w:tcPr>
          <w:p w14:paraId="0195FA37" w14:textId="77777777" w:rsidR="00CF2897" w:rsidRPr="00FB0A3A" w:rsidRDefault="00CF2897"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50 424,35</w:t>
            </w:r>
          </w:p>
        </w:tc>
      </w:tr>
      <w:tr w:rsidR="00CF2897" w:rsidRPr="00FB0A3A" w14:paraId="5FBED1E2" w14:textId="77777777" w:rsidTr="009E11D7">
        <w:tc>
          <w:tcPr>
            <w:cnfStyle w:val="001000000000" w:firstRow="0" w:lastRow="0" w:firstColumn="1" w:lastColumn="0" w:oddVBand="0" w:evenVBand="0" w:oddHBand="0" w:evenHBand="0" w:firstRowFirstColumn="0" w:firstRowLastColumn="0" w:lastRowFirstColumn="0" w:lastRowLastColumn="0"/>
            <w:tcW w:w="562" w:type="dxa"/>
            <w:noWrap/>
            <w:hideMark/>
          </w:tcPr>
          <w:p w14:paraId="0D4EA01C" w14:textId="77777777" w:rsidR="00CF2897" w:rsidRPr="00FB0A3A" w:rsidRDefault="00CF2897" w:rsidP="009E11D7">
            <w:pPr>
              <w:tabs>
                <w:tab w:val="left" w:pos="1134"/>
              </w:tabs>
              <w:jc w:val="center"/>
              <w:rPr>
                <w:rFonts w:eastAsia="Calibri" w:cs="Times New Roman"/>
                <w:szCs w:val="18"/>
              </w:rPr>
            </w:pPr>
            <w:r w:rsidRPr="00FB0A3A">
              <w:rPr>
                <w:rFonts w:eastAsia="Calibri" w:cs="Times New Roman"/>
                <w:szCs w:val="18"/>
              </w:rPr>
              <w:t>8</w:t>
            </w:r>
          </w:p>
        </w:tc>
        <w:tc>
          <w:tcPr>
            <w:tcW w:w="3686" w:type="dxa"/>
            <w:hideMark/>
          </w:tcPr>
          <w:p w14:paraId="1C6109D9" w14:textId="0F6224E7" w:rsidR="00CF2897" w:rsidRPr="00FB0A3A" w:rsidRDefault="00CB1625" w:rsidP="009E11D7">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 xml:space="preserve">ООО </w:t>
            </w:r>
            <w:r w:rsidR="00655FFA" w:rsidRPr="00FB0A3A">
              <w:rPr>
                <w:rFonts w:eastAsia="Calibri" w:cs="Times New Roman"/>
                <w:szCs w:val="18"/>
              </w:rPr>
              <w:t>«</w:t>
            </w:r>
            <w:r w:rsidRPr="00FB0A3A">
              <w:rPr>
                <w:rFonts w:eastAsia="Calibri" w:cs="Times New Roman"/>
                <w:szCs w:val="18"/>
              </w:rPr>
              <w:t>УК</w:t>
            </w:r>
            <w:r w:rsidR="00655FFA" w:rsidRPr="00FB0A3A">
              <w:rPr>
                <w:rFonts w:eastAsia="Calibri" w:cs="Times New Roman"/>
                <w:szCs w:val="18"/>
              </w:rPr>
              <w:t>»</w:t>
            </w:r>
            <w:r w:rsidRPr="00FB0A3A">
              <w:rPr>
                <w:rFonts w:eastAsia="Calibri" w:cs="Times New Roman"/>
                <w:szCs w:val="18"/>
              </w:rPr>
              <w:t xml:space="preserve"> Мастер</w:t>
            </w:r>
            <w:r w:rsidR="00655FFA" w:rsidRPr="00FB0A3A">
              <w:rPr>
                <w:rFonts w:eastAsia="Calibri" w:cs="Times New Roman"/>
                <w:szCs w:val="18"/>
              </w:rPr>
              <w:t>»</w:t>
            </w:r>
          </w:p>
        </w:tc>
        <w:tc>
          <w:tcPr>
            <w:tcW w:w="1702" w:type="dxa"/>
            <w:noWrap/>
            <w:hideMark/>
          </w:tcPr>
          <w:p w14:paraId="51C37BBC" w14:textId="77777777" w:rsidR="00CF2897" w:rsidRPr="00FB0A3A" w:rsidRDefault="00CF2897"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114 971,75</w:t>
            </w:r>
          </w:p>
        </w:tc>
        <w:tc>
          <w:tcPr>
            <w:tcW w:w="1844" w:type="dxa"/>
            <w:noWrap/>
            <w:hideMark/>
          </w:tcPr>
          <w:p w14:paraId="536EB416" w14:textId="6066786A" w:rsidR="00CF2897" w:rsidRPr="00FB0A3A" w:rsidRDefault="00CF2897"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1692" w:type="dxa"/>
            <w:noWrap/>
            <w:hideMark/>
          </w:tcPr>
          <w:p w14:paraId="58FF9332" w14:textId="77777777" w:rsidR="00CF2897" w:rsidRPr="00FB0A3A" w:rsidRDefault="00CF2897"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114 971,75</w:t>
            </w:r>
          </w:p>
        </w:tc>
      </w:tr>
      <w:tr w:rsidR="00CF2897" w:rsidRPr="00FB0A3A" w14:paraId="30998623" w14:textId="77777777" w:rsidTr="009E11D7">
        <w:tc>
          <w:tcPr>
            <w:cnfStyle w:val="001000000000" w:firstRow="0" w:lastRow="0" w:firstColumn="1" w:lastColumn="0" w:oddVBand="0" w:evenVBand="0" w:oddHBand="0" w:evenHBand="0" w:firstRowFirstColumn="0" w:firstRowLastColumn="0" w:lastRowFirstColumn="0" w:lastRowLastColumn="0"/>
            <w:tcW w:w="562" w:type="dxa"/>
            <w:noWrap/>
            <w:hideMark/>
          </w:tcPr>
          <w:p w14:paraId="3686BA72" w14:textId="77777777" w:rsidR="00CF2897" w:rsidRPr="00FB0A3A" w:rsidRDefault="00CF2897" w:rsidP="009E11D7">
            <w:pPr>
              <w:tabs>
                <w:tab w:val="left" w:pos="1134"/>
              </w:tabs>
              <w:jc w:val="center"/>
              <w:rPr>
                <w:rFonts w:eastAsia="Calibri" w:cs="Times New Roman"/>
                <w:szCs w:val="18"/>
              </w:rPr>
            </w:pPr>
            <w:r w:rsidRPr="00FB0A3A">
              <w:rPr>
                <w:rFonts w:eastAsia="Calibri" w:cs="Times New Roman"/>
                <w:szCs w:val="18"/>
              </w:rPr>
              <w:t>9</w:t>
            </w:r>
          </w:p>
        </w:tc>
        <w:tc>
          <w:tcPr>
            <w:tcW w:w="3686" w:type="dxa"/>
            <w:hideMark/>
          </w:tcPr>
          <w:p w14:paraId="69AB7E1B" w14:textId="77777777" w:rsidR="00CF2897" w:rsidRPr="00FB0A3A" w:rsidRDefault="00CF2897" w:rsidP="009E11D7">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ЖКХ Лувеньга</w:t>
            </w:r>
          </w:p>
        </w:tc>
        <w:tc>
          <w:tcPr>
            <w:tcW w:w="1702" w:type="dxa"/>
            <w:noWrap/>
            <w:hideMark/>
          </w:tcPr>
          <w:p w14:paraId="7311B1B7" w14:textId="77777777" w:rsidR="00CF2897" w:rsidRPr="00FB0A3A" w:rsidRDefault="00CF2897"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66 798,19</w:t>
            </w:r>
          </w:p>
        </w:tc>
        <w:tc>
          <w:tcPr>
            <w:tcW w:w="1844" w:type="dxa"/>
            <w:noWrap/>
            <w:hideMark/>
          </w:tcPr>
          <w:p w14:paraId="08DBA681" w14:textId="562674B7" w:rsidR="00CF2897" w:rsidRPr="00FB0A3A" w:rsidRDefault="00CF2897"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1692" w:type="dxa"/>
            <w:noWrap/>
            <w:hideMark/>
          </w:tcPr>
          <w:p w14:paraId="6D8F616D" w14:textId="77777777" w:rsidR="00CF2897" w:rsidRPr="00FB0A3A" w:rsidRDefault="00CF2897"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66 798,19</w:t>
            </w:r>
          </w:p>
        </w:tc>
      </w:tr>
      <w:tr w:rsidR="00CF2897" w:rsidRPr="00FB0A3A" w14:paraId="22B399FA" w14:textId="77777777" w:rsidTr="009E11D7">
        <w:tc>
          <w:tcPr>
            <w:cnfStyle w:val="001000000000" w:firstRow="0" w:lastRow="0" w:firstColumn="1" w:lastColumn="0" w:oddVBand="0" w:evenVBand="0" w:oddHBand="0" w:evenHBand="0" w:firstRowFirstColumn="0" w:firstRowLastColumn="0" w:lastRowFirstColumn="0" w:lastRowLastColumn="0"/>
            <w:tcW w:w="562" w:type="dxa"/>
            <w:noWrap/>
            <w:hideMark/>
          </w:tcPr>
          <w:p w14:paraId="0CBBCA27" w14:textId="77777777" w:rsidR="00CF2897" w:rsidRPr="00FB0A3A" w:rsidRDefault="00CF2897" w:rsidP="009E11D7">
            <w:pPr>
              <w:tabs>
                <w:tab w:val="left" w:pos="1134"/>
              </w:tabs>
              <w:jc w:val="center"/>
              <w:rPr>
                <w:rFonts w:eastAsia="Calibri" w:cs="Times New Roman"/>
                <w:szCs w:val="18"/>
              </w:rPr>
            </w:pPr>
            <w:r w:rsidRPr="00FB0A3A">
              <w:rPr>
                <w:rFonts w:eastAsia="Calibri" w:cs="Times New Roman"/>
                <w:szCs w:val="18"/>
              </w:rPr>
              <w:t>10</w:t>
            </w:r>
          </w:p>
        </w:tc>
        <w:tc>
          <w:tcPr>
            <w:tcW w:w="3686" w:type="dxa"/>
            <w:hideMark/>
          </w:tcPr>
          <w:p w14:paraId="1B47010D" w14:textId="77777777" w:rsidR="00CF2897" w:rsidRPr="00FB0A3A" w:rsidRDefault="00CF2897" w:rsidP="009E11D7">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ООО Кольская Тепловая Компания</w:t>
            </w:r>
          </w:p>
        </w:tc>
        <w:tc>
          <w:tcPr>
            <w:tcW w:w="1702" w:type="dxa"/>
            <w:noWrap/>
            <w:hideMark/>
          </w:tcPr>
          <w:p w14:paraId="0E00231F" w14:textId="77777777" w:rsidR="00CF2897" w:rsidRPr="00FB0A3A" w:rsidRDefault="00CF2897"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6 688 497,48</w:t>
            </w:r>
          </w:p>
        </w:tc>
        <w:tc>
          <w:tcPr>
            <w:tcW w:w="1844" w:type="dxa"/>
            <w:noWrap/>
            <w:hideMark/>
          </w:tcPr>
          <w:p w14:paraId="3650161B" w14:textId="1C587423" w:rsidR="00CF2897" w:rsidRPr="00FB0A3A" w:rsidRDefault="00CF2897"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1692" w:type="dxa"/>
            <w:noWrap/>
            <w:hideMark/>
          </w:tcPr>
          <w:p w14:paraId="396CEC57" w14:textId="77777777" w:rsidR="00CF2897" w:rsidRPr="00FB0A3A" w:rsidRDefault="00CF2897"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6 688 497,48</w:t>
            </w:r>
          </w:p>
        </w:tc>
      </w:tr>
      <w:tr w:rsidR="00CF2897" w:rsidRPr="00FB0A3A" w14:paraId="047FD8FF" w14:textId="77777777" w:rsidTr="009E11D7">
        <w:tc>
          <w:tcPr>
            <w:cnfStyle w:val="001000000000" w:firstRow="0" w:lastRow="0" w:firstColumn="1" w:lastColumn="0" w:oddVBand="0" w:evenVBand="0" w:oddHBand="0" w:evenHBand="0" w:firstRowFirstColumn="0" w:firstRowLastColumn="0" w:lastRowFirstColumn="0" w:lastRowLastColumn="0"/>
            <w:tcW w:w="562" w:type="dxa"/>
            <w:noWrap/>
            <w:hideMark/>
          </w:tcPr>
          <w:p w14:paraId="5F26D386" w14:textId="77777777" w:rsidR="00CF2897" w:rsidRPr="00FB0A3A" w:rsidRDefault="00CF2897" w:rsidP="009E11D7">
            <w:pPr>
              <w:tabs>
                <w:tab w:val="left" w:pos="1134"/>
              </w:tabs>
              <w:jc w:val="center"/>
              <w:rPr>
                <w:rFonts w:eastAsia="Calibri" w:cs="Times New Roman"/>
                <w:szCs w:val="18"/>
              </w:rPr>
            </w:pPr>
            <w:r w:rsidRPr="00FB0A3A">
              <w:rPr>
                <w:rFonts w:eastAsia="Calibri" w:cs="Times New Roman"/>
                <w:szCs w:val="18"/>
              </w:rPr>
              <w:t>11</w:t>
            </w:r>
          </w:p>
        </w:tc>
        <w:tc>
          <w:tcPr>
            <w:tcW w:w="3686" w:type="dxa"/>
            <w:hideMark/>
          </w:tcPr>
          <w:p w14:paraId="6F8DB55C" w14:textId="0A8BB3AA" w:rsidR="00CF2897" w:rsidRPr="00FB0A3A" w:rsidRDefault="00CB1625" w:rsidP="009E11D7">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 xml:space="preserve">ООО </w:t>
            </w:r>
            <w:r w:rsidR="00655FFA" w:rsidRPr="00FB0A3A">
              <w:rPr>
                <w:rFonts w:eastAsia="Calibri" w:cs="Times New Roman"/>
                <w:szCs w:val="18"/>
              </w:rPr>
              <w:t>«</w:t>
            </w:r>
            <w:r w:rsidRPr="00FB0A3A">
              <w:rPr>
                <w:rFonts w:eastAsia="Calibri" w:cs="Times New Roman"/>
                <w:szCs w:val="18"/>
              </w:rPr>
              <w:t>Центр коммунальных технологий</w:t>
            </w:r>
            <w:r w:rsidR="00655FFA" w:rsidRPr="00FB0A3A">
              <w:rPr>
                <w:rFonts w:eastAsia="Calibri" w:cs="Times New Roman"/>
                <w:szCs w:val="18"/>
              </w:rPr>
              <w:t>»</w:t>
            </w:r>
          </w:p>
        </w:tc>
        <w:tc>
          <w:tcPr>
            <w:tcW w:w="1702" w:type="dxa"/>
            <w:noWrap/>
            <w:hideMark/>
          </w:tcPr>
          <w:p w14:paraId="2A738A07" w14:textId="77777777" w:rsidR="00CF2897" w:rsidRPr="00FB0A3A" w:rsidRDefault="00CF2897"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26 663 478,09</w:t>
            </w:r>
          </w:p>
        </w:tc>
        <w:tc>
          <w:tcPr>
            <w:tcW w:w="1844" w:type="dxa"/>
            <w:noWrap/>
            <w:hideMark/>
          </w:tcPr>
          <w:p w14:paraId="2D82EEE8" w14:textId="38F4C0EF" w:rsidR="00CF2897" w:rsidRPr="00FB0A3A" w:rsidRDefault="00CF2897"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25 806 724,94</w:t>
            </w:r>
          </w:p>
        </w:tc>
        <w:tc>
          <w:tcPr>
            <w:tcW w:w="1692" w:type="dxa"/>
            <w:noWrap/>
            <w:hideMark/>
          </w:tcPr>
          <w:p w14:paraId="1314153F" w14:textId="77777777" w:rsidR="00CF2897" w:rsidRPr="00FB0A3A" w:rsidRDefault="00CF2897"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856 753,15</w:t>
            </w:r>
          </w:p>
        </w:tc>
      </w:tr>
      <w:tr w:rsidR="00CF2897" w:rsidRPr="00FB0A3A" w14:paraId="093686CD" w14:textId="77777777" w:rsidTr="009E11D7">
        <w:tc>
          <w:tcPr>
            <w:cnfStyle w:val="001000000000" w:firstRow="0" w:lastRow="0" w:firstColumn="1" w:lastColumn="0" w:oddVBand="0" w:evenVBand="0" w:oddHBand="0" w:evenHBand="0" w:firstRowFirstColumn="0" w:firstRowLastColumn="0" w:lastRowFirstColumn="0" w:lastRowLastColumn="0"/>
            <w:tcW w:w="562" w:type="dxa"/>
            <w:noWrap/>
            <w:hideMark/>
          </w:tcPr>
          <w:p w14:paraId="37B47093" w14:textId="77777777" w:rsidR="00CF2897" w:rsidRPr="00FB0A3A" w:rsidRDefault="00CF2897" w:rsidP="009E11D7">
            <w:pPr>
              <w:tabs>
                <w:tab w:val="left" w:pos="1134"/>
              </w:tabs>
              <w:jc w:val="center"/>
              <w:rPr>
                <w:rFonts w:eastAsia="Calibri" w:cs="Times New Roman"/>
                <w:szCs w:val="18"/>
              </w:rPr>
            </w:pPr>
            <w:r w:rsidRPr="00FB0A3A">
              <w:rPr>
                <w:rFonts w:eastAsia="Calibri" w:cs="Times New Roman"/>
                <w:szCs w:val="18"/>
              </w:rPr>
              <w:t>12</w:t>
            </w:r>
          </w:p>
        </w:tc>
        <w:tc>
          <w:tcPr>
            <w:tcW w:w="3686" w:type="dxa"/>
            <w:hideMark/>
          </w:tcPr>
          <w:p w14:paraId="204F8B40" w14:textId="77777777" w:rsidR="00CF2897" w:rsidRPr="00FB0A3A" w:rsidRDefault="00CF2897" w:rsidP="009E11D7">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МУП Услуги ЖКХ</w:t>
            </w:r>
          </w:p>
        </w:tc>
        <w:tc>
          <w:tcPr>
            <w:tcW w:w="1702" w:type="dxa"/>
            <w:noWrap/>
            <w:hideMark/>
          </w:tcPr>
          <w:p w14:paraId="269DD38B" w14:textId="77777777" w:rsidR="00CF2897" w:rsidRPr="00FB0A3A" w:rsidRDefault="00CF2897"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12 847 753,56</w:t>
            </w:r>
          </w:p>
        </w:tc>
        <w:tc>
          <w:tcPr>
            <w:tcW w:w="1844" w:type="dxa"/>
            <w:noWrap/>
            <w:hideMark/>
          </w:tcPr>
          <w:p w14:paraId="0FC9454E" w14:textId="5ED84EFB" w:rsidR="00CF2897" w:rsidRPr="00FB0A3A" w:rsidRDefault="00CF2897"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12 461 732,37</w:t>
            </w:r>
          </w:p>
        </w:tc>
        <w:tc>
          <w:tcPr>
            <w:tcW w:w="1692" w:type="dxa"/>
            <w:noWrap/>
            <w:hideMark/>
          </w:tcPr>
          <w:p w14:paraId="37747197" w14:textId="77777777" w:rsidR="00CF2897" w:rsidRPr="00FB0A3A" w:rsidRDefault="00CF2897"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386 021,19</w:t>
            </w:r>
          </w:p>
        </w:tc>
      </w:tr>
      <w:tr w:rsidR="00CF2897" w:rsidRPr="00FB0A3A" w14:paraId="72E7E6C6" w14:textId="77777777" w:rsidTr="009E11D7">
        <w:tc>
          <w:tcPr>
            <w:cnfStyle w:val="001000000000" w:firstRow="0" w:lastRow="0" w:firstColumn="1" w:lastColumn="0" w:oddVBand="0" w:evenVBand="0" w:oddHBand="0" w:evenHBand="0" w:firstRowFirstColumn="0" w:firstRowLastColumn="0" w:lastRowFirstColumn="0" w:lastRowLastColumn="0"/>
            <w:tcW w:w="562" w:type="dxa"/>
            <w:noWrap/>
            <w:hideMark/>
          </w:tcPr>
          <w:p w14:paraId="0BDE0AE4" w14:textId="77777777" w:rsidR="00CF2897" w:rsidRPr="00FB0A3A" w:rsidRDefault="00CF2897" w:rsidP="009E11D7">
            <w:pPr>
              <w:tabs>
                <w:tab w:val="left" w:pos="1134"/>
              </w:tabs>
              <w:jc w:val="center"/>
              <w:rPr>
                <w:rFonts w:eastAsia="Calibri" w:cs="Times New Roman"/>
                <w:szCs w:val="18"/>
              </w:rPr>
            </w:pPr>
            <w:r w:rsidRPr="00FB0A3A">
              <w:rPr>
                <w:rFonts w:eastAsia="Calibri" w:cs="Times New Roman"/>
                <w:szCs w:val="18"/>
              </w:rPr>
              <w:t>13</w:t>
            </w:r>
          </w:p>
        </w:tc>
        <w:tc>
          <w:tcPr>
            <w:tcW w:w="3686" w:type="dxa"/>
            <w:hideMark/>
          </w:tcPr>
          <w:p w14:paraId="60548AF1" w14:textId="77777777" w:rsidR="00CF2897" w:rsidRPr="00FB0A3A" w:rsidRDefault="00CF2897" w:rsidP="009E11D7">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ГЭК №9</w:t>
            </w:r>
          </w:p>
        </w:tc>
        <w:tc>
          <w:tcPr>
            <w:tcW w:w="1702" w:type="dxa"/>
            <w:noWrap/>
            <w:hideMark/>
          </w:tcPr>
          <w:p w14:paraId="26632FA5" w14:textId="77777777" w:rsidR="00CF2897" w:rsidRPr="00FB0A3A" w:rsidRDefault="00CF2897"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122 109,45</w:t>
            </w:r>
          </w:p>
        </w:tc>
        <w:tc>
          <w:tcPr>
            <w:tcW w:w="1844" w:type="dxa"/>
            <w:noWrap/>
            <w:hideMark/>
          </w:tcPr>
          <w:p w14:paraId="46279C97" w14:textId="57105E7C" w:rsidR="00CF2897" w:rsidRPr="00FB0A3A" w:rsidRDefault="00CF2897"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122 109,45</w:t>
            </w:r>
          </w:p>
        </w:tc>
        <w:tc>
          <w:tcPr>
            <w:tcW w:w="1692" w:type="dxa"/>
            <w:noWrap/>
            <w:hideMark/>
          </w:tcPr>
          <w:p w14:paraId="78AF29EA" w14:textId="77777777" w:rsidR="00CF2897" w:rsidRPr="00FB0A3A" w:rsidRDefault="00CF2897"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0,00</w:t>
            </w:r>
          </w:p>
        </w:tc>
      </w:tr>
      <w:tr w:rsidR="00CF2897" w:rsidRPr="00FB0A3A" w14:paraId="12E86DFB" w14:textId="77777777" w:rsidTr="009E11D7">
        <w:tc>
          <w:tcPr>
            <w:cnfStyle w:val="001000000000" w:firstRow="0" w:lastRow="0" w:firstColumn="1" w:lastColumn="0" w:oddVBand="0" w:evenVBand="0" w:oddHBand="0" w:evenHBand="0" w:firstRowFirstColumn="0" w:firstRowLastColumn="0" w:lastRowFirstColumn="0" w:lastRowLastColumn="0"/>
            <w:tcW w:w="562" w:type="dxa"/>
            <w:noWrap/>
            <w:hideMark/>
          </w:tcPr>
          <w:p w14:paraId="458D2201" w14:textId="77777777" w:rsidR="00CF2897" w:rsidRPr="00FB0A3A" w:rsidRDefault="00CF2897" w:rsidP="009E11D7">
            <w:pPr>
              <w:tabs>
                <w:tab w:val="left" w:pos="1134"/>
              </w:tabs>
              <w:jc w:val="center"/>
              <w:rPr>
                <w:rFonts w:eastAsia="Calibri" w:cs="Times New Roman"/>
                <w:szCs w:val="18"/>
              </w:rPr>
            </w:pPr>
            <w:r w:rsidRPr="00FB0A3A">
              <w:rPr>
                <w:rFonts w:eastAsia="Calibri" w:cs="Times New Roman"/>
                <w:szCs w:val="18"/>
              </w:rPr>
              <w:t>14</w:t>
            </w:r>
          </w:p>
        </w:tc>
        <w:tc>
          <w:tcPr>
            <w:tcW w:w="3686" w:type="dxa"/>
            <w:hideMark/>
          </w:tcPr>
          <w:p w14:paraId="525E65BE" w14:textId="0BE6E9B2" w:rsidR="00CF2897" w:rsidRPr="00FB0A3A" w:rsidRDefault="00CB1625" w:rsidP="009E11D7">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 xml:space="preserve">ООО </w:t>
            </w:r>
            <w:r w:rsidR="00655FFA" w:rsidRPr="00FB0A3A">
              <w:rPr>
                <w:rFonts w:eastAsia="Calibri" w:cs="Times New Roman"/>
                <w:szCs w:val="18"/>
              </w:rPr>
              <w:t>«</w:t>
            </w:r>
            <w:r w:rsidR="00CF2897" w:rsidRPr="00FB0A3A">
              <w:rPr>
                <w:rFonts w:eastAsia="Calibri" w:cs="Times New Roman"/>
                <w:szCs w:val="18"/>
              </w:rPr>
              <w:t>Солнышко</w:t>
            </w:r>
            <w:r w:rsidR="00655FFA" w:rsidRPr="00FB0A3A">
              <w:rPr>
                <w:rFonts w:eastAsia="Calibri" w:cs="Times New Roman"/>
                <w:szCs w:val="18"/>
              </w:rPr>
              <w:t>»</w:t>
            </w:r>
          </w:p>
        </w:tc>
        <w:tc>
          <w:tcPr>
            <w:tcW w:w="1702" w:type="dxa"/>
            <w:noWrap/>
            <w:hideMark/>
          </w:tcPr>
          <w:p w14:paraId="0A71FAA6" w14:textId="77777777" w:rsidR="00CF2897" w:rsidRPr="00FB0A3A" w:rsidRDefault="00CF2897"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3 357,04</w:t>
            </w:r>
          </w:p>
        </w:tc>
        <w:tc>
          <w:tcPr>
            <w:tcW w:w="1844" w:type="dxa"/>
            <w:noWrap/>
            <w:hideMark/>
          </w:tcPr>
          <w:p w14:paraId="51A976DD" w14:textId="37666983" w:rsidR="00CF2897" w:rsidRPr="00FB0A3A" w:rsidRDefault="00CF2897"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3 357,04</w:t>
            </w:r>
          </w:p>
        </w:tc>
        <w:tc>
          <w:tcPr>
            <w:tcW w:w="1692" w:type="dxa"/>
            <w:noWrap/>
            <w:hideMark/>
          </w:tcPr>
          <w:p w14:paraId="6D41DDD7" w14:textId="77777777" w:rsidR="00CF2897" w:rsidRPr="00FB0A3A" w:rsidRDefault="00CF2897"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0,00</w:t>
            </w:r>
          </w:p>
        </w:tc>
      </w:tr>
      <w:tr w:rsidR="00CF2897" w:rsidRPr="00FB0A3A" w14:paraId="4D1F7404" w14:textId="77777777" w:rsidTr="009E11D7">
        <w:tc>
          <w:tcPr>
            <w:cnfStyle w:val="001000000000" w:firstRow="0" w:lastRow="0" w:firstColumn="1" w:lastColumn="0" w:oddVBand="0" w:evenVBand="0" w:oddHBand="0" w:evenHBand="0" w:firstRowFirstColumn="0" w:firstRowLastColumn="0" w:lastRowFirstColumn="0" w:lastRowLastColumn="0"/>
            <w:tcW w:w="562" w:type="dxa"/>
            <w:noWrap/>
            <w:hideMark/>
          </w:tcPr>
          <w:p w14:paraId="79CFE6CF" w14:textId="77777777" w:rsidR="00CF2897" w:rsidRPr="00FB0A3A" w:rsidRDefault="00CF2897" w:rsidP="009E11D7">
            <w:pPr>
              <w:tabs>
                <w:tab w:val="left" w:pos="1134"/>
              </w:tabs>
              <w:jc w:val="center"/>
              <w:rPr>
                <w:rFonts w:eastAsia="Calibri" w:cs="Times New Roman"/>
                <w:szCs w:val="18"/>
              </w:rPr>
            </w:pPr>
            <w:r w:rsidRPr="00FB0A3A">
              <w:rPr>
                <w:rFonts w:eastAsia="Calibri" w:cs="Times New Roman"/>
                <w:szCs w:val="18"/>
              </w:rPr>
              <w:t>15</w:t>
            </w:r>
          </w:p>
        </w:tc>
        <w:tc>
          <w:tcPr>
            <w:tcW w:w="3686" w:type="dxa"/>
            <w:hideMark/>
          </w:tcPr>
          <w:p w14:paraId="37D68EFB" w14:textId="389CB305" w:rsidR="00CF2897" w:rsidRPr="00FB0A3A" w:rsidRDefault="00CB1625" w:rsidP="009E11D7">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 xml:space="preserve">ООО </w:t>
            </w:r>
            <w:r w:rsidR="00655FFA" w:rsidRPr="00FB0A3A">
              <w:rPr>
                <w:rFonts w:eastAsia="Calibri" w:cs="Times New Roman"/>
                <w:szCs w:val="18"/>
              </w:rPr>
              <w:t>«</w:t>
            </w:r>
            <w:r w:rsidRPr="00FB0A3A">
              <w:rPr>
                <w:rFonts w:eastAsia="Calibri" w:cs="Times New Roman"/>
                <w:szCs w:val="18"/>
              </w:rPr>
              <w:t>Апатитыхлеб</w:t>
            </w:r>
            <w:r w:rsidR="00655FFA" w:rsidRPr="00FB0A3A">
              <w:rPr>
                <w:rFonts w:eastAsia="Calibri" w:cs="Times New Roman"/>
                <w:szCs w:val="18"/>
              </w:rPr>
              <w:t>»</w:t>
            </w:r>
          </w:p>
        </w:tc>
        <w:tc>
          <w:tcPr>
            <w:tcW w:w="1702" w:type="dxa"/>
            <w:noWrap/>
            <w:hideMark/>
          </w:tcPr>
          <w:p w14:paraId="3D380FB8" w14:textId="77777777" w:rsidR="00CF2897" w:rsidRPr="00FB0A3A" w:rsidRDefault="00CF2897"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65 907,95</w:t>
            </w:r>
          </w:p>
        </w:tc>
        <w:tc>
          <w:tcPr>
            <w:tcW w:w="1844" w:type="dxa"/>
            <w:noWrap/>
            <w:hideMark/>
          </w:tcPr>
          <w:p w14:paraId="2ABFEC33" w14:textId="37C94846" w:rsidR="00CF2897" w:rsidRPr="00FB0A3A" w:rsidRDefault="00CF2897"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58 455,51</w:t>
            </w:r>
          </w:p>
        </w:tc>
        <w:tc>
          <w:tcPr>
            <w:tcW w:w="1692" w:type="dxa"/>
            <w:noWrap/>
            <w:hideMark/>
          </w:tcPr>
          <w:p w14:paraId="1FD518A7" w14:textId="77777777" w:rsidR="00CF2897" w:rsidRPr="00FB0A3A" w:rsidRDefault="00CF2897"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7 452,44</w:t>
            </w:r>
          </w:p>
        </w:tc>
      </w:tr>
      <w:tr w:rsidR="00CF2897" w:rsidRPr="00FB0A3A" w14:paraId="0EE301B9" w14:textId="77777777" w:rsidTr="009E11D7">
        <w:tc>
          <w:tcPr>
            <w:cnfStyle w:val="001000000000" w:firstRow="0" w:lastRow="0" w:firstColumn="1" w:lastColumn="0" w:oddVBand="0" w:evenVBand="0" w:oddHBand="0" w:evenHBand="0" w:firstRowFirstColumn="0" w:firstRowLastColumn="0" w:lastRowFirstColumn="0" w:lastRowLastColumn="0"/>
            <w:tcW w:w="562" w:type="dxa"/>
            <w:noWrap/>
            <w:hideMark/>
          </w:tcPr>
          <w:p w14:paraId="4AB2A3E1" w14:textId="77777777" w:rsidR="00CF2897" w:rsidRPr="00FB0A3A" w:rsidRDefault="00CF2897" w:rsidP="009E11D7">
            <w:pPr>
              <w:tabs>
                <w:tab w:val="left" w:pos="1134"/>
              </w:tabs>
              <w:jc w:val="center"/>
              <w:rPr>
                <w:rFonts w:eastAsia="Calibri" w:cs="Times New Roman"/>
                <w:szCs w:val="18"/>
              </w:rPr>
            </w:pPr>
            <w:r w:rsidRPr="00FB0A3A">
              <w:rPr>
                <w:rFonts w:eastAsia="Calibri" w:cs="Times New Roman"/>
                <w:szCs w:val="18"/>
              </w:rPr>
              <w:t>16</w:t>
            </w:r>
          </w:p>
        </w:tc>
        <w:tc>
          <w:tcPr>
            <w:tcW w:w="3686" w:type="dxa"/>
            <w:hideMark/>
          </w:tcPr>
          <w:p w14:paraId="4245D431" w14:textId="0BE7C53A" w:rsidR="00CF2897" w:rsidRPr="00FB0A3A" w:rsidRDefault="00CB1625" w:rsidP="009E11D7">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 xml:space="preserve">ООО </w:t>
            </w:r>
            <w:r w:rsidR="00655FFA" w:rsidRPr="00FB0A3A">
              <w:rPr>
                <w:rFonts w:eastAsia="Calibri" w:cs="Times New Roman"/>
                <w:szCs w:val="18"/>
              </w:rPr>
              <w:t>«</w:t>
            </w:r>
            <w:r w:rsidRPr="00FB0A3A">
              <w:rPr>
                <w:rFonts w:eastAsia="Calibri" w:cs="Times New Roman"/>
                <w:szCs w:val="18"/>
              </w:rPr>
              <w:t>Визит</w:t>
            </w:r>
            <w:r w:rsidR="00655FFA" w:rsidRPr="00FB0A3A">
              <w:rPr>
                <w:rFonts w:eastAsia="Calibri" w:cs="Times New Roman"/>
                <w:szCs w:val="18"/>
              </w:rPr>
              <w:t>»</w:t>
            </w:r>
          </w:p>
        </w:tc>
        <w:tc>
          <w:tcPr>
            <w:tcW w:w="1702" w:type="dxa"/>
            <w:noWrap/>
            <w:hideMark/>
          </w:tcPr>
          <w:p w14:paraId="0BEA3365" w14:textId="77777777" w:rsidR="00CF2897" w:rsidRPr="00FB0A3A" w:rsidRDefault="00CF2897"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5 802,75</w:t>
            </w:r>
          </w:p>
        </w:tc>
        <w:tc>
          <w:tcPr>
            <w:tcW w:w="1844" w:type="dxa"/>
            <w:noWrap/>
            <w:hideMark/>
          </w:tcPr>
          <w:p w14:paraId="32C26A22" w14:textId="0959C3FB" w:rsidR="00CF2897" w:rsidRPr="00FB0A3A" w:rsidRDefault="00CF2897"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5 802,75</w:t>
            </w:r>
          </w:p>
        </w:tc>
        <w:tc>
          <w:tcPr>
            <w:tcW w:w="1692" w:type="dxa"/>
            <w:noWrap/>
            <w:hideMark/>
          </w:tcPr>
          <w:p w14:paraId="676E55EB" w14:textId="77777777" w:rsidR="00CF2897" w:rsidRPr="00FB0A3A" w:rsidRDefault="00CF2897"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0,00</w:t>
            </w:r>
          </w:p>
        </w:tc>
      </w:tr>
      <w:tr w:rsidR="00CF2897" w:rsidRPr="00FB0A3A" w14:paraId="6C1067C9" w14:textId="77777777" w:rsidTr="009E11D7">
        <w:tc>
          <w:tcPr>
            <w:cnfStyle w:val="001000000000" w:firstRow="0" w:lastRow="0" w:firstColumn="1" w:lastColumn="0" w:oddVBand="0" w:evenVBand="0" w:oddHBand="0" w:evenHBand="0" w:firstRowFirstColumn="0" w:firstRowLastColumn="0" w:lastRowFirstColumn="0" w:lastRowLastColumn="0"/>
            <w:tcW w:w="562" w:type="dxa"/>
            <w:noWrap/>
            <w:hideMark/>
          </w:tcPr>
          <w:p w14:paraId="35C5D885" w14:textId="77777777" w:rsidR="00CF2897" w:rsidRPr="00FB0A3A" w:rsidRDefault="00CF2897" w:rsidP="009E11D7">
            <w:pPr>
              <w:tabs>
                <w:tab w:val="left" w:pos="1134"/>
              </w:tabs>
              <w:jc w:val="center"/>
              <w:rPr>
                <w:rFonts w:eastAsia="Calibri" w:cs="Times New Roman"/>
                <w:szCs w:val="18"/>
              </w:rPr>
            </w:pPr>
            <w:r w:rsidRPr="00FB0A3A">
              <w:rPr>
                <w:rFonts w:eastAsia="Calibri" w:cs="Times New Roman"/>
                <w:szCs w:val="18"/>
              </w:rPr>
              <w:t>17</w:t>
            </w:r>
          </w:p>
        </w:tc>
        <w:tc>
          <w:tcPr>
            <w:tcW w:w="3686" w:type="dxa"/>
            <w:hideMark/>
          </w:tcPr>
          <w:p w14:paraId="021036A5" w14:textId="0D92B6B6" w:rsidR="00CF2897" w:rsidRPr="00FB0A3A" w:rsidRDefault="00CB1625" w:rsidP="009E11D7">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 xml:space="preserve">ФГУП </w:t>
            </w:r>
            <w:r w:rsidR="00655FFA" w:rsidRPr="00FB0A3A">
              <w:rPr>
                <w:rFonts w:eastAsia="Calibri" w:cs="Times New Roman"/>
                <w:szCs w:val="18"/>
              </w:rPr>
              <w:t>«</w:t>
            </w:r>
            <w:r w:rsidR="00CF2897" w:rsidRPr="00FB0A3A">
              <w:rPr>
                <w:rFonts w:eastAsia="Calibri" w:cs="Times New Roman"/>
                <w:szCs w:val="18"/>
              </w:rPr>
              <w:t xml:space="preserve">122 УМР МО </w:t>
            </w:r>
            <w:r w:rsidRPr="00FB0A3A">
              <w:rPr>
                <w:rFonts w:eastAsia="Calibri" w:cs="Times New Roman"/>
                <w:szCs w:val="18"/>
              </w:rPr>
              <w:t>РФ</w:t>
            </w:r>
            <w:r w:rsidR="00655FFA" w:rsidRPr="00FB0A3A">
              <w:rPr>
                <w:rFonts w:eastAsia="Calibri" w:cs="Times New Roman"/>
                <w:szCs w:val="18"/>
              </w:rPr>
              <w:t>»</w:t>
            </w:r>
          </w:p>
        </w:tc>
        <w:tc>
          <w:tcPr>
            <w:tcW w:w="1702" w:type="dxa"/>
            <w:noWrap/>
            <w:hideMark/>
          </w:tcPr>
          <w:p w14:paraId="430D00A1" w14:textId="77777777" w:rsidR="00CF2897" w:rsidRPr="00FB0A3A" w:rsidRDefault="00CF2897"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163 434,98</w:t>
            </w:r>
          </w:p>
        </w:tc>
        <w:tc>
          <w:tcPr>
            <w:tcW w:w="1844" w:type="dxa"/>
            <w:noWrap/>
            <w:hideMark/>
          </w:tcPr>
          <w:p w14:paraId="64DDEC2B" w14:textId="10DD6C1E" w:rsidR="00CF2897" w:rsidRPr="00FB0A3A" w:rsidRDefault="00CF2897"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163 434,98</w:t>
            </w:r>
          </w:p>
        </w:tc>
        <w:tc>
          <w:tcPr>
            <w:tcW w:w="1692" w:type="dxa"/>
            <w:noWrap/>
            <w:hideMark/>
          </w:tcPr>
          <w:p w14:paraId="30BA09A2" w14:textId="77777777" w:rsidR="00CF2897" w:rsidRPr="00FB0A3A" w:rsidRDefault="00CF2897"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0,00</w:t>
            </w:r>
          </w:p>
        </w:tc>
      </w:tr>
      <w:tr w:rsidR="00CF2897" w:rsidRPr="00FB0A3A" w14:paraId="70887997" w14:textId="77777777" w:rsidTr="009E11D7">
        <w:tc>
          <w:tcPr>
            <w:cnfStyle w:val="001000000000" w:firstRow="0" w:lastRow="0" w:firstColumn="1" w:lastColumn="0" w:oddVBand="0" w:evenVBand="0" w:oddHBand="0" w:evenHBand="0" w:firstRowFirstColumn="0" w:firstRowLastColumn="0" w:lastRowFirstColumn="0" w:lastRowLastColumn="0"/>
            <w:tcW w:w="562" w:type="dxa"/>
            <w:noWrap/>
            <w:hideMark/>
          </w:tcPr>
          <w:p w14:paraId="4C6A855A" w14:textId="77777777" w:rsidR="00CF2897" w:rsidRPr="00FB0A3A" w:rsidRDefault="00CF2897" w:rsidP="009E11D7">
            <w:pPr>
              <w:tabs>
                <w:tab w:val="left" w:pos="1134"/>
              </w:tabs>
              <w:jc w:val="center"/>
              <w:rPr>
                <w:rFonts w:eastAsia="Calibri" w:cs="Times New Roman"/>
                <w:szCs w:val="18"/>
              </w:rPr>
            </w:pPr>
            <w:r w:rsidRPr="00FB0A3A">
              <w:rPr>
                <w:rFonts w:eastAsia="Calibri" w:cs="Times New Roman"/>
                <w:szCs w:val="18"/>
              </w:rPr>
              <w:lastRenderedPageBreak/>
              <w:t>18</w:t>
            </w:r>
          </w:p>
        </w:tc>
        <w:tc>
          <w:tcPr>
            <w:tcW w:w="3686" w:type="dxa"/>
            <w:hideMark/>
          </w:tcPr>
          <w:p w14:paraId="2D8AA6F0" w14:textId="6246C299" w:rsidR="00CF2897" w:rsidRPr="00FB0A3A" w:rsidRDefault="00CB1625" w:rsidP="009E11D7">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 xml:space="preserve">ООО </w:t>
            </w:r>
            <w:r w:rsidR="00655FFA" w:rsidRPr="00FB0A3A">
              <w:rPr>
                <w:rFonts w:eastAsia="Calibri" w:cs="Times New Roman"/>
                <w:szCs w:val="18"/>
              </w:rPr>
              <w:t>«</w:t>
            </w:r>
            <w:r w:rsidRPr="00FB0A3A">
              <w:rPr>
                <w:rFonts w:eastAsia="Calibri" w:cs="Times New Roman"/>
                <w:szCs w:val="18"/>
              </w:rPr>
              <w:t>Баренцпродукт</w:t>
            </w:r>
            <w:r w:rsidR="00655FFA" w:rsidRPr="00FB0A3A">
              <w:rPr>
                <w:rFonts w:eastAsia="Calibri" w:cs="Times New Roman"/>
                <w:szCs w:val="18"/>
              </w:rPr>
              <w:t>»</w:t>
            </w:r>
          </w:p>
        </w:tc>
        <w:tc>
          <w:tcPr>
            <w:tcW w:w="1702" w:type="dxa"/>
            <w:noWrap/>
            <w:hideMark/>
          </w:tcPr>
          <w:p w14:paraId="3B33057A" w14:textId="77777777" w:rsidR="00CF2897" w:rsidRPr="00FB0A3A" w:rsidRDefault="00CF2897"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157 669,40</w:t>
            </w:r>
          </w:p>
        </w:tc>
        <w:tc>
          <w:tcPr>
            <w:tcW w:w="1844" w:type="dxa"/>
            <w:noWrap/>
            <w:hideMark/>
          </w:tcPr>
          <w:p w14:paraId="2F65ED51" w14:textId="49142245" w:rsidR="00CF2897" w:rsidRPr="00FB0A3A" w:rsidRDefault="00CF2897"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128 982,13</w:t>
            </w:r>
          </w:p>
        </w:tc>
        <w:tc>
          <w:tcPr>
            <w:tcW w:w="1692" w:type="dxa"/>
            <w:noWrap/>
            <w:hideMark/>
          </w:tcPr>
          <w:p w14:paraId="744E07A7" w14:textId="77777777" w:rsidR="00CF2897" w:rsidRPr="00FB0A3A" w:rsidRDefault="00CF2897"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28 687,27</w:t>
            </w:r>
          </w:p>
        </w:tc>
      </w:tr>
      <w:tr w:rsidR="00CF2897" w:rsidRPr="00FB0A3A" w14:paraId="254D5F42" w14:textId="77777777" w:rsidTr="009E11D7">
        <w:tc>
          <w:tcPr>
            <w:cnfStyle w:val="001000000000" w:firstRow="0" w:lastRow="0" w:firstColumn="1" w:lastColumn="0" w:oddVBand="0" w:evenVBand="0" w:oddHBand="0" w:evenHBand="0" w:firstRowFirstColumn="0" w:firstRowLastColumn="0" w:lastRowFirstColumn="0" w:lastRowLastColumn="0"/>
            <w:tcW w:w="562" w:type="dxa"/>
            <w:noWrap/>
            <w:hideMark/>
          </w:tcPr>
          <w:p w14:paraId="3EAD93A9" w14:textId="77777777" w:rsidR="00CF2897" w:rsidRPr="00FB0A3A" w:rsidRDefault="00CF2897" w:rsidP="009E11D7">
            <w:pPr>
              <w:tabs>
                <w:tab w:val="left" w:pos="1134"/>
              </w:tabs>
              <w:jc w:val="center"/>
              <w:rPr>
                <w:rFonts w:eastAsia="Calibri" w:cs="Times New Roman"/>
                <w:szCs w:val="18"/>
              </w:rPr>
            </w:pPr>
            <w:r w:rsidRPr="00FB0A3A">
              <w:rPr>
                <w:rFonts w:eastAsia="Calibri" w:cs="Times New Roman"/>
                <w:szCs w:val="18"/>
              </w:rPr>
              <w:t>19</w:t>
            </w:r>
          </w:p>
        </w:tc>
        <w:tc>
          <w:tcPr>
            <w:tcW w:w="3686" w:type="dxa"/>
            <w:hideMark/>
          </w:tcPr>
          <w:p w14:paraId="24069356" w14:textId="4836C27D" w:rsidR="00CF2897" w:rsidRPr="00FB0A3A" w:rsidRDefault="00CB1625" w:rsidP="009E11D7">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 xml:space="preserve">ООО </w:t>
            </w:r>
            <w:r w:rsidR="00655FFA" w:rsidRPr="00FB0A3A">
              <w:rPr>
                <w:rFonts w:eastAsia="Calibri" w:cs="Times New Roman"/>
                <w:szCs w:val="18"/>
              </w:rPr>
              <w:t>«</w:t>
            </w:r>
            <w:r w:rsidRPr="00FB0A3A">
              <w:rPr>
                <w:rFonts w:eastAsia="Calibri" w:cs="Times New Roman"/>
                <w:szCs w:val="18"/>
              </w:rPr>
              <w:t>Комфорт</w:t>
            </w:r>
            <w:r w:rsidR="00655FFA" w:rsidRPr="00FB0A3A">
              <w:rPr>
                <w:rFonts w:eastAsia="Calibri" w:cs="Times New Roman"/>
                <w:szCs w:val="18"/>
              </w:rPr>
              <w:t>»</w:t>
            </w:r>
          </w:p>
        </w:tc>
        <w:tc>
          <w:tcPr>
            <w:tcW w:w="1702" w:type="dxa"/>
            <w:noWrap/>
            <w:hideMark/>
          </w:tcPr>
          <w:p w14:paraId="2B4F1506" w14:textId="77777777" w:rsidR="00CF2897" w:rsidRPr="00FB0A3A" w:rsidRDefault="00CF2897"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679 763,14</w:t>
            </w:r>
          </w:p>
        </w:tc>
        <w:tc>
          <w:tcPr>
            <w:tcW w:w="1844" w:type="dxa"/>
            <w:noWrap/>
            <w:hideMark/>
          </w:tcPr>
          <w:p w14:paraId="13E6454C" w14:textId="004B7075" w:rsidR="00CF2897" w:rsidRPr="00FB0A3A" w:rsidRDefault="00CF2897"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588 874,07</w:t>
            </w:r>
          </w:p>
        </w:tc>
        <w:tc>
          <w:tcPr>
            <w:tcW w:w="1692" w:type="dxa"/>
            <w:noWrap/>
            <w:hideMark/>
          </w:tcPr>
          <w:p w14:paraId="03FD3E58" w14:textId="77777777" w:rsidR="00CF2897" w:rsidRPr="00FB0A3A" w:rsidRDefault="00CF2897"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90 889,07</w:t>
            </w:r>
          </w:p>
        </w:tc>
      </w:tr>
      <w:tr w:rsidR="00CF2897" w:rsidRPr="00FB0A3A" w14:paraId="7342DF5F" w14:textId="77777777" w:rsidTr="009E11D7">
        <w:tc>
          <w:tcPr>
            <w:cnfStyle w:val="001000000000" w:firstRow="0" w:lastRow="0" w:firstColumn="1" w:lastColumn="0" w:oddVBand="0" w:evenVBand="0" w:oddHBand="0" w:evenHBand="0" w:firstRowFirstColumn="0" w:firstRowLastColumn="0" w:lastRowFirstColumn="0" w:lastRowLastColumn="0"/>
            <w:tcW w:w="562" w:type="dxa"/>
            <w:noWrap/>
            <w:hideMark/>
          </w:tcPr>
          <w:p w14:paraId="244C1DAD" w14:textId="77777777" w:rsidR="00CF2897" w:rsidRPr="00FB0A3A" w:rsidRDefault="00CF2897" w:rsidP="009E11D7">
            <w:pPr>
              <w:tabs>
                <w:tab w:val="left" w:pos="1134"/>
              </w:tabs>
              <w:jc w:val="center"/>
              <w:rPr>
                <w:rFonts w:eastAsia="Calibri" w:cs="Times New Roman"/>
                <w:szCs w:val="18"/>
              </w:rPr>
            </w:pPr>
            <w:r w:rsidRPr="00FB0A3A">
              <w:rPr>
                <w:rFonts w:eastAsia="Calibri" w:cs="Times New Roman"/>
                <w:szCs w:val="18"/>
              </w:rPr>
              <w:t>20</w:t>
            </w:r>
          </w:p>
        </w:tc>
        <w:tc>
          <w:tcPr>
            <w:tcW w:w="3686" w:type="dxa"/>
            <w:hideMark/>
          </w:tcPr>
          <w:p w14:paraId="171B4041" w14:textId="77777777" w:rsidR="00CF2897" w:rsidRPr="00FB0A3A" w:rsidRDefault="00CF2897" w:rsidP="009E11D7">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АЛЬПИЙСКАЯ ГОРКА</w:t>
            </w:r>
          </w:p>
        </w:tc>
        <w:tc>
          <w:tcPr>
            <w:tcW w:w="1702" w:type="dxa"/>
            <w:noWrap/>
            <w:hideMark/>
          </w:tcPr>
          <w:p w14:paraId="0B7CBF41" w14:textId="77777777" w:rsidR="00CF2897" w:rsidRPr="00FB0A3A" w:rsidRDefault="00CF2897"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141 304,25</w:t>
            </w:r>
          </w:p>
        </w:tc>
        <w:tc>
          <w:tcPr>
            <w:tcW w:w="1844" w:type="dxa"/>
            <w:noWrap/>
            <w:hideMark/>
          </w:tcPr>
          <w:p w14:paraId="4BC1D896" w14:textId="6D765DE4" w:rsidR="00CF2897" w:rsidRPr="00FB0A3A" w:rsidRDefault="00CF2897"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133 897,48</w:t>
            </w:r>
          </w:p>
        </w:tc>
        <w:tc>
          <w:tcPr>
            <w:tcW w:w="1692" w:type="dxa"/>
            <w:noWrap/>
            <w:hideMark/>
          </w:tcPr>
          <w:p w14:paraId="669EC044" w14:textId="77777777" w:rsidR="00CF2897" w:rsidRPr="00FB0A3A" w:rsidRDefault="00CF2897"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7 406,77</w:t>
            </w:r>
          </w:p>
        </w:tc>
      </w:tr>
      <w:tr w:rsidR="00CF2897" w:rsidRPr="00FB0A3A" w14:paraId="58A96AC2" w14:textId="77777777" w:rsidTr="009E11D7">
        <w:tc>
          <w:tcPr>
            <w:cnfStyle w:val="001000000000" w:firstRow="0" w:lastRow="0" w:firstColumn="1" w:lastColumn="0" w:oddVBand="0" w:evenVBand="0" w:oddHBand="0" w:evenHBand="0" w:firstRowFirstColumn="0" w:firstRowLastColumn="0" w:lastRowFirstColumn="0" w:lastRowLastColumn="0"/>
            <w:tcW w:w="562" w:type="dxa"/>
            <w:noWrap/>
            <w:hideMark/>
          </w:tcPr>
          <w:p w14:paraId="67802437" w14:textId="77777777" w:rsidR="00CF2897" w:rsidRPr="00FB0A3A" w:rsidRDefault="00CF2897" w:rsidP="009E11D7">
            <w:pPr>
              <w:tabs>
                <w:tab w:val="left" w:pos="1134"/>
              </w:tabs>
              <w:jc w:val="center"/>
              <w:rPr>
                <w:rFonts w:eastAsia="Calibri" w:cs="Times New Roman"/>
                <w:szCs w:val="18"/>
              </w:rPr>
            </w:pPr>
            <w:r w:rsidRPr="00FB0A3A">
              <w:rPr>
                <w:rFonts w:eastAsia="Calibri" w:cs="Times New Roman"/>
                <w:szCs w:val="18"/>
              </w:rPr>
              <w:t>21</w:t>
            </w:r>
          </w:p>
        </w:tc>
        <w:tc>
          <w:tcPr>
            <w:tcW w:w="3686" w:type="dxa"/>
            <w:hideMark/>
          </w:tcPr>
          <w:p w14:paraId="39FA309E" w14:textId="00246A37" w:rsidR="00CF2897" w:rsidRPr="00FB0A3A" w:rsidRDefault="00CB1625" w:rsidP="009E11D7">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 xml:space="preserve">ТСЖ </w:t>
            </w:r>
            <w:r w:rsidR="00655FFA" w:rsidRPr="00FB0A3A">
              <w:rPr>
                <w:rFonts w:eastAsia="Calibri" w:cs="Times New Roman"/>
                <w:szCs w:val="18"/>
              </w:rPr>
              <w:t>«</w:t>
            </w:r>
            <w:r w:rsidRPr="00FB0A3A">
              <w:rPr>
                <w:rFonts w:eastAsia="Calibri" w:cs="Times New Roman"/>
                <w:szCs w:val="18"/>
              </w:rPr>
              <w:t>Лето</w:t>
            </w:r>
            <w:r w:rsidR="00655FFA" w:rsidRPr="00FB0A3A">
              <w:rPr>
                <w:rFonts w:eastAsia="Calibri" w:cs="Times New Roman"/>
                <w:szCs w:val="18"/>
              </w:rPr>
              <w:t>»</w:t>
            </w:r>
            <w:r w:rsidR="00CF2897" w:rsidRPr="00FB0A3A">
              <w:rPr>
                <w:rFonts w:eastAsia="Calibri" w:cs="Times New Roman"/>
                <w:szCs w:val="18"/>
              </w:rPr>
              <w:t xml:space="preserve"> </w:t>
            </w:r>
          </w:p>
        </w:tc>
        <w:tc>
          <w:tcPr>
            <w:tcW w:w="1702" w:type="dxa"/>
            <w:noWrap/>
            <w:hideMark/>
          </w:tcPr>
          <w:p w14:paraId="4E27E0AF" w14:textId="77777777" w:rsidR="00CF2897" w:rsidRPr="00FB0A3A" w:rsidRDefault="00CF2897"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27 375,36</w:t>
            </w:r>
          </w:p>
        </w:tc>
        <w:tc>
          <w:tcPr>
            <w:tcW w:w="1844" w:type="dxa"/>
            <w:noWrap/>
            <w:hideMark/>
          </w:tcPr>
          <w:p w14:paraId="6AE377C2" w14:textId="3158FD9B" w:rsidR="00CF2897" w:rsidRPr="00FB0A3A" w:rsidRDefault="00CF2897"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21 928,47</w:t>
            </w:r>
          </w:p>
        </w:tc>
        <w:tc>
          <w:tcPr>
            <w:tcW w:w="1692" w:type="dxa"/>
            <w:noWrap/>
            <w:hideMark/>
          </w:tcPr>
          <w:p w14:paraId="337633AE" w14:textId="77777777" w:rsidR="00CF2897" w:rsidRPr="00FB0A3A" w:rsidRDefault="00CF2897"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5 446,89</w:t>
            </w:r>
          </w:p>
        </w:tc>
      </w:tr>
      <w:tr w:rsidR="00CF2897" w:rsidRPr="00FB0A3A" w14:paraId="7CF09474" w14:textId="77777777" w:rsidTr="009E11D7">
        <w:tc>
          <w:tcPr>
            <w:cnfStyle w:val="001000000000" w:firstRow="0" w:lastRow="0" w:firstColumn="1" w:lastColumn="0" w:oddVBand="0" w:evenVBand="0" w:oddHBand="0" w:evenHBand="0" w:firstRowFirstColumn="0" w:firstRowLastColumn="0" w:lastRowFirstColumn="0" w:lastRowLastColumn="0"/>
            <w:tcW w:w="562" w:type="dxa"/>
            <w:noWrap/>
            <w:hideMark/>
          </w:tcPr>
          <w:p w14:paraId="7671786E" w14:textId="77777777" w:rsidR="00CF2897" w:rsidRPr="00FB0A3A" w:rsidRDefault="00CF2897" w:rsidP="009E11D7">
            <w:pPr>
              <w:tabs>
                <w:tab w:val="left" w:pos="1134"/>
              </w:tabs>
              <w:jc w:val="center"/>
              <w:rPr>
                <w:rFonts w:eastAsia="Calibri" w:cs="Times New Roman"/>
                <w:szCs w:val="18"/>
              </w:rPr>
            </w:pPr>
            <w:r w:rsidRPr="00FB0A3A">
              <w:rPr>
                <w:rFonts w:eastAsia="Calibri" w:cs="Times New Roman"/>
                <w:szCs w:val="18"/>
              </w:rPr>
              <w:t>22</w:t>
            </w:r>
          </w:p>
        </w:tc>
        <w:tc>
          <w:tcPr>
            <w:tcW w:w="3686" w:type="dxa"/>
            <w:hideMark/>
          </w:tcPr>
          <w:p w14:paraId="7A25F9A3" w14:textId="0F82D1A4" w:rsidR="00CF2897" w:rsidRPr="00FB0A3A" w:rsidRDefault="00CB1625" w:rsidP="009E11D7">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 xml:space="preserve">ГСК </w:t>
            </w:r>
            <w:r w:rsidR="00655FFA" w:rsidRPr="00FB0A3A">
              <w:rPr>
                <w:rFonts w:eastAsia="Calibri" w:cs="Times New Roman"/>
                <w:szCs w:val="18"/>
              </w:rPr>
              <w:t>«</w:t>
            </w:r>
            <w:r w:rsidRPr="00FB0A3A">
              <w:rPr>
                <w:rFonts w:eastAsia="Calibri" w:cs="Times New Roman"/>
                <w:szCs w:val="18"/>
              </w:rPr>
              <w:t>Автогородок</w:t>
            </w:r>
            <w:r w:rsidR="00655FFA" w:rsidRPr="00FB0A3A">
              <w:rPr>
                <w:rFonts w:eastAsia="Calibri" w:cs="Times New Roman"/>
                <w:szCs w:val="18"/>
              </w:rPr>
              <w:t>»</w:t>
            </w:r>
          </w:p>
        </w:tc>
        <w:tc>
          <w:tcPr>
            <w:tcW w:w="1702" w:type="dxa"/>
            <w:noWrap/>
            <w:hideMark/>
          </w:tcPr>
          <w:p w14:paraId="1DE6CECA" w14:textId="77777777" w:rsidR="00CF2897" w:rsidRPr="00FB0A3A" w:rsidRDefault="00CF2897"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430 498,26</w:t>
            </w:r>
          </w:p>
        </w:tc>
        <w:tc>
          <w:tcPr>
            <w:tcW w:w="1844" w:type="dxa"/>
            <w:noWrap/>
            <w:hideMark/>
          </w:tcPr>
          <w:p w14:paraId="3A97D680" w14:textId="045AC8AC" w:rsidR="00CF2897" w:rsidRPr="00FB0A3A" w:rsidRDefault="00CF2897"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430 498,26</w:t>
            </w:r>
          </w:p>
        </w:tc>
        <w:tc>
          <w:tcPr>
            <w:tcW w:w="1692" w:type="dxa"/>
            <w:noWrap/>
            <w:hideMark/>
          </w:tcPr>
          <w:p w14:paraId="6E0CD266" w14:textId="77777777" w:rsidR="00CF2897" w:rsidRPr="00FB0A3A" w:rsidRDefault="00CF2897"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0,00</w:t>
            </w:r>
          </w:p>
        </w:tc>
      </w:tr>
      <w:tr w:rsidR="00CF2897" w:rsidRPr="00FB0A3A" w14:paraId="70942670" w14:textId="77777777" w:rsidTr="009E11D7">
        <w:tc>
          <w:tcPr>
            <w:cnfStyle w:val="001000000000" w:firstRow="0" w:lastRow="0" w:firstColumn="1" w:lastColumn="0" w:oddVBand="0" w:evenVBand="0" w:oddHBand="0" w:evenHBand="0" w:firstRowFirstColumn="0" w:firstRowLastColumn="0" w:lastRowFirstColumn="0" w:lastRowLastColumn="0"/>
            <w:tcW w:w="562" w:type="dxa"/>
            <w:noWrap/>
            <w:hideMark/>
          </w:tcPr>
          <w:p w14:paraId="347C1AA8" w14:textId="77777777" w:rsidR="00CF2897" w:rsidRPr="00FB0A3A" w:rsidRDefault="00CF2897" w:rsidP="009E11D7">
            <w:pPr>
              <w:tabs>
                <w:tab w:val="left" w:pos="1134"/>
              </w:tabs>
              <w:jc w:val="center"/>
              <w:rPr>
                <w:rFonts w:eastAsia="Calibri" w:cs="Times New Roman"/>
                <w:szCs w:val="18"/>
              </w:rPr>
            </w:pPr>
            <w:r w:rsidRPr="00FB0A3A">
              <w:rPr>
                <w:rFonts w:eastAsia="Calibri" w:cs="Times New Roman"/>
                <w:szCs w:val="18"/>
              </w:rPr>
              <w:t>23</w:t>
            </w:r>
          </w:p>
        </w:tc>
        <w:tc>
          <w:tcPr>
            <w:tcW w:w="3686" w:type="dxa"/>
            <w:hideMark/>
          </w:tcPr>
          <w:p w14:paraId="181763E5" w14:textId="0ED9BF3B" w:rsidR="00CF2897" w:rsidRPr="00FB0A3A" w:rsidRDefault="00CB1625" w:rsidP="009E11D7">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 xml:space="preserve">ООО </w:t>
            </w:r>
            <w:r w:rsidR="00655FFA" w:rsidRPr="00FB0A3A">
              <w:rPr>
                <w:rFonts w:eastAsia="Calibri" w:cs="Times New Roman"/>
                <w:szCs w:val="18"/>
              </w:rPr>
              <w:t>«</w:t>
            </w:r>
            <w:r w:rsidRPr="00FB0A3A">
              <w:rPr>
                <w:rFonts w:eastAsia="Calibri" w:cs="Times New Roman"/>
                <w:szCs w:val="18"/>
              </w:rPr>
              <w:t>Промэнерго</w:t>
            </w:r>
            <w:r w:rsidR="00655FFA" w:rsidRPr="00FB0A3A">
              <w:rPr>
                <w:rFonts w:eastAsia="Calibri" w:cs="Times New Roman"/>
                <w:szCs w:val="18"/>
              </w:rPr>
              <w:t>»</w:t>
            </w:r>
          </w:p>
        </w:tc>
        <w:tc>
          <w:tcPr>
            <w:tcW w:w="1702" w:type="dxa"/>
            <w:noWrap/>
            <w:hideMark/>
          </w:tcPr>
          <w:p w14:paraId="545FF8E5" w14:textId="77777777" w:rsidR="00CF2897" w:rsidRPr="00FB0A3A" w:rsidRDefault="00CF2897"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488 289,33</w:t>
            </w:r>
          </w:p>
        </w:tc>
        <w:tc>
          <w:tcPr>
            <w:tcW w:w="1844" w:type="dxa"/>
            <w:noWrap/>
            <w:hideMark/>
          </w:tcPr>
          <w:p w14:paraId="00DC4595" w14:textId="59669123" w:rsidR="00CF2897" w:rsidRPr="00FB0A3A" w:rsidRDefault="00CF2897"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456 825,59</w:t>
            </w:r>
          </w:p>
        </w:tc>
        <w:tc>
          <w:tcPr>
            <w:tcW w:w="1692" w:type="dxa"/>
            <w:noWrap/>
            <w:hideMark/>
          </w:tcPr>
          <w:p w14:paraId="1D66172F" w14:textId="77777777" w:rsidR="00CF2897" w:rsidRPr="00FB0A3A" w:rsidRDefault="00CF2897"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31 463,74</w:t>
            </w:r>
          </w:p>
        </w:tc>
      </w:tr>
      <w:tr w:rsidR="00CF2897" w:rsidRPr="00FB0A3A" w14:paraId="31727580" w14:textId="77777777" w:rsidTr="009E11D7">
        <w:tc>
          <w:tcPr>
            <w:cnfStyle w:val="001000000000" w:firstRow="0" w:lastRow="0" w:firstColumn="1" w:lastColumn="0" w:oddVBand="0" w:evenVBand="0" w:oddHBand="0" w:evenHBand="0" w:firstRowFirstColumn="0" w:firstRowLastColumn="0" w:lastRowFirstColumn="0" w:lastRowLastColumn="0"/>
            <w:tcW w:w="562" w:type="dxa"/>
            <w:noWrap/>
            <w:hideMark/>
          </w:tcPr>
          <w:p w14:paraId="7E937D26" w14:textId="77777777" w:rsidR="00CF2897" w:rsidRPr="00FB0A3A" w:rsidRDefault="00CF2897" w:rsidP="009E11D7">
            <w:pPr>
              <w:tabs>
                <w:tab w:val="left" w:pos="1134"/>
              </w:tabs>
              <w:jc w:val="center"/>
              <w:rPr>
                <w:rFonts w:eastAsia="Calibri" w:cs="Times New Roman"/>
                <w:szCs w:val="18"/>
              </w:rPr>
            </w:pPr>
            <w:r w:rsidRPr="00FB0A3A">
              <w:rPr>
                <w:rFonts w:eastAsia="Calibri" w:cs="Times New Roman"/>
                <w:szCs w:val="18"/>
              </w:rPr>
              <w:t>24</w:t>
            </w:r>
          </w:p>
        </w:tc>
        <w:tc>
          <w:tcPr>
            <w:tcW w:w="3686" w:type="dxa"/>
            <w:hideMark/>
          </w:tcPr>
          <w:p w14:paraId="7B3516F5" w14:textId="77777777" w:rsidR="00CF2897" w:rsidRPr="00FB0A3A" w:rsidRDefault="00CF2897" w:rsidP="009E11D7">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 xml:space="preserve">СГОО Общество защиты животных </w:t>
            </w:r>
          </w:p>
        </w:tc>
        <w:tc>
          <w:tcPr>
            <w:tcW w:w="1702" w:type="dxa"/>
            <w:noWrap/>
            <w:hideMark/>
          </w:tcPr>
          <w:p w14:paraId="3EBEB475" w14:textId="77777777" w:rsidR="00CF2897" w:rsidRPr="00FB0A3A" w:rsidRDefault="00CF2897"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86 962,96</w:t>
            </w:r>
          </w:p>
        </w:tc>
        <w:tc>
          <w:tcPr>
            <w:tcW w:w="1844" w:type="dxa"/>
            <w:noWrap/>
            <w:hideMark/>
          </w:tcPr>
          <w:p w14:paraId="351DC54C" w14:textId="3D8E3F95" w:rsidR="00CF2897" w:rsidRPr="00FB0A3A" w:rsidRDefault="00CF2897"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75 420,56</w:t>
            </w:r>
          </w:p>
        </w:tc>
        <w:tc>
          <w:tcPr>
            <w:tcW w:w="1692" w:type="dxa"/>
            <w:noWrap/>
            <w:hideMark/>
          </w:tcPr>
          <w:p w14:paraId="5226B173" w14:textId="77777777" w:rsidR="00CF2897" w:rsidRPr="00FB0A3A" w:rsidRDefault="00CF2897"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11 542,40</w:t>
            </w:r>
          </w:p>
        </w:tc>
      </w:tr>
      <w:tr w:rsidR="00CF2897" w:rsidRPr="00FB0A3A" w14:paraId="3CA230C0" w14:textId="77777777" w:rsidTr="009E11D7">
        <w:tc>
          <w:tcPr>
            <w:cnfStyle w:val="001000000000" w:firstRow="0" w:lastRow="0" w:firstColumn="1" w:lastColumn="0" w:oddVBand="0" w:evenVBand="0" w:oddHBand="0" w:evenHBand="0" w:firstRowFirstColumn="0" w:firstRowLastColumn="0" w:lastRowFirstColumn="0" w:lastRowLastColumn="0"/>
            <w:tcW w:w="562" w:type="dxa"/>
            <w:noWrap/>
            <w:hideMark/>
          </w:tcPr>
          <w:p w14:paraId="0F12787C" w14:textId="77777777" w:rsidR="00CF2897" w:rsidRPr="00FB0A3A" w:rsidRDefault="00CF2897" w:rsidP="009E11D7">
            <w:pPr>
              <w:tabs>
                <w:tab w:val="left" w:pos="1134"/>
              </w:tabs>
              <w:jc w:val="center"/>
              <w:rPr>
                <w:rFonts w:eastAsia="Calibri" w:cs="Times New Roman"/>
                <w:szCs w:val="18"/>
              </w:rPr>
            </w:pPr>
            <w:r w:rsidRPr="00FB0A3A">
              <w:rPr>
                <w:rFonts w:eastAsia="Calibri" w:cs="Times New Roman"/>
                <w:szCs w:val="18"/>
              </w:rPr>
              <w:t>25</w:t>
            </w:r>
          </w:p>
        </w:tc>
        <w:tc>
          <w:tcPr>
            <w:tcW w:w="3686" w:type="dxa"/>
            <w:hideMark/>
          </w:tcPr>
          <w:p w14:paraId="52A4DD60" w14:textId="6FAE03EF" w:rsidR="00CF2897" w:rsidRPr="00FB0A3A" w:rsidRDefault="00CB1625" w:rsidP="009E11D7">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 xml:space="preserve">ТСЖ </w:t>
            </w:r>
            <w:r w:rsidR="00655FFA" w:rsidRPr="00FB0A3A">
              <w:rPr>
                <w:rFonts w:eastAsia="Calibri" w:cs="Times New Roman"/>
                <w:szCs w:val="18"/>
              </w:rPr>
              <w:t>«</w:t>
            </w:r>
            <w:r w:rsidRPr="00FB0A3A">
              <w:rPr>
                <w:rFonts w:eastAsia="Calibri" w:cs="Times New Roman"/>
                <w:szCs w:val="18"/>
              </w:rPr>
              <w:t>Парковая</w:t>
            </w:r>
            <w:r w:rsidR="00655FFA" w:rsidRPr="00FB0A3A">
              <w:rPr>
                <w:rFonts w:eastAsia="Calibri" w:cs="Times New Roman"/>
                <w:szCs w:val="18"/>
              </w:rPr>
              <w:t>»</w:t>
            </w:r>
          </w:p>
        </w:tc>
        <w:tc>
          <w:tcPr>
            <w:tcW w:w="1702" w:type="dxa"/>
            <w:noWrap/>
            <w:hideMark/>
          </w:tcPr>
          <w:p w14:paraId="19CD8BC9" w14:textId="77777777" w:rsidR="00CF2897" w:rsidRPr="00FB0A3A" w:rsidRDefault="00CF2897"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76 002,57</w:t>
            </w:r>
          </w:p>
        </w:tc>
        <w:tc>
          <w:tcPr>
            <w:tcW w:w="1844" w:type="dxa"/>
            <w:noWrap/>
            <w:hideMark/>
          </w:tcPr>
          <w:p w14:paraId="7D7864AC" w14:textId="07336A4A" w:rsidR="00CF2897" w:rsidRPr="00FB0A3A" w:rsidRDefault="00CF2897"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76 002,57</w:t>
            </w:r>
          </w:p>
        </w:tc>
        <w:tc>
          <w:tcPr>
            <w:tcW w:w="1692" w:type="dxa"/>
            <w:noWrap/>
            <w:hideMark/>
          </w:tcPr>
          <w:p w14:paraId="0EBB25B4" w14:textId="77777777" w:rsidR="00CF2897" w:rsidRPr="00FB0A3A" w:rsidRDefault="00CF2897"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0,00</w:t>
            </w:r>
          </w:p>
        </w:tc>
      </w:tr>
      <w:tr w:rsidR="00CF2897" w:rsidRPr="00FB0A3A" w14:paraId="64B259B8" w14:textId="77777777" w:rsidTr="009E11D7">
        <w:tc>
          <w:tcPr>
            <w:cnfStyle w:val="001000000000" w:firstRow="0" w:lastRow="0" w:firstColumn="1" w:lastColumn="0" w:oddVBand="0" w:evenVBand="0" w:oddHBand="0" w:evenHBand="0" w:firstRowFirstColumn="0" w:firstRowLastColumn="0" w:lastRowFirstColumn="0" w:lastRowLastColumn="0"/>
            <w:tcW w:w="562" w:type="dxa"/>
            <w:noWrap/>
            <w:hideMark/>
          </w:tcPr>
          <w:p w14:paraId="3534FEBB" w14:textId="77777777" w:rsidR="00CF2897" w:rsidRPr="00FB0A3A" w:rsidRDefault="00CF2897" w:rsidP="009E11D7">
            <w:pPr>
              <w:tabs>
                <w:tab w:val="left" w:pos="1134"/>
              </w:tabs>
              <w:jc w:val="center"/>
              <w:rPr>
                <w:rFonts w:eastAsia="Calibri" w:cs="Times New Roman"/>
                <w:szCs w:val="18"/>
              </w:rPr>
            </w:pPr>
            <w:r w:rsidRPr="00FB0A3A">
              <w:rPr>
                <w:rFonts w:eastAsia="Calibri" w:cs="Times New Roman"/>
                <w:szCs w:val="18"/>
              </w:rPr>
              <w:t>26</w:t>
            </w:r>
          </w:p>
        </w:tc>
        <w:tc>
          <w:tcPr>
            <w:tcW w:w="3686" w:type="dxa"/>
            <w:hideMark/>
          </w:tcPr>
          <w:p w14:paraId="4D1D22A0" w14:textId="2FA40A14" w:rsidR="00CF2897" w:rsidRPr="00FB0A3A" w:rsidRDefault="00CB1625" w:rsidP="009E11D7">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 xml:space="preserve">ГПК </w:t>
            </w:r>
            <w:r w:rsidR="00655FFA" w:rsidRPr="00FB0A3A">
              <w:rPr>
                <w:rFonts w:eastAsia="Calibri" w:cs="Times New Roman"/>
                <w:szCs w:val="18"/>
              </w:rPr>
              <w:t>«</w:t>
            </w:r>
            <w:r w:rsidRPr="00FB0A3A">
              <w:rPr>
                <w:rFonts w:eastAsia="Calibri" w:cs="Times New Roman"/>
                <w:szCs w:val="18"/>
              </w:rPr>
              <w:t>Авто-3</w:t>
            </w:r>
            <w:r w:rsidR="00655FFA" w:rsidRPr="00FB0A3A">
              <w:rPr>
                <w:rFonts w:eastAsia="Calibri" w:cs="Times New Roman"/>
                <w:szCs w:val="18"/>
              </w:rPr>
              <w:t>»</w:t>
            </w:r>
          </w:p>
        </w:tc>
        <w:tc>
          <w:tcPr>
            <w:tcW w:w="1702" w:type="dxa"/>
            <w:noWrap/>
            <w:hideMark/>
          </w:tcPr>
          <w:p w14:paraId="71C63408" w14:textId="77777777" w:rsidR="00CF2897" w:rsidRPr="00FB0A3A" w:rsidRDefault="00CF2897"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69 216,32</w:t>
            </w:r>
          </w:p>
        </w:tc>
        <w:tc>
          <w:tcPr>
            <w:tcW w:w="1844" w:type="dxa"/>
            <w:noWrap/>
            <w:hideMark/>
          </w:tcPr>
          <w:p w14:paraId="5BC703ED" w14:textId="2F4F6098" w:rsidR="00CF2897" w:rsidRPr="00FB0A3A" w:rsidRDefault="00CF2897"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61 928,92</w:t>
            </w:r>
          </w:p>
        </w:tc>
        <w:tc>
          <w:tcPr>
            <w:tcW w:w="1692" w:type="dxa"/>
            <w:noWrap/>
            <w:hideMark/>
          </w:tcPr>
          <w:p w14:paraId="7CEE8006" w14:textId="77777777" w:rsidR="00CF2897" w:rsidRPr="00FB0A3A" w:rsidRDefault="00CF2897"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7 287,40</w:t>
            </w:r>
          </w:p>
        </w:tc>
      </w:tr>
      <w:tr w:rsidR="00CF2897" w:rsidRPr="00FB0A3A" w14:paraId="0D72539B" w14:textId="77777777" w:rsidTr="009E11D7">
        <w:tc>
          <w:tcPr>
            <w:cnfStyle w:val="001000000000" w:firstRow="0" w:lastRow="0" w:firstColumn="1" w:lastColumn="0" w:oddVBand="0" w:evenVBand="0" w:oddHBand="0" w:evenHBand="0" w:firstRowFirstColumn="0" w:firstRowLastColumn="0" w:lastRowFirstColumn="0" w:lastRowLastColumn="0"/>
            <w:tcW w:w="562" w:type="dxa"/>
            <w:noWrap/>
            <w:hideMark/>
          </w:tcPr>
          <w:p w14:paraId="2928C548" w14:textId="77777777" w:rsidR="00CF2897" w:rsidRPr="00FB0A3A" w:rsidRDefault="00CF2897" w:rsidP="009E11D7">
            <w:pPr>
              <w:tabs>
                <w:tab w:val="left" w:pos="1134"/>
              </w:tabs>
              <w:jc w:val="center"/>
              <w:rPr>
                <w:rFonts w:eastAsia="Calibri" w:cs="Times New Roman"/>
                <w:szCs w:val="18"/>
              </w:rPr>
            </w:pPr>
            <w:r w:rsidRPr="00FB0A3A">
              <w:rPr>
                <w:rFonts w:eastAsia="Calibri" w:cs="Times New Roman"/>
                <w:szCs w:val="18"/>
              </w:rPr>
              <w:t>27</w:t>
            </w:r>
          </w:p>
        </w:tc>
        <w:tc>
          <w:tcPr>
            <w:tcW w:w="3686" w:type="dxa"/>
            <w:hideMark/>
          </w:tcPr>
          <w:p w14:paraId="1C25220A" w14:textId="40E07D90" w:rsidR="00CF2897" w:rsidRPr="00FB0A3A" w:rsidRDefault="00CB1625" w:rsidP="009E11D7">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 xml:space="preserve">ЗАО </w:t>
            </w:r>
            <w:r w:rsidR="00655FFA" w:rsidRPr="00FB0A3A">
              <w:rPr>
                <w:rFonts w:eastAsia="Calibri" w:cs="Times New Roman"/>
                <w:szCs w:val="18"/>
              </w:rPr>
              <w:t>«</w:t>
            </w:r>
            <w:r w:rsidRPr="00FB0A3A">
              <w:rPr>
                <w:rFonts w:eastAsia="Calibri" w:cs="Times New Roman"/>
                <w:szCs w:val="18"/>
              </w:rPr>
              <w:t>Мираж</w:t>
            </w:r>
            <w:r w:rsidR="00655FFA" w:rsidRPr="00FB0A3A">
              <w:rPr>
                <w:rFonts w:eastAsia="Calibri" w:cs="Times New Roman"/>
                <w:szCs w:val="18"/>
              </w:rPr>
              <w:t>»</w:t>
            </w:r>
          </w:p>
        </w:tc>
        <w:tc>
          <w:tcPr>
            <w:tcW w:w="1702" w:type="dxa"/>
            <w:noWrap/>
            <w:hideMark/>
          </w:tcPr>
          <w:p w14:paraId="5797AD07" w14:textId="77777777" w:rsidR="00CF2897" w:rsidRPr="00FB0A3A" w:rsidRDefault="00CF2897"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247,27</w:t>
            </w:r>
          </w:p>
        </w:tc>
        <w:tc>
          <w:tcPr>
            <w:tcW w:w="1844" w:type="dxa"/>
            <w:noWrap/>
            <w:hideMark/>
          </w:tcPr>
          <w:p w14:paraId="70D5C5C0" w14:textId="1C0E1CAE" w:rsidR="00CF2897" w:rsidRPr="00FB0A3A" w:rsidRDefault="00CF2897"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247,27</w:t>
            </w:r>
          </w:p>
        </w:tc>
        <w:tc>
          <w:tcPr>
            <w:tcW w:w="1692" w:type="dxa"/>
            <w:noWrap/>
            <w:hideMark/>
          </w:tcPr>
          <w:p w14:paraId="54103948" w14:textId="77777777" w:rsidR="00CF2897" w:rsidRPr="00FB0A3A" w:rsidRDefault="00CF2897"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0,00</w:t>
            </w:r>
          </w:p>
        </w:tc>
      </w:tr>
      <w:tr w:rsidR="00CF2897" w:rsidRPr="00FB0A3A" w14:paraId="3A3E2E3B" w14:textId="77777777" w:rsidTr="009E11D7">
        <w:tc>
          <w:tcPr>
            <w:cnfStyle w:val="001000000000" w:firstRow="0" w:lastRow="0" w:firstColumn="1" w:lastColumn="0" w:oddVBand="0" w:evenVBand="0" w:oddHBand="0" w:evenHBand="0" w:firstRowFirstColumn="0" w:firstRowLastColumn="0" w:lastRowFirstColumn="0" w:lastRowLastColumn="0"/>
            <w:tcW w:w="562" w:type="dxa"/>
            <w:noWrap/>
            <w:hideMark/>
          </w:tcPr>
          <w:p w14:paraId="75FE099E" w14:textId="77777777" w:rsidR="00CF2897" w:rsidRPr="00FB0A3A" w:rsidRDefault="00CF2897" w:rsidP="009E11D7">
            <w:pPr>
              <w:tabs>
                <w:tab w:val="left" w:pos="1134"/>
              </w:tabs>
              <w:jc w:val="center"/>
              <w:rPr>
                <w:rFonts w:eastAsia="Calibri" w:cs="Times New Roman"/>
                <w:szCs w:val="18"/>
              </w:rPr>
            </w:pPr>
            <w:r w:rsidRPr="00FB0A3A">
              <w:rPr>
                <w:rFonts w:eastAsia="Calibri" w:cs="Times New Roman"/>
                <w:szCs w:val="18"/>
              </w:rPr>
              <w:t>28</w:t>
            </w:r>
          </w:p>
        </w:tc>
        <w:tc>
          <w:tcPr>
            <w:tcW w:w="3686" w:type="dxa"/>
            <w:hideMark/>
          </w:tcPr>
          <w:p w14:paraId="2DC3E7F6" w14:textId="34187684" w:rsidR="00CF2897" w:rsidRPr="00FB0A3A" w:rsidRDefault="00CB1625" w:rsidP="009E11D7">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 xml:space="preserve">ООО </w:t>
            </w:r>
            <w:r w:rsidR="00655FFA" w:rsidRPr="00FB0A3A">
              <w:rPr>
                <w:rFonts w:eastAsia="Calibri" w:cs="Times New Roman"/>
                <w:szCs w:val="18"/>
              </w:rPr>
              <w:t>«</w:t>
            </w:r>
            <w:r w:rsidRPr="00FB0A3A">
              <w:rPr>
                <w:rFonts w:eastAsia="Calibri" w:cs="Times New Roman"/>
                <w:szCs w:val="18"/>
              </w:rPr>
              <w:t>Гранит-ЖилСервис</w:t>
            </w:r>
            <w:r w:rsidR="00655FFA" w:rsidRPr="00FB0A3A">
              <w:rPr>
                <w:rFonts w:eastAsia="Calibri" w:cs="Times New Roman"/>
                <w:szCs w:val="18"/>
              </w:rPr>
              <w:t>»</w:t>
            </w:r>
          </w:p>
        </w:tc>
        <w:tc>
          <w:tcPr>
            <w:tcW w:w="1702" w:type="dxa"/>
            <w:noWrap/>
            <w:hideMark/>
          </w:tcPr>
          <w:p w14:paraId="4FA6A20E" w14:textId="77777777" w:rsidR="00CF2897" w:rsidRPr="00FB0A3A" w:rsidRDefault="00CF2897"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4 069,76</w:t>
            </w:r>
          </w:p>
        </w:tc>
        <w:tc>
          <w:tcPr>
            <w:tcW w:w="1844" w:type="dxa"/>
            <w:noWrap/>
            <w:hideMark/>
          </w:tcPr>
          <w:p w14:paraId="46A3DD2F" w14:textId="132CAFE6" w:rsidR="00CF2897" w:rsidRPr="00FB0A3A" w:rsidRDefault="00CF2897"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1 865,29</w:t>
            </w:r>
          </w:p>
        </w:tc>
        <w:tc>
          <w:tcPr>
            <w:tcW w:w="1692" w:type="dxa"/>
            <w:noWrap/>
            <w:hideMark/>
          </w:tcPr>
          <w:p w14:paraId="176935B5" w14:textId="77777777" w:rsidR="00CF2897" w:rsidRPr="00FB0A3A" w:rsidRDefault="00CF2897"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2 204,47</w:t>
            </w:r>
          </w:p>
        </w:tc>
      </w:tr>
      <w:tr w:rsidR="00CF2897" w:rsidRPr="00FB0A3A" w14:paraId="281A679B" w14:textId="77777777" w:rsidTr="009E11D7">
        <w:tc>
          <w:tcPr>
            <w:cnfStyle w:val="001000000000" w:firstRow="0" w:lastRow="0" w:firstColumn="1" w:lastColumn="0" w:oddVBand="0" w:evenVBand="0" w:oddHBand="0" w:evenHBand="0" w:firstRowFirstColumn="0" w:firstRowLastColumn="0" w:lastRowFirstColumn="0" w:lastRowLastColumn="0"/>
            <w:tcW w:w="562" w:type="dxa"/>
            <w:noWrap/>
            <w:hideMark/>
          </w:tcPr>
          <w:p w14:paraId="7E80603A" w14:textId="77777777" w:rsidR="00CF2897" w:rsidRPr="00FB0A3A" w:rsidRDefault="00CF2897" w:rsidP="009E11D7">
            <w:pPr>
              <w:tabs>
                <w:tab w:val="left" w:pos="1134"/>
              </w:tabs>
              <w:jc w:val="center"/>
              <w:rPr>
                <w:rFonts w:eastAsia="Calibri" w:cs="Times New Roman"/>
                <w:szCs w:val="18"/>
              </w:rPr>
            </w:pPr>
            <w:r w:rsidRPr="00FB0A3A">
              <w:rPr>
                <w:rFonts w:eastAsia="Calibri" w:cs="Times New Roman"/>
                <w:szCs w:val="18"/>
              </w:rPr>
              <w:t>29</w:t>
            </w:r>
          </w:p>
        </w:tc>
        <w:tc>
          <w:tcPr>
            <w:tcW w:w="3686" w:type="dxa"/>
            <w:hideMark/>
          </w:tcPr>
          <w:p w14:paraId="1DF88643" w14:textId="6AA31C3D" w:rsidR="00CF2897" w:rsidRPr="00FB0A3A" w:rsidRDefault="00CB1625" w:rsidP="009E11D7">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 xml:space="preserve">ООО </w:t>
            </w:r>
            <w:r w:rsidR="00655FFA" w:rsidRPr="00FB0A3A">
              <w:rPr>
                <w:rFonts w:eastAsia="Calibri" w:cs="Times New Roman"/>
                <w:szCs w:val="18"/>
              </w:rPr>
              <w:t>«</w:t>
            </w:r>
            <w:r w:rsidRPr="00FB0A3A">
              <w:rPr>
                <w:rFonts w:eastAsia="Calibri" w:cs="Times New Roman"/>
                <w:szCs w:val="18"/>
              </w:rPr>
              <w:t>Арарат</w:t>
            </w:r>
            <w:r w:rsidR="00655FFA" w:rsidRPr="00FB0A3A">
              <w:rPr>
                <w:rFonts w:eastAsia="Calibri" w:cs="Times New Roman"/>
                <w:szCs w:val="18"/>
              </w:rPr>
              <w:t>»</w:t>
            </w:r>
          </w:p>
        </w:tc>
        <w:tc>
          <w:tcPr>
            <w:tcW w:w="1702" w:type="dxa"/>
            <w:noWrap/>
            <w:hideMark/>
          </w:tcPr>
          <w:p w14:paraId="62436F1C" w14:textId="77777777" w:rsidR="00CF2897" w:rsidRPr="00FB0A3A" w:rsidRDefault="00CF2897"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225 386,79</w:t>
            </w:r>
          </w:p>
        </w:tc>
        <w:tc>
          <w:tcPr>
            <w:tcW w:w="1844" w:type="dxa"/>
            <w:noWrap/>
            <w:hideMark/>
          </w:tcPr>
          <w:p w14:paraId="500A7CE8" w14:textId="1BC35D93" w:rsidR="00CF2897" w:rsidRPr="00FB0A3A" w:rsidRDefault="00CF2897"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213 110,27</w:t>
            </w:r>
          </w:p>
        </w:tc>
        <w:tc>
          <w:tcPr>
            <w:tcW w:w="1692" w:type="dxa"/>
            <w:noWrap/>
            <w:hideMark/>
          </w:tcPr>
          <w:p w14:paraId="3D66B429" w14:textId="77777777" w:rsidR="00CF2897" w:rsidRPr="00FB0A3A" w:rsidRDefault="00CF2897"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12 276,52</w:t>
            </w:r>
          </w:p>
        </w:tc>
      </w:tr>
      <w:tr w:rsidR="00CF2897" w:rsidRPr="00FB0A3A" w14:paraId="629036B8" w14:textId="77777777" w:rsidTr="009E11D7">
        <w:tc>
          <w:tcPr>
            <w:cnfStyle w:val="001000000000" w:firstRow="0" w:lastRow="0" w:firstColumn="1" w:lastColumn="0" w:oddVBand="0" w:evenVBand="0" w:oddHBand="0" w:evenHBand="0" w:firstRowFirstColumn="0" w:firstRowLastColumn="0" w:lastRowFirstColumn="0" w:lastRowLastColumn="0"/>
            <w:tcW w:w="562" w:type="dxa"/>
            <w:noWrap/>
            <w:hideMark/>
          </w:tcPr>
          <w:p w14:paraId="18056F91" w14:textId="77777777" w:rsidR="00CF2897" w:rsidRPr="00FB0A3A" w:rsidRDefault="00CF2897" w:rsidP="009E11D7">
            <w:pPr>
              <w:tabs>
                <w:tab w:val="left" w:pos="1134"/>
              </w:tabs>
              <w:jc w:val="center"/>
              <w:rPr>
                <w:rFonts w:eastAsia="Calibri" w:cs="Times New Roman"/>
                <w:szCs w:val="18"/>
              </w:rPr>
            </w:pPr>
            <w:r w:rsidRPr="00FB0A3A">
              <w:rPr>
                <w:rFonts w:eastAsia="Calibri" w:cs="Times New Roman"/>
                <w:szCs w:val="18"/>
              </w:rPr>
              <w:t>30</w:t>
            </w:r>
          </w:p>
        </w:tc>
        <w:tc>
          <w:tcPr>
            <w:tcW w:w="3686" w:type="dxa"/>
            <w:hideMark/>
          </w:tcPr>
          <w:p w14:paraId="2395C161" w14:textId="106AA398" w:rsidR="00CF2897" w:rsidRPr="00FB0A3A" w:rsidRDefault="00CB1625" w:rsidP="009E11D7">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 xml:space="preserve">МУП </w:t>
            </w:r>
            <w:r w:rsidR="00655FFA" w:rsidRPr="00FB0A3A">
              <w:rPr>
                <w:rFonts w:eastAsia="Calibri" w:cs="Times New Roman"/>
                <w:szCs w:val="18"/>
              </w:rPr>
              <w:t>«</w:t>
            </w:r>
            <w:r w:rsidRPr="00FB0A3A">
              <w:rPr>
                <w:rFonts w:eastAsia="Calibri" w:cs="Times New Roman"/>
                <w:szCs w:val="18"/>
              </w:rPr>
              <w:t>Жилищно-коммунальное хозяйство</w:t>
            </w:r>
            <w:r w:rsidR="00655FFA" w:rsidRPr="00FB0A3A">
              <w:rPr>
                <w:rFonts w:eastAsia="Calibri" w:cs="Times New Roman"/>
                <w:szCs w:val="18"/>
              </w:rPr>
              <w:t>»</w:t>
            </w:r>
            <w:r w:rsidR="00CF2897" w:rsidRPr="00FB0A3A">
              <w:rPr>
                <w:rFonts w:eastAsia="Calibri" w:cs="Times New Roman"/>
                <w:szCs w:val="18"/>
              </w:rPr>
              <w:t xml:space="preserve"> ЗАТО г.Североморск </w:t>
            </w:r>
          </w:p>
        </w:tc>
        <w:tc>
          <w:tcPr>
            <w:tcW w:w="1702" w:type="dxa"/>
            <w:noWrap/>
            <w:hideMark/>
          </w:tcPr>
          <w:p w14:paraId="43286674" w14:textId="77777777" w:rsidR="00CF2897" w:rsidRPr="00FB0A3A" w:rsidRDefault="00CF2897"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377,61</w:t>
            </w:r>
          </w:p>
        </w:tc>
        <w:tc>
          <w:tcPr>
            <w:tcW w:w="1844" w:type="dxa"/>
            <w:noWrap/>
            <w:hideMark/>
          </w:tcPr>
          <w:p w14:paraId="7FEF3D2A" w14:textId="0CF03853" w:rsidR="00CF2897" w:rsidRPr="00FB0A3A" w:rsidRDefault="00CF2897"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377,61</w:t>
            </w:r>
          </w:p>
        </w:tc>
        <w:tc>
          <w:tcPr>
            <w:tcW w:w="1692" w:type="dxa"/>
            <w:noWrap/>
            <w:hideMark/>
          </w:tcPr>
          <w:p w14:paraId="180A69F9" w14:textId="77777777" w:rsidR="00CF2897" w:rsidRPr="00FB0A3A" w:rsidRDefault="00CF2897"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0,00</w:t>
            </w:r>
          </w:p>
        </w:tc>
      </w:tr>
      <w:tr w:rsidR="00CF2897" w:rsidRPr="00FB0A3A" w14:paraId="1C3E5402" w14:textId="77777777" w:rsidTr="009E11D7">
        <w:tc>
          <w:tcPr>
            <w:cnfStyle w:val="001000000000" w:firstRow="0" w:lastRow="0" w:firstColumn="1" w:lastColumn="0" w:oddVBand="0" w:evenVBand="0" w:oddHBand="0" w:evenHBand="0" w:firstRowFirstColumn="0" w:firstRowLastColumn="0" w:lastRowFirstColumn="0" w:lastRowLastColumn="0"/>
            <w:tcW w:w="562" w:type="dxa"/>
            <w:noWrap/>
            <w:hideMark/>
          </w:tcPr>
          <w:p w14:paraId="519012B3" w14:textId="77777777" w:rsidR="00CF2897" w:rsidRPr="00FB0A3A" w:rsidRDefault="00CF2897" w:rsidP="009E11D7">
            <w:pPr>
              <w:tabs>
                <w:tab w:val="left" w:pos="1134"/>
              </w:tabs>
              <w:jc w:val="center"/>
              <w:rPr>
                <w:rFonts w:eastAsia="Calibri" w:cs="Times New Roman"/>
                <w:szCs w:val="18"/>
              </w:rPr>
            </w:pPr>
            <w:r w:rsidRPr="00FB0A3A">
              <w:rPr>
                <w:rFonts w:eastAsia="Calibri" w:cs="Times New Roman"/>
                <w:szCs w:val="18"/>
              </w:rPr>
              <w:t>31</w:t>
            </w:r>
          </w:p>
        </w:tc>
        <w:tc>
          <w:tcPr>
            <w:tcW w:w="3686" w:type="dxa"/>
            <w:hideMark/>
          </w:tcPr>
          <w:p w14:paraId="1F2A3F69" w14:textId="77777777" w:rsidR="00CF2897" w:rsidRPr="00FB0A3A" w:rsidRDefault="00CF2897" w:rsidP="009E11D7">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Лигатура</w:t>
            </w:r>
          </w:p>
        </w:tc>
        <w:tc>
          <w:tcPr>
            <w:tcW w:w="1702" w:type="dxa"/>
            <w:noWrap/>
            <w:hideMark/>
          </w:tcPr>
          <w:p w14:paraId="32CF6594" w14:textId="77777777" w:rsidR="00CF2897" w:rsidRPr="00FB0A3A" w:rsidRDefault="00CF2897"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11 724,90</w:t>
            </w:r>
          </w:p>
        </w:tc>
        <w:tc>
          <w:tcPr>
            <w:tcW w:w="1844" w:type="dxa"/>
            <w:noWrap/>
            <w:hideMark/>
          </w:tcPr>
          <w:p w14:paraId="5978AEB6" w14:textId="76A0B5D9" w:rsidR="00CF2897" w:rsidRPr="00FB0A3A" w:rsidRDefault="00CF2897"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9 263,30</w:t>
            </w:r>
          </w:p>
        </w:tc>
        <w:tc>
          <w:tcPr>
            <w:tcW w:w="1692" w:type="dxa"/>
            <w:noWrap/>
            <w:hideMark/>
          </w:tcPr>
          <w:p w14:paraId="05D3750E" w14:textId="77777777" w:rsidR="00CF2897" w:rsidRPr="00FB0A3A" w:rsidRDefault="00CF2897"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2 461,60</w:t>
            </w:r>
          </w:p>
        </w:tc>
      </w:tr>
      <w:tr w:rsidR="00CF2897" w:rsidRPr="00FB0A3A" w14:paraId="71B62897" w14:textId="77777777" w:rsidTr="009E11D7">
        <w:tc>
          <w:tcPr>
            <w:cnfStyle w:val="001000000000" w:firstRow="0" w:lastRow="0" w:firstColumn="1" w:lastColumn="0" w:oddVBand="0" w:evenVBand="0" w:oddHBand="0" w:evenHBand="0" w:firstRowFirstColumn="0" w:firstRowLastColumn="0" w:lastRowFirstColumn="0" w:lastRowLastColumn="0"/>
            <w:tcW w:w="562" w:type="dxa"/>
            <w:noWrap/>
            <w:hideMark/>
          </w:tcPr>
          <w:p w14:paraId="1E2993DD" w14:textId="77777777" w:rsidR="00CF2897" w:rsidRPr="00FB0A3A" w:rsidRDefault="00CF2897" w:rsidP="009E11D7">
            <w:pPr>
              <w:tabs>
                <w:tab w:val="left" w:pos="1134"/>
              </w:tabs>
              <w:jc w:val="center"/>
              <w:rPr>
                <w:rFonts w:eastAsia="Calibri" w:cs="Times New Roman"/>
                <w:szCs w:val="18"/>
              </w:rPr>
            </w:pPr>
            <w:r w:rsidRPr="00FB0A3A">
              <w:rPr>
                <w:rFonts w:eastAsia="Calibri" w:cs="Times New Roman"/>
                <w:szCs w:val="18"/>
              </w:rPr>
              <w:t>32</w:t>
            </w:r>
          </w:p>
        </w:tc>
        <w:tc>
          <w:tcPr>
            <w:tcW w:w="3686" w:type="dxa"/>
            <w:hideMark/>
          </w:tcPr>
          <w:p w14:paraId="3C1A5589" w14:textId="442163BA" w:rsidR="00CF2897" w:rsidRPr="00FB0A3A" w:rsidRDefault="00CF2897" w:rsidP="009E11D7">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 xml:space="preserve">ТСН </w:t>
            </w:r>
            <w:r w:rsidR="00655FFA" w:rsidRPr="00FB0A3A">
              <w:rPr>
                <w:rFonts w:eastAsia="Calibri" w:cs="Times New Roman"/>
                <w:szCs w:val="18"/>
              </w:rPr>
              <w:t>«</w:t>
            </w:r>
            <w:r w:rsidR="00CB1625" w:rsidRPr="00FB0A3A">
              <w:rPr>
                <w:rFonts w:eastAsia="Calibri" w:cs="Times New Roman"/>
                <w:szCs w:val="18"/>
              </w:rPr>
              <w:t>Диксон</w:t>
            </w:r>
            <w:r w:rsidR="00655FFA" w:rsidRPr="00FB0A3A">
              <w:rPr>
                <w:rFonts w:eastAsia="Calibri" w:cs="Times New Roman"/>
                <w:szCs w:val="18"/>
              </w:rPr>
              <w:t>»</w:t>
            </w:r>
          </w:p>
        </w:tc>
        <w:tc>
          <w:tcPr>
            <w:tcW w:w="1702" w:type="dxa"/>
            <w:noWrap/>
            <w:hideMark/>
          </w:tcPr>
          <w:p w14:paraId="595030D9" w14:textId="77777777" w:rsidR="00CF2897" w:rsidRPr="00FB0A3A" w:rsidRDefault="00CF2897"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176 441,38</w:t>
            </w:r>
          </w:p>
        </w:tc>
        <w:tc>
          <w:tcPr>
            <w:tcW w:w="1844" w:type="dxa"/>
            <w:noWrap/>
            <w:hideMark/>
          </w:tcPr>
          <w:p w14:paraId="746EEAFE" w14:textId="122D0D1F" w:rsidR="00CF2897" w:rsidRPr="00FB0A3A" w:rsidRDefault="00CF2897"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136 723,66</w:t>
            </w:r>
          </w:p>
        </w:tc>
        <w:tc>
          <w:tcPr>
            <w:tcW w:w="1692" w:type="dxa"/>
            <w:noWrap/>
            <w:hideMark/>
          </w:tcPr>
          <w:p w14:paraId="5E39FD45" w14:textId="77777777" w:rsidR="00CF2897" w:rsidRPr="00FB0A3A" w:rsidRDefault="00CF2897"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39 717,72</w:t>
            </w:r>
          </w:p>
        </w:tc>
      </w:tr>
      <w:tr w:rsidR="00CF2897" w:rsidRPr="00FB0A3A" w14:paraId="5DA12D1D" w14:textId="77777777" w:rsidTr="009E11D7">
        <w:tc>
          <w:tcPr>
            <w:cnfStyle w:val="001000000000" w:firstRow="0" w:lastRow="0" w:firstColumn="1" w:lastColumn="0" w:oddVBand="0" w:evenVBand="0" w:oddHBand="0" w:evenHBand="0" w:firstRowFirstColumn="0" w:firstRowLastColumn="0" w:lastRowFirstColumn="0" w:lastRowLastColumn="0"/>
            <w:tcW w:w="562" w:type="dxa"/>
            <w:noWrap/>
            <w:hideMark/>
          </w:tcPr>
          <w:p w14:paraId="7440119A" w14:textId="77777777" w:rsidR="00CF2897" w:rsidRPr="00FB0A3A" w:rsidRDefault="00CF2897" w:rsidP="009E11D7">
            <w:pPr>
              <w:tabs>
                <w:tab w:val="left" w:pos="1134"/>
              </w:tabs>
              <w:jc w:val="center"/>
              <w:rPr>
                <w:rFonts w:eastAsia="Calibri" w:cs="Times New Roman"/>
                <w:szCs w:val="18"/>
              </w:rPr>
            </w:pPr>
            <w:r w:rsidRPr="00FB0A3A">
              <w:rPr>
                <w:rFonts w:eastAsia="Calibri" w:cs="Times New Roman"/>
                <w:szCs w:val="18"/>
              </w:rPr>
              <w:t>33</w:t>
            </w:r>
          </w:p>
        </w:tc>
        <w:tc>
          <w:tcPr>
            <w:tcW w:w="3686" w:type="dxa"/>
            <w:hideMark/>
          </w:tcPr>
          <w:p w14:paraId="58F03EC0" w14:textId="40B26BF0" w:rsidR="00CF2897" w:rsidRPr="00FB0A3A" w:rsidRDefault="00CB1625" w:rsidP="009E11D7">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 xml:space="preserve">ООО </w:t>
            </w:r>
            <w:r w:rsidR="00655FFA" w:rsidRPr="00FB0A3A">
              <w:rPr>
                <w:rFonts w:eastAsia="Calibri" w:cs="Times New Roman"/>
                <w:szCs w:val="18"/>
              </w:rPr>
              <w:t>«</w:t>
            </w:r>
            <w:r w:rsidR="00CF2897" w:rsidRPr="00FB0A3A">
              <w:rPr>
                <w:rFonts w:eastAsia="Calibri" w:cs="Times New Roman"/>
                <w:szCs w:val="18"/>
              </w:rPr>
              <w:t>Виктория</w:t>
            </w:r>
            <w:r w:rsidR="00655FFA" w:rsidRPr="00FB0A3A">
              <w:rPr>
                <w:rFonts w:eastAsia="Calibri" w:cs="Times New Roman"/>
                <w:szCs w:val="18"/>
              </w:rPr>
              <w:t>»</w:t>
            </w:r>
          </w:p>
        </w:tc>
        <w:tc>
          <w:tcPr>
            <w:tcW w:w="1702" w:type="dxa"/>
            <w:noWrap/>
            <w:hideMark/>
          </w:tcPr>
          <w:p w14:paraId="13A424B1" w14:textId="77777777" w:rsidR="00CF2897" w:rsidRPr="00FB0A3A" w:rsidRDefault="00CF2897"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15 999,25</w:t>
            </w:r>
          </w:p>
        </w:tc>
        <w:tc>
          <w:tcPr>
            <w:tcW w:w="1844" w:type="dxa"/>
            <w:noWrap/>
            <w:hideMark/>
          </w:tcPr>
          <w:p w14:paraId="1B206515" w14:textId="4024DE52" w:rsidR="00CF2897" w:rsidRPr="00FB0A3A" w:rsidRDefault="00CF2897"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13 750,15</w:t>
            </w:r>
          </w:p>
        </w:tc>
        <w:tc>
          <w:tcPr>
            <w:tcW w:w="1692" w:type="dxa"/>
            <w:noWrap/>
            <w:hideMark/>
          </w:tcPr>
          <w:p w14:paraId="44D294BF" w14:textId="77777777" w:rsidR="00CF2897" w:rsidRPr="00FB0A3A" w:rsidRDefault="00CF2897"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2 249,10</w:t>
            </w:r>
          </w:p>
        </w:tc>
      </w:tr>
      <w:tr w:rsidR="00CF2897" w:rsidRPr="00FB0A3A" w14:paraId="7B05C1B3" w14:textId="77777777" w:rsidTr="009E11D7">
        <w:tc>
          <w:tcPr>
            <w:cnfStyle w:val="001000000000" w:firstRow="0" w:lastRow="0" w:firstColumn="1" w:lastColumn="0" w:oddVBand="0" w:evenVBand="0" w:oddHBand="0" w:evenHBand="0" w:firstRowFirstColumn="0" w:firstRowLastColumn="0" w:lastRowFirstColumn="0" w:lastRowLastColumn="0"/>
            <w:tcW w:w="562" w:type="dxa"/>
            <w:noWrap/>
            <w:hideMark/>
          </w:tcPr>
          <w:p w14:paraId="0B4CA78D" w14:textId="77777777" w:rsidR="00CF2897" w:rsidRPr="00FB0A3A" w:rsidRDefault="00CF2897" w:rsidP="009E11D7">
            <w:pPr>
              <w:tabs>
                <w:tab w:val="left" w:pos="1134"/>
              </w:tabs>
              <w:rPr>
                <w:rFonts w:eastAsia="Calibri" w:cs="Times New Roman"/>
                <w:szCs w:val="18"/>
              </w:rPr>
            </w:pPr>
            <w:r w:rsidRPr="00FB0A3A">
              <w:rPr>
                <w:rFonts w:eastAsia="Calibri" w:cs="Times New Roman"/>
                <w:szCs w:val="18"/>
              </w:rPr>
              <w:t> </w:t>
            </w:r>
          </w:p>
        </w:tc>
        <w:tc>
          <w:tcPr>
            <w:tcW w:w="3686" w:type="dxa"/>
            <w:hideMark/>
          </w:tcPr>
          <w:p w14:paraId="16C482EC" w14:textId="77777777" w:rsidR="00CF2897" w:rsidRPr="00FB0A3A" w:rsidRDefault="00CF2897" w:rsidP="009E11D7">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r w:rsidRPr="00FB0A3A">
              <w:rPr>
                <w:rFonts w:eastAsia="Calibri" w:cs="Times New Roman"/>
                <w:b/>
                <w:szCs w:val="18"/>
              </w:rPr>
              <w:t>Итого</w:t>
            </w:r>
          </w:p>
        </w:tc>
        <w:tc>
          <w:tcPr>
            <w:tcW w:w="1702" w:type="dxa"/>
            <w:noWrap/>
            <w:hideMark/>
          </w:tcPr>
          <w:p w14:paraId="0BDF6224" w14:textId="77777777" w:rsidR="00CF2897" w:rsidRPr="00FB0A3A" w:rsidRDefault="00CF2897"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r w:rsidRPr="00FB0A3A">
              <w:rPr>
                <w:rFonts w:eastAsia="Calibri" w:cs="Times New Roman"/>
                <w:b/>
                <w:szCs w:val="18"/>
              </w:rPr>
              <w:t>56 170 192,40</w:t>
            </w:r>
          </w:p>
        </w:tc>
        <w:tc>
          <w:tcPr>
            <w:tcW w:w="1844" w:type="dxa"/>
            <w:noWrap/>
            <w:hideMark/>
          </w:tcPr>
          <w:p w14:paraId="13C4C0B8" w14:textId="66734A19" w:rsidR="00CF2897" w:rsidRPr="00FB0A3A" w:rsidRDefault="00CF2897"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r w:rsidRPr="00FB0A3A">
              <w:rPr>
                <w:rFonts w:eastAsia="Calibri" w:cs="Times New Roman"/>
                <w:b/>
                <w:szCs w:val="18"/>
              </w:rPr>
              <w:t>46 465 096,34</w:t>
            </w:r>
          </w:p>
        </w:tc>
        <w:tc>
          <w:tcPr>
            <w:tcW w:w="1692" w:type="dxa"/>
            <w:noWrap/>
            <w:hideMark/>
          </w:tcPr>
          <w:p w14:paraId="7E220AD0" w14:textId="77777777" w:rsidR="00CF2897" w:rsidRPr="00FB0A3A" w:rsidRDefault="00CF2897"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r w:rsidRPr="00FB0A3A">
              <w:rPr>
                <w:rFonts w:eastAsia="Calibri" w:cs="Times New Roman"/>
                <w:b/>
                <w:szCs w:val="18"/>
              </w:rPr>
              <w:t>9 705 096,06</w:t>
            </w:r>
          </w:p>
        </w:tc>
      </w:tr>
    </w:tbl>
    <w:p w14:paraId="5BC097E9" w14:textId="2E5F6DC5" w:rsidR="00B54160" w:rsidRPr="00FB0A3A" w:rsidRDefault="00B54160" w:rsidP="009E11D7">
      <w:pPr>
        <w:pStyle w:val="afff7"/>
        <w:spacing w:after="200"/>
      </w:pPr>
      <w:r w:rsidRPr="00FB0A3A">
        <w:t>Исполнителем проанализированы приказы на списание дебиторской задолженности, приложенные в материалах тарифного дела.</w:t>
      </w:r>
      <w:r w:rsidR="00EF6850" w:rsidRPr="00FB0A3A">
        <w:t xml:space="preserve"> Всего в 2017 году списано дебиторской задолженности на сумму 369 969,710 тыс. руб.</w:t>
      </w:r>
    </w:p>
    <w:tbl>
      <w:tblPr>
        <w:tblStyle w:val="afff6"/>
        <w:tblW w:w="5000" w:type="pct"/>
        <w:tblCellMar>
          <w:top w:w="45" w:type="dxa"/>
          <w:bottom w:w="45" w:type="dxa"/>
        </w:tblCellMar>
        <w:tblLook w:val="04A0" w:firstRow="1" w:lastRow="0" w:firstColumn="1" w:lastColumn="0" w:noHBand="0" w:noVBand="1"/>
      </w:tblPr>
      <w:tblGrid>
        <w:gridCol w:w="2459"/>
        <w:gridCol w:w="1786"/>
        <w:gridCol w:w="1963"/>
        <w:gridCol w:w="1551"/>
        <w:gridCol w:w="1585"/>
      </w:tblGrid>
      <w:tr w:rsidR="00D241B1" w:rsidRPr="00FB0A3A" w14:paraId="0110A4DA" w14:textId="77777777" w:rsidTr="002267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B3BF621" w14:textId="77777777" w:rsidR="00EF6850" w:rsidRPr="00FB0A3A" w:rsidRDefault="00EF6850" w:rsidP="009E11D7">
            <w:pPr>
              <w:tabs>
                <w:tab w:val="left" w:pos="1134"/>
              </w:tabs>
              <w:jc w:val="center"/>
              <w:rPr>
                <w:rFonts w:eastAsia="Calibri" w:cs="Times New Roman"/>
                <w:szCs w:val="18"/>
              </w:rPr>
            </w:pPr>
            <w:r w:rsidRPr="00FB0A3A">
              <w:rPr>
                <w:rFonts w:eastAsia="Calibri" w:cs="Times New Roman"/>
                <w:szCs w:val="18"/>
              </w:rPr>
              <w:t>Номер и дата приказа о списании</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65E2988" w14:textId="77777777" w:rsidR="00EF6850" w:rsidRPr="00FB0A3A" w:rsidRDefault="00EF6850" w:rsidP="009E11D7">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Основной долг по сбытовой деятельности</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56BFC34" w14:textId="77777777" w:rsidR="00EF6850" w:rsidRPr="00FB0A3A" w:rsidRDefault="00EF6850" w:rsidP="009E11D7">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Основной долг по услугам передачи эл. энергии</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AB740C3" w14:textId="77777777" w:rsidR="00EF6850" w:rsidRPr="00FB0A3A" w:rsidRDefault="00EF6850" w:rsidP="009E11D7">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Прочая задолженность</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33C6BEE" w14:textId="77777777" w:rsidR="00EF6850" w:rsidRPr="00FB0A3A" w:rsidRDefault="00EF6850" w:rsidP="009E11D7">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Итого списано по приказу</w:t>
            </w:r>
          </w:p>
        </w:tc>
      </w:tr>
      <w:tr w:rsidR="00EF6850" w:rsidRPr="00FB0A3A" w14:paraId="20094AC4" w14:textId="77777777" w:rsidTr="002267D7">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tcBorders>
            <w:noWrap/>
            <w:hideMark/>
          </w:tcPr>
          <w:p w14:paraId="09BF52A6" w14:textId="77777777" w:rsidR="00EF6850" w:rsidRPr="00FB0A3A" w:rsidRDefault="00EF6850" w:rsidP="009E11D7">
            <w:pPr>
              <w:tabs>
                <w:tab w:val="left" w:pos="1134"/>
              </w:tabs>
              <w:rPr>
                <w:rFonts w:eastAsia="Calibri" w:cs="Times New Roman"/>
                <w:szCs w:val="18"/>
              </w:rPr>
            </w:pPr>
            <w:r w:rsidRPr="00FB0A3A">
              <w:rPr>
                <w:rFonts w:eastAsia="Calibri" w:cs="Times New Roman"/>
                <w:szCs w:val="18"/>
              </w:rPr>
              <w:t>№144 от 30.03.2017</w:t>
            </w:r>
          </w:p>
        </w:tc>
        <w:tc>
          <w:tcPr>
            <w:tcW w:w="0" w:type="auto"/>
            <w:tcBorders>
              <w:top w:val="single" w:sz="4" w:space="0" w:color="FFFFFF" w:themeColor="background1"/>
            </w:tcBorders>
            <w:noWrap/>
            <w:hideMark/>
          </w:tcPr>
          <w:p w14:paraId="0BD25D56" w14:textId="1B34A60B" w:rsidR="00EF6850" w:rsidRPr="00FB0A3A" w:rsidRDefault="00EF6850"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0" w:type="auto"/>
            <w:tcBorders>
              <w:top w:val="single" w:sz="4" w:space="0" w:color="FFFFFF" w:themeColor="background1"/>
            </w:tcBorders>
            <w:noWrap/>
            <w:hideMark/>
          </w:tcPr>
          <w:p w14:paraId="2053541B" w14:textId="4DD2A898" w:rsidR="00EF6850" w:rsidRPr="00FB0A3A" w:rsidRDefault="00EF6850"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5 162 967,21</w:t>
            </w:r>
          </w:p>
        </w:tc>
        <w:tc>
          <w:tcPr>
            <w:tcW w:w="0" w:type="auto"/>
            <w:tcBorders>
              <w:top w:val="single" w:sz="4" w:space="0" w:color="FFFFFF" w:themeColor="background1"/>
            </w:tcBorders>
            <w:noWrap/>
            <w:hideMark/>
          </w:tcPr>
          <w:p w14:paraId="37CE5B90" w14:textId="3C45943D" w:rsidR="00EF6850" w:rsidRPr="00FB0A3A" w:rsidRDefault="00EF6850"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1 493 140,42</w:t>
            </w:r>
          </w:p>
        </w:tc>
        <w:tc>
          <w:tcPr>
            <w:tcW w:w="0" w:type="auto"/>
            <w:tcBorders>
              <w:top w:val="single" w:sz="4" w:space="0" w:color="FFFFFF" w:themeColor="background1"/>
            </w:tcBorders>
            <w:noWrap/>
            <w:hideMark/>
          </w:tcPr>
          <w:p w14:paraId="029B6F4B" w14:textId="5454BC01" w:rsidR="00EF6850" w:rsidRPr="00FB0A3A" w:rsidRDefault="00EF6850"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6 656 107,63</w:t>
            </w:r>
          </w:p>
        </w:tc>
      </w:tr>
      <w:tr w:rsidR="00EF6850" w:rsidRPr="00FB0A3A" w14:paraId="01A53402" w14:textId="77777777" w:rsidTr="00445DD1">
        <w:tc>
          <w:tcPr>
            <w:cnfStyle w:val="001000000000" w:firstRow="0" w:lastRow="0" w:firstColumn="1" w:lastColumn="0" w:oddVBand="0" w:evenVBand="0" w:oddHBand="0" w:evenHBand="0" w:firstRowFirstColumn="0" w:firstRowLastColumn="0" w:lastRowFirstColumn="0" w:lastRowLastColumn="0"/>
            <w:tcW w:w="0" w:type="auto"/>
            <w:noWrap/>
            <w:hideMark/>
          </w:tcPr>
          <w:p w14:paraId="1F8615BA" w14:textId="77777777" w:rsidR="00EF6850" w:rsidRPr="00FB0A3A" w:rsidRDefault="00EF6850" w:rsidP="009E11D7">
            <w:pPr>
              <w:tabs>
                <w:tab w:val="left" w:pos="1134"/>
              </w:tabs>
              <w:rPr>
                <w:rFonts w:eastAsia="Calibri" w:cs="Times New Roman"/>
                <w:szCs w:val="18"/>
              </w:rPr>
            </w:pPr>
            <w:r w:rsidRPr="00FB0A3A">
              <w:rPr>
                <w:rFonts w:eastAsia="Calibri" w:cs="Times New Roman"/>
                <w:szCs w:val="18"/>
              </w:rPr>
              <w:t>№186 от 20.04.2017</w:t>
            </w:r>
          </w:p>
        </w:tc>
        <w:tc>
          <w:tcPr>
            <w:tcW w:w="0" w:type="auto"/>
            <w:noWrap/>
            <w:hideMark/>
          </w:tcPr>
          <w:p w14:paraId="75FC46DA" w14:textId="51BD5604" w:rsidR="00EF6850" w:rsidRPr="00FB0A3A" w:rsidRDefault="00EF6850"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0" w:type="auto"/>
            <w:noWrap/>
            <w:hideMark/>
          </w:tcPr>
          <w:p w14:paraId="6A370191" w14:textId="6799C79E" w:rsidR="00EF6850" w:rsidRPr="00FB0A3A" w:rsidRDefault="00EF6850"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3 278 286,11</w:t>
            </w:r>
          </w:p>
        </w:tc>
        <w:tc>
          <w:tcPr>
            <w:tcW w:w="0" w:type="auto"/>
            <w:noWrap/>
            <w:hideMark/>
          </w:tcPr>
          <w:p w14:paraId="5B4418ED" w14:textId="118BF562" w:rsidR="00EF6850" w:rsidRPr="00FB0A3A" w:rsidRDefault="00EF6850"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114 971,75</w:t>
            </w:r>
          </w:p>
        </w:tc>
        <w:tc>
          <w:tcPr>
            <w:tcW w:w="0" w:type="auto"/>
            <w:noWrap/>
            <w:hideMark/>
          </w:tcPr>
          <w:p w14:paraId="5E7D2299" w14:textId="4151632E" w:rsidR="00EF6850" w:rsidRPr="00FB0A3A" w:rsidRDefault="00EF6850"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3 393 257,86</w:t>
            </w:r>
          </w:p>
        </w:tc>
      </w:tr>
      <w:tr w:rsidR="00EF6850" w:rsidRPr="00FB0A3A" w14:paraId="21ED2120" w14:textId="77777777" w:rsidTr="00445DD1">
        <w:tc>
          <w:tcPr>
            <w:cnfStyle w:val="001000000000" w:firstRow="0" w:lastRow="0" w:firstColumn="1" w:lastColumn="0" w:oddVBand="0" w:evenVBand="0" w:oddHBand="0" w:evenHBand="0" w:firstRowFirstColumn="0" w:firstRowLastColumn="0" w:lastRowFirstColumn="0" w:lastRowLastColumn="0"/>
            <w:tcW w:w="0" w:type="auto"/>
            <w:noWrap/>
            <w:hideMark/>
          </w:tcPr>
          <w:p w14:paraId="39C8DDD6" w14:textId="77777777" w:rsidR="00EF6850" w:rsidRPr="00FB0A3A" w:rsidRDefault="00EF6850" w:rsidP="009E11D7">
            <w:pPr>
              <w:tabs>
                <w:tab w:val="left" w:pos="1134"/>
              </w:tabs>
              <w:rPr>
                <w:rFonts w:eastAsia="Calibri" w:cs="Times New Roman"/>
                <w:szCs w:val="18"/>
              </w:rPr>
            </w:pPr>
            <w:r w:rsidRPr="00FB0A3A">
              <w:rPr>
                <w:rFonts w:eastAsia="Calibri" w:cs="Times New Roman"/>
                <w:szCs w:val="18"/>
              </w:rPr>
              <w:t>№271 от 16.06.2017</w:t>
            </w:r>
          </w:p>
        </w:tc>
        <w:tc>
          <w:tcPr>
            <w:tcW w:w="0" w:type="auto"/>
            <w:noWrap/>
            <w:hideMark/>
          </w:tcPr>
          <w:p w14:paraId="69F31B8E" w14:textId="6A56A67D" w:rsidR="00EF6850" w:rsidRPr="00FB0A3A" w:rsidRDefault="00EF6850"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0" w:type="auto"/>
            <w:noWrap/>
            <w:hideMark/>
          </w:tcPr>
          <w:p w14:paraId="2E750076" w14:textId="193DEDE4" w:rsidR="00EF6850" w:rsidRPr="00FB0A3A" w:rsidRDefault="00EF6850"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7 102 551,73</w:t>
            </w:r>
          </w:p>
        </w:tc>
        <w:tc>
          <w:tcPr>
            <w:tcW w:w="0" w:type="auto"/>
            <w:noWrap/>
            <w:hideMark/>
          </w:tcPr>
          <w:p w14:paraId="599F7B98" w14:textId="77DC0D8E" w:rsidR="00EF6850" w:rsidRPr="00FB0A3A" w:rsidRDefault="00EF6850"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418 570,50</w:t>
            </w:r>
          </w:p>
        </w:tc>
        <w:tc>
          <w:tcPr>
            <w:tcW w:w="0" w:type="auto"/>
            <w:noWrap/>
            <w:hideMark/>
          </w:tcPr>
          <w:p w14:paraId="5655500F" w14:textId="500128B8" w:rsidR="00EF6850" w:rsidRPr="00FB0A3A" w:rsidRDefault="00EF6850"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521 122,23</w:t>
            </w:r>
          </w:p>
        </w:tc>
      </w:tr>
      <w:tr w:rsidR="00EF6850" w:rsidRPr="00FB0A3A" w14:paraId="31245FA3" w14:textId="77777777" w:rsidTr="00445DD1">
        <w:tc>
          <w:tcPr>
            <w:cnfStyle w:val="001000000000" w:firstRow="0" w:lastRow="0" w:firstColumn="1" w:lastColumn="0" w:oddVBand="0" w:evenVBand="0" w:oddHBand="0" w:evenHBand="0" w:firstRowFirstColumn="0" w:firstRowLastColumn="0" w:lastRowFirstColumn="0" w:lastRowLastColumn="0"/>
            <w:tcW w:w="0" w:type="auto"/>
            <w:noWrap/>
            <w:hideMark/>
          </w:tcPr>
          <w:p w14:paraId="211C7BA7" w14:textId="77777777" w:rsidR="00EF6850" w:rsidRPr="00FB0A3A" w:rsidRDefault="00EF6850" w:rsidP="009E11D7">
            <w:pPr>
              <w:tabs>
                <w:tab w:val="left" w:pos="1134"/>
              </w:tabs>
              <w:rPr>
                <w:rFonts w:eastAsia="Calibri" w:cs="Times New Roman"/>
                <w:szCs w:val="18"/>
              </w:rPr>
            </w:pPr>
            <w:r w:rsidRPr="00FB0A3A">
              <w:rPr>
                <w:rFonts w:eastAsia="Calibri" w:cs="Times New Roman"/>
                <w:szCs w:val="18"/>
              </w:rPr>
              <w:t>№293 от 30.06.2017</w:t>
            </w:r>
          </w:p>
        </w:tc>
        <w:tc>
          <w:tcPr>
            <w:tcW w:w="0" w:type="auto"/>
            <w:noWrap/>
            <w:hideMark/>
          </w:tcPr>
          <w:p w14:paraId="5CC083E4" w14:textId="5783EC37" w:rsidR="00EF6850" w:rsidRPr="00FB0A3A" w:rsidRDefault="00EF6850"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0" w:type="auto"/>
            <w:noWrap/>
            <w:hideMark/>
          </w:tcPr>
          <w:p w14:paraId="6090B3F1" w14:textId="7B09DDDB" w:rsidR="00EF6850" w:rsidRPr="00FB0A3A" w:rsidRDefault="00EF6850"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18 236 250,13</w:t>
            </w:r>
          </w:p>
        </w:tc>
        <w:tc>
          <w:tcPr>
            <w:tcW w:w="0" w:type="auto"/>
            <w:noWrap/>
            <w:hideMark/>
          </w:tcPr>
          <w:p w14:paraId="2A5416E5" w14:textId="44911FA2" w:rsidR="00EF6850" w:rsidRPr="00FB0A3A" w:rsidRDefault="00EF6850"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977 193,06</w:t>
            </w:r>
          </w:p>
        </w:tc>
        <w:tc>
          <w:tcPr>
            <w:tcW w:w="0" w:type="auto"/>
            <w:noWrap/>
            <w:hideMark/>
          </w:tcPr>
          <w:p w14:paraId="76FF09B5" w14:textId="0E77541C" w:rsidR="00EF6850" w:rsidRPr="00FB0A3A" w:rsidRDefault="00EF6850"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19 213 443,19</w:t>
            </w:r>
          </w:p>
        </w:tc>
      </w:tr>
      <w:tr w:rsidR="00EF6850" w:rsidRPr="00FB0A3A" w14:paraId="16EFC036" w14:textId="77777777" w:rsidTr="00445DD1">
        <w:tc>
          <w:tcPr>
            <w:cnfStyle w:val="001000000000" w:firstRow="0" w:lastRow="0" w:firstColumn="1" w:lastColumn="0" w:oddVBand="0" w:evenVBand="0" w:oddHBand="0" w:evenHBand="0" w:firstRowFirstColumn="0" w:firstRowLastColumn="0" w:lastRowFirstColumn="0" w:lastRowLastColumn="0"/>
            <w:tcW w:w="0" w:type="auto"/>
            <w:noWrap/>
            <w:hideMark/>
          </w:tcPr>
          <w:p w14:paraId="5B75C5DB" w14:textId="77777777" w:rsidR="00EF6850" w:rsidRPr="00FB0A3A" w:rsidRDefault="00EF6850" w:rsidP="009E11D7">
            <w:pPr>
              <w:tabs>
                <w:tab w:val="left" w:pos="1134"/>
              </w:tabs>
              <w:rPr>
                <w:rFonts w:eastAsia="Calibri" w:cs="Times New Roman"/>
                <w:szCs w:val="18"/>
              </w:rPr>
            </w:pPr>
            <w:r w:rsidRPr="00FB0A3A">
              <w:rPr>
                <w:rFonts w:eastAsia="Calibri" w:cs="Times New Roman"/>
                <w:szCs w:val="18"/>
              </w:rPr>
              <w:t>№410 от 29.09.2017</w:t>
            </w:r>
          </w:p>
        </w:tc>
        <w:tc>
          <w:tcPr>
            <w:tcW w:w="0" w:type="auto"/>
            <w:noWrap/>
            <w:hideMark/>
          </w:tcPr>
          <w:p w14:paraId="50345400" w14:textId="77777777" w:rsidR="00EF6850" w:rsidRPr="00FB0A3A" w:rsidRDefault="00EF6850"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70 699 513,42</w:t>
            </w:r>
          </w:p>
        </w:tc>
        <w:tc>
          <w:tcPr>
            <w:tcW w:w="0" w:type="auto"/>
            <w:noWrap/>
            <w:hideMark/>
          </w:tcPr>
          <w:p w14:paraId="02875DFE" w14:textId="12E269E0" w:rsidR="00EF6850" w:rsidRPr="00FB0A3A" w:rsidRDefault="00EF6850"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181 738 860,53</w:t>
            </w:r>
          </w:p>
        </w:tc>
        <w:tc>
          <w:tcPr>
            <w:tcW w:w="0" w:type="auto"/>
            <w:noWrap/>
            <w:hideMark/>
          </w:tcPr>
          <w:p w14:paraId="1E2D9285" w14:textId="13047697" w:rsidR="00EF6850" w:rsidRPr="00FB0A3A" w:rsidRDefault="00EF6850"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10 849 079,75</w:t>
            </w:r>
          </w:p>
        </w:tc>
        <w:tc>
          <w:tcPr>
            <w:tcW w:w="0" w:type="auto"/>
            <w:noWrap/>
            <w:hideMark/>
          </w:tcPr>
          <w:p w14:paraId="555AC977" w14:textId="2D464BE2" w:rsidR="00EF6850" w:rsidRPr="00FB0A3A" w:rsidRDefault="00EF6850"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263 287 453,70</w:t>
            </w:r>
          </w:p>
        </w:tc>
      </w:tr>
      <w:tr w:rsidR="00EF6850" w:rsidRPr="00FB0A3A" w14:paraId="7405D706" w14:textId="77777777" w:rsidTr="00445DD1">
        <w:tc>
          <w:tcPr>
            <w:cnfStyle w:val="001000000000" w:firstRow="0" w:lastRow="0" w:firstColumn="1" w:lastColumn="0" w:oddVBand="0" w:evenVBand="0" w:oddHBand="0" w:evenHBand="0" w:firstRowFirstColumn="0" w:firstRowLastColumn="0" w:lastRowFirstColumn="0" w:lastRowLastColumn="0"/>
            <w:tcW w:w="0" w:type="auto"/>
            <w:noWrap/>
            <w:hideMark/>
          </w:tcPr>
          <w:p w14:paraId="06AD9344" w14:textId="77777777" w:rsidR="00EF6850" w:rsidRPr="00FB0A3A" w:rsidRDefault="00EF6850" w:rsidP="009E11D7">
            <w:pPr>
              <w:tabs>
                <w:tab w:val="left" w:pos="1134"/>
              </w:tabs>
              <w:rPr>
                <w:rFonts w:eastAsia="Calibri" w:cs="Times New Roman"/>
                <w:szCs w:val="18"/>
              </w:rPr>
            </w:pPr>
            <w:r w:rsidRPr="00FB0A3A">
              <w:rPr>
                <w:rFonts w:eastAsia="Calibri" w:cs="Times New Roman"/>
                <w:szCs w:val="18"/>
              </w:rPr>
              <w:t>№440 от 16.10.2017</w:t>
            </w:r>
          </w:p>
        </w:tc>
        <w:tc>
          <w:tcPr>
            <w:tcW w:w="0" w:type="auto"/>
            <w:noWrap/>
            <w:hideMark/>
          </w:tcPr>
          <w:p w14:paraId="4BF73B4B" w14:textId="7CD9EC72" w:rsidR="00EF6850" w:rsidRPr="00FB0A3A" w:rsidRDefault="00EF6850"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0" w:type="auto"/>
            <w:noWrap/>
            <w:hideMark/>
          </w:tcPr>
          <w:p w14:paraId="66AA90CC" w14:textId="4F50DF54" w:rsidR="00EF6850" w:rsidRPr="00FB0A3A" w:rsidRDefault="00EF6850"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4 422 545,43</w:t>
            </w:r>
          </w:p>
        </w:tc>
        <w:tc>
          <w:tcPr>
            <w:tcW w:w="0" w:type="auto"/>
            <w:noWrap/>
            <w:hideMark/>
          </w:tcPr>
          <w:p w14:paraId="3881D92C" w14:textId="164839AA" w:rsidR="00EF6850" w:rsidRPr="00FB0A3A" w:rsidRDefault="00EF6850"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286 512,65</w:t>
            </w:r>
          </w:p>
        </w:tc>
        <w:tc>
          <w:tcPr>
            <w:tcW w:w="0" w:type="auto"/>
            <w:noWrap/>
            <w:hideMark/>
          </w:tcPr>
          <w:p w14:paraId="68753883" w14:textId="6BD8ECB9" w:rsidR="00EF6850" w:rsidRPr="00FB0A3A" w:rsidRDefault="00EF6850"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4 709 058,08</w:t>
            </w:r>
          </w:p>
        </w:tc>
      </w:tr>
      <w:tr w:rsidR="00EF6850" w:rsidRPr="00FB0A3A" w14:paraId="5D79C423" w14:textId="77777777" w:rsidTr="00445DD1">
        <w:tc>
          <w:tcPr>
            <w:cnfStyle w:val="001000000000" w:firstRow="0" w:lastRow="0" w:firstColumn="1" w:lastColumn="0" w:oddVBand="0" w:evenVBand="0" w:oddHBand="0" w:evenHBand="0" w:firstRowFirstColumn="0" w:firstRowLastColumn="0" w:lastRowFirstColumn="0" w:lastRowLastColumn="0"/>
            <w:tcW w:w="0" w:type="auto"/>
            <w:noWrap/>
            <w:hideMark/>
          </w:tcPr>
          <w:p w14:paraId="1F16EE6D" w14:textId="77777777" w:rsidR="00EF6850" w:rsidRPr="00FB0A3A" w:rsidRDefault="00EF6850" w:rsidP="009E11D7">
            <w:pPr>
              <w:tabs>
                <w:tab w:val="left" w:pos="1134"/>
              </w:tabs>
              <w:rPr>
                <w:rFonts w:eastAsia="Calibri" w:cs="Times New Roman"/>
                <w:szCs w:val="18"/>
              </w:rPr>
            </w:pPr>
            <w:r w:rsidRPr="00FB0A3A">
              <w:rPr>
                <w:rFonts w:eastAsia="Calibri" w:cs="Times New Roman"/>
                <w:szCs w:val="18"/>
              </w:rPr>
              <w:t>№533 от 08.12.2017</w:t>
            </w:r>
          </w:p>
        </w:tc>
        <w:tc>
          <w:tcPr>
            <w:tcW w:w="0" w:type="auto"/>
            <w:noWrap/>
            <w:hideMark/>
          </w:tcPr>
          <w:p w14:paraId="4DC59F24" w14:textId="77777777" w:rsidR="00EF6850" w:rsidRPr="00FB0A3A" w:rsidRDefault="00EF6850"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7 234 096,25</w:t>
            </w:r>
          </w:p>
        </w:tc>
        <w:tc>
          <w:tcPr>
            <w:tcW w:w="0" w:type="auto"/>
            <w:noWrap/>
            <w:hideMark/>
          </w:tcPr>
          <w:p w14:paraId="31771639" w14:textId="7BFE575C" w:rsidR="00EF6850" w:rsidRPr="00FB0A3A" w:rsidRDefault="00EF6850"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13 493 983,25</w:t>
            </w:r>
          </w:p>
        </w:tc>
        <w:tc>
          <w:tcPr>
            <w:tcW w:w="0" w:type="auto"/>
            <w:noWrap/>
            <w:hideMark/>
          </w:tcPr>
          <w:p w14:paraId="409C62FF" w14:textId="775E22F9" w:rsidR="00EF6850" w:rsidRPr="00FB0A3A" w:rsidRDefault="00EF6850"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3 244 849,25</w:t>
            </w:r>
          </w:p>
        </w:tc>
        <w:tc>
          <w:tcPr>
            <w:tcW w:w="0" w:type="auto"/>
            <w:noWrap/>
            <w:hideMark/>
          </w:tcPr>
          <w:p w14:paraId="4A8EA5C1" w14:textId="7170A0FE" w:rsidR="00EF6850" w:rsidRPr="00FB0A3A" w:rsidRDefault="00EF6850"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23 972 928,75</w:t>
            </w:r>
          </w:p>
        </w:tc>
      </w:tr>
      <w:tr w:rsidR="00EF6850" w:rsidRPr="00FB0A3A" w14:paraId="4C644142" w14:textId="77777777" w:rsidTr="00445DD1">
        <w:tc>
          <w:tcPr>
            <w:cnfStyle w:val="001000000000" w:firstRow="0" w:lastRow="0" w:firstColumn="1" w:lastColumn="0" w:oddVBand="0" w:evenVBand="0" w:oddHBand="0" w:evenHBand="0" w:firstRowFirstColumn="0" w:firstRowLastColumn="0" w:lastRowFirstColumn="0" w:lastRowLastColumn="0"/>
            <w:tcW w:w="0" w:type="auto"/>
            <w:noWrap/>
            <w:hideMark/>
          </w:tcPr>
          <w:p w14:paraId="2366698E" w14:textId="77777777" w:rsidR="00EF6850" w:rsidRPr="00FB0A3A" w:rsidRDefault="00EF6850" w:rsidP="009E11D7">
            <w:pPr>
              <w:tabs>
                <w:tab w:val="left" w:pos="1134"/>
              </w:tabs>
              <w:rPr>
                <w:rFonts w:eastAsia="Calibri" w:cs="Times New Roman"/>
                <w:szCs w:val="18"/>
              </w:rPr>
            </w:pPr>
            <w:r w:rsidRPr="00FB0A3A">
              <w:rPr>
                <w:rFonts w:eastAsia="Calibri" w:cs="Times New Roman"/>
                <w:szCs w:val="18"/>
              </w:rPr>
              <w:t>№599 от 29.12.2017</w:t>
            </w:r>
          </w:p>
        </w:tc>
        <w:tc>
          <w:tcPr>
            <w:tcW w:w="0" w:type="auto"/>
            <w:noWrap/>
            <w:hideMark/>
          </w:tcPr>
          <w:p w14:paraId="2AEC2336" w14:textId="77777777" w:rsidR="00EF6850" w:rsidRPr="00FB0A3A" w:rsidRDefault="00EF6850"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2 079 431,62</w:t>
            </w:r>
          </w:p>
        </w:tc>
        <w:tc>
          <w:tcPr>
            <w:tcW w:w="0" w:type="auto"/>
            <w:noWrap/>
            <w:hideMark/>
          </w:tcPr>
          <w:p w14:paraId="400F920E" w14:textId="08DD17E7" w:rsidR="00EF6850" w:rsidRPr="00FB0A3A" w:rsidRDefault="00EF6850"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37 833 370,35</w:t>
            </w:r>
          </w:p>
        </w:tc>
        <w:tc>
          <w:tcPr>
            <w:tcW w:w="0" w:type="auto"/>
            <w:noWrap/>
            <w:hideMark/>
          </w:tcPr>
          <w:p w14:paraId="3062E8D8" w14:textId="5B1AE265" w:rsidR="00EF6850" w:rsidRPr="00FB0A3A" w:rsidRDefault="00EF6850"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1 303 536,96</w:t>
            </w:r>
          </w:p>
        </w:tc>
        <w:tc>
          <w:tcPr>
            <w:tcW w:w="0" w:type="auto"/>
            <w:noWrap/>
            <w:hideMark/>
          </w:tcPr>
          <w:p w14:paraId="5D8B846D" w14:textId="316C255E" w:rsidR="00EF6850" w:rsidRPr="00FB0A3A" w:rsidRDefault="00EF6850"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FB0A3A">
              <w:rPr>
                <w:rFonts w:eastAsia="Calibri" w:cs="Times New Roman"/>
                <w:szCs w:val="18"/>
              </w:rPr>
              <w:t>41 216 338,93</w:t>
            </w:r>
          </w:p>
        </w:tc>
      </w:tr>
      <w:tr w:rsidR="00EF6850" w:rsidRPr="00FB0A3A" w14:paraId="01D83BA9" w14:textId="77777777" w:rsidTr="00445DD1">
        <w:tc>
          <w:tcPr>
            <w:cnfStyle w:val="001000000000" w:firstRow="0" w:lastRow="0" w:firstColumn="1" w:lastColumn="0" w:oddVBand="0" w:evenVBand="0" w:oddHBand="0" w:evenHBand="0" w:firstRowFirstColumn="0" w:firstRowLastColumn="0" w:lastRowFirstColumn="0" w:lastRowLastColumn="0"/>
            <w:tcW w:w="0" w:type="auto"/>
            <w:noWrap/>
            <w:hideMark/>
          </w:tcPr>
          <w:p w14:paraId="3D285DE3" w14:textId="77777777" w:rsidR="00EF6850" w:rsidRPr="00FB0A3A" w:rsidRDefault="00EF6850" w:rsidP="009E11D7">
            <w:pPr>
              <w:tabs>
                <w:tab w:val="left" w:pos="1134"/>
              </w:tabs>
              <w:rPr>
                <w:rFonts w:eastAsia="Calibri" w:cs="Times New Roman"/>
                <w:b/>
                <w:szCs w:val="18"/>
              </w:rPr>
            </w:pPr>
            <w:r w:rsidRPr="00FB0A3A">
              <w:rPr>
                <w:rFonts w:eastAsia="Calibri" w:cs="Times New Roman"/>
                <w:b/>
                <w:szCs w:val="18"/>
              </w:rPr>
              <w:t>Итого списано по приказу</w:t>
            </w:r>
          </w:p>
        </w:tc>
        <w:tc>
          <w:tcPr>
            <w:tcW w:w="0" w:type="auto"/>
            <w:noWrap/>
            <w:hideMark/>
          </w:tcPr>
          <w:p w14:paraId="50A6B04B" w14:textId="1CE25779" w:rsidR="00EF6850" w:rsidRPr="00FB0A3A" w:rsidRDefault="00EF6850"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r w:rsidRPr="00FB0A3A">
              <w:rPr>
                <w:rFonts w:eastAsia="Calibri" w:cs="Times New Roman"/>
                <w:b/>
                <w:szCs w:val="18"/>
              </w:rPr>
              <w:t>80 013 041,29</w:t>
            </w:r>
          </w:p>
        </w:tc>
        <w:tc>
          <w:tcPr>
            <w:tcW w:w="0" w:type="auto"/>
            <w:noWrap/>
            <w:hideMark/>
          </w:tcPr>
          <w:p w14:paraId="25C61D7E" w14:textId="32428C02" w:rsidR="00EF6850" w:rsidRPr="00FB0A3A" w:rsidRDefault="00EF6850"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r w:rsidRPr="00FB0A3A">
              <w:rPr>
                <w:rFonts w:eastAsia="Calibri" w:cs="Times New Roman"/>
                <w:b/>
                <w:szCs w:val="18"/>
              </w:rPr>
              <w:t>271 268 814,74</w:t>
            </w:r>
          </w:p>
        </w:tc>
        <w:tc>
          <w:tcPr>
            <w:tcW w:w="0" w:type="auto"/>
            <w:noWrap/>
            <w:hideMark/>
          </w:tcPr>
          <w:p w14:paraId="3C6621FF" w14:textId="3E01F468" w:rsidR="00EF6850" w:rsidRPr="00FB0A3A" w:rsidRDefault="00EF6850"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r w:rsidRPr="00FB0A3A">
              <w:rPr>
                <w:rFonts w:eastAsia="Calibri" w:cs="Times New Roman"/>
                <w:b/>
                <w:szCs w:val="18"/>
              </w:rPr>
              <w:t>18 687 854,34</w:t>
            </w:r>
          </w:p>
        </w:tc>
        <w:tc>
          <w:tcPr>
            <w:tcW w:w="0" w:type="auto"/>
            <w:noWrap/>
            <w:hideMark/>
          </w:tcPr>
          <w:p w14:paraId="35330875" w14:textId="6C09FECA" w:rsidR="00EF6850" w:rsidRPr="00FB0A3A" w:rsidRDefault="00EF6850"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r w:rsidRPr="00FB0A3A">
              <w:rPr>
                <w:rFonts w:eastAsia="Calibri" w:cs="Times New Roman"/>
                <w:b/>
                <w:szCs w:val="18"/>
              </w:rPr>
              <w:t>369 969 710,37</w:t>
            </w:r>
          </w:p>
        </w:tc>
      </w:tr>
    </w:tbl>
    <w:p w14:paraId="1399E549" w14:textId="0752FDF9" w:rsidR="006C4235" w:rsidRPr="00FB0A3A" w:rsidRDefault="006C4235" w:rsidP="009E11D7">
      <w:pPr>
        <w:pStyle w:val="afff7"/>
      </w:pPr>
      <w:r w:rsidRPr="00FB0A3A">
        <w:t xml:space="preserve">Согласно протоколу заседания Правления Комитета по тарифному регулированию Мурманской области от 25-29.12.2017 </w:t>
      </w:r>
      <w:r w:rsidR="00B95EDD" w:rsidRPr="00FB0A3A">
        <w:t xml:space="preserve">(стр.47) </w:t>
      </w:r>
      <w:r w:rsidR="00302824" w:rsidRPr="00FB0A3A">
        <w:t xml:space="preserve">в НВВ 2018 года </w:t>
      </w:r>
      <w:r w:rsidR="00302824" w:rsidRPr="00FB0A3A">
        <w:lastRenderedPageBreak/>
        <w:t>включены расходы по созданию резерва по сомнительным долгам от сбытовой деятельности в размере 226 647,96 тыс. руб.</w:t>
      </w:r>
    </w:p>
    <w:p w14:paraId="7FCF2EE6" w14:textId="54F7A497" w:rsidR="006C4235" w:rsidRPr="00CC16E6" w:rsidRDefault="006C4235"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 xml:space="preserve">Учитывая информацию, предоставленную филиалом о </w:t>
      </w:r>
      <w:r w:rsidR="00302824" w:rsidRPr="00FB0A3A">
        <w:rPr>
          <w:rFonts w:ascii="Myriad Pro" w:eastAsia="Calibri" w:hAnsi="Myriad Pro" w:cs="Times New Roman"/>
          <w:sz w:val="26"/>
          <w:szCs w:val="26"/>
        </w:rPr>
        <w:t xml:space="preserve">частичном </w:t>
      </w:r>
      <w:r w:rsidRPr="00FB0A3A">
        <w:rPr>
          <w:rFonts w:ascii="Myriad Pro" w:eastAsia="Calibri" w:hAnsi="Myriad Pro" w:cs="Times New Roman"/>
          <w:sz w:val="26"/>
          <w:szCs w:val="26"/>
        </w:rPr>
        <w:t xml:space="preserve">включении </w:t>
      </w:r>
      <w:r w:rsidR="00302824" w:rsidRPr="00FB0A3A">
        <w:rPr>
          <w:rFonts w:ascii="Myriad Pro" w:eastAsia="Calibri" w:hAnsi="Myriad Pro" w:cs="Times New Roman"/>
          <w:sz w:val="26"/>
          <w:szCs w:val="26"/>
        </w:rPr>
        <w:t xml:space="preserve">в НВВ 2018 года списанной </w:t>
      </w:r>
      <w:r w:rsidR="00302824" w:rsidRPr="00CC16E6">
        <w:rPr>
          <w:rFonts w:ascii="Myriad Pro" w:eastAsia="Calibri" w:hAnsi="Myriad Pro" w:cs="Times New Roman"/>
          <w:sz w:val="26"/>
          <w:szCs w:val="26"/>
        </w:rPr>
        <w:t xml:space="preserve">дебиторской задолженности в 2017 году </w:t>
      </w:r>
      <w:r w:rsidR="00CA3F33" w:rsidRPr="00CC16E6">
        <w:rPr>
          <w:rFonts w:ascii="Myriad Pro" w:eastAsia="Calibri" w:hAnsi="Myriad Pro" w:cs="Times New Roman"/>
          <w:sz w:val="26"/>
          <w:szCs w:val="26"/>
        </w:rPr>
        <w:t xml:space="preserve">(Движение резервов по сомнительным долгам по сбытовой деятельности за 2017-2018 гг.) </w:t>
      </w:r>
      <w:r w:rsidR="00302824" w:rsidRPr="00CC16E6">
        <w:rPr>
          <w:rFonts w:ascii="Myriad Pro" w:eastAsia="Calibri" w:hAnsi="Myriad Pro" w:cs="Times New Roman"/>
          <w:sz w:val="26"/>
          <w:szCs w:val="26"/>
        </w:rPr>
        <w:t xml:space="preserve">Исполнитель соглашается с филиалом в части частичного </w:t>
      </w:r>
      <w:r w:rsidR="00CA3F33" w:rsidRPr="00CC16E6">
        <w:rPr>
          <w:rFonts w:ascii="Myriad Pro" w:eastAsia="Calibri" w:hAnsi="Myriad Pro" w:cs="Times New Roman"/>
          <w:sz w:val="26"/>
          <w:szCs w:val="26"/>
        </w:rPr>
        <w:t>учета</w:t>
      </w:r>
      <w:r w:rsidR="00302824" w:rsidRPr="00CC16E6">
        <w:rPr>
          <w:rFonts w:ascii="Myriad Pro" w:eastAsia="Calibri" w:hAnsi="Myriad Pro" w:cs="Times New Roman"/>
          <w:sz w:val="26"/>
          <w:szCs w:val="26"/>
        </w:rPr>
        <w:t xml:space="preserve"> расходов </w:t>
      </w:r>
      <w:r w:rsidR="00CA3F33" w:rsidRPr="00CC16E6">
        <w:rPr>
          <w:rFonts w:ascii="Myriad Pro" w:eastAsia="Calibri" w:hAnsi="Myriad Pro" w:cs="Times New Roman"/>
          <w:sz w:val="26"/>
          <w:szCs w:val="26"/>
        </w:rPr>
        <w:t xml:space="preserve">списанной дебиторской задолженности по приказам 2017 года в размере 46 465,1 тыс. руб. основного долга. </w:t>
      </w:r>
    </w:p>
    <w:p w14:paraId="08C94440" w14:textId="7E5CACE3" w:rsidR="00B95EDD" w:rsidRPr="00FB0A3A" w:rsidRDefault="00B95EDD" w:rsidP="00A31747">
      <w:pPr>
        <w:tabs>
          <w:tab w:val="left" w:pos="1134"/>
        </w:tabs>
        <w:spacing w:after="0" w:line="360" w:lineRule="auto"/>
        <w:ind w:firstLine="567"/>
        <w:contextualSpacing/>
        <w:jc w:val="both"/>
        <w:rPr>
          <w:rFonts w:ascii="Myriad Pro" w:eastAsia="Calibri" w:hAnsi="Myriad Pro" w:cs="Times New Roman"/>
          <w:sz w:val="26"/>
          <w:szCs w:val="26"/>
        </w:rPr>
      </w:pPr>
      <w:r w:rsidRPr="00CC16E6">
        <w:rPr>
          <w:rFonts w:ascii="Myriad Pro" w:eastAsia="Calibri" w:hAnsi="Myriad Pro" w:cs="Times New Roman"/>
          <w:sz w:val="26"/>
          <w:szCs w:val="26"/>
        </w:rPr>
        <w:t>Согласно протоколу заседания Коллегии</w:t>
      </w:r>
      <w:r w:rsidRPr="00FB0A3A">
        <w:rPr>
          <w:rFonts w:ascii="Myriad Pro" w:eastAsia="Calibri" w:hAnsi="Myriad Pro" w:cs="Times New Roman"/>
          <w:sz w:val="26"/>
          <w:szCs w:val="26"/>
        </w:rPr>
        <w:t xml:space="preserve"> Комитета по тарифному регулированию Мурманской области от 25.12.2015 (стр.70) в НВВ 2016 года включены расходы по созданию резерва по сомнительным долгам от в размере 221 041,46 тыс. руб.</w:t>
      </w:r>
    </w:p>
    <w:p w14:paraId="44617B7F" w14:textId="6400B245" w:rsidR="00B95EDD" w:rsidRPr="00FB0A3A" w:rsidRDefault="00B95EDD"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 xml:space="preserve">Согласно предоставленной информации филиала </w:t>
      </w:r>
      <w:r w:rsidR="00C5044C" w:rsidRPr="00FB0A3A">
        <w:rPr>
          <w:rFonts w:ascii="Myriad Pro" w:eastAsia="Calibri" w:hAnsi="Myriad Pro" w:cs="Times New Roman"/>
          <w:sz w:val="26"/>
          <w:szCs w:val="26"/>
        </w:rPr>
        <w:t xml:space="preserve">сумма фактического резерва по основному долгу по состоянию на 31.12.2017 составляет 1 163 208 913,12 руб. Списано по приказам в 2017 году 271 268 814,74 руб. </w:t>
      </w:r>
    </w:p>
    <w:p w14:paraId="753647E7" w14:textId="2D72337B" w:rsidR="00C5044C" w:rsidRPr="00FB0A3A" w:rsidRDefault="00C5044C"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Включено в НВВ 2016 года – 221 041,46 тыс. руб.</w:t>
      </w:r>
    </w:p>
    <w:p w14:paraId="03309840" w14:textId="70229F3F" w:rsidR="007C1698" w:rsidRPr="00FB0A3A" w:rsidRDefault="007C1698"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Включено в НВВ 2017 года – 60 041,93 тыс. руб. (учтено Исполнителем по деятельности по передаче электрической энергии).</w:t>
      </w:r>
    </w:p>
    <w:p w14:paraId="2F1C9289" w14:textId="77777777" w:rsidR="00C5044C" w:rsidRPr="00FB0A3A" w:rsidRDefault="00C5044C"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Включено в НВВ 2018 года - 226 647,96 тыс. руб.</w:t>
      </w:r>
    </w:p>
    <w:p w14:paraId="3B721BF5" w14:textId="09C3F9B4" w:rsidR="00B95EDD" w:rsidRPr="00FB0A3A" w:rsidRDefault="00D11FB9"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С учетом информации, которой обладает Исполнитель по материалам тарифного дела 2019 года, и</w:t>
      </w:r>
      <w:r w:rsidR="00C5044C" w:rsidRPr="00FB0A3A">
        <w:rPr>
          <w:rFonts w:ascii="Myriad Pro" w:eastAsia="Calibri" w:hAnsi="Myriad Pro" w:cs="Times New Roman"/>
          <w:sz w:val="26"/>
          <w:szCs w:val="26"/>
        </w:rPr>
        <w:t>того ко включению в НВВ 2019 года</w:t>
      </w:r>
      <w:r w:rsidR="00107AD6" w:rsidRPr="00FB0A3A">
        <w:rPr>
          <w:rFonts w:ascii="Myriad Pro" w:eastAsia="Calibri" w:hAnsi="Myriad Pro" w:cs="Times New Roman"/>
          <w:sz w:val="26"/>
          <w:szCs w:val="26"/>
        </w:rPr>
        <w:t xml:space="preserve"> расходов по созданию резерва от сбытовой деятельности сумма</w:t>
      </w:r>
      <w:r w:rsidR="00C5044C" w:rsidRPr="00FB0A3A">
        <w:rPr>
          <w:rFonts w:ascii="Myriad Pro" w:eastAsia="Calibri" w:hAnsi="Myriad Pro" w:cs="Times New Roman"/>
          <w:sz w:val="26"/>
          <w:szCs w:val="26"/>
        </w:rPr>
        <w:t xml:space="preserve"> 986 788,28 тыс. руб.</w:t>
      </w:r>
      <w:r w:rsidR="00107AD6" w:rsidRPr="00FB0A3A">
        <w:rPr>
          <w:rFonts w:ascii="Myriad Pro" w:eastAsia="Calibri" w:hAnsi="Myriad Pro" w:cs="Times New Roman"/>
          <w:sz w:val="26"/>
          <w:szCs w:val="26"/>
        </w:rPr>
        <w:t xml:space="preserve"> основного долга</w:t>
      </w:r>
      <w:r w:rsidR="00CE5FFF" w:rsidRPr="00FB0A3A">
        <w:rPr>
          <w:rFonts w:ascii="Myriad Pro" w:eastAsia="Calibri" w:hAnsi="Myriad Pro" w:cs="Times New Roman"/>
          <w:sz w:val="26"/>
          <w:szCs w:val="26"/>
        </w:rPr>
        <w:t xml:space="preserve"> (1 163 208,9 + 271 268,8 – 221 041,46 – 226 647,96)</w:t>
      </w:r>
      <w:r w:rsidR="00107AD6" w:rsidRPr="00FB0A3A">
        <w:rPr>
          <w:rFonts w:ascii="Myriad Pro" w:eastAsia="Calibri" w:hAnsi="Myriad Pro" w:cs="Times New Roman"/>
          <w:sz w:val="26"/>
          <w:szCs w:val="26"/>
        </w:rPr>
        <w:t>.</w:t>
      </w:r>
    </w:p>
    <w:p w14:paraId="367CC032" w14:textId="005A098F" w:rsidR="00D11FB9" w:rsidRPr="00FB0A3A" w:rsidRDefault="00D11FB9"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По мнению Исполнителя</w:t>
      </w:r>
      <w:r w:rsidR="007051E2" w:rsidRPr="00FB0A3A">
        <w:rPr>
          <w:rFonts w:ascii="Myriad Pro" w:eastAsia="Calibri" w:hAnsi="Myriad Pro" w:cs="Times New Roman"/>
          <w:sz w:val="26"/>
          <w:szCs w:val="26"/>
        </w:rPr>
        <w:t>,</w:t>
      </w:r>
      <w:r w:rsidRPr="00FB0A3A">
        <w:rPr>
          <w:rFonts w:ascii="Myriad Pro" w:eastAsia="Calibri" w:hAnsi="Myriad Pro" w:cs="Times New Roman"/>
          <w:sz w:val="26"/>
          <w:szCs w:val="26"/>
        </w:rPr>
        <w:t xml:space="preserve"> общая сумма расходов по созданию резерва по сомнительным долгам для включения в НВВ 2019 составляет 1 039 387,68 тыс. руб.</w:t>
      </w:r>
      <w:r w:rsidR="007051E2" w:rsidRPr="00FB0A3A">
        <w:rPr>
          <w:rFonts w:ascii="Myriad Pro" w:eastAsia="Calibri" w:hAnsi="Myriad Pro" w:cs="Times New Roman"/>
          <w:sz w:val="26"/>
          <w:szCs w:val="26"/>
        </w:rPr>
        <w:t xml:space="preserve"> </w:t>
      </w:r>
      <w:r w:rsidRPr="00FB0A3A">
        <w:rPr>
          <w:rFonts w:ascii="Myriad Pro" w:eastAsia="Calibri" w:hAnsi="Myriad Pro" w:cs="Times New Roman"/>
          <w:sz w:val="26"/>
          <w:szCs w:val="26"/>
        </w:rPr>
        <w:t>(52 599,4 + 986 788,28).</w:t>
      </w:r>
    </w:p>
    <w:p w14:paraId="2A5F3E36" w14:textId="1C838D78" w:rsidR="00107AD6" w:rsidRPr="00FB0A3A" w:rsidRDefault="00107AD6" w:rsidP="00A31747">
      <w:pPr>
        <w:pStyle w:val="a4"/>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В связи с тем, что прочая задолженность не относиться к основной, регулируемой деятельности, она не учтена в расходах по созданию резерва в регулируемой деятельности.</w:t>
      </w:r>
    </w:p>
    <w:p w14:paraId="6ADDBCAF" w14:textId="1F089452" w:rsidR="00107AD6" w:rsidRPr="00FB0A3A" w:rsidRDefault="007C1698" w:rsidP="009E11D7">
      <w:pPr>
        <w:pStyle w:val="afff4"/>
        <w:rPr>
          <w:lang w:val="ru-RU"/>
        </w:rPr>
      </w:pPr>
      <w:r w:rsidRPr="00FB0A3A">
        <w:rPr>
          <w:lang w:val="ru-RU"/>
        </w:rPr>
        <w:t>Исполнитель считае</w:t>
      </w:r>
      <w:r w:rsidR="00107AD6" w:rsidRPr="00FB0A3A">
        <w:rPr>
          <w:lang w:val="ru-RU"/>
        </w:rPr>
        <w:t>т</w:t>
      </w:r>
      <w:r w:rsidRPr="00FB0A3A">
        <w:rPr>
          <w:lang w:val="ru-RU"/>
        </w:rPr>
        <w:t xml:space="preserve"> необходимым рекомендовать филиалу </w:t>
      </w:r>
      <w:r w:rsidR="00655FFA" w:rsidRPr="00FB0A3A">
        <w:rPr>
          <w:lang w:val="ru-RU"/>
        </w:rPr>
        <w:t xml:space="preserve">ПАО «МРСК </w:t>
      </w:r>
      <w:r w:rsidRPr="00FB0A3A">
        <w:rPr>
          <w:lang w:val="ru-RU"/>
        </w:rPr>
        <w:t>Северо-Запада</w:t>
      </w:r>
      <w:r w:rsidR="00655FFA" w:rsidRPr="00FB0A3A">
        <w:rPr>
          <w:lang w:val="ru-RU"/>
        </w:rPr>
        <w:t>»</w:t>
      </w:r>
      <w:r w:rsidRPr="00FB0A3A">
        <w:rPr>
          <w:lang w:val="ru-RU"/>
        </w:rPr>
        <w:t xml:space="preserve"> </w:t>
      </w:r>
      <w:r w:rsidR="00655FFA" w:rsidRPr="00FB0A3A">
        <w:rPr>
          <w:lang w:val="ru-RU"/>
        </w:rPr>
        <w:t>«</w:t>
      </w:r>
      <w:r w:rsidRPr="00FB0A3A">
        <w:rPr>
          <w:lang w:val="ru-RU"/>
        </w:rPr>
        <w:t>Колэнерго</w:t>
      </w:r>
      <w:r w:rsidR="00655FFA" w:rsidRPr="00FB0A3A">
        <w:rPr>
          <w:lang w:val="ru-RU"/>
        </w:rPr>
        <w:t>»</w:t>
      </w:r>
      <w:r w:rsidRPr="00FB0A3A">
        <w:rPr>
          <w:lang w:val="ru-RU"/>
        </w:rPr>
        <w:t xml:space="preserve"> провести анализ фактически сформированных </w:t>
      </w:r>
      <w:r w:rsidRPr="00FB0A3A">
        <w:rPr>
          <w:lang w:val="ru-RU"/>
        </w:rPr>
        <w:lastRenderedPageBreak/>
        <w:t xml:space="preserve">резервов по бухгалтерскому учету и учтенных при тарифном регулировании расходов по созданию резервов по сомнительным долгам в разрезе каждого дебитора нарастающим итогам </w:t>
      </w:r>
      <w:r w:rsidR="00D11FB9" w:rsidRPr="00FB0A3A">
        <w:rPr>
          <w:lang w:val="ru-RU"/>
        </w:rPr>
        <w:t xml:space="preserve">по видам деятельности </w:t>
      </w:r>
      <w:r w:rsidRPr="00FB0A3A">
        <w:rPr>
          <w:lang w:val="ru-RU"/>
        </w:rPr>
        <w:t>и направлять в качестве обосновывающего материала в тарифной заявке на следующий регулируемый период.</w:t>
      </w:r>
    </w:p>
    <w:tbl>
      <w:tblPr>
        <w:tblStyle w:val="afff6"/>
        <w:tblW w:w="5000" w:type="pct"/>
        <w:tblLayout w:type="fixed"/>
        <w:tblLook w:val="04A0" w:firstRow="1" w:lastRow="0" w:firstColumn="1" w:lastColumn="0" w:noHBand="0" w:noVBand="1"/>
      </w:tblPr>
      <w:tblGrid>
        <w:gridCol w:w="1809"/>
        <w:gridCol w:w="1367"/>
        <w:gridCol w:w="1516"/>
        <w:gridCol w:w="1516"/>
        <w:gridCol w:w="1568"/>
        <w:gridCol w:w="1568"/>
      </w:tblGrid>
      <w:tr w:rsidR="00C96A2B" w:rsidRPr="00FB0A3A" w14:paraId="5F76E2B0" w14:textId="77777777" w:rsidTr="002267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0A92B483" w14:textId="5BDE9566" w:rsidR="00C96A2B" w:rsidRPr="00FB0A3A" w:rsidRDefault="00C96A2B" w:rsidP="009E11D7">
            <w:pPr>
              <w:tabs>
                <w:tab w:val="left" w:pos="1134"/>
              </w:tabs>
              <w:jc w:val="center"/>
              <w:rPr>
                <w:rFonts w:eastAsia="Calibri" w:cs="Times New Roman"/>
                <w:sz w:val="20"/>
                <w:szCs w:val="20"/>
              </w:rPr>
            </w:pPr>
            <w:r w:rsidRPr="00FB0A3A">
              <w:rPr>
                <w:rFonts w:eastAsia="Calibri" w:cs="Times New Roman"/>
                <w:sz w:val="20"/>
                <w:szCs w:val="20"/>
              </w:rPr>
              <w:t>Наименование статьи</w:t>
            </w:r>
          </w:p>
        </w:tc>
        <w:tc>
          <w:tcPr>
            <w:tcW w:w="13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3923BD1D" w14:textId="77777777" w:rsidR="00C96A2B" w:rsidRPr="00FB0A3A" w:rsidRDefault="00C96A2B" w:rsidP="009E11D7">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Заявлено Филиалом</w:t>
            </w:r>
          </w:p>
        </w:tc>
        <w:tc>
          <w:tcPr>
            <w:tcW w:w="15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B1ACBDE" w14:textId="77777777" w:rsidR="00C96A2B" w:rsidRPr="00FB0A3A" w:rsidRDefault="00C96A2B" w:rsidP="009E11D7">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Рассчитано Комитетом (ЭОУ)</w:t>
            </w:r>
          </w:p>
        </w:tc>
        <w:tc>
          <w:tcPr>
            <w:tcW w:w="15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E0BBE51" w14:textId="77777777" w:rsidR="00C96A2B" w:rsidRPr="00FB0A3A" w:rsidRDefault="00C96A2B" w:rsidP="009E11D7">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Рассчитано Исполнителем (ЭОУ)</w:t>
            </w:r>
          </w:p>
        </w:tc>
        <w:tc>
          <w:tcPr>
            <w:tcW w:w="15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3910BE1" w14:textId="77777777" w:rsidR="00C96A2B" w:rsidRPr="00FB0A3A" w:rsidRDefault="00C96A2B" w:rsidP="009E11D7">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Отклонение  между Исполнителем и Комитетом</w:t>
            </w:r>
          </w:p>
        </w:tc>
        <w:tc>
          <w:tcPr>
            <w:tcW w:w="15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E81AA80" w14:textId="77777777" w:rsidR="00C96A2B" w:rsidRPr="00FB0A3A" w:rsidRDefault="00C96A2B" w:rsidP="009E11D7">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Отклонение  между Исполнителем и Филиалом</w:t>
            </w:r>
          </w:p>
        </w:tc>
      </w:tr>
      <w:tr w:rsidR="00C96A2B" w:rsidRPr="00FB0A3A" w14:paraId="49C7D64A" w14:textId="77777777" w:rsidTr="002267D7">
        <w:tc>
          <w:tcPr>
            <w:cnfStyle w:val="001000000000" w:firstRow="0" w:lastRow="0" w:firstColumn="1" w:lastColumn="0" w:oddVBand="0" w:evenVBand="0" w:oddHBand="0" w:evenHBand="0" w:firstRowFirstColumn="0" w:firstRowLastColumn="0" w:lastRowFirstColumn="0" w:lastRowLastColumn="0"/>
            <w:tcW w:w="1837" w:type="dxa"/>
            <w:tcBorders>
              <w:top w:val="single" w:sz="4" w:space="0" w:color="FFFFFF" w:themeColor="background1"/>
            </w:tcBorders>
            <w:hideMark/>
          </w:tcPr>
          <w:p w14:paraId="6EE3733E" w14:textId="5690241B" w:rsidR="00C96A2B" w:rsidRPr="00FB0A3A" w:rsidRDefault="00C96A2B" w:rsidP="009E11D7">
            <w:pPr>
              <w:tabs>
                <w:tab w:val="left" w:pos="1134"/>
              </w:tabs>
              <w:rPr>
                <w:rFonts w:eastAsia="Calibri" w:cs="Times New Roman"/>
                <w:sz w:val="20"/>
                <w:szCs w:val="20"/>
              </w:rPr>
            </w:pPr>
            <w:r w:rsidRPr="00FB0A3A">
              <w:rPr>
                <w:rFonts w:eastAsia="Calibri" w:cs="Times New Roman"/>
                <w:sz w:val="20"/>
                <w:szCs w:val="20"/>
              </w:rPr>
              <w:t>Расходы по созданию резерва по сомнительным долгам</w:t>
            </w:r>
          </w:p>
        </w:tc>
        <w:tc>
          <w:tcPr>
            <w:tcW w:w="1387" w:type="dxa"/>
            <w:tcBorders>
              <w:top w:val="single" w:sz="4" w:space="0" w:color="FFFFFF" w:themeColor="background1"/>
            </w:tcBorders>
            <w:hideMark/>
          </w:tcPr>
          <w:p w14:paraId="26C914A6" w14:textId="77777777" w:rsidR="00C96A2B" w:rsidRPr="00FB0A3A" w:rsidRDefault="00C96A2B"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1 318 122,26</w:t>
            </w:r>
          </w:p>
        </w:tc>
        <w:tc>
          <w:tcPr>
            <w:tcW w:w="1539" w:type="dxa"/>
            <w:tcBorders>
              <w:top w:val="single" w:sz="4" w:space="0" w:color="FFFFFF" w:themeColor="background1"/>
            </w:tcBorders>
            <w:hideMark/>
          </w:tcPr>
          <w:p w14:paraId="0B29F95A" w14:textId="77777777" w:rsidR="00C96A2B" w:rsidRPr="00FB0A3A" w:rsidRDefault="00C96A2B"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772 263,34</w:t>
            </w:r>
          </w:p>
        </w:tc>
        <w:tc>
          <w:tcPr>
            <w:tcW w:w="1539" w:type="dxa"/>
            <w:tcBorders>
              <w:top w:val="single" w:sz="4" w:space="0" w:color="FFFFFF" w:themeColor="background1"/>
            </w:tcBorders>
            <w:hideMark/>
          </w:tcPr>
          <w:p w14:paraId="644FAB63" w14:textId="77777777" w:rsidR="00C96A2B" w:rsidRPr="00FB0A3A" w:rsidRDefault="00C96A2B"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1 039 387,68</w:t>
            </w:r>
          </w:p>
        </w:tc>
        <w:tc>
          <w:tcPr>
            <w:tcW w:w="1592" w:type="dxa"/>
            <w:tcBorders>
              <w:top w:val="single" w:sz="4" w:space="0" w:color="FFFFFF" w:themeColor="background1"/>
            </w:tcBorders>
            <w:hideMark/>
          </w:tcPr>
          <w:p w14:paraId="5F6EEFEC" w14:textId="77777777" w:rsidR="00C96A2B" w:rsidRPr="00FB0A3A" w:rsidRDefault="00C96A2B"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267 124,34</w:t>
            </w:r>
          </w:p>
        </w:tc>
        <w:tc>
          <w:tcPr>
            <w:tcW w:w="1592" w:type="dxa"/>
            <w:tcBorders>
              <w:top w:val="single" w:sz="4" w:space="0" w:color="FFFFFF" w:themeColor="background1"/>
            </w:tcBorders>
            <w:hideMark/>
          </w:tcPr>
          <w:p w14:paraId="3DF70D59" w14:textId="77777777" w:rsidR="00C96A2B" w:rsidRPr="00FB0A3A" w:rsidRDefault="00C96A2B" w:rsidP="009E11D7">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FB0A3A">
              <w:rPr>
                <w:rFonts w:eastAsia="Calibri" w:cs="Times New Roman"/>
                <w:sz w:val="20"/>
                <w:szCs w:val="20"/>
              </w:rPr>
              <w:t>-278 734,58</w:t>
            </w:r>
          </w:p>
        </w:tc>
      </w:tr>
    </w:tbl>
    <w:p w14:paraId="1ACCEA3A" w14:textId="77777777" w:rsidR="009E11D7" w:rsidRPr="00FB0A3A" w:rsidRDefault="009E11D7" w:rsidP="00A31747">
      <w:pPr>
        <w:tabs>
          <w:tab w:val="left" w:pos="1134"/>
        </w:tabs>
        <w:spacing w:after="0" w:line="360" w:lineRule="auto"/>
        <w:ind w:firstLine="567"/>
        <w:jc w:val="both"/>
        <w:rPr>
          <w:rFonts w:ascii="Myriad Pro" w:hAnsi="Myriad Pro"/>
          <w:b/>
          <w:sz w:val="26"/>
          <w:szCs w:val="26"/>
        </w:rPr>
      </w:pPr>
    </w:p>
    <w:p w14:paraId="6489E117" w14:textId="2BBA07E0" w:rsidR="00112410" w:rsidRPr="00FB0A3A" w:rsidRDefault="00112410" w:rsidP="00A31747">
      <w:pPr>
        <w:tabs>
          <w:tab w:val="left" w:pos="1134"/>
        </w:tabs>
        <w:spacing w:after="0" w:line="360" w:lineRule="auto"/>
        <w:ind w:firstLine="567"/>
        <w:jc w:val="both"/>
        <w:rPr>
          <w:rFonts w:ascii="Myriad Pro" w:hAnsi="Myriad Pro"/>
          <w:b/>
          <w:sz w:val="26"/>
          <w:szCs w:val="26"/>
        </w:rPr>
      </w:pPr>
      <w:r w:rsidRPr="00FB0A3A">
        <w:rPr>
          <w:rFonts w:ascii="Myriad Pro" w:hAnsi="Myriad Pro"/>
          <w:b/>
          <w:sz w:val="26"/>
          <w:szCs w:val="26"/>
        </w:rPr>
        <w:t>На основании постатейного анализа неподконтрольных расходов Исполнитель делает следующий вывод:</w:t>
      </w:r>
    </w:p>
    <w:p w14:paraId="188D08E6" w14:textId="51C08CB8" w:rsidR="00112410" w:rsidRPr="00FB0A3A" w:rsidRDefault="00112410" w:rsidP="009B0BC1">
      <w:pPr>
        <w:pStyle w:val="a4"/>
        <w:numPr>
          <w:ilvl w:val="0"/>
          <w:numId w:val="31"/>
        </w:numPr>
        <w:tabs>
          <w:tab w:val="left" w:pos="1134"/>
        </w:tabs>
        <w:spacing w:after="0" w:line="360" w:lineRule="auto"/>
        <w:ind w:left="0" w:firstLine="567"/>
        <w:jc w:val="both"/>
        <w:rPr>
          <w:rFonts w:ascii="Myriad Pro" w:hAnsi="Myriad Pro"/>
          <w:b/>
          <w:sz w:val="26"/>
          <w:szCs w:val="26"/>
        </w:rPr>
      </w:pPr>
      <w:r w:rsidRPr="00FB0A3A">
        <w:rPr>
          <w:rFonts w:ascii="Myriad Pro" w:hAnsi="Myriad Pro"/>
          <w:b/>
          <w:sz w:val="26"/>
          <w:szCs w:val="26"/>
        </w:rPr>
        <w:t xml:space="preserve">Представленные со стороны филиала ПАО </w:t>
      </w:r>
      <w:r w:rsidR="00655FFA" w:rsidRPr="00FB0A3A">
        <w:rPr>
          <w:rFonts w:ascii="Myriad Pro" w:hAnsi="Myriad Pro"/>
          <w:b/>
          <w:sz w:val="26"/>
          <w:szCs w:val="26"/>
        </w:rPr>
        <w:t>«</w:t>
      </w:r>
      <w:r w:rsidRPr="00FB0A3A">
        <w:rPr>
          <w:rFonts w:ascii="Myriad Pro" w:hAnsi="Myriad Pro"/>
          <w:b/>
          <w:sz w:val="26"/>
          <w:szCs w:val="26"/>
        </w:rPr>
        <w:t>МРСК Северо-Запада</w:t>
      </w:r>
      <w:r w:rsidR="00655FFA" w:rsidRPr="00FB0A3A">
        <w:rPr>
          <w:rFonts w:ascii="Myriad Pro" w:hAnsi="Myriad Pro"/>
          <w:b/>
          <w:sz w:val="26"/>
          <w:szCs w:val="26"/>
        </w:rPr>
        <w:t>»</w:t>
      </w:r>
      <w:r w:rsidR="007C182C" w:rsidRPr="00FB0A3A">
        <w:rPr>
          <w:rFonts w:ascii="Myriad Pro" w:hAnsi="Myriad Pro"/>
          <w:b/>
          <w:sz w:val="26"/>
          <w:szCs w:val="26"/>
        </w:rPr>
        <w:t xml:space="preserve"> </w:t>
      </w:r>
      <w:r w:rsidR="00655FFA" w:rsidRPr="00FB0A3A">
        <w:rPr>
          <w:rFonts w:ascii="Myriad Pro" w:hAnsi="Myriad Pro"/>
          <w:b/>
          <w:sz w:val="26"/>
          <w:szCs w:val="26"/>
        </w:rPr>
        <w:t>«</w:t>
      </w:r>
      <w:r w:rsidR="007C182C" w:rsidRPr="00FB0A3A">
        <w:rPr>
          <w:rFonts w:ascii="Myriad Pro" w:hAnsi="Myriad Pro"/>
          <w:b/>
          <w:sz w:val="26"/>
          <w:szCs w:val="26"/>
        </w:rPr>
        <w:t>Кол</w:t>
      </w:r>
      <w:r w:rsidRPr="00FB0A3A">
        <w:rPr>
          <w:rFonts w:ascii="Myriad Pro" w:hAnsi="Myriad Pro"/>
          <w:b/>
          <w:sz w:val="26"/>
          <w:szCs w:val="26"/>
        </w:rPr>
        <w:t>энерго</w:t>
      </w:r>
      <w:r w:rsidR="00655FFA" w:rsidRPr="00FB0A3A">
        <w:rPr>
          <w:rFonts w:ascii="Myriad Pro" w:hAnsi="Myriad Pro"/>
          <w:b/>
          <w:sz w:val="26"/>
          <w:szCs w:val="26"/>
        </w:rPr>
        <w:t>»</w:t>
      </w:r>
      <w:r w:rsidRPr="00FB0A3A">
        <w:rPr>
          <w:rFonts w:ascii="Myriad Pro" w:hAnsi="Myriad Pro"/>
          <w:b/>
          <w:sz w:val="26"/>
          <w:szCs w:val="26"/>
        </w:rPr>
        <w:t xml:space="preserve"> расчетные документы, реестры договоров, справки, расчеты, таблицы подписаны руководителями соответствующих структурных подразделений и/или заместителем генерального директора по экономике и финансам филиала; </w:t>
      </w:r>
    </w:p>
    <w:p w14:paraId="759B155A" w14:textId="56A8B655" w:rsidR="00112410" w:rsidRPr="00FB0A3A" w:rsidRDefault="00112410" w:rsidP="009B0BC1">
      <w:pPr>
        <w:pStyle w:val="a4"/>
        <w:numPr>
          <w:ilvl w:val="0"/>
          <w:numId w:val="31"/>
        </w:numPr>
        <w:tabs>
          <w:tab w:val="left" w:pos="1134"/>
        </w:tabs>
        <w:spacing w:after="0" w:line="360" w:lineRule="auto"/>
        <w:ind w:left="0" w:firstLine="567"/>
        <w:jc w:val="both"/>
        <w:rPr>
          <w:rFonts w:ascii="Myriad Pro" w:hAnsi="Myriad Pro"/>
          <w:b/>
          <w:sz w:val="26"/>
          <w:szCs w:val="26"/>
        </w:rPr>
      </w:pPr>
      <w:r w:rsidRPr="00FB0A3A">
        <w:rPr>
          <w:rFonts w:ascii="Myriad Pro" w:hAnsi="Myriad Pro"/>
          <w:b/>
          <w:sz w:val="26"/>
          <w:szCs w:val="26"/>
        </w:rPr>
        <w:t xml:space="preserve">Исполнителем выявлены факты недостаточного документального подтверждения заявленных на 2019 год расходов со стороны филиала </w:t>
      </w:r>
      <w:r w:rsidR="007C182C" w:rsidRPr="00FB0A3A">
        <w:rPr>
          <w:rFonts w:ascii="Myriad Pro" w:hAnsi="Myriad Pro"/>
          <w:b/>
          <w:sz w:val="26"/>
          <w:szCs w:val="26"/>
        </w:rPr>
        <w:t>ПАО</w:t>
      </w:r>
      <w:r w:rsidR="009808E8">
        <w:rPr>
          <w:rFonts w:ascii="Myriad Pro" w:hAnsi="Myriad Pro"/>
          <w:b/>
          <w:sz w:val="26"/>
          <w:szCs w:val="26"/>
        </w:rPr>
        <w:t> </w:t>
      </w:r>
      <w:r w:rsidR="00655FFA" w:rsidRPr="00FB0A3A">
        <w:rPr>
          <w:rFonts w:ascii="Myriad Pro" w:hAnsi="Myriad Pro"/>
          <w:b/>
          <w:sz w:val="26"/>
          <w:szCs w:val="26"/>
        </w:rPr>
        <w:t>«</w:t>
      </w:r>
      <w:r w:rsidR="007C182C" w:rsidRPr="00FB0A3A">
        <w:rPr>
          <w:rFonts w:ascii="Myriad Pro" w:hAnsi="Myriad Pro"/>
          <w:b/>
          <w:sz w:val="26"/>
          <w:szCs w:val="26"/>
        </w:rPr>
        <w:t>МРСК Северо-Запада</w:t>
      </w:r>
      <w:r w:rsidR="00655FFA" w:rsidRPr="00FB0A3A">
        <w:rPr>
          <w:rFonts w:ascii="Myriad Pro" w:hAnsi="Myriad Pro"/>
          <w:b/>
          <w:sz w:val="26"/>
          <w:szCs w:val="26"/>
        </w:rPr>
        <w:t>»</w:t>
      </w:r>
      <w:r w:rsidR="007C182C" w:rsidRPr="00FB0A3A">
        <w:rPr>
          <w:rFonts w:ascii="Myriad Pro" w:hAnsi="Myriad Pro"/>
          <w:b/>
          <w:sz w:val="26"/>
          <w:szCs w:val="26"/>
        </w:rPr>
        <w:t xml:space="preserve"> </w:t>
      </w:r>
      <w:r w:rsidR="00655FFA" w:rsidRPr="00FB0A3A">
        <w:rPr>
          <w:rFonts w:ascii="Myriad Pro" w:hAnsi="Myriad Pro"/>
          <w:b/>
          <w:sz w:val="26"/>
          <w:szCs w:val="26"/>
        </w:rPr>
        <w:t>«</w:t>
      </w:r>
      <w:r w:rsidR="007C182C" w:rsidRPr="00FB0A3A">
        <w:rPr>
          <w:rFonts w:ascii="Myriad Pro" w:hAnsi="Myriad Pro"/>
          <w:b/>
          <w:sz w:val="26"/>
          <w:szCs w:val="26"/>
        </w:rPr>
        <w:t>Кол</w:t>
      </w:r>
      <w:r w:rsidRPr="00FB0A3A">
        <w:rPr>
          <w:rFonts w:ascii="Myriad Pro" w:hAnsi="Myriad Pro"/>
          <w:b/>
          <w:sz w:val="26"/>
          <w:szCs w:val="26"/>
        </w:rPr>
        <w:t>энерго</w:t>
      </w:r>
      <w:r w:rsidR="00655FFA" w:rsidRPr="00FB0A3A">
        <w:rPr>
          <w:rFonts w:ascii="Myriad Pro" w:hAnsi="Myriad Pro"/>
          <w:b/>
          <w:sz w:val="26"/>
          <w:szCs w:val="26"/>
        </w:rPr>
        <w:t>»</w:t>
      </w:r>
      <w:r w:rsidRPr="00FB0A3A">
        <w:rPr>
          <w:rFonts w:ascii="Myriad Pro" w:hAnsi="Myriad Pro"/>
          <w:b/>
          <w:sz w:val="26"/>
          <w:szCs w:val="26"/>
        </w:rPr>
        <w:t>;</w:t>
      </w:r>
    </w:p>
    <w:p w14:paraId="0DF537C6" w14:textId="24DE2438" w:rsidR="007C182C" w:rsidRPr="00FB0A3A" w:rsidRDefault="007C182C" w:rsidP="009B0BC1">
      <w:pPr>
        <w:pStyle w:val="a4"/>
        <w:numPr>
          <w:ilvl w:val="0"/>
          <w:numId w:val="31"/>
        </w:numPr>
        <w:tabs>
          <w:tab w:val="left" w:pos="1134"/>
        </w:tabs>
        <w:spacing w:after="0" w:line="360" w:lineRule="auto"/>
        <w:ind w:left="0" w:firstLine="567"/>
        <w:jc w:val="both"/>
        <w:rPr>
          <w:rFonts w:ascii="Myriad Pro" w:hAnsi="Myriad Pro"/>
          <w:b/>
          <w:sz w:val="26"/>
          <w:szCs w:val="26"/>
        </w:rPr>
      </w:pPr>
      <w:r w:rsidRPr="00FB0A3A">
        <w:rPr>
          <w:rFonts w:ascii="Myriad Pro" w:hAnsi="Myriad Pro"/>
          <w:b/>
          <w:sz w:val="26"/>
          <w:szCs w:val="26"/>
        </w:rPr>
        <w:t>В Протоколе от 28-29.12.2018 г. по ряду статей расходов отсутствует обоснование позиции определения экономически обоснованного уровня как фактических расходов за 2017 г., так и плановых расходов на 2019 год;</w:t>
      </w:r>
    </w:p>
    <w:p w14:paraId="5F04DDB6" w14:textId="5005EB51" w:rsidR="00112410" w:rsidRPr="00FB0A3A" w:rsidRDefault="00112410" w:rsidP="004B013D">
      <w:pPr>
        <w:tabs>
          <w:tab w:val="left" w:pos="1134"/>
        </w:tabs>
        <w:spacing w:after="200" w:line="360" w:lineRule="auto"/>
        <w:ind w:firstLine="567"/>
        <w:jc w:val="both"/>
        <w:rPr>
          <w:rFonts w:ascii="Myriad Pro" w:hAnsi="Myriad Pro"/>
          <w:b/>
          <w:sz w:val="26"/>
          <w:szCs w:val="26"/>
        </w:rPr>
      </w:pPr>
      <w:r w:rsidRPr="00FB0A3A">
        <w:rPr>
          <w:rFonts w:ascii="Myriad Pro" w:hAnsi="Myriad Pro"/>
          <w:b/>
          <w:sz w:val="26"/>
          <w:szCs w:val="26"/>
        </w:rPr>
        <w:t>Сводные результаты анализа неподконтрольных расходов представлены в таблице.</w:t>
      </w:r>
    </w:p>
    <w:tbl>
      <w:tblPr>
        <w:tblStyle w:val="afff6"/>
        <w:tblW w:w="5139" w:type="pct"/>
        <w:tblLayout w:type="fixed"/>
        <w:tblLook w:val="04A0" w:firstRow="1" w:lastRow="0" w:firstColumn="1" w:lastColumn="0" w:noHBand="0" w:noVBand="1"/>
      </w:tblPr>
      <w:tblGrid>
        <w:gridCol w:w="2264"/>
        <w:gridCol w:w="1760"/>
        <w:gridCol w:w="1257"/>
        <w:gridCol w:w="1397"/>
        <w:gridCol w:w="1536"/>
        <w:gridCol w:w="1390"/>
      </w:tblGrid>
      <w:tr w:rsidR="004B013D" w:rsidRPr="005C6F98" w14:paraId="6ABE25D4" w14:textId="77777777" w:rsidTr="005C6F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275BBC6F" w14:textId="77777777" w:rsidR="005B5BC4" w:rsidRPr="005C6F98" w:rsidRDefault="005B5BC4" w:rsidP="004B013D">
            <w:pPr>
              <w:tabs>
                <w:tab w:val="left" w:pos="1134"/>
              </w:tabs>
              <w:jc w:val="center"/>
              <w:rPr>
                <w:rFonts w:eastAsia="Calibri" w:cs="Times New Roman"/>
                <w:sz w:val="20"/>
                <w:szCs w:val="20"/>
              </w:rPr>
            </w:pPr>
            <w:r w:rsidRPr="005C6F98">
              <w:rPr>
                <w:rFonts w:eastAsia="Calibri" w:cs="Times New Roman"/>
                <w:sz w:val="20"/>
                <w:szCs w:val="20"/>
              </w:rPr>
              <w:lastRenderedPageBreak/>
              <w:t> Наименование статьи</w:t>
            </w:r>
          </w:p>
        </w:tc>
        <w:tc>
          <w:tcPr>
            <w:tcW w:w="17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558A5C6" w14:textId="61D81124" w:rsidR="005B5BC4" w:rsidRPr="005C6F98" w:rsidRDefault="005B5BC4" w:rsidP="004B013D">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 xml:space="preserve">Заявлено филиалом ПАО </w:t>
            </w:r>
            <w:r w:rsidR="00655FFA" w:rsidRPr="005C6F98">
              <w:rPr>
                <w:rFonts w:eastAsia="Calibri" w:cs="Times New Roman"/>
                <w:sz w:val="20"/>
                <w:szCs w:val="20"/>
              </w:rPr>
              <w:t>«</w:t>
            </w:r>
            <w:r w:rsidRPr="005C6F98">
              <w:rPr>
                <w:rFonts w:eastAsia="Calibri" w:cs="Times New Roman"/>
                <w:sz w:val="20"/>
                <w:szCs w:val="20"/>
              </w:rPr>
              <w:t>МРСК Северо-Запада</w:t>
            </w:r>
            <w:r w:rsidR="00655FFA" w:rsidRPr="005C6F98">
              <w:rPr>
                <w:rFonts w:eastAsia="Calibri" w:cs="Times New Roman"/>
                <w:sz w:val="20"/>
                <w:szCs w:val="20"/>
              </w:rPr>
              <w:t>»</w:t>
            </w:r>
            <w:r w:rsidRPr="005C6F98">
              <w:rPr>
                <w:rFonts w:eastAsia="Calibri" w:cs="Times New Roman"/>
                <w:sz w:val="20"/>
                <w:szCs w:val="20"/>
              </w:rPr>
              <w:t xml:space="preserve"> </w:t>
            </w:r>
            <w:r w:rsidR="00655FFA" w:rsidRPr="005C6F98">
              <w:rPr>
                <w:rFonts w:eastAsia="Calibri" w:cs="Times New Roman"/>
                <w:sz w:val="20"/>
                <w:szCs w:val="20"/>
              </w:rPr>
              <w:t>«</w:t>
            </w:r>
            <w:r w:rsidRPr="005C6F98">
              <w:rPr>
                <w:rFonts w:eastAsia="Calibri" w:cs="Times New Roman"/>
                <w:sz w:val="20"/>
                <w:szCs w:val="20"/>
              </w:rPr>
              <w:t>Колэнерго</w:t>
            </w:r>
            <w:r w:rsidR="00655FFA" w:rsidRPr="005C6F98">
              <w:rPr>
                <w:rFonts w:eastAsia="Calibri" w:cs="Times New Roman"/>
                <w:sz w:val="20"/>
                <w:szCs w:val="20"/>
              </w:rPr>
              <w:t>»</w:t>
            </w:r>
            <w:r w:rsidRPr="005C6F98">
              <w:rPr>
                <w:rFonts w:eastAsia="Calibri" w:cs="Times New Roman"/>
                <w:sz w:val="20"/>
                <w:szCs w:val="20"/>
              </w:rPr>
              <w:t xml:space="preserve"> на 2019, тыс. руб.</w:t>
            </w:r>
          </w:p>
        </w:tc>
        <w:tc>
          <w:tcPr>
            <w:tcW w:w="12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4DC604B" w14:textId="77777777" w:rsidR="005B5BC4" w:rsidRPr="005C6F98" w:rsidRDefault="005B5BC4" w:rsidP="004B013D">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ТБР на 2019, тыс. руб.</w:t>
            </w:r>
          </w:p>
        </w:tc>
        <w:tc>
          <w:tcPr>
            <w:tcW w:w="13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566DC0A" w14:textId="77777777" w:rsidR="005B5BC4" w:rsidRPr="005C6F98" w:rsidRDefault="005B5BC4" w:rsidP="004B013D">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Расчет Исполнителя, тыс. руб.</w:t>
            </w:r>
          </w:p>
        </w:tc>
        <w:tc>
          <w:tcPr>
            <w:tcW w:w="15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614275A" w14:textId="77777777" w:rsidR="005B5BC4" w:rsidRPr="005C6F98" w:rsidRDefault="005B5BC4" w:rsidP="004B013D">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Отклонение  между Исполнителем и Комитетом (ЭОУ)</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E36789E" w14:textId="77777777" w:rsidR="005B5BC4" w:rsidRPr="005C6F98" w:rsidRDefault="005B5BC4" w:rsidP="004B013D">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Отклонение  между Исполнителем и Филиалом (ЭОУ)</w:t>
            </w:r>
          </w:p>
        </w:tc>
      </w:tr>
      <w:tr w:rsidR="004B013D" w:rsidRPr="005C6F98" w14:paraId="61562C15" w14:textId="77777777" w:rsidTr="005C6F98">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FFFFFF" w:themeColor="background1"/>
            </w:tcBorders>
            <w:hideMark/>
          </w:tcPr>
          <w:p w14:paraId="191BE000" w14:textId="7C6F67E8" w:rsidR="005B5BC4" w:rsidRPr="005C6F98" w:rsidRDefault="005B5BC4" w:rsidP="004B013D">
            <w:pPr>
              <w:tabs>
                <w:tab w:val="left" w:pos="1134"/>
              </w:tabs>
              <w:rPr>
                <w:rFonts w:eastAsia="Calibri" w:cs="Times New Roman"/>
                <w:sz w:val="20"/>
                <w:szCs w:val="20"/>
              </w:rPr>
            </w:pPr>
            <w:r w:rsidRPr="005C6F98">
              <w:rPr>
                <w:rFonts w:eastAsia="Calibri" w:cs="Times New Roman"/>
                <w:sz w:val="20"/>
                <w:szCs w:val="20"/>
              </w:rPr>
              <w:t xml:space="preserve">Оплата услуг ПАО </w:t>
            </w:r>
            <w:r w:rsidR="00655FFA" w:rsidRPr="005C6F98">
              <w:rPr>
                <w:rFonts w:eastAsia="Calibri" w:cs="Times New Roman"/>
                <w:sz w:val="20"/>
                <w:szCs w:val="20"/>
              </w:rPr>
              <w:t>«</w:t>
            </w:r>
            <w:r w:rsidRPr="005C6F98">
              <w:rPr>
                <w:rFonts w:eastAsia="Calibri" w:cs="Times New Roman"/>
                <w:sz w:val="20"/>
                <w:szCs w:val="20"/>
              </w:rPr>
              <w:t>ФСК ЕЭС</w:t>
            </w:r>
            <w:r w:rsidR="00655FFA" w:rsidRPr="005C6F98">
              <w:rPr>
                <w:rFonts w:eastAsia="Calibri" w:cs="Times New Roman"/>
                <w:sz w:val="20"/>
                <w:szCs w:val="20"/>
              </w:rPr>
              <w:t>»</w:t>
            </w:r>
          </w:p>
        </w:tc>
        <w:tc>
          <w:tcPr>
            <w:tcW w:w="1760" w:type="dxa"/>
            <w:tcBorders>
              <w:top w:val="single" w:sz="4" w:space="0" w:color="FFFFFF" w:themeColor="background1"/>
            </w:tcBorders>
            <w:hideMark/>
          </w:tcPr>
          <w:p w14:paraId="5D6D175F" w14:textId="77777777" w:rsidR="005B5BC4" w:rsidRPr="005C6F98" w:rsidRDefault="005B5BC4" w:rsidP="004B013D">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2 507 399,5</w:t>
            </w:r>
          </w:p>
        </w:tc>
        <w:tc>
          <w:tcPr>
            <w:tcW w:w="1257" w:type="dxa"/>
            <w:tcBorders>
              <w:top w:val="single" w:sz="4" w:space="0" w:color="FFFFFF" w:themeColor="background1"/>
            </w:tcBorders>
            <w:hideMark/>
          </w:tcPr>
          <w:p w14:paraId="3D267A45" w14:textId="77777777" w:rsidR="005B5BC4" w:rsidRPr="005C6F98" w:rsidRDefault="005B5BC4" w:rsidP="004B013D">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2 550 894,7</w:t>
            </w:r>
          </w:p>
        </w:tc>
        <w:tc>
          <w:tcPr>
            <w:tcW w:w="1397" w:type="dxa"/>
            <w:tcBorders>
              <w:top w:val="single" w:sz="4" w:space="0" w:color="FFFFFF" w:themeColor="background1"/>
            </w:tcBorders>
            <w:hideMark/>
          </w:tcPr>
          <w:p w14:paraId="082D6BFB" w14:textId="77777777" w:rsidR="005B5BC4" w:rsidRPr="005C6F98" w:rsidRDefault="005B5BC4" w:rsidP="004B013D">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2 481 508,4</w:t>
            </w:r>
          </w:p>
        </w:tc>
        <w:tc>
          <w:tcPr>
            <w:tcW w:w="1536" w:type="dxa"/>
            <w:tcBorders>
              <w:top w:val="single" w:sz="4" w:space="0" w:color="FFFFFF" w:themeColor="background1"/>
            </w:tcBorders>
            <w:hideMark/>
          </w:tcPr>
          <w:p w14:paraId="51943787" w14:textId="77777777" w:rsidR="005B5BC4" w:rsidRPr="005C6F98" w:rsidRDefault="005B5BC4" w:rsidP="004B013D">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-69 386,3</w:t>
            </w:r>
          </w:p>
        </w:tc>
        <w:tc>
          <w:tcPr>
            <w:tcW w:w="1390" w:type="dxa"/>
            <w:tcBorders>
              <w:top w:val="single" w:sz="4" w:space="0" w:color="FFFFFF" w:themeColor="background1"/>
            </w:tcBorders>
            <w:hideMark/>
          </w:tcPr>
          <w:p w14:paraId="3E230A7D" w14:textId="77777777" w:rsidR="005B5BC4" w:rsidRPr="005C6F98" w:rsidRDefault="005B5BC4" w:rsidP="004B013D">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-25 891,0</w:t>
            </w:r>
          </w:p>
        </w:tc>
      </w:tr>
      <w:tr w:rsidR="004B013D" w:rsidRPr="005C6F98" w14:paraId="20F2B010" w14:textId="77777777" w:rsidTr="005C6F98">
        <w:tc>
          <w:tcPr>
            <w:cnfStyle w:val="001000000000" w:firstRow="0" w:lastRow="0" w:firstColumn="1" w:lastColumn="0" w:oddVBand="0" w:evenVBand="0" w:oddHBand="0" w:evenHBand="0" w:firstRowFirstColumn="0" w:firstRowLastColumn="0" w:lastRowFirstColumn="0" w:lastRowLastColumn="0"/>
            <w:tcW w:w="2263" w:type="dxa"/>
            <w:hideMark/>
          </w:tcPr>
          <w:p w14:paraId="41E61731" w14:textId="77777777" w:rsidR="005B5BC4" w:rsidRPr="005C6F98" w:rsidRDefault="005B5BC4" w:rsidP="004B013D">
            <w:pPr>
              <w:tabs>
                <w:tab w:val="left" w:pos="1134"/>
              </w:tabs>
              <w:rPr>
                <w:rFonts w:eastAsia="Calibri" w:cs="Times New Roman"/>
                <w:sz w:val="20"/>
                <w:szCs w:val="20"/>
              </w:rPr>
            </w:pPr>
            <w:r w:rsidRPr="005C6F98">
              <w:rPr>
                <w:rFonts w:eastAsia="Calibri" w:cs="Times New Roman"/>
                <w:sz w:val="20"/>
                <w:szCs w:val="20"/>
              </w:rPr>
              <w:t>Тепловая энергия на хоз. нужды</w:t>
            </w:r>
          </w:p>
        </w:tc>
        <w:tc>
          <w:tcPr>
            <w:tcW w:w="1760" w:type="dxa"/>
            <w:hideMark/>
          </w:tcPr>
          <w:p w14:paraId="33148C6B" w14:textId="77777777" w:rsidR="005B5BC4" w:rsidRPr="005C6F98" w:rsidRDefault="005B5BC4" w:rsidP="004B013D">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0,0</w:t>
            </w:r>
          </w:p>
        </w:tc>
        <w:tc>
          <w:tcPr>
            <w:tcW w:w="1257" w:type="dxa"/>
            <w:hideMark/>
          </w:tcPr>
          <w:p w14:paraId="365BA1A4" w14:textId="77777777" w:rsidR="005B5BC4" w:rsidRPr="005C6F98" w:rsidRDefault="005B5BC4" w:rsidP="004B013D">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19 140,0</w:t>
            </w:r>
          </w:p>
        </w:tc>
        <w:tc>
          <w:tcPr>
            <w:tcW w:w="1397" w:type="dxa"/>
            <w:hideMark/>
          </w:tcPr>
          <w:p w14:paraId="7454CFF7" w14:textId="77777777" w:rsidR="005B5BC4" w:rsidRPr="005C6F98" w:rsidRDefault="005B5BC4" w:rsidP="004B013D">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18 973,5</w:t>
            </w:r>
          </w:p>
        </w:tc>
        <w:tc>
          <w:tcPr>
            <w:tcW w:w="1536" w:type="dxa"/>
            <w:hideMark/>
          </w:tcPr>
          <w:p w14:paraId="74BB2A31" w14:textId="77777777" w:rsidR="005B5BC4" w:rsidRPr="005C6F98" w:rsidRDefault="005B5BC4" w:rsidP="004B013D">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-166,5</w:t>
            </w:r>
          </w:p>
        </w:tc>
        <w:tc>
          <w:tcPr>
            <w:tcW w:w="1390" w:type="dxa"/>
            <w:hideMark/>
          </w:tcPr>
          <w:p w14:paraId="4B4E968E" w14:textId="77777777" w:rsidR="005B5BC4" w:rsidRPr="005C6F98" w:rsidRDefault="005B5BC4" w:rsidP="004B013D">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18 973,5</w:t>
            </w:r>
          </w:p>
        </w:tc>
      </w:tr>
      <w:tr w:rsidR="004B013D" w:rsidRPr="005C6F98" w14:paraId="3021D947" w14:textId="77777777" w:rsidTr="005C6F98">
        <w:tc>
          <w:tcPr>
            <w:cnfStyle w:val="001000000000" w:firstRow="0" w:lastRow="0" w:firstColumn="1" w:lastColumn="0" w:oddVBand="0" w:evenVBand="0" w:oddHBand="0" w:evenHBand="0" w:firstRowFirstColumn="0" w:firstRowLastColumn="0" w:lastRowFirstColumn="0" w:lastRowLastColumn="0"/>
            <w:tcW w:w="2263" w:type="dxa"/>
            <w:hideMark/>
          </w:tcPr>
          <w:p w14:paraId="19590D90" w14:textId="77777777" w:rsidR="005B5BC4" w:rsidRPr="005C6F98" w:rsidRDefault="005B5BC4" w:rsidP="004B013D">
            <w:pPr>
              <w:tabs>
                <w:tab w:val="left" w:pos="1134"/>
              </w:tabs>
              <w:rPr>
                <w:rFonts w:eastAsia="Calibri" w:cs="Times New Roman"/>
                <w:sz w:val="20"/>
                <w:szCs w:val="20"/>
              </w:rPr>
            </w:pPr>
            <w:r w:rsidRPr="005C6F98">
              <w:rPr>
                <w:rFonts w:eastAsia="Calibri" w:cs="Times New Roman"/>
                <w:sz w:val="20"/>
                <w:szCs w:val="20"/>
              </w:rPr>
              <w:t>Плата за аренду имущества, всего</w:t>
            </w:r>
          </w:p>
        </w:tc>
        <w:tc>
          <w:tcPr>
            <w:tcW w:w="1760" w:type="dxa"/>
            <w:hideMark/>
          </w:tcPr>
          <w:p w14:paraId="086A0630" w14:textId="77777777" w:rsidR="005B5BC4" w:rsidRPr="005C6F98" w:rsidRDefault="005B5BC4" w:rsidP="004B013D">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6 993,5</w:t>
            </w:r>
          </w:p>
        </w:tc>
        <w:tc>
          <w:tcPr>
            <w:tcW w:w="1257" w:type="dxa"/>
            <w:hideMark/>
          </w:tcPr>
          <w:p w14:paraId="667C0DBE" w14:textId="77777777" w:rsidR="005B5BC4" w:rsidRPr="005C6F98" w:rsidRDefault="005B5BC4" w:rsidP="004B013D">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2 191,6</w:t>
            </w:r>
          </w:p>
        </w:tc>
        <w:tc>
          <w:tcPr>
            <w:tcW w:w="1397" w:type="dxa"/>
            <w:hideMark/>
          </w:tcPr>
          <w:p w14:paraId="4028159A" w14:textId="77777777" w:rsidR="005B5BC4" w:rsidRPr="005C6F98" w:rsidRDefault="005B5BC4" w:rsidP="004B013D">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1 988,5</w:t>
            </w:r>
          </w:p>
        </w:tc>
        <w:tc>
          <w:tcPr>
            <w:tcW w:w="1536" w:type="dxa"/>
            <w:hideMark/>
          </w:tcPr>
          <w:p w14:paraId="5CD19E25" w14:textId="77777777" w:rsidR="005B5BC4" w:rsidRPr="005C6F98" w:rsidRDefault="005B5BC4" w:rsidP="004B013D">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-203,1</w:t>
            </w:r>
          </w:p>
        </w:tc>
        <w:tc>
          <w:tcPr>
            <w:tcW w:w="1390" w:type="dxa"/>
            <w:hideMark/>
          </w:tcPr>
          <w:p w14:paraId="70ACCC2D" w14:textId="77777777" w:rsidR="005B5BC4" w:rsidRPr="005C6F98" w:rsidRDefault="005B5BC4" w:rsidP="004B013D">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-5 005,0</w:t>
            </w:r>
          </w:p>
        </w:tc>
      </w:tr>
      <w:tr w:rsidR="004B013D" w:rsidRPr="005C6F98" w14:paraId="14CA8276" w14:textId="77777777" w:rsidTr="005C6F98">
        <w:tc>
          <w:tcPr>
            <w:cnfStyle w:val="001000000000" w:firstRow="0" w:lastRow="0" w:firstColumn="1" w:lastColumn="0" w:oddVBand="0" w:evenVBand="0" w:oddHBand="0" w:evenHBand="0" w:firstRowFirstColumn="0" w:firstRowLastColumn="0" w:lastRowFirstColumn="0" w:lastRowLastColumn="0"/>
            <w:tcW w:w="2263" w:type="dxa"/>
            <w:hideMark/>
          </w:tcPr>
          <w:p w14:paraId="1D99473F" w14:textId="77777777" w:rsidR="005B5BC4" w:rsidRPr="005C6F98" w:rsidRDefault="005B5BC4" w:rsidP="004B013D">
            <w:pPr>
              <w:tabs>
                <w:tab w:val="left" w:pos="1134"/>
              </w:tabs>
              <w:rPr>
                <w:rFonts w:eastAsia="Calibri" w:cs="Times New Roman"/>
                <w:sz w:val="20"/>
                <w:szCs w:val="20"/>
              </w:rPr>
            </w:pPr>
            <w:r w:rsidRPr="005C6F98">
              <w:rPr>
                <w:rFonts w:eastAsia="Calibri" w:cs="Times New Roman"/>
                <w:sz w:val="20"/>
                <w:szCs w:val="20"/>
              </w:rPr>
              <w:t>Плата за землю</w:t>
            </w:r>
          </w:p>
        </w:tc>
        <w:tc>
          <w:tcPr>
            <w:tcW w:w="1760" w:type="dxa"/>
            <w:hideMark/>
          </w:tcPr>
          <w:p w14:paraId="1C4EF62F" w14:textId="77777777" w:rsidR="005B5BC4" w:rsidRPr="005C6F98" w:rsidRDefault="005B5BC4" w:rsidP="004B013D">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13 371,0</w:t>
            </w:r>
          </w:p>
        </w:tc>
        <w:tc>
          <w:tcPr>
            <w:tcW w:w="1257" w:type="dxa"/>
            <w:hideMark/>
          </w:tcPr>
          <w:p w14:paraId="1C4728B1" w14:textId="77777777" w:rsidR="005B5BC4" w:rsidRPr="005C6F98" w:rsidRDefault="005B5BC4" w:rsidP="004B013D">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13 371,0</w:t>
            </w:r>
          </w:p>
        </w:tc>
        <w:tc>
          <w:tcPr>
            <w:tcW w:w="1397" w:type="dxa"/>
            <w:hideMark/>
          </w:tcPr>
          <w:p w14:paraId="70F0C9F1" w14:textId="77777777" w:rsidR="005B5BC4" w:rsidRPr="005C6F98" w:rsidRDefault="005B5BC4" w:rsidP="004B013D">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13 371,0</w:t>
            </w:r>
          </w:p>
        </w:tc>
        <w:tc>
          <w:tcPr>
            <w:tcW w:w="1536" w:type="dxa"/>
            <w:hideMark/>
          </w:tcPr>
          <w:p w14:paraId="608012DE" w14:textId="77777777" w:rsidR="005B5BC4" w:rsidRPr="005C6F98" w:rsidRDefault="005B5BC4" w:rsidP="004B013D">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0,0</w:t>
            </w:r>
          </w:p>
        </w:tc>
        <w:tc>
          <w:tcPr>
            <w:tcW w:w="1390" w:type="dxa"/>
            <w:hideMark/>
          </w:tcPr>
          <w:p w14:paraId="2C60B347" w14:textId="77777777" w:rsidR="005B5BC4" w:rsidRPr="005C6F98" w:rsidRDefault="005B5BC4" w:rsidP="004B013D">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0,0</w:t>
            </w:r>
          </w:p>
        </w:tc>
      </w:tr>
      <w:tr w:rsidR="004B013D" w:rsidRPr="005C6F98" w14:paraId="2C4149DC" w14:textId="77777777" w:rsidTr="005C6F98">
        <w:tc>
          <w:tcPr>
            <w:cnfStyle w:val="001000000000" w:firstRow="0" w:lastRow="0" w:firstColumn="1" w:lastColumn="0" w:oddVBand="0" w:evenVBand="0" w:oddHBand="0" w:evenHBand="0" w:firstRowFirstColumn="0" w:firstRowLastColumn="0" w:lastRowFirstColumn="0" w:lastRowLastColumn="0"/>
            <w:tcW w:w="2263" w:type="dxa"/>
            <w:hideMark/>
          </w:tcPr>
          <w:p w14:paraId="37FBB046" w14:textId="77777777" w:rsidR="005B5BC4" w:rsidRPr="005C6F98" w:rsidRDefault="005B5BC4" w:rsidP="004B013D">
            <w:pPr>
              <w:tabs>
                <w:tab w:val="left" w:pos="1134"/>
              </w:tabs>
              <w:rPr>
                <w:rFonts w:eastAsia="Calibri" w:cs="Times New Roman"/>
                <w:sz w:val="20"/>
                <w:szCs w:val="20"/>
              </w:rPr>
            </w:pPr>
            <w:r w:rsidRPr="005C6F98">
              <w:rPr>
                <w:rFonts w:eastAsia="Calibri" w:cs="Times New Roman"/>
                <w:sz w:val="20"/>
                <w:szCs w:val="20"/>
              </w:rPr>
              <w:t>Налог на имущество</w:t>
            </w:r>
          </w:p>
        </w:tc>
        <w:tc>
          <w:tcPr>
            <w:tcW w:w="1760" w:type="dxa"/>
            <w:hideMark/>
          </w:tcPr>
          <w:p w14:paraId="4DA64B3D" w14:textId="77777777" w:rsidR="005B5BC4" w:rsidRPr="005C6F98" w:rsidRDefault="005B5BC4" w:rsidP="004B013D">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88 835,6</w:t>
            </w:r>
          </w:p>
        </w:tc>
        <w:tc>
          <w:tcPr>
            <w:tcW w:w="1257" w:type="dxa"/>
            <w:hideMark/>
          </w:tcPr>
          <w:p w14:paraId="7FA14CE1" w14:textId="77777777" w:rsidR="005B5BC4" w:rsidRPr="005C6F98" w:rsidRDefault="005B5BC4" w:rsidP="004B013D">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61 534,4</w:t>
            </w:r>
          </w:p>
        </w:tc>
        <w:tc>
          <w:tcPr>
            <w:tcW w:w="1397" w:type="dxa"/>
            <w:hideMark/>
          </w:tcPr>
          <w:p w14:paraId="6A0F5F41" w14:textId="77777777" w:rsidR="005B5BC4" w:rsidRPr="005C6F98" w:rsidRDefault="005B5BC4" w:rsidP="004B013D">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31 953,4</w:t>
            </w:r>
          </w:p>
        </w:tc>
        <w:tc>
          <w:tcPr>
            <w:tcW w:w="1536" w:type="dxa"/>
            <w:hideMark/>
          </w:tcPr>
          <w:p w14:paraId="6AC622D8" w14:textId="77777777" w:rsidR="005B5BC4" w:rsidRPr="005C6F98" w:rsidRDefault="005B5BC4" w:rsidP="004B013D">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-29 581,0</w:t>
            </w:r>
          </w:p>
        </w:tc>
        <w:tc>
          <w:tcPr>
            <w:tcW w:w="1390" w:type="dxa"/>
            <w:hideMark/>
          </w:tcPr>
          <w:p w14:paraId="4E339754" w14:textId="77777777" w:rsidR="005B5BC4" w:rsidRPr="005C6F98" w:rsidRDefault="005B5BC4" w:rsidP="004B013D">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-56 882,2</w:t>
            </w:r>
          </w:p>
        </w:tc>
      </w:tr>
      <w:tr w:rsidR="004B013D" w:rsidRPr="005C6F98" w14:paraId="04D2EE7D" w14:textId="77777777" w:rsidTr="005C6F98">
        <w:tc>
          <w:tcPr>
            <w:cnfStyle w:val="001000000000" w:firstRow="0" w:lastRow="0" w:firstColumn="1" w:lastColumn="0" w:oddVBand="0" w:evenVBand="0" w:oddHBand="0" w:evenHBand="0" w:firstRowFirstColumn="0" w:firstRowLastColumn="0" w:lastRowFirstColumn="0" w:lastRowLastColumn="0"/>
            <w:tcW w:w="2263" w:type="dxa"/>
            <w:hideMark/>
          </w:tcPr>
          <w:p w14:paraId="5FBB3651" w14:textId="77777777" w:rsidR="005B5BC4" w:rsidRPr="005C6F98" w:rsidRDefault="005B5BC4" w:rsidP="004B013D">
            <w:pPr>
              <w:tabs>
                <w:tab w:val="left" w:pos="1134"/>
              </w:tabs>
              <w:rPr>
                <w:rFonts w:eastAsia="Calibri" w:cs="Times New Roman"/>
                <w:sz w:val="20"/>
                <w:szCs w:val="20"/>
              </w:rPr>
            </w:pPr>
            <w:r w:rsidRPr="005C6F98">
              <w:rPr>
                <w:rFonts w:eastAsia="Calibri" w:cs="Times New Roman"/>
                <w:sz w:val="20"/>
                <w:szCs w:val="20"/>
              </w:rPr>
              <w:t xml:space="preserve">Прочие налоги и сборы </w:t>
            </w:r>
          </w:p>
        </w:tc>
        <w:tc>
          <w:tcPr>
            <w:tcW w:w="1760" w:type="dxa"/>
            <w:hideMark/>
          </w:tcPr>
          <w:p w14:paraId="2C1FA083" w14:textId="77777777" w:rsidR="005B5BC4" w:rsidRPr="005C6F98" w:rsidRDefault="005B5BC4" w:rsidP="004B013D">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5 431,5</w:t>
            </w:r>
          </w:p>
        </w:tc>
        <w:tc>
          <w:tcPr>
            <w:tcW w:w="1257" w:type="dxa"/>
            <w:hideMark/>
          </w:tcPr>
          <w:p w14:paraId="545D8852" w14:textId="77777777" w:rsidR="005B5BC4" w:rsidRPr="005C6F98" w:rsidRDefault="005B5BC4" w:rsidP="004B013D">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5 280,2</w:t>
            </w:r>
          </w:p>
        </w:tc>
        <w:tc>
          <w:tcPr>
            <w:tcW w:w="1397" w:type="dxa"/>
            <w:hideMark/>
          </w:tcPr>
          <w:p w14:paraId="23439D9D" w14:textId="77777777" w:rsidR="005B5BC4" w:rsidRPr="005C6F98" w:rsidRDefault="005B5BC4" w:rsidP="004B013D">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5 280,2</w:t>
            </w:r>
          </w:p>
        </w:tc>
        <w:tc>
          <w:tcPr>
            <w:tcW w:w="1536" w:type="dxa"/>
            <w:hideMark/>
          </w:tcPr>
          <w:p w14:paraId="7402521E" w14:textId="77777777" w:rsidR="005B5BC4" w:rsidRPr="005C6F98" w:rsidRDefault="005B5BC4" w:rsidP="004B013D">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0,0</w:t>
            </w:r>
          </w:p>
        </w:tc>
        <w:tc>
          <w:tcPr>
            <w:tcW w:w="1390" w:type="dxa"/>
            <w:hideMark/>
          </w:tcPr>
          <w:p w14:paraId="1815510C" w14:textId="77777777" w:rsidR="005B5BC4" w:rsidRPr="005C6F98" w:rsidRDefault="005B5BC4" w:rsidP="004B013D">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-151,3</w:t>
            </w:r>
          </w:p>
        </w:tc>
      </w:tr>
      <w:tr w:rsidR="004B013D" w:rsidRPr="005C6F98" w14:paraId="7AAC8144" w14:textId="77777777" w:rsidTr="005C6F98">
        <w:tc>
          <w:tcPr>
            <w:cnfStyle w:val="001000000000" w:firstRow="0" w:lastRow="0" w:firstColumn="1" w:lastColumn="0" w:oddVBand="0" w:evenVBand="0" w:oddHBand="0" w:evenHBand="0" w:firstRowFirstColumn="0" w:firstRowLastColumn="0" w:lastRowFirstColumn="0" w:lastRowLastColumn="0"/>
            <w:tcW w:w="2263" w:type="dxa"/>
            <w:hideMark/>
          </w:tcPr>
          <w:p w14:paraId="2B13DC92" w14:textId="77777777" w:rsidR="005B5BC4" w:rsidRPr="005C6F98" w:rsidRDefault="005B5BC4" w:rsidP="004B013D">
            <w:pPr>
              <w:tabs>
                <w:tab w:val="left" w:pos="1134"/>
              </w:tabs>
              <w:rPr>
                <w:rFonts w:eastAsia="Calibri" w:cs="Times New Roman"/>
                <w:sz w:val="20"/>
                <w:szCs w:val="20"/>
              </w:rPr>
            </w:pPr>
            <w:r w:rsidRPr="005C6F98">
              <w:rPr>
                <w:rFonts w:eastAsia="Calibri" w:cs="Times New Roman"/>
                <w:sz w:val="20"/>
                <w:szCs w:val="20"/>
              </w:rPr>
              <w:t>Отчисления на социальные нужды</w:t>
            </w:r>
          </w:p>
        </w:tc>
        <w:tc>
          <w:tcPr>
            <w:tcW w:w="1760" w:type="dxa"/>
            <w:hideMark/>
          </w:tcPr>
          <w:p w14:paraId="3401987E" w14:textId="77777777" w:rsidR="005B5BC4" w:rsidRPr="005C6F98" w:rsidRDefault="005B5BC4" w:rsidP="004B013D">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354 029,6</w:t>
            </w:r>
          </w:p>
        </w:tc>
        <w:tc>
          <w:tcPr>
            <w:tcW w:w="1257" w:type="dxa"/>
            <w:hideMark/>
          </w:tcPr>
          <w:p w14:paraId="3C43F03E" w14:textId="77777777" w:rsidR="005B5BC4" w:rsidRPr="005C6F98" w:rsidRDefault="005B5BC4" w:rsidP="004B013D">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294 297,2</w:t>
            </w:r>
          </w:p>
        </w:tc>
        <w:tc>
          <w:tcPr>
            <w:tcW w:w="1397" w:type="dxa"/>
            <w:hideMark/>
          </w:tcPr>
          <w:p w14:paraId="15644588" w14:textId="77777777" w:rsidR="005B5BC4" w:rsidRPr="005C6F98" w:rsidRDefault="005B5BC4" w:rsidP="004B013D">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300 835,6</w:t>
            </w:r>
          </w:p>
        </w:tc>
        <w:tc>
          <w:tcPr>
            <w:tcW w:w="1536" w:type="dxa"/>
            <w:hideMark/>
          </w:tcPr>
          <w:p w14:paraId="42CC1F10" w14:textId="77777777" w:rsidR="005B5BC4" w:rsidRPr="005C6F98" w:rsidRDefault="005B5BC4" w:rsidP="004B013D">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6 538,4</w:t>
            </w:r>
          </w:p>
        </w:tc>
        <w:tc>
          <w:tcPr>
            <w:tcW w:w="1390" w:type="dxa"/>
            <w:hideMark/>
          </w:tcPr>
          <w:p w14:paraId="2BD08C8B" w14:textId="77777777" w:rsidR="005B5BC4" w:rsidRPr="005C6F98" w:rsidRDefault="005B5BC4" w:rsidP="004B013D">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-53 194,0</w:t>
            </w:r>
          </w:p>
        </w:tc>
      </w:tr>
      <w:tr w:rsidR="004B013D" w:rsidRPr="005C6F98" w14:paraId="67C597AB" w14:textId="77777777" w:rsidTr="005C6F98">
        <w:tc>
          <w:tcPr>
            <w:cnfStyle w:val="001000000000" w:firstRow="0" w:lastRow="0" w:firstColumn="1" w:lastColumn="0" w:oddVBand="0" w:evenVBand="0" w:oddHBand="0" w:evenHBand="0" w:firstRowFirstColumn="0" w:firstRowLastColumn="0" w:lastRowFirstColumn="0" w:lastRowLastColumn="0"/>
            <w:tcW w:w="2263" w:type="dxa"/>
            <w:hideMark/>
          </w:tcPr>
          <w:p w14:paraId="46E80690" w14:textId="77777777" w:rsidR="005B5BC4" w:rsidRPr="005C6F98" w:rsidRDefault="005B5BC4" w:rsidP="004B013D">
            <w:pPr>
              <w:tabs>
                <w:tab w:val="left" w:pos="1134"/>
              </w:tabs>
              <w:rPr>
                <w:rFonts w:eastAsia="Calibri" w:cs="Times New Roman"/>
                <w:sz w:val="20"/>
                <w:szCs w:val="20"/>
              </w:rPr>
            </w:pPr>
            <w:r w:rsidRPr="005C6F98">
              <w:rPr>
                <w:rFonts w:eastAsia="Calibri" w:cs="Times New Roman"/>
                <w:sz w:val="20"/>
                <w:szCs w:val="20"/>
              </w:rPr>
              <w:t>Налог на прибыль</w:t>
            </w:r>
          </w:p>
        </w:tc>
        <w:tc>
          <w:tcPr>
            <w:tcW w:w="1760" w:type="dxa"/>
            <w:hideMark/>
          </w:tcPr>
          <w:p w14:paraId="4E509BB4" w14:textId="77777777" w:rsidR="005B5BC4" w:rsidRPr="005C6F98" w:rsidRDefault="005B5BC4" w:rsidP="004B013D">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37 038,7</w:t>
            </w:r>
          </w:p>
        </w:tc>
        <w:tc>
          <w:tcPr>
            <w:tcW w:w="1257" w:type="dxa"/>
            <w:hideMark/>
          </w:tcPr>
          <w:p w14:paraId="0572169F" w14:textId="77777777" w:rsidR="005B5BC4" w:rsidRPr="005C6F98" w:rsidRDefault="005B5BC4" w:rsidP="004B013D">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27 646,0</w:t>
            </w:r>
          </w:p>
        </w:tc>
        <w:tc>
          <w:tcPr>
            <w:tcW w:w="1397" w:type="dxa"/>
            <w:hideMark/>
          </w:tcPr>
          <w:p w14:paraId="04DA7728" w14:textId="77777777" w:rsidR="005B5BC4" w:rsidRPr="005C6F98" w:rsidRDefault="005B5BC4" w:rsidP="004B013D">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32 572,3</w:t>
            </w:r>
          </w:p>
        </w:tc>
        <w:tc>
          <w:tcPr>
            <w:tcW w:w="1536" w:type="dxa"/>
            <w:hideMark/>
          </w:tcPr>
          <w:p w14:paraId="4C19DF25" w14:textId="77777777" w:rsidR="005B5BC4" w:rsidRPr="005C6F98" w:rsidRDefault="005B5BC4" w:rsidP="004B013D">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4 926,3</w:t>
            </w:r>
          </w:p>
        </w:tc>
        <w:tc>
          <w:tcPr>
            <w:tcW w:w="1390" w:type="dxa"/>
            <w:hideMark/>
          </w:tcPr>
          <w:p w14:paraId="17926F54" w14:textId="77777777" w:rsidR="005B5BC4" w:rsidRPr="005C6F98" w:rsidRDefault="005B5BC4" w:rsidP="004B013D">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-4 466,4</w:t>
            </w:r>
          </w:p>
        </w:tc>
      </w:tr>
      <w:tr w:rsidR="004B013D" w:rsidRPr="005C6F98" w14:paraId="34425A93" w14:textId="77777777" w:rsidTr="005C6F98">
        <w:tc>
          <w:tcPr>
            <w:cnfStyle w:val="001000000000" w:firstRow="0" w:lastRow="0" w:firstColumn="1" w:lastColumn="0" w:oddVBand="0" w:evenVBand="0" w:oddHBand="0" w:evenHBand="0" w:firstRowFirstColumn="0" w:firstRowLastColumn="0" w:lastRowFirstColumn="0" w:lastRowLastColumn="0"/>
            <w:tcW w:w="2263" w:type="dxa"/>
            <w:hideMark/>
          </w:tcPr>
          <w:p w14:paraId="22587721" w14:textId="77777777" w:rsidR="005B5BC4" w:rsidRPr="005C6F98" w:rsidRDefault="005B5BC4" w:rsidP="004B013D">
            <w:pPr>
              <w:tabs>
                <w:tab w:val="left" w:pos="1134"/>
              </w:tabs>
              <w:rPr>
                <w:rFonts w:eastAsia="Calibri" w:cs="Times New Roman"/>
                <w:sz w:val="20"/>
                <w:szCs w:val="20"/>
              </w:rPr>
            </w:pPr>
            <w:r w:rsidRPr="005C6F98">
              <w:rPr>
                <w:rFonts w:eastAsia="Calibri" w:cs="Times New Roman"/>
                <w:sz w:val="20"/>
                <w:szCs w:val="20"/>
              </w:rPr>
              <w:t xml:space="preserve">Выпадающие доходы от льготного ТП </w:t>
            </w:r>
          </w:p>
        </w:tc>
        <w:tc>
          <w:tcPr>
            <w:tcW w:w="1760" w:type="dxa"/>
            <w:hideMark/>
          </w:tcPr>
          <w:p w14:paraId="36DEF811" w14:textId="77777777" w:rsidR="005B5BC4" w:rsidRPr="005C6F98" w:rsidRDefault="005B5BC4" w:rsidP="004B013D">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51 730,8</w:t>
            </w:r>
          </w:p>
        </w:tc>
        <w:tc>
          <w:tcPr>
            <w:tcW w:w="1257" w:type="dxa"/>
            <w:hideMark/>
          </w:tcPr>
          <w:p w14:paraId="22DF7E2B" w14:textId="77777777" w:rsidR="005B5BC4" w:rsidRPr="005C6F98" w:rsidRDefault="005B5BC4" w:rsidP="004B013D">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175 249,2</w:t>
            </w:r>
          </w:p>
        </w:tc>
        <w:tc>
          <w:tcPr>
            <w:tcW w:w="1397" w:type="dxa"/>
            <w:hideMark/>
          </w:tcPr>
          <w:p w14:paraId="72F7F0DD" w14:textId="77777777" w:rsidR="005B5BC4" w:rsidRPr="005C6F98" w:rsidRDefault="005B5BC4" w:rsidP="004B013D">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111 495,0</w:t>
            </w:r>
          </w:p>
        </w:tc>
        <w:tc>
          <w:tcPr>
            <w:tcW w:w="1536" w:type="dxa"/>
            <w:hideMark/>
          </w:tcPr>
          <w:p w14:paraId="2CE045CC" w14:textId="77777777" w:rsidR="005B5BC4" w:rsidRPr="005C6F98" w:rsidRDefault="005B5BC4" w:rsidP="004B013D">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-63 754,2</w:t>
            </w:r>
          </w:p>
        </w:tc>
        <w:tc>
          <w:tcPr>
            <w:tcW w:w="1390" w:type="dxa"/>
            <w:hideMark/>
          </w:tcPr>
          <w:p w14:paraId="32E27229" w14:textId="77777777" w:rsidR="005B5BC4" w:rsidRPr="005C6F98" w:rsidRDefault="005B5BC4" w:rsidP="004B013D">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59 764,3</w:t>
            </w:r>
          </w:p>
        </w:tc>
      </w:tr>
      <w:tr w:rsidR="004B013D" w:rsidRPr="005C6F98" w14:paraId="0DAEF24C" w14:textId="77777777" w:rsidTr="005C6F98">
        <w:tc>
          <w:tcPr>
            <w:cnfStyle w:val="001000000000" w:firstRow="0" w:lastRow="0" w:firstColumn="1" w:lastColumn="0" w:oddVBand="0" w:evenVBand="0" w:oddHBand="0" w:evenHBand="0" w:firstRowFirstColumn="0" w:firstRowLastColumn="0" w:lastRowFirstColumn="0" w:lastRowLastColumn="0"/>
            <w:tcW w:w="2263" w:type="dxa"/>
            <w:hideMark/>
          </w:tcPr>
          <w:p w14:paraId="70997E69" w14:textId="77777777" w:rsidR="005B5BC4" w:rsidRPr="005C6F98" w:rsidRDefault="005B5BC4" w:rsidP="004B013D">
            <w:pPr>
              <w:tabs>
                <w:tab w:val="left" w:pos="1134"/>
              </w:tabs>
              <w:rPr>
                <w:rFonts w:eastAsia="Calibri" w:cs="Times New Roman"/>
                <w:sz w:val="20"/>
                <w:szCs w:val="20"/>
              </w:rPr>
            </w:pPr>
            <w:r w:rsidRPr="005C6F98">
              <w:rPr>
                <w:rFonts w:eastAsia="Calibri" w:cs="Times New Roman"/>
                <w:sz w:val="20"/>
                <w:szCs w:val="20"/>
              </w:rPr>
              <w:t>Амортизация ОС</w:t>
            </w:r>
          </w:p>
        </w:tc>
        <w:tc>
          <w:tcPr>
            <w:tcW w:w="1760" w:type="dxa"/>
            <w:hideMark/>
          </w:tcPr>
          <w:p w14:paraId="4B936726" w14:textId="77777777" w:rsidR="005B5BC4" w:rsidRPr="005C6F98" w:rsidRDefault="005B5BC4" w:rsidP="004B013D">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396 082,3</w:t>
            </w:r>
          </w:p>
        </w:tc>
        <w:tc>
          <w:tcPr>
            <w:tcW w:w="1257" w:type="dxa"/>
            <w:hideMark/>
          </w:tcPr>
          <w:p w14:paraId="70E8F0F2" w14:textId="77777777" w:rsidR="005B5BC4" w:rsidRPr="005C6F98" w:rsidRDefault="005B5BC4" w:rsidP="004B013D">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393 804,0</w:t>
            </w:r>
          </w:p>
        </w:tc>
        <w:tc>
          <w:tcPr>
            <w:tcW w:w="1397" w:type="dxa"/>
            <w:hideMark/>
          </w:tcPr>
          <w:p w14:paraId="33707371" w14:textId="77777777" w:rsidR="005B5BC4" w:rsidRPr="005C6F98" w:rsidRDefault="005B5BC4" w:rsidP="004B013D">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384 748,2</w:t>
            </w:r>
          </w:p>
        </w:tc>
        <w:tc>
          <w:tcPr>
            <w:tcW w:w="1536" w:type="dxa"/>
            <w:hideMark/>
          </w:tcPr>
          <w:p w14:paraId="7C0995E1" w14:textId="77777777" w:rsidR="005B5BC4" w:rsidRPr="005C6F98" w:rsidRDefault="005B5BC4" w:rsidP="004B013D">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-9 055,8</w:t>
            </w:r>
          </w:p>
        </w:tc>
        <w:tc>
          <w:tcPr>
            <w:tcW w:w="1390" w:type="dxa"/>
            <w:hideMark/>
          </w:tcPr>
          <w:p w14:paraId="16C7E528" w14:textId="77777777" w:rsidR="005B5BC4" w:rsidRPr="005C6F98" w:rsidRDefault="005B5BC4" w:rsidP="004B013D">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-11 334,1</w:t>
            </w:r>
          </w:p>
        </w:tc>
      </w:tr>
      <w:tr w:rsidR="004B013D" w:rsidRPr="005C6F98" w14:paraId="14D44DE4" w14:textId="77777777" w:rsidTr="005C6F98">
        <w:tc>
          <w:tcPr>
            <w:cnfStyle w:val="001000000000" w:firstRow="0" w:lastRow="0" w:firstColumn="1" w:lastColumn="0" w:oddVBand="0" w:evenVBand="0" w:oddHBand="0" w:evenHBand="0" w:firstRowFirstColumn="0" w:firstRowLastColumn="0" w:lastRowFirstColumn="0" w:lastRowLastColumn="0"/>
            <w:tcW w:w="2263" w:type="dxa"/>
            <w:hideMark/>
          </w:tcPr>
          <w:p w14:paraId="0B91FB05" w14:textId="77777777" w:rsidR="005B5BC4" w:rsidRPr="005C6F98" w:rsidRDefault="005B5BC4" w:rsidP="004B013D">
            <w:pPr>
              <w:tabs>
                <w:tab w:val="left" w:pos="1134"/>
              </w:tabs>
              <w:rPr>
                <w:rFonts w:eastAsia="Calibri" w:cs="Times New Roman"/>
                <w:sz w:val="20"/>
                <w:szCs w:val="20"/>
              </w:rPr>
            </w:pPr>
            <w:r w:rsidRPr="005C6F98">
              <w:rPr>
                <w:rFonts w:eastAsia="Calibri" w:cs="Times New Roman"/>
                <w:sz w:val="20"/>
                <w:szCs w:val="20"/>
              </w:rPr>
              <w:t>Проценты за кредит</w:t>
            </w:r>
          </w:p>
        </w:tc>
        <w:tc>
          <w:tcPr>
            <w:tcW w:w="1760" w:type="dxa"/>
            <w:hideMark/>
          </w:tcPr>
          <w:p w14:paraId="7A57A523" w14:textId="77777777" w:rsidR="005B5BC4" w:rsidRPr="005C6F98" w:rsidRDefault="005B5BC4" w:rsidP="004B013D">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218 573,3</w:t>
            </w:r>
          </w:p>
        </w:tc>
        <w:tc>
          <w:tcPr>
            <w:tcW w:w="1257" w:type="dxa"/>
            <w:hideMark/>
          </w:tcPr>
          <w:p w14:paraId="0F672402" w14:textId="77777777" w:rsidR="005B5BC4" w:rsidRPr="005C6F98" w:rsidRDefault="005B5BC4" w:rsidP="004B013D">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218 573,3</w:t>
            </w:r>
          </w:p>
        </w:tc>
        <w:tc>
          <w:tcPr>
            <w:tcW w:w="1397" w:type="dxa"/>
            <w:hideMark/>
          </w:tcPr>
          <w:p w14:paraId="02DD109C" w14:textId="77777777" w:rsidR="005B5BC4" w:rsidRPr="005C6F98" w:rsidRDefault="005B5BC4" w:rsidP="004B013D">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166 622,5</w:t>
            </w:r>
          </w:p>
        </w:tc>
        <w:tc>
          <w:tcPr>
            <w:tcW w:w="1536" w:type="dxa"/>
            <w:hideMark/>
          </w:tcPr>
          <w:p w14:paraId="75D2E6C4" w14:textId="77777777" w:rsidR="005B5BC4" w:rsidRPr="005C6F98" w:rsidRDefault="005B5BC4" w:rsidP="004B013D">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-51 950,8</w:t>
            </w:r>
          </w:p>
        </w:tc>
        <w:tc>
          <w:tcPr>
            <w:tcW w:w="1390" w:type="dxa"/>
            <w:hideMark/>
          </w:tcPr>
          <w:p w14:paraId="36EBF2F4" w14:textId="77777777" w:rsidR="005B5BC4" w:rsidRPr="005C6F98" w:rsidRDefault="005B5BC4" w:rsidP="004B013D">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-51 950,8</w:t>
            </w:r>
          </w:p>
        </w:tc>
      </w:tr>
      <w:tr w:rsidR="004B013D" w:rsidRPr="005C6F98" w14:paraId="38899F43" w14:textId="77777777" w:rsidTr="005C6F98">
        <w:tc>
          <w:tcPr>
            <w:cnfStyle w:val="001000000000" w:firstRow="0" w:lastRow="0" w:firstColumn="1" w:lastColumn="0" w:oddVBand="0" w:evenVBand="0" w:oddHBand="0" w:evenHBand="0" w:firstRowFirstColumn="0" w:firstRowLastColumn="0" w:lastRowFirstColumn="0" w:lastRowLastColumn="0"/>
            <w:tcW w:w="2263" w:type="dxa"/>
            <w:hideMark/>
          </w:tcPr>
          <w:p w14:paraId="2FBCCFBD" w14:textId="77777777" w:rsidR="005B5BC4" w:rsidRPr="005C6F98" w:rsidRDefault="005B5BC4" w:rsidP="004B013D">
            <w:pPr>
              <w:tabs>
                <w:tab w:val="left" w:pos="1134"/>
              </w:tabs>
              <w:rPr>
                <w:rFonts w:eastAsia="Calibri" w:cs="Times New Roman"/>
                <w:sz w:val="20"/>
                <w:szCs w:val="20"/>
              </w:rPr>
            </w:pPr>
            <w:r w:rsidRPr="005C6F98">
              <w:rPr>
                <w:rFonts w:eastAsia="Calibri" w:cs="Times New Roman"/>
                <w:sz w:val="20"/>
                <w:szCs w:val="20"/>
              </w:rPr>
              <w:t>Создание резерва по сомнительным долгам</w:t>
            </w:r>
          </w:p>
        </w:tc>
        <w:tc>
          <w:tcPr>
            <w:tcW w:w="1760" w:type="dxa"/>
            <w:hideMark/>
          </w:tcPr>
          <w:p w14:paraId="797A4A11" w14:textId="77777777" w:rsidR="005B5BC4" w:rsidRPr="005C6F98" w:rsidRDefault="005B5BC4" w:rsidP="004B013D">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1 318 122,3</w:t>
            </w:r>
          </w:p>
        </w:tc>
        <w:tc>
          <w:tcPr>
            <w:tcW w:w="1257" w:type="dxa"/>
            <w:hideMark/>
          </w:tcPr>
          <w:p w14:paraId="63786828" w14:textId="77777777" w:rsidR="005B5BC4" w:rsidRPr="005C6F98" w:rsidRDefault="005B5BC4" w:rsidP="004B013D">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772 263,3</w:t>
            </w:r>
          </w:p>
        </w:tc>
        <w:tc>
          <w:tcPr>
            <w:tcW w:w="1397" w:type="dxa"/>
            <w:hideMark/>
          </w:tcPr>
          <w:p w14:paraId="1D40BBA6" w14:textId="77777777" w:rsidR="005B5BC4" w:rsidRPr="005C6F98" w:rsidRDefault="005B5BC4" w:rsidP="004B013D">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1 039 387,7</w:t>
            </w:r>
          </w:p>
        </w:tc>
        <w:tc>
          <w:tcPr>
            <w:tcW w:w="1536" w:type="dxa"/>
            <w:hideMark/>
          </w:tcPr>
          <w:p w14:paraId="576B7F1C" w14:textId="77777777" w:rsidR="005B5BC4" w:rsidRPr="005C6F98" w:rsidRDefault="005B5BC4" w:rsidP="004B013D">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267 124,3</w:t>
            </w:r>
          </w:p>
        </w:tc>
        <w:tc>
          <w:tcPr>
            <w:tcW w:w="1390" w:type="dxa"/>
            <w:hideMark/>
          </w:tcPr>
          <w:p w14:paraId="51F82AAA" w14:textId="77777777" w:rsidR="005B5BC4" w:rsidRPr="005C6F98" w:rsidRDefault="005B5BC4" w:rsidP="004B013D">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-278 734,6</w:t>
            </w:r>
          </w:p>
        </w:tc>
      </w:tr>
      <w:tr w:rsidR="004B013D" w:rsidRPr="005C6F98" w14:paraId="6BF49F6F" w14:textId="77777777" w:rsidTr="005C6F98">
        <w:tc>
          <w:tcPr>
            <w:cnfStyle w:val="001000000000" w:firstRow="0" w:lastRow="0" w:firstColumn="1" w:lastColumn="0" w:oddVBand="0" w:evenVBand="0" w:oddHBand="0" w:evenHBand="0" w:firstRowFirstColumn="0" w:firstRowLastColumn="0" w:lastRowFirstColumn="0" w:lastRowLastColumn="0"/>
            <w:tcW w:w="2263" w:type="dxa"/>
            <w:hideMark/>
          </w:tcPr>
          <w:p w14:paraId="06E3E41B" w14:textId="77777777" w:rsidR="005B5BC4" w:rsidRPr="005C6F98" w:rsidRDefault="005B5BC4" w:rsidP="004B013D">
            <w:pPr>
              <w:tabs>
                <w:tab w:val="left" w:pos="1134"/>
              </w:tabs>
              <w:rPr>
                <w:rFonts w:eastAsia="Calibri" w:cs="Times New Roman"/>
                <w:sz w:val="20"/>
                <w:szCs w:val="20"/>
              </w:rPr>
            </w:pPr>
            <w:r w:rsidRPr="005C6F98">
              <w:rPr>
                <w:rFonts w:eastAsia="Calibri" w:cs="Times New Roman"/>
                <w:sz w:val="20"/>
                <w:szCs w:val="20"/>
              </w:rPr>
              <w:t>ИТОГО Неподконтрольные расходы</w:t>
            </w:r>
          </w:p>
        </w:tc>
        <w:tc>
          <w:tcPr>
            <w:tcW w:w="1760" w:type="dxa"/>
            <w:hideMark/>
          </w:tcPr>
          <w:p w14:paraId="6FB2A1D1" w14:textId="77777777" w:rsidR="005B5BC4" w:rsidRPr="005C6F98" w:rsidRDefault="005B5BC4" w:rsidP="004B013D">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2 490 208,5</w:t>
            </w:r>
          </w:p>
        </w:tc>
        <w:tc>
          <w:tcPr>
            <w:tcW w:w="1257" w:type="dxa"/>
            <w:hideMark/>
          </w:tcPr>
          <w:p w14:paraId="32F6D01A" w14:textId="77777777" w:rsidR="005B5BC4" w:rsidRPr="005C6F98" w:rsidRDefault="005B5BC4" w:rsidP="004B013D">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1 983 350,2</w:t>
            </w:r>
          </w:p>
        </w:tc>
        <w:tc>
          <w:tcPr>
            <w:tcW w:w="1397" w:type="dxa"/>
            <w:hideMark/>
          </w:tcPr>
          <w:p w14:paraId="419A54FB" w14:textId="77777777" w:rsidR="005B5BC4" w:rsidRPr="005C6F98" w:rsidRDefault="005B5BC4" w:rsidP="004B013D">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2 107 227,8</w:t>
            </w:r>
          </w:p>
        </w:tc>
        <w:tc>
          <w:tcPr>
            <w:tcW w:w="1536" w:type="dxa"/>
            <w:hideMark/>
          </w:tcPr>
          <w:p w14:paraId="58BAEB5D" w14:textId="77777777" w:rsidR="005B5BC4" w:rsidRPr="005C6F98" w:rsidRDefault="005B5BC4" w:rsidP="004B013D">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123 877,6</w:t>
            </w:r>
          </w:p>
        </w:tc>
        <w:tc>
          <w:tcPr>
            <w:tcW w:w="1390" w:type="dxa"/>
            <w:hideMark/>
          </w:tcPr>
          <w:p w14:paraId="15E421E2" w14:textId="77777777" w:rsidR="005B5BC4" w:rsidRPr="005C6F98" w:rsidRDefault="005B5BC4" w:rsidP="004B013D">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-382 980,7</w:t>
            </w:r>
          </w:p>
        </w:tc>
      </w:tr>
    </w:tbl>
    <w:p w14:paraId="0F47400C" w14:textId="77777777" w:rsidR="002F115E" w:rsidRDefault="002F115E" w:rsidP="005C6F98">
      <w:pPr>
        <w:pStyle w:val="3"/>
        <w:numPr>
          <w:ilvl w:val="0"/>
          <w:numId w:val="67"/>
        </w:numPr>
        <w:spacing w:line="360" w:lineRule="auto"/>
        <w:jc w:val="both"/>
        <w:rPr>
          <w:rFonts w:ascii="Myriad Pro" w:hAnsi="Myriad Pro"/>
          <w:b/>
          <w:color w:val="4F6228" w:themeColor="accent3" w:themeShade="80"/>
          <w:sz w:val="28"/>
          <w:szCs w:val="28"/>
        </w:rPr>
        <w:sectPr w:rsidR="002F115E" w:rsidSect="00FB0A3A">
          <w:pgSz w:w="11906" w:h="16838"/>
          <w:pgMar w:top="1134" w:right="851" w:bottom="1134" w:left="1701" w:header="708" w:footer="708" w:gutter="0"/>
          <w:cols w:space="708"/>
          <w:docGrid w:linePitch="360"/>
        </w:sectPr>
      </w:pPr>
      <w:bookmarkStart w:id="65" w:name="_Toc40797973"/>
    </w:p>
    <w:p w14:paraId="33F4084A" w14:textId="0E528865" w:rsidR="00C76343" w:rsidRPr="002D6C17" w:rsidRDefault="00C76343" w:rsidP="005C6F98">
      <w:pPr>
        <w:pStyle w:val="3"/>
        <w:numPr>
          <w:ilvl w:val="0"/>
          <w:numId w:val="67"/>
        </w:numPr>
        <w:spacing w:line="360" w:lineRule="auto"/>
        <w:jc w:val="both"/>
        <w:rPr>
          <w:rFonts w:ascii="Myriad Pro" w:hAnsi="Myriad Pro"/>
          <w:b/>
          <w:color w:val="4F6228" w:themeColor="accent3" w:themeShade="80"/>
          <w:sz w:val="28"/>
          <w:szCs w:val="28"/>
        </w:rPr>
      </w:pPr>
      <w:r w:rsidRPr="002D6C17">
        <w:rPr>
          <w:rFonts w:ascii="Myriad Pro" w:hAnsi="Myriad Pro"/>
          <w:b/>
          <w:color w:val="4F6228" w:themeColor="accent3" w:themeShade="80"/>
          <w:sz w:val="28"/>
          <w:szCs w:val="28"/>
        </w:rPr>
        <w:lastRenderedPageBreak/>
        <w:t>Экспертиза обоснованности расходов на компенсацию потерь, учтенных регулирующим органом в необходимой валовой выручке на 2019 год</w:t>
      </w:r>
      <w:bookmarkEnd w:id="65"/>
    </w:p>
    <w:p w14:paraId="788751E5" w14:textId="246B826E" w:rsidR="00995B0A" w:rsidRPr="00FB0A3A" w:rsidRDefault="003B34CC"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В соответствии с п. 81 Основ ценообразования стоимость потерь электрической энергии при ее передаче по электрическим сетям, включаемых в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определяется:</w:t>
      </w:r>
    </w:p>
    <w:p w14:paraId="312B12BF" w14:textId="77777777" w:rsidR="003B34CC" w:rsidRPr="00FB0A3A" w:rsidRDefault="003B34CC"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для субъектов Российской Федерации, расположенных на территориях ценовых зон оптового рынка, - на основании прогнозных рыночных цен на электрическую энергию (мощность), продаваемую на оптовом рынке, определяемых по субъектам Российской Федерации с учетом официально опубликованных советом рынка данных о прогнозных свободных (нерегулируемых) ценах на электрическую энергию, цен на электрическую энергию (мощность), установленных для квалифицированных генерирующих объектов, функционирующих на основе использования возобновляемых источников энергии или торфа, и информации об основных макроэкономических показателях прогноза социально-экономического развития Российской Федерации, одобренного Правительством Российской Федерации на расчетный период регулирования;</w:t>
      </w:r>
    </w:p>
    <w:p w14:paraId="6ACD339A" w14:textId="1D6200A4" w:rsidR="003B34CC" w:rsidRPr="00FB0A3A" w:rsidRDefault="003B34CC" w:rsidP="00A31747">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с учетом сбытовой надбавки и величины платы за услуги, оказание которых неразрывно связано с процессом снабжения потребителей электрической энергией и цены (тарифы) на которые подлежат государственному регулированию.</w:t>
      </w:r>
    </w:p>
    <w:p w14:paraId="53BF5A89" w14:textId="77777777" w:rsidR="008C068E" w:rsidRPr="00FB0A3A" w:rsidRDefault="008C068E" w:rsidP="00A31747">
      <w:pPr>
        <w:tabs>
          <w:tab w:val="left" w:pos="1134"/>
        </w:tabs>
        <w:spacing w:after="0" w:line="360" w:lineRule="auto"/>
        <w:ind w:firstLine="567"/>
        <w:contextualSpacing/>
        <w:jc w:val="both"/>
        <w:rPr>
          <w:rFonts w:ascii="Myriad Pro" w:eastAsia="Calibri" w:hAnsi="Myriad Pro" w:cs="Times New Roman"/>
          <w:sz w:val="26"/>
          <w:szCs w:val="26"/>
        </w:rPr>
      </w:pPr>
    </w:p>
    <w:p w14:paraId="452CDA30" w14:textId="53594DC4" w:rsidR="006E34E1" w:rsidRPr="00FB0A3A" w:rsidRDefault="00457D12" w:rsidP="00755B66">
      <w:pPr>
        <w:tabs>
          <w:tab w:val="left" w:pos="1134"/>
        </w:tabs>
        <w:spacing w:after="0" w:line="360" w:lineRule="auto"/>
        <w:contextualSpacing/>
        <w:jc w:val="both"/>
        <w:rPr>
          <w:rFonts w:ascii="Myriad Pro" w:eastAsia="Calibri" w:hAnsi="Myriad Pro" w:cs="Times New Roman"/>
          <w:b/>
          <w:sz w:val="26"/>
          <w:szCs w:val="26"/>
        </w:rPr>
      </w:pPr>
      <w:r w:rsidRPr="00FB0A3A">
        <w:rPr>
          <w:rFonts w:ascii="Myriad Pro" w:eastAsia="Calibri" w:hAnsi="Myriad Pro" w:cs="Times New Roman"/>
          <w:b/>
          <w:sz w:val="26"/>
          <w:szCs w:val="26"/>
        </w:rPr>
        <w:t>ПОЗИЦИЯ ТЕРРИТОРИАЛЬНОЙ СЕТЕВОЙ ОРГАНИЗАЦИИ</w:t>
      </w:r>
    </w:p>
    <w:p w14:paraId="5F1EE1BC" w14:textId="34F3D61F" w:rsidR="00AE7EC4" w:rsidRPr="00FB0A3A" w:rsidRDefault="00AE7EC4" w:rsidP="00755B66">
      <w:pPr>
        <w:shd w:val="clear" w:color="auto" w:fill="FFFFFF"/>
        <w:tabs>
          <w:tab w:val="left" w:pos="1134"/>
        </w:tabs>
        <w:spacing w:after="0" w:line="360" w:lineRule="auto"/>
        <w:ind w:firstLine="567"/>
        <w:jc w:val="both"/>
        <w:rPr>
          <w:rFonts w:ascii="Myriad Pro" w:eastAsia="Calibri" w:hAnsi="Myriad Pro" w:cs="Times New Roman"/>
          <w:sz w:val="26"/>
          <w:szCs w:val="26"/>
        </w:rPr>
      </w:pPr>
      <w:r w:rsidRPr="00FB0A3A">
        <w:rPr>
          <w:rFonts w:ascii="Myriad Pro" w:eastAsia="Calibri" w:hAnsi="Myriad Pro" w:cs="Times New Roman"/>
          <w:sz w:val="26"/>
          <w:szCs w:val="26"/>
        </w:rPr>
        <w:t xml:space="preserve">Филиалом заявлена плановая величина потерь электроэнергии 394 млн. кВтч (3,51%). </w:t>
      </w:r>
      <w:r w:rsidR="00561985" w:rsidRPr="00FB0A3A">
        <w:rPr>
          <w:rFonts w:ascii="Myriad Pro" w:eastAsia="Calibri" w:hAnsi="Myriad Pro" w:cs="Times New Roman"/>
          <w:sz w:val="26"/>
          <w:szCs w:val="26"/>
        </w:rPr>
        <w:t>Расходы на оплату потерь Филиалом заявлены в размере 853 084,29 тыс. руб.</w:t>
      </w:r>
    </w:p>
    <w:p w14:paraId="7EE4B32E" w14:textId="75796945" w:rsidR="00AE7EC4" w:rsidRPr="00FB0A3A" w:rsidRDefault="00AE7EC4" w:rsidP="00A31747">
      <w:pPr>
        <w:shd w:val="clear" w:color="auto" w:fill="FFFFFF"/>
        <w:tabs>
          <w:tab w:val="left" w:pos="1134"/>
        </w:tabs>
        <w:spacing w:line="360" w:lineRule="auto"/>
        <w:ind w:firstLine="567"/>
        <w:jc w:val="both"/>
        <w:rPr>
          <w:rFonts w:ascii="Myriad Pro" w:eastAsia="Calibri" w:hAnsi="Myriad Pro" w:cs="Times New Roman"/>
          <w:sz w:val="26"/>
          <w:szCs w:val="26"/>
        </w:rPr>
      </w:pPr>
      <w:r w:rsidRPr="00FB0A3A">
        <w:rPr>
          <w:rFonts w:ascii="Myriad Pro" w:eastAsia="Calibri" w:hAnsi="Myriad Pro" w:cs="Times New Roman"/>
          <w:sz w:val="26"/>
          <w:szCs w:val="26"/>
        </w:rPr>
        <w:lastRenderedPageBreak/>
        <w:t xml:space="preserve">Расчет цены электроэнергии на 2019 год </w:t>
      </w:r>
      <w:r w:rsidR="00506814" w:rsidRPr="00FB0A3A">
        <w:rPr>
          <w:rFonts w:ascii="Myriad Pro" w:eastAsia="Calibri" w:hAnsi="Myriad Pro" w:cs="Times New Roman"/>
          <w:sz w:val="26"/>
          <w:szCs w:val="26"/>
        </w:rPr>
        <w:t xml:space="preserve">Филиалом </w:t>
      </w:r>
      <w:r w:rsidRPr="00FB0A3A">
        <w:rPr>
          <w:rFonts w:ascii="Myriad Pro" w:eastAsia="Calibri" w:hAnsi="Myriad Pro" w:cs="Times New Roman"/>
          <w:sz w:val="26"/>
          <w:szCs w:val="26"/>
        </w:rPr>
        <w:t>произведен из расчета фактической стоимости покупки потерь за период с января 2017 по март 2018 года и с применением ИПЦ 2018 и 2019 гг.</w:t>
      </w:r>
    </w:p>
    <w:p w14:paraId="5CF48889" w14:textId="48DD6740" w:rsidR="00AE7EC4" w:rsidRPr="00FB0A3A" w:rsidRDefault="00AE7EC4" w:rsidP="00755B66">
      <w:pPr>
        <w:pStyle w:val="afff4"/>
        <w:ind w:firstLine="0"/>
        <w:rPr>
          <w:b/>
          <w:i/>
          <w:lang w:val="ru-RU"/>
        </w:rPr>
      </w:pPr>
      <w:r w:rsidRPr="00FB0A3A">
        <w:rPr>
          <w:b/>
          <w:i/>
          <w:lang w:val="ru-RU"/>
        </w:rPr>
        <w:t xml:space="preserve">2018 год </w:t>
      </w:r>
    </w:p>
    <w:tbl>
      <w:tblPr>
        <w:tblStyle w:val="afff6"/>
        <w:tblW w:w="9393" w:type="dxa"/>
        <w:tblLayout w:type="fixed"/>
        <w:tblLook w:val="04A0" w:firstRow="1" w:lastRow="0" w:firstColumn="1" w:lastColumn="0" w:noHBand="0" w:noVBand="1"/>
      </w:tblPr>
      <w:tblGrid>
        <w:gridCol w:w="2972"/>
        <w:gridCol w:w="1285"/>
        <w:gridCol w:w="1386"/>
        <w:gridCol w:w="1417"/>
        <w:gridCol w:w="1166"/>
        <w:gridCol w:w="1167"/>
      </w:tblGrid>
      <w:tr w:rsidR="00AE7EC4" w:rsidRPr="005C6F98" w14:paraId="61B9D870" w14:textId="77777777" w:rsidTr="005C6F98">
        <w:trPr>
          <w:cnfStyle w:val="100000000000" w:firstRow="1" w:lastRow="0" w:firstColumn="0" w:lastColumn="0" w:oddVBand="0" w:evenVBand="0" w:oddHBand="0" w:evenHBand="0" w:firstRowFirstColumn="0" w:firstRowLastColumn="0" w:lastRowFirstColumn="0" w:lastRowLastColumn="0"/>
          <w:trHeight w:val="815"/>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6E4487B9" w14:textId="123E32DF" w:rsidR="00AE7EC4" w:rsidRPr="005C6F98" w:rsidRDefault="00AE7EC4" w:rsidP="005C6F98">
            <w:pPr>
              <w:tabs>
                <w:tab w:val="left" w:pos="1134"/>
              </w:tabs>
              <w:spacing w:before="20" w:after="20"/>
              <w:jc w:val="center"/>
              <w:rPr>
                <w:rFonts w:eastAsia="Calibri" w:cs="Times New Roman"/>
                <w:sz w:val="20"/>
                <w:szCs w:val="20"/>
              </w:rPr>
            </w:pPr>
            <w:r w:rsidRPr="005C6F98">
              <w:rPr>
                <w:rFonts w:eastAsia="Calibri" w:cs="Times New Roman"/>
                <w:sz w:val="20"/>
                <w:szCs w:val="20"/>
              </w:rPr>
              <w:t>Наименование</w:t>
            </w:r>
          </w:p>
        </w:tc>
        <w:tc>
          <w:tcPr>
            <w:tcW w:w="12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5617AE9B" w14:textId="03A64DF3" w:rsidR="00AE7EC4" w:rsidRPr="005C6F98" w:rsidRDefault="00AE7EC4" w:rsidP="005C6F98">
            <w:pPr>
              <w:tabs>
                <w:tab w:val="left" w:pos="1134"/>
              </w:tabs>
              <w:spacing w:before="20" w:after="20"/>
              <w:cnfStyle w:val="100000000000" w:firstRow="1"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Ед.</w:t>
            </w:r>
            <w:r w:rsidR="00164398" w:rsidRPr="005C6F98">
              <w:rPr>
                <w:rFonts w:eastAsia="Calibri" w:cs="Times New Roman"/>
                <w:sz w:val="20"/>
                <w:szCs w:val="20"/>
              </w:rPr>
              <w:t xml:space="preserve"> </w:t>
            </w:r>
            <w:r w:rsidRPr="005C6F98">
              <w:rPr>
                <w:rFonts w:eastAsia="Calibri" w:cs="Times New Roman"/>
                <w:sz w:val="20"/>
                <w:szCs w:val="20"/>
              </w:rPr>
              <w:t>изм</w:t>
            </w:r>
            <w:r w:rsidR="00164398" w:rsidRPr="005C6F98">
              <w:rPr>
                <w:rFonts w:eastAsia="Calibri" w:cs="Times New Roman"/>
                <w:sz w:val="20"/>
                <w:szCs w:val="20"/>
              </w:rPr>
              <w:t>.</w:t>
            </w:r>
          </w:p>
        </w:tc>
        <w:tc>
          <w:tcPr>
            <w:tcW w:w="1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65924773" w14:textId="422A6FEF" w:rsidR="00AE7EC4" w:rsidRPr="005C6F98" w:rsidRDefault="00AE7EC4" w:rsidP="005C6F98">
            <w:pPr>
              <w:tabs>
                <w:tab w:val="left" w:pos="1134"/>
              </w:tabs>
              <w:spacing w:before="20" w:after="20"/>
              <w:cnfStyle w:val="100000000000" w:firstRow="1"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1 пол</w:t>
            </w:r>
            <w:r w:rsidR="00E556F8" w:rsidRPr="005C6F98">
              <w:rPr>
                <w:rFonts w:eastAsia="Calibri" w:cs="Times New Roman"/>
                <w:sz w:val="20"/>
                <w:szCs w:val="20"/>
              </w:rPr>
              <w:t>угодие</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37CBEA22" w14:textId="7604A705" w:rsidR="00AE7EC4" w:rsidRPr="005C6F98" w:rsidRDefault="00AE7EC4" w:rsidP="005C6F98">
            <w:pPr>
              <w:tabs>
                <w:tab w:val="left" w:pos="1134"/>
              </w:tabs>
              <w:spacing w:before="20" w:after="20"/>
              <w:cnfStyle w:val="100000000000" w:firstRow="1"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2 пол</w:t>
            </w:r>
            <w:r w:rsidR="00E556F8" w:rsidRPr="005C6F98">
              <w:rPr>
                <w:rFonts w:eastAsia="Calibri" w:cs="Times New Roman"/>
                <w:sz w:val="20"/>
                <w:szCs w:val="20"/>
              </w:rPr>
              <w:t>угодие</w:t>
            </w:r>
          </w:p>
        </w:tc>
        <w:tc>
          <w:tcPr>
            <w:tcW w:w="11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24E1EEA6" w14:textId="72CBD6E5" w:rsidR="00AE7EC4" w:rsidRPr="005C6F98" w:rsidRDefault="00E556F8" w:rsidP="005C6F98">
            <w:pPr>
              <w:tabs>
                <w:tab w:val="left" w:pos="1134"/>
              </w:tabs>
              <w:spacing w:before="20" w:after="20"/>
              <w:cnfStyle w:val="100000000000" w:firstRow="1"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Г</w:t>
            </w:r>
            <w:r w:rsidR="00AE7EC4" w:rsidRPr="005C6F98">
              <w:rPr>
                <w:rFonts w:eastAsia="Calibri" w:cs="Times New Roman"/>
                <w:sz w:val="20"/>
                <w:szCs w:val="20"/>
              </w:rPr>
              <w:t>од</w:t>
            </w:r>
          </w:p>
        </w:tc>
        <w:tc>
          <w:tcPr>
            <w:tcW w:w="11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A8D170C" w14:textId="7D226353" w:rsidR="00AE7EC4" w:rsidRPr="005C6F98" w:rsidRDefault="00EB2242" w:rsidP="005C6F98">
            <w:pPr>
              <w:tabs>
                <w:tab w:val="left" w:pos="1134"/>
              </w:tabs>
              <w:spacing w:before="20" w:after="20"/>
              <w:cnfStyle w:val="100000000000" w:firstRow="1"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И</w:t>
            </w:r>
            <w:r w:rsidR="00AE7EC4" w:rsidRPr="005C6F98">
              <w:rPr>
                <w:rFonts w:eastAsia="Calibri" w:cs="Times New Roman"/>
                <w:sz w:val="20"/>
                <w:szCs w:val="20"/>
              </w:rPr>
              <w:t>ндекс 2018/2017 %</w:t>
            </w:r>
          </w:p>
        </w:tc>
      </w:tr>
      <w:tr w:rsidR="00AE7EC4" w:rsidRPr="005C6F98" w14:paraId="7607F74F" w14:textId="77777777" w:rsidTr="005C6F98">
        <w:trPr>
          <w:trHeight w:val="265"/>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FFFFFF" w:themeColor="background1"/>
            </w:tcBorders>
            <w:noWrap/>
            <w:hideMark/>
          </w:tcPr>
          <w:p w14:paraId="31B1198E" w14:textId="77777777" w:rsidR="00AE7EC4" w:rsidRPr="005C6F98" w:rsidRDefault="00AE7EC4" w:rsidP="005C6F98">
            <w:pPr>
              <w:tabs>
                <w:tab w:val="left" w:pos="1134"/>
              </w:tabs>
              <w:spacing w:before="20" w:after="20"/>
              <w:rPr>
                <w:rFonts w:eastAsia="Calibri" w:cs="Times New Roman"/>
                <w:sz w:val="20"/>
                <w:szCs w:val="20"/>
              </w:rPr>
            </w:pPr>
            <w:r w:rsidRPr="005C6F98">
              <w:rPr>
                <w:rFonts w:eastAsia="Calibri" w:cs="Times New Roman"/>
                <w:sz w:val="20"/>
                <w:szCs w:val="20"/>
              </w:rPr>
              <w:t>объем (СПБ)</w:t>
            </w:r>
          </w:p>
        </w:tc>
        <w:tc>
          <w:tcPr>
            <w:tcW w:w="1285" w:type="dxa"/>
            <w:tcBorders>
              <w:top w:val="single" w:sz="4" w:space="0" w:color="FFFFFF" w:themeColor="background1"/>
            </w:tcBorders>
            <w:noWrap/>
            <w:hideMark/>
          </w:tcPr>
          <w:p w14:paraId="722E2065" w14:textId="6C3A9782" w:rsidR="00AE7EC4" w:rsidRPr="005C6F98" w:rsidRDefault="00AE7EC4" w:rsidP="005C6F98">
            <w:pPr>
              <w:tabs>
                <w:tab w:val="left" w:pos="1134"/>
              </w:tabs>
              <w:spacing w:before="20" w:after="20"/>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млн.кВт</w:t>
            </w:r>
            <w:r w:rsidR="0024367F" w:rsidRPr="005C6F98">
              <w:rPr>
                <w:rFonts w:eastAsia="Calibri" w:cs="Times New Roman"/>
                <w:sz w:val="20"/>
                <w:szCs w:val="20"/>
              </w:rPr>
              <w:t>*</w:t>
            </w:r>
            <w:r w:rsidRPr="005C6F98">
              <w:rPr>
                <w:rFonts w:eastAsia="Calibri" w:cs="Times New Roman"/>
                <w:sz w:val="20"/>
                <w:szCs w:val="20"/>
              </w:rPr>
              <w:t>ч</w:t>
            </w:r>
          </w:p>
        </w:tc>
        <w:tc>
          <w:tcPr>
            <w:tcW w:w="1386" w:type="dxa"/>
            <w:tcBorders>
              <w:top w:val="single" w:sz="4" w:space="0" w:color="FFFFFF" w:themeColor="background1"/>
            </w:tcBorders>
            <w:noWrap/>
            <w:hideMark/>
          </w:tcPr>
          <w:p w14:paraId="6E9DAB4A" w14:textId="77777777" w:rsidR="00AE7EC4" w:rsidRPr="005C6F98" w:rsidRDefault="00AE7EC4" w:rsidP="005C6F98">
            <w:pPr>
              <w:tabs>
                <w:tab w:val="left" w:pos="1134"/>
              </w:tabs>
              <w:spacing w:before="20" w:after="20"/>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183,68</w:t>
            </w:r>
          </w:p>
        </w:tc>
        <w:tc>
          <w:tcPr>
            <w:tcW w:w="1417" w:type="dxa"/>
            <w:tcBorders>
              <w:top w:val="single" w:sz="4" w:space="0" w:color="FFFFFF" w:themeColor="background1"/>
            </w:tcBorders>
            <w:noWrap/>
            <w:hideMark/>
          </w:tcPr>
          <w:p w14:paraId="31C1259A" w14:textId="77777777" w:rsidR="00AE7EC4" w:rsidRPr="005C6F98" w:rsidRDefault="00AE7EC4" w:rsidP="005C6F98">
            <w:pPr>
              <w:tabs>
                <w:tab w:val="left" w:pos="1134"/>
              </w:tabs>
              <w:spacing w:before="20" w:after="20"/>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178,47</w:t>
            </w:r>
          </w:p>
        </w:tc>
        <w:tc>
          <w:tcPr>
            <w:tcW w:w="1166" w:type="dxa"/>
            <w:tcBorders>
              <w:top w:val="single" w:sz="4" w:space="0" w:color="FFFFFF" w:themeColor="background1"/>
            </w:tcBorders>
            <w:noWrap/>
            <w:hideMark/>
          </w:tcPr>
          <w:p w14:paraId="59CC5830" w14:textId="77777777" w:rsidR="00AE7EC4" w:rsidRPr="005C6F98" w:rsidRDefault="00AE7EC4" w:rsidP="005C6F98">
            <w:pPr>
              <w:tabs>
                <w:tab w:val="left" w:pos="1134"/>
              </w:tabs>
              <w:spacing w:before="20" w:after="20"/>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362,15</w:t>
            </w:r>
          </w:p>
        </w:tc>
        <w:tc>
          <w:tcPr>
            <w:tcW w:w="1167" w:type="dxa"/>
            <w:tcBorders>
              <w:top w:val="single" w:sz="4" w:space="0" w:color="FFFFFF" w:themeColor="background1"/>
            </w:tcBorders>
            <w:noWrap/>
            <w:hideMark/>
          </w:tcPr>
          <w:p w14:paraId="0F602213" w14:textId="77777777" w:rsidR="00AE7EC4" w:rsidRPr="005C6F98" w:rsidRDefault="00AE7EC4" w:rsidP="005C6F98">
            <w:pPr>
              <w:tabs>
                <w:tab w:val="left" w:pos="1134"/>
              </w:tabs>
              <w:spacing w:before="20" w:after="20"/>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90,6%</w:t>
            </w:r>
          </w:p>
        </w:tc>
      </w:tr>
      <w:tr w:rsidR="00AE7EC4" w:rsidRPr="005C6F98" w14:paraId="7C9D4B63" w14:textId="77777777" w:rsidTr="005C6F98">
        <w:trPr>
          <w:trHeight w:val="282"/>
        </w:trPr>
        <w:tc>
          <w:tcPr>
            <w:cnfStyle w:val="001000000000" w:firstRow="0" w:lastRow="0" w:firstColumn="1" w:lastColumn="0" w:oddVBand="0" w:evenVBand="0" w:oddHBand="0" w:evenHBand="0" w:firstRowFirstColumn="0" w:firstRowLastColumn="0" w:lastRowFirstColumn="0" w:lastRowLastColumn="0"/>
            <w:tcW w:w="2972" w:type="dxa"/>
            <w:noWrap/>
            <w:hideMark/>
          </w:tcPr>
          <w:p w14:paraId="2AA78BAF" w14:textId="77777777" w:rsidR="00AE7EC4" w:rsidRPr="005C6F98" w:rsidRDefault="00AE7EC4" w:rsidP="005C6F98">
            <w:pPr>
              <w:tabs>
                <w:tab w:val="left" w:pos="1134"/>
              </w:tabs>
              <w:spacing w:before="20" w:after="20"/>
              <w:rPr>
                <w:rFonts w:eastAsia="Calibri" w:cs="Times New Roman"/>
                <w:sz w:val="20"/>
                <w:szCs w:val="20"/>
              </w:rPr>
            </w:pPr>
            <w:r w:rsidRPr="005C6F98">
              <w:rPr>
                <w:rFonts w:eastAsia="Calibri" w:cs="Times New Roman"/>
                <w:sz w:val="20"/>
                <w:szCs w:val="20"/>
              </w:rPr>
              <w:t>Тариф покупки потерь, в том числе:</w:t>
            </w:r>
          </w:p>
        </w:tc>
        <w:tc>
          <w:tcPr>
            <w:tcW w:w="1285" w:type="dxa"/>
            <w:noWrap/>
            <w:hideMark/>
          </w:tcPr>
          <w:p w14:paraId="78A68752" w14:textId="00A0BC9D" w:rsidR="00AE7EC4" w:rsidRPr="005C6F98" w:rsidRDefault="000C264C" w:rsidP="005C6F98">
            <w:pPr>
              <w:tabs>
                <w:tab w:val="left" w:pos="1134"/>
              </w:tabs>
              <w:spacing w:before="20" w:after="20"/>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руб.</w:t>
            </w:r>
            <w:r w:rsidR="00AE7EC4" w:rsidRPr="005C6F98">
              <w:rPr>
                <w:rFonts w:eastAsia="Calibri" w:cs="Times New Roman"/>
                <w:sz w:val="20"/>
                <w:szCs w:val="20"/>
              </w:rPr>
              <w:t>/МВт</w:t>
            </w:r>
            <w:r w:rsidR="0024367F" w:rsidRPr="005C6F98">
              <w:rPr>
                <w:rFonts w:eastAsia="Calibri" w:cs="Times New Roman"/>
                <w:sz w:val="20"/>
                <w:szCs w:val="20"/>
              </w:rPr>
              <w:t>*</w:t>
            </w:r>
            <w:r w:rsidR="00AE7EC4" w:rsidRPr="005C6F98">
              <w:rPr>
                <w:rFonts w:eastAsia="Calibri" w:cs="Times New Roman"/>
                <w:sz w:val="20"/>
                <w:szCs w:val="20"/>
              </w:rPr>
              <w:t>ч</w:t>
            </w:r>
          </w:p>
        </w:tc>
        <w:tc>
          <w:tcPr>
            <w:tcW w:w="1386" w:type="dxa"/>
            <w:noWrap/>
            <w:hideMark/>
          </w:tcPr>
          <w:p w14:paraId="27A25152" w14:textId="77777777" w:rsidR="00AE7EC4" w:rsidRPr="005C6F98" w:rsidRDefault="00AE7EC4" w:rsidP="005C6F98">
            <w:pPr>
              <w:tabs>
                <w:tab w:val="left" w:pos="1134"/>
              </w:tabs>
              <w:spacing w:before="20" w:after="20"/>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1 912,39</w:t>
            </w:r>
          </w:p>
        </w:tc>
        <w:tc>
          <w:tcPr>
            <w:tcW w:w="1417" w:type="dxa"/>
            <w:noWrap/>
            <w:hideMark/>
          </w:tcPr>
          <w:p w14:paraId="19168C6F" w14:textId="77777777" w:rsidR="00AE7EC4" w:rsidRPr="005C6F98" w:rsidRDefault="00AE7EC4" w:rsidP="005C6F98">
            <w:pPr>
              <w:tabs>
                <w:tab w:val="left" w:pos="1134"/>
              </w:tabs>
              <w:spacing w:before="20" w:after="20"/>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2 099,04</w:t>
            </w:r>
          </w:p>
        </w:tc>
        <w:tc>
          <w:tcPr>
            <w:tcW w:w="1166" w:type="dxa"/>
            <w:noWrap/>
            <w:hideMark/>
          </w:tcPr>
          <w:p w14:paraId="11164968" w14:textId="77777777" w:rsidR="00AE7EC4" w:rsidRPr="005C6F98" w:rsidRDefault="00AE7EC4" w:rsidP="005C6F98">
            <w:pPr>
              <w:tabs>
                <w:tab w:val="left" w:pos="1134"/>
              </w:tabs>
              <w:spacing w:before="20" w:after="20"/>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2004,37</w:t>
            </w:r>
          </w:p>
        </w:tc>
        <w:tc>
          <w:tcPr>
            <w:tcW w:w="1167" w:type="dxa"/>
            <w:noWrap/>
            <w:hideMark/>
          </w:tcPr>
          <w:p w14:paraId="1F0ACE69" w14:textId="77777777" w:rsidR="00AE7EC4" w:rsidRPr="005C6F98" w:rsidRDefault="00AE7EC4" w:rsidP="005C6F98">
            <w:pPr>
              <w:tabs>
                <w:tab w:val="left" w:pos="1134"/>
              </w:tabs>
              <w:spacing w:before="20" w:after="20"/>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99,9%</w:t>
            </w:r>
          </w:p>
        </w:tc>
      </w:tr>
      <w:tr w:rsidR="00AE7EC4" w:rsidRPr="005C6F98" w14:paraId="0295375D" w14:textId="77777777" w:rsidTr="005C6F98">
        <w:trPr>
          <w:trHeight w:val="265"/>
        </w:trPr>
        <w:tc>
          <w:tcPr>
            <w:cnfStyle w:val="001000000000" w:firstRow="0" w:lastRow="0" w:firstColumn="1" w:lastColumn="0" w:oddVBand="0" w:evenVBand="0" w:oddHBand="0" w:evenHBand="0" w:firstRowFirstColumn="0" w:firstRowLastColumn="0" w:lastRowFirstColumn="0" w:lastRowLastColumn="0"/>
            <w:tcW w:w="2972" w:type="dxa"/>
            <w:noWrap/>
            <w:hideMark/>
          </w:tcPr>
          <w:p w14:paraId="39620C7A" w14:textId="77777777" w:rsidR="00AE7EC4" w:rsidRPr="005C6F98" w:rsidRDefault="00AE7EC4" w:rsidP="005C6F98">
            <w:pPr>
              <w:tabs>
                <w:tab w:val="left" w:pos="1134"/>
              </w:tabs>
              <w:spacing w:before="20" w:after="20"/>
              <w:rPr>
                <w:rFonts w:eastAsia="Calibri" w:cs="Times New Roman"/>
                <w:sz w:val="20"/>
                <w:szCs w:val="20"/>
              </w:rPr>
            </w:pPr>
            <w:r w:rsidRPr="005C6F98">
              <w:rPr>
                <w:rFonts w:eastAsia="Calibri" w:cs="Times New Roman"/>
                <w:sz w:val="20"/>
                <w:szCs w:val="20"/>
              </w:rPr>
              <w:t xml:space="preserve">цена на покупку </w:t>
            </w:r>
          </w:p>
        </w:tc>
        <w:tc>
          <w:tcPr>
            <w:tcW w:w="1285" w:type="dxa"/>
            <w:noWrap/>
            <w:hideMark/>
          </w:tcPr>
          <w:p w14:paraId="01857360" w14:textId="00DABD82" w:rsidR="00AE7EC4" w:rsidRPr="005C6F98" w:rsidRDefault="000C264C" w:rsidP="005C6F98">
            <w:pPr>
              <w:tabs>
                <w:tab w:val="left" w:pos="1134"/>
              </w:tabs>
              <w:spacing w:before="20" w:after="20"/>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руб.</w:t>
            </w:r>
            <w:r w:rsidR="00AE7EC4" w:rsidRPr="005C6F98">
              <w:rPr>
                <w:rFonts w:eastAsia="Calibri" w:cs="Times New Roman"/>
                <w:sz w:val="20"/>
                <w:szCs w:val="20"/>
              </w:rPr>
              <w:t>/МВт</w:t>
            </w:r>
            <w:r w:rsidR="0024367F" w:rsidRPr="005C6F98">
              <w:rPr>
                <w:rFonts w:eastAsia="Calibri" w:cs="Times New Roman"/>
                <w:sz w:val="20"/>
                <w:szCs w:val="20"/>
              </w:rPr>
              <w:t>*</w:t>
            </w:r>
            <w:r w:rsidR="00AE7EC4" w:rsidRPr="005C6F98">
              <w:rPr>
                <w:rFonts w:eastAsia="Calibri" w:cs="Times New Roman"/>
                <w:sz w:val="20"/>
                <w:szCs w:val="20"/>
              </w:rPr>
              <w:t>ч</w:t>
            </w:r>
          </w:p>
        </w:tc>
        <w:tc>
          <w:tcPr>
            <w:tcW w:w="1386" w:type="dxa"/>
            <w:noWrap/>
            <w:hideMark/>
          </w:tcPr>
          <w:p w14:paraId="77A7CF30" w14:textId="77777777" w:rsidR="00AE7EC4" w:rsidRPr="005C6F98" w:rsidRDefault="00AE7EC4" w:rsidP="005C6F98">
            <w:pPr>
              <w:tabs>
                <w:tab w:val="left" w:pos="1134"/>
              </w:tabs>
              <w:spacing w:before="20" w:after="20"/>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1 790,58</w:t>
            </w:r>
          </w:p>
        </w:tc>
        <w:tc>
          <w:tcPr>
            <w:tcW w:w="1417" w:type="dxa"/>
            <w:noWrap/>
            <w:hideMark/>
          </w:tcPr>
          <w:p w14:paraId="7BC44FCF" w14:textId="77777777" w:rsidR="00AE7EC4" w:rsidRPr="005C6F98" w:rsidRDefault="00AE7EC4" w:rsidP="005C6F98">
            <w:pPr>
              <w:tabs>
                <w:tab w:val="left" w:pos="1134"/>
              </w:tabs>
              <w:spacing w:before="20" w:after="20"/>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1 862,20</w:t>
            </w:r>
          </w:p>
        </w:tc>
        <w:tc>
          <w:tcPr>
            <w:tcW w:w="1166" w:type="dxa"/>
            <w:noWrap/>
            <w:hideMark/>
          </w:tcPr>
          <w:p w14:paraId="3536A8D1" w14:textId="77777777" w:rsidR="00AE7EC4" w:rsidRPr="005C6F98" w:rsidRDefault="00AE7EC4" w:rsidP="005C6F98">
            <w:pPr>
              <w:tabs>
                <w:tab w:val="left" w:pos="1134"/>
              </w:tabs>
              <w:spacing w:before="20" w:after="20"/>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1825,87</w:t>
            </w:r>
          </w:p>
        </w:tc>
        <w:tc>
          <w:tcPr>
            <w:tcW w:w="1167" w:type="dxa"/>
            <w:noWrap/>
            <w:hideMark/>
          </w:tcPr>
          <w:p w14:paraId="0CF73411" w14:textId="77777777" w:rsidR="00AE7EC4" w:rsidRPr="005C6F98" w:rsidRDefault="00AE7EC4" w:rsidP="005C6F98">
            <w:pPr>
              <w:tabs>
                <w:tab w:val="left" w:pos="1134"/>
              </w:tabs>
              <w:spacing w:before="20" w:after="20"/>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103,4%</w:t>
            </w:r>
          </w:p>
        </w:tc>
      </w:tr>
      <w:tr w:rsidR="00AE7EC4" w:rsidRPr="005C6F98" w14:paraId="3A62B552" w14:textId="77777777" w:rsidTr="005C6F98">
        <w:trPr>
          <w:trHeight w:val="265"/>
        </w:trPr>
        <w:tc>
          <w:tcPr>
            <w:cnfStyle w:val="001000000000" w:firstRow="0" w:lastRow="0" w:firstColumn="1" w:lastColumn="0" w:oddVBand="0" w:evenVBand="0" w:oddHBand="0" w:evenHBand="0" w:firstRowFirstColumn="0" w:firstRowLastColumn="0" w:lastRowFirstColumn="0" w:lastRowLastColumn="0"/>
            <w:tcW w:w="2972" w:type="dxa"/>
            <w:noWrap/>
            <w:hideMark/>
          </w:tcPr>
          <w:p w14:paraId="31798D54" w14:textId="77777777" w:rsidR="00AE7EC4" w:rsidRPr="005C6F98" w:rsidRDefault="00AE7EC4" w:rsidP="005C6F98">
            <w:pPr>
              <w:tabs>
                <w:tab w:val="left" w:pos="1134"/>
              </w:tabs>
              <w:spacing w:before="20" w:after="20"/>
              <w:rPr>
                <w:rFonts w:eastAsia="Calibri" w:cs="Times New Roman"/>
                <w:sz w:val="20"/>
                <w:szCs w:val="20"/>
              </w:rPr>
            </w:pPr>
            <w:r w:rsidRPr="005C6F98">
              <w:rPr>
                <w:rFonts w:eastAsia="Calibri" w:cs="Times New Roman"/>
                <w:sz w:val="20"/>
                <w:szCs w:val="20"/>
              </w:rPr>
              <w:t>сбытовая надбавка</w:t>
            </w:r>
          </w:p>
        </w:tc>
        <w:tc>
          <w:tcPr>
            <w:tcW w:w="1285" w:type="dxa"/>
            <w:noWrap/>
            <w:hideMark/>
          </w:tcPr>
          <w:p w14:paraId="1F2F9F3E" w14:textId="2913A74F" w:rsidR="00AE7EC4" w:rsidRPr="005C6F98" w:rsidRDefault="000C264C" w:rsidP="005C6F98">
            <w:pPr>
              <w:tabs>
                <w:tab w:val="left" w:pos="1134"/>
              </w:tabs>
              <w:spacing w:before="20" w:after="20"/>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руб.</w:t>
            </w:r>
            <w:r w:rsidR="00AE7EC4" w:rsidRPr="005C6F98">
              <w:rPr>
                <w:rFonts w:eastAsia="Calibri" w:cs="Times New Roman"/>
                <w:sz w:val="20"/>
                <w:szCs w:val="20"/>
              </w:rPr>
              <w:t>/МВт</w:t>
            </w:r>
            <w:r w:rsidR="0024367F" w:rsidRPr="005C6F98">
              <w:rPr>
                <w:rFonts w:eastAsia="Calibri" w:cs="Times New Roman"/>
                <w:sz w:val="20"/>
                <w:szCs w:val="20"/>
              </w:rPr>
              <w:t>*</w:t>
            </w:r>
            <w:r w:rsidR="00AE7EC4" w:rsidRPr="005C6F98">
              <w:rPr>
                <w:rFonts w:eastAsia="Calibri" w:cs="Times New Roman"/>
                <w:sz w:val="20"/>
                <w:szCs w:val="20"/>
              </w:rPr>
              <w:t>ч</w:t>
            </w:r>
          </w:p>
        </w:tc>
        <w:tc>
          <w:tcPr>
            <w:tcW w:w="1386" w:type="dxa"/>
            <w:noWrap/>
            <w:hideMark/>
          </w:tcPr>
          <w:p w14:paraId="00FCE232" w14:textId="77777777" w:rsidR="00AE7EC4" w:rsidRPr="005C6F98" w:rsidRDefault="00AE7EC4" w:rsidP="005C6F98">
            <w:pPr>
              <w:tabs>
                <w:tab w:val="left" w:pos="1134"/>
              </w:tabs>
              <w:spacing w:before="20" w:after="20"/>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118,80</w:t>
            </w:r>
          </w:p>
        </w:tc>
        <w:tc>
          <w:tcPr>
            <w:tcW w:w="1417" w:type="dxa"/>
            <w:noWrap/>
            <w:hideMark/>
          </w:tcPr>
          <w:p w14:paraId="007E5562" w14:textId="77777777" w:rsidR="00AE7EC4" w:rsidRPr="005C6F98" w:rsidRDefault="00AE7EC4" w:rsidP="005C6F98">
            <w:pPr>
              <w:tabs>
                <w:tab w:val="left" w:pos="1134"/>
              </w:tabs>
              <w:spacing w:before="20" w:after="20"/>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233,71</w:t>
            </w:r>
          </w:p>
        </w:tc>
        <w:tc>
          <w:tcPr>
            <w:tcW w:w="1166" w:type="dxa"/>
            <w:noWrap/>
            <w:hideMark/>
          </w:tcPr>
          <w:p w14:paraId="099E5371" w14:textId="77777777" w:rsidR="00AE7EC4" w:rsidRPr="005C6F98" w:rsidRDefault="00AE7EC4" w:rsidP="005C6F98">
            <w:pPr>
              <w:tabs>
                <w:tab w:val="left" w:pos="1134"/>
              </w:tabs>
              <w:spacing w:before="20" w:after="20"/>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175,43</w:t>
            </w:r>
          </w:p>
        </w:tc>
        <w:tc>
          <w:tcPr>
            <w:tcW w:w="1167" w:type="dxa"/>
            <w:noWrap/>
            <w:hideMark/>
          </w:tcPr>
          <w:p w14:paraId="19F3D5ED" w14:textId="77777777" w:rsidR="00AE7EC4" w:rsidRPr="005C6F98" w:rsidRDefault="00AE7EC4" w:rsidP="005C6F98">
            <w:pPr>
              <w:tabs>
                <w:tab w:val="left" w:pos="1134"/>
              </w:tabs>
              <w:spacing w:before="20" w:after="20"/>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73,5%</w:t>
            </w:r>
          </w:p>
        </w:tc>
      </w:tr>
      <w:tr w:rsidR="00AE7EC4" w:rsidRPr="005C6F98" w14:paraId="5224F716" w14:textId="77777777" w:rsidTr="005C6F98">
        <w:trPr>
          <w:trHeight w:val="265"/>
        </w:trPr>
        <w:tc>
          <w:tcPr>
            <w:cnfStyle w:val="001000000000" w:firstRow="0" w:lastRow="0" w:firstColumn="1" w:lastColumn="0" w:oddVBand="0" w:evenVBand="0" w:oddHBand="0" w:evenHBand="0" w:firstRowFirstColumn="0" w:firstRowLastColumn="0" w:lastRowFirstColumn="0" w:lastRowLastColumn="0"/>
            <w:tcW w:w="2972" w:type="dxa"/>
            <w:noWrap/>
            <w:hideMark/>
          </w:tcPr>
          <w:p w14:paraId="77D2CB73" w14:textId="77777777" w:rsidR="00AE7EC4" w:rsidRPr="005C6F98" w:rsidRDefault="00AE7EC4" w:rsidP="005C6F98">
            <w:pPr>
              <w:tabs>
                <w:tab w:val="left" w:pos="1134"/>
              </w:tabs>
              <w:spacing w:before="20" w:after="20"/>
              <w:rPr>
                <w:rFonts w:eastAsia="Calibri" w:cs="Times New Roman"/>
                <w:sz w:val="20"/>
                <w:szCs w:val="20"/>
              </w:rPr>
            </w:pPr>
            <w:r w:rsidRPr="005C6F98">
              <w:rPr>
                <w:rFonts w:eastAsia="Calibri" w:cs="Times New Roman"/>
                <w:sz w:val="20"/>
                <w:szCs w:val="20"/>
              </w:rPr>
              <w:t>инфраструктурные платежи</w:t>
            </w:r>
          </w:p>
        </w:tc>
        <w:tc>
          <w:tcPr>
            <w:tcW w:w="1285" w:type="dxa"/>
            <w:noWrap/>
            <w:hideMark/>
          </w:tcPr>
          <w:p w14:paraId="6CD3F19C" w14:textId="32119F18" w:rsidR="00AE7EC4" w:rsidRPr="005C6F98" w:rsidRDefault="000C264C" w:rsidP="005C6F98">
            <w:pPr>
              <w:tabs>
                <w:tab w:val="left" w:pos="1134"/>
              </w:tabs>
              <w:spacing w:before="20" w:after="20"/>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руб.</w:t>
            </w:r>
            <w:r w:rsidR="00AE7EC4" w:rsidRPr="005C6F98">
              <w:rPr>
                <w:rFonts w:eastAsia="Calibri" w:cs="Times New Roman"/>
                <w:sz w:val="20"/>
                <w:szCs w:val="20"/>
              </w:rPr>
              <w:t>/МВт</w:t>
            </w:r>
            <w:r w:rsidR="0024367F" w:rsidRPr="005C6F98">
              <w:rPr>
                <w:rFonts w:eastAsia="Calibri" w:cs="Times New Roman"/>
                <w:sz w:val="20"/>
                <w:szCs w:val="20"/>
              </w:rPr>
              <w:t>*</w:t>
            </w:r>
            <w:r w:rsidR="00AE7EC4" w:rsidRPr="005C6F98">
              <w:rPr>
                <w:rFonts w:eastAsia="Calibri" w:cs="Times New Roman"/>
                <w:sz w:val="20"/>
                <w:szCs w:val="20"/>
              </w:rPr>
              <w:t>ч</w:t>
            </w:r>
          </w:p>
        </w:tc>
        <w:tc>
          <w:tcPr>
            <w:tcW w:w="1386" w:type="dxa"/>
            <w:noWrap/>
            <w:hideMark/>
          </w:tcPr>
          <w:p w14:paraId="19E8F12C" w14:textId="77777777" w:rsidR="00AE7EC4" w:rsidRPr="005C6F98" w:rsidRDefault="00AE7EC4" w:rsidP="005C6F98">
            <w:pPr>
              <w:tabs>
                <w:tab w:val="left" w:pos="1134"/>
              </w:tabs>
              <w:spacing w:before="20" w:after="20"/>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3,01</w:t>
            </w:r>
          </w:p>
        </w:tc>
        <w:tc>
          <w:tcPr>
            <w:tcW w:w="1417" w:type="dxa"/>
            <w:noWrap/>
            <w:hideMark/>
          </w:tcPr>
          <w:p w14:paraId="1878F66F" w14:textId="77777777" w:rsidR="00AE7EC4" w:rsidRPr="005C6F98" w:rsidRDefault="00AE7EC4" w:rsidP="005C6F98">
            <w:pPr>
              <w:tabs>
                <w:tab w:val="left" w:pos="1134"/>
              </w:tabs>
              <w:spacing w:before="20" w:after="20"/>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3,13</w:t>
            </w:r>
          </w:p>
        </w:tc>
        <w:tc>
          <w:tcPr>
            <w:tcW w:w="1166" w:type="dxa"/>
            <w:noWrap/>
            <w:hideMark/>
          </w:tcPr>
          <w:p w14:paraId="7392C4CE" w14:textId="77777777" w:rsidR="00AE7EC4" w:rsidRPr="005C6F98" w:rsidRDefault="00AE7EC4" w:rsidP="005C6F98">
            <w:pPr>
              <w:tabs>
                <w:tab w:val="left" w:pos="1134"/>
              </w:tabs>
              <w:spacing w:before="20" w:after="20"/>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3,07</w:t>
            </w:r>
          </w:p>
        </w:tc>
        <w:tc>
          <w:tcPr>
            <w:tcW w:w="1167" w:type="dxa"/>
            <w:noWrap/>
            <w:hideMark/>
          </w:tcPr>
          <w:p w14:paraId="609513C9" w14:textId="77777777" w:rsidR="00AE7EC4" w:rsidRPr="005C6F98" w:rsidRDefault="00AE7EC4" w:rsidP="005C6F98">
            <w:pPr>
              <w:tabs>
                <w:tab w:val="left" w:pos="1134"/>
              </w:tabs>
              <w:spacing w:before="20" w:after="20"/>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102,2%</w:t>
            </w:r>
          </w:p>
        </w:tc>
      </w:tr>
      <w:tr w:rsidR="00AE7EC4" w:rsidRPr="005C6F98" w14:paraId="0DA7ABFD" w14:textId="77777777" w:rsidTr="005C6F98">
        <w:trPr>
          <w:trHeight w:val="833"/>
        </w:trPr>
        <w:tc>
          <w:tcPr>
            <w:cnfStyle w:val="001000000000" w:firstRow="0" w:lastRow="0" w:firstColumn="1" w:lastColumn="0" w:oddVBand="0" w:evenVBand="0" w:oddHBand="0" w:evenHBand="0" w:firstRowFirstColumn="0" w:firstRowLastColumn="0" w:lastRowFirstColumn="0" w:lastRowLastColumn="0"/>
            <w:tcW w:w="2972" w:type="dxa"/>
            <w:hideMark/>
          </w:tcPr>
          <w:p w14:paraId="6F27E480" w14:textId="77777777" w:rsidR="00AE7EC4" w:rsidRPr="005C6F98" w:rsidRDefault="00AE7EC4" w:rsidP="005C6F98">
            <w:pPr>
              <w:tabs>
                <w:tab w:val="left" w:pos="1134"/>
              </w:tabs>
              <w:spacing w:before="20" w:after="20"/>
              <w:rPr>
                <w:rFonts w:eastAsia="Calibri" w:cs="Times New Roman"/>
                <w:sz w:val="20"/>
                <w:szCs w:val="20"/>
              </w:rPr>
            </w:pPr>
            <w:r w:rsidRPr="005C6F98">
              <w:rPr>
                <w:rFonts w:eastAsia="Calibri" w:cs="Times New Roman"/>
                <w:sz w:val="20"/>
                <w:szCs w:val="20"/>
              </w:rPr>
              <w:t>Затраты на покупную электроэнергию, приобретаемую в целях компенсации потерь</w:t>
            </w:r>
          </w:p>
        </w:tc>
        <w:tc>
          <w:tcPr>
            <w:tcW w:w="1285" w:type="dxa"/>
            <w:noWrap/>
            <w:hideMark/>
          </w:tcPr>
          <w:p w14:paraId="6875F6B6" w14:textId="64F4B348" w:rsidR="00AE7EC4" w:rsidRPr="005C6F98" w:rsidRDefault="00AE7EC4" w:rsidP="005C6F98">
            <w:pPr>
              <w:tabs>
                <w:tab w:val="left" w:pos="1134"/>
              </w:tabs>
              <w:spacing w:before="20" w:after="20"/>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тыс.</w:t>
            </w:r>
            <w:r w:rsidR="00164398" w:rsidRPr="005C6F98">
              <w:rPr>
                <w:rFonts w:eastAsia="Calibri" w:cs="Times New Roman"/>
                <w:sz w:val="20"/>
                <w:szCs w:val="20"/>
              </w:rPr>
              <w:t xml:space="preserve"> </w:t>
            </w:r>
            <w:r w:rsidRPr="005C6F98">
              <w:rPr>
                <w:rFonts w:eastAsia="Calibri" w:cs="Times New Roman"/>
                <w:sz w:val="20"/>
                <w:szCs w:val="20"/>
              </w:rPr>
              <w:t>руб</w:t>
            </w:r>
            <w:r w:rsidR="00164398" w:rsidRPr="005C6F98">
              <w:rPr>
                <w:rFonts w:eastAsia="Calibri" w:cs="Times New Roman"/>
                <w:sz w:val="20"/>
                <w:szCs w:val="20"/>
              </w:rPr>
              <w:t>.</w:t>
            </w:r>
          </w:p>
        </w:tc>
        <w:tc>
          <w:tcPr>
            <w:tcW w:w="1386" w:type="dxa"/>
            <w:noWrap/>
            <w:hideMark/>
          </w:tcPr>
          <w:p w14:paraId="108699D5" w14:textId="77777777" w:rsidR="00AE7EC4" w:rsidRPr="005C6F98" w:rsidRDefault="00AE7EC4" w:rsidP="005C6F98">
            <w:pPr>
              <w:tabs>
                <w:tab w:val="left" w:pos="1134"/>
              </w:tabs>
              <w:spacing w:before="20" w:after="20"/>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351 267,82</w:t>
            </w:r>
          </w:p>
        </w:tc>
        <w:tc>
          <w:tcPr>
            <w:tcW w:w="1417" w:type="dxa"/>
            <w:noWrap/>
            <w:hideMark/>
          </w:tcPr>
          <w:p w14:paraId="16C84192" w14:textId="77777777" w:rsidR="00AE7EC4" w:rsidRPr="005C6F98" w:rsidRDefault="00AE7EC4" w:rsidP="005C6F98">
            <w:pPr>
              <w:tabs>
                <w:tab w:val="left" w:pos="1134"/>
              </w:tabs>
              <w:spacing w:before="20" w:after="20"/>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374 615,25</w:t>
            </w:r>
          </w:p>
        </w:tc>
        <w:tc>
          <w:tcPr>
            <w:tcW w:w="1166" w:type="dxa"/>
            <w:noWrap/>
            <w:hideMark/>
          </w:tcPr>
          <w:p w14:paraId="1B883291" w14:textId="77777777" w:rsidR="00AE7EC4" w:rsidRPr="005C6F98" w:rsidRDefault="00AE7EC4" w:rsidP="005C6F98">
            <w:pPr>
              <w:tabs>
                <w:tab w:val="left" w:pos="1134"/>
              </w:tabs>
              <w:spacing w:before="20" w:after="20"/>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725 883,07</w:t>
            </w:r>
          </w:p>
        </w:tc>
        <w:tc>
          <w:tcPr>
            <w:tcW w:w="1167" w:type="dxa"/>
            <w:noWrap/>
            <w:hideMark/>
          </w:tcPr>
          <w:p w14:paraId="5308A4D0" w14:textId="77777777" w:rsidR="00AE7EC4" w:rsidRPr="005C6F98" w:rsidRDefault="00AE7EC4" w:rsidP="005C6F98">
            <w:pPr>
              <w:tabs>
                <w:tab w:val="left" w:pos="1134"/>
              </w:tabs>
              <w:spacing w:before="20" w:after="20"/>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90,5%</w:t>
            </w:r>
          </w:p>
        </w:tc>
      </w:tr>
    </w:tbl>
    <w:p w14:paraId="70CBD276" w14:textId="101E5872" w:rsidR="00AE7EC4" w:rsidRPr="00FB0A3A" w:rsidRDefault="00AE7EC4" w:rsidP="00E556F8">
      <w:pPr>
        <w:pStyle w:val="afff4"/>
        <w:spacing w:before="240"/>
        <w:ind w:firstLine="0"/>
        <w:rPr>
          <w:b/>
          <w:i/>
          <w:lang w:val="ru-RU"/>
        </w:rPr>
      </w:pPr>
      <w:r w:rsidRPr="00FB0A3A">
        <w:rPr>
          <w:b/>
          <w:i/>
          <w:lang w:val="ru-RU"/>
        </w:rPr>
        <w:t>2019 год</w:t>
      </w:r>
    </w:p>
    <w:tbl>
      <w:tblPr>
        <w:tblStyle w:val="afff6"/>
        <w:tblW w:w="5000" w:type="pct"/>
        <w:tblLayout w:type="fixed"/>
        <w:tblLook w:val="04A0" w:firstRow="1" w:lastRow="0" w:firstColumn="1" w:lastColumn="0" w:noHBand="0" w:noVBand="1"/>
      </w:tblPr>
      <w:tblGrid>
        <w:gridCol w:w="2929"/>
        <w:gridCol w:w="1260"/>
        <w:gridCol w:w="1400"/>
        <w:gridCol w:w="1401"/>
        <w:gridCol w:w="1177"/>
        <w:gridCol w:w="1177"/>
      </w:tblGrid>
      <w:tr w:rsidR="00164398" w:rsidRPr="005C6F98" w14:paraId="64B84B3F" w14:textId="77777777" w:rsidTr="005C6F98">
        <w:trPr>
          <w:cnfStyle w:val="100000000000" w:firstRow="1" w:lastRow="0" w:firstColumn="0" w:lastColumn="0" w:oddVBand="0" w:evenVBand="0" w:oddHBand="0"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35970560" w14:textId="215FB7C6" w:rsidR="00164398" w:rsidRPr="005C6F98" w:rsidRDefault="00164398" w:rsidP="005C6F98">
            <w:pPr>
              <w:tabs>
                <w:tab w:val="left" w:pos="1134"/>
              </w:tabs>
              <w:spacing w:before="20" w:after="20"/>
              <w:jc w:val="center"/>
              <w:rPr>
                <w:rFonts w:eastAsia="Calibri" w:cs="Times New Roman"/>
                <w:sz w:val="20"/>
                <w:szCs w:val="20"/>
              </w:rPr>
            </w:pPr>
            <w:r w:rsidRPr="005C6F98">
              <w:rPr>
                <w:rFonts w:eastAsia="Calibri" w:cs="Times New Roman"/>
                <w:sz w:val="20"/>
                <w:szCs w:val="20"/>
              </w:rPr>
              <w:t>Наименование</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7DB612A8" w14:textId="1FEB9092" w:rsidR="00164398" w:rsidRPr="005C6F98" w:rsidRDefault="00164398" w:rsidP="005C6F98">
            <w:pPr>
              <w:tabs>
                <w:tab w:val="left" w:pos="1134"/>
              </w:tabs>
              <w:spacing w:before="20" w:after="20"/>
              <w:cnfStyle w:val="100000000000" w:firstRow="1"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Ед. изм.</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4CF6AE9E" w14:textId="4A82E5A6" w:rsidR="00164398" w:rsidRPr="005C6F98" w:rsidRDefault="00164398" w:rsidP="005C6F98">
            <w:pPr>
              <w:tabs>
                <w:tab w:val="left" w:pos="1134"/>
              </w:tabs>
              <w:spacing w:before="20" w:after="20"/>
              <w:cnfStyle w:val="100000000000" w:firstRow="1"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1 полугодие</w:t>
            </w:r>
          </w:p>
        </w:tc>
        <w:tc>
          <w:tcPr>
            <w:tcW w:w="14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2E95B958" w14:textId="12FFBC2C" w:rsidR="00164398" w:rsidRPr="005C6F98" w:rsidRDefault="00164398" w:rsidP="005C6F98">
            <w:pPr>
              <w:tabs>
                <w:tab w:val="left" w:pos="1134"/>
              </w:tabs>
              <w:spacing w:before="20" w:after="20"/>
              <w:cnfStyle w:val="100000000000" w:firstRow="1"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2 полугодие</w:t>
            </w:r>
          </w:p>
        </w:tc>
        <w:tc>
          <w:tcPr>
            <w:tcW w:w="11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40F4258F" w14:textId="320516BC" w:rsidR="00164398" w:rsidRPr="005C6F98" w:rsidRDefault="00164398" w:rsidP="005C6F98">
            <w:pPr>
              <w:tabs>
                <w:tab w:val="left" w:pos="1134"/>
              </w:tabs>
              <w:spacing w:before="20" w:after="20"/>
              <w:cnfStyle w:val="100000000000" w:firstRow="1"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Год</w:t>
            </w:r>
          </w:p>
        </w:tc>
        <w:tc>
          <w:tcPr>
            <w:tcW w:w="11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151A874" w14:textId="40887671" w:rsidR="00164398" w:rsidRPr="005C6F98" w:rsidRDefault="00EB2242" w:rsidP="005C6F98">
            <w:pPr>
              <w:tabs>
                <w:tab w:val="left" w:pos="1134"/>
              </w:tabs>
              <w:spacing w:before="20" w:after="20"/>
              <w:cnfStyle w:val="100000000000" w:firstRow="1"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И</w:t>
            </w:r>
            <w:r w:rsidR="00164398" w:rsidRPr="005C6F98">
              <w:rPr>
                <w:rFonts w:eastAsia="Calibri" w:cs="Times New Roman"/>
                <w:sz w:val="20"/>
                <w:szCs w:val="20"/>
              </w:rPr>
              <w:t>ндекс 2019/2018 %</w:t>
            </w:r>
          </w:p>
        </w:tc>
      </w:tr>
      <w:tr w:rsidR="00AE7EC4" w:rsidRPr="005C6F98" w14:paraId="1B78BB8A" w14:textId="77777777" w:rsidTr="005C6F98">
        <w:trPr>
          <w:trHeight w:val="254"/>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FFFFFF" w:themeColor="background1"/>
            </w:tcBorders>
            <w:noWrap/>
            <w:hideMark/>
          </w:tcPr>
          <w:p w14:paraId="0D2B9950" w14:textId="77777777" w:rsidR="00AE7EC4" w:rsidRPr="005C6F98" w:rsidRDefault="00AE7EC4" w:rsidP="005C6F98">
            <w:pPr>
              <w:tabs>
                <w:tab w:val="left" w:pos="1134"/>
              </w:tabs>
              <w:spacing w:before="20" w:after="20"/>
              <w:rPr>
                <w:rFonts w:eastAsia="Calibri" w:cs="Times New Roman"/>
                <w:sz w:val="20"/>
                <w:szCs w:val="20"/>
              </w:rPr>
            </w:pPr>
            <w:r w:rsidRPr="005C6F98">
              <w:rPr>
                <w:rFonts w:eastAsia="Calibri" w:cs="Times New Roman"/>
                <w:sz w:val="20"/>
                <w:szCs w:val="20"/>
              </w:rPr>
              <w:t>объем форма 3.1</w:t>
            </w:r>
          </w:p>
        </w:tc>
        <w:tc>
          <w:tcPr>
            <w:tcW w:w="1276" w:type="dxa"/>
            <w:tcBorders>
              <w:top w:val="single" w:sz="4" w:space="0" w:color="FFFFFF" w:themeColor="background1"/>
            </w:tcBorders>
            <w:noWrap/>
            <w:hideMark/>
          </w:tcPr>
          <w:p w14:paraId="5CA55B57" w14:textId="77777777" w:rsidR="00AE7EC4" w:rsidRPr="005C6F98" w:rsidRDefault="00AE7EC4" w:rsidP="005C6F98">
            <w:pPr>
              <w:tabs>
                <w:tab w:val="left" w:pos="1134"/>
              </w:tabs>
              <w:spacing w:before="20" w:after="20"/>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 </w:t>
            </w:r>
          </w:p>
        </w:tc>
        <w:tc>
          <w:tcPr>
            <w:tcW w:w="1418" w:type="dxa"/>
            <w:tcBorders>
              <w:top w:val="single" w:sz="4" w:space="0" w:color="FFFFFF" w:themeColor="background1"/>
            </w:tcBorders>
            <w:noWrap/>
            <w:hideMark/>
          </w:tcPr>
          <w:p w14:paraId="4EAE0B2C" w14:textId="77777777" w:rsidR="00AE7EC4" w:rsidRPr="005C6F98" w:rsidRDefault="00AE7EC4" w:rsidP="005C6F98">
            <w:pPr>
              <w:tabs>
                <w:tab w:val="left" w:pos="1134"/>
              </w:tabs>
              <w:spacing w:before="20" w:after="20"/>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205,10</w:t>
            </w:r>
          </w:p>
        </w:tc>
        <w:tc>
          <w:tcPr>
            <w:tcW w:w="1419" w:type="dxa"/>
            <w:tcBorders>
              <w:top w:val="single" w:sz="4" w:space="0" w:color="FFFFFF" w:themeColor="background1"/>
            </w:tcBorders>
            <w:noWrap/>
            <w:hideMark/>
          </w:tcPr>
          <w:p w14:paraId="05EF666A" w14:textId="77777777" w:rsidR="00AE7EC4" w:rsidRPr="005C6F98" w:rsidRDefault="00AE7EC4" w:rsidP="005C6F98">
            <w:pPr>
              <w:tabs>
                <w:tab w:val="left" w:pos="1134"/>
              </w:tabs>
              <w:spacing w:before="20" w:after="20"/>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188,90</w:t>
            </w:r>
          </w:p>
        </w:tc>
        <w:tc>
          <w:tcPr>
            <w:tcW w:w="1191" w:type="dxa"/>
            <w:tcBorders>
              <w:top w:val="single" w:sz="4" w:space="0" w:color="FFFFFF" w:themeColor="background1"/>
            </w:tcBorders>
            <w:noWrap/>
            <w:hideMark/>
          </w:tcPr>
          <w:p w14:paraId="4C38924D" w14:textId="77777777" w:rsidR="00AE7EC4" w:rsidRPr="005C6F98" w:rsidRDefault="00AE7EC4" w:rsidP="005C6F98">
            <w:pPr>
              <w:tabs>
                <w:tab w:val="left" w:pos="1134"/>
              </w:tabs>
              <w:spacing w:before="20" w:after="20"/>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394,00</w:t>
            </w:r>
          </w:p>
        </w:tc>
        <w:tc>
          <w:tcPr>
            <w:tcW w:w="1191" w:type="dxa"/>
            <w:tcBorders>
              <w:top w:val="single" w:sz="4" w:space="0" w:color="FFFFFF" w:themeColor="background1"/>
            </w:tcBorders>
            <w:noWrap/>
            <w:hideMark/>
          </w:tcPr>
          <w:p w14:paraId="31516ABE" w14:textId="77777777" w:rsidR="00AE7EC4" w:rsidRPr="005C6F98" w:rsidRDefault="00AE7EC4" w:rsidP="005C6F98">
            <w:pPr>
              <w:tabs>
                <w:tab w:val="left" w:pos="1134"/>
              </w:tabs>
              <w:spacing w:before="20" w:after="20"/>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108,8%</w:t>
            </w:r>
          </w:p>
        </w:tc>
      </w:tr>
      <w:tr w:rsidR="00AE7EC4" w:rsidRPr="005C6F98" w14:paraId="11DBB4C7" w14:textId="77777777" w:rsidTr="005C6F98">
        <w:trPr>
          <w:trHeight w:val="274"/>
        </w:trPr>
        <w:tc>
          <w:tcPr>
            <w:cnfStyle w:val="001000000000" w:firstRow="0" w:lastRow="0" w:firstColumn="1" w:lastColumn="0" w:oddVBand="0" w:evenVBand="0" w:oddHBand="0" w:evenHBand="0" w:firstRowFirstColumn="0" w:firstRowLastColumn="0" w:lastRowFirstColumn="0" w:lastRowLastColumn="0"/>
            <w:tcW w:w="2970" w:type="dxa"/>
            <w:noWrap/>
            <w:hideMark/>
          </w:tcPr>
          <w:p w14:paraId="01BF5FAC" w14:textId="77777777" w:rsidR="00AE7EC4" w:rsidRPr="005C6F98" w:rsidRDefault="00AE7EC4" w:rsidP="005C6F98">
            <w:pPr>
              <w:tabs>
                <w:tab w:val="left" w:pos="1134"/>
              </w:tabs>
              <w:spacing w:before="20" w:after="20"/>
              <w:rPr>
                <w:rFonts w:eastAsia="Calibri" w:cs="Times New Roman"/>
                <w:sz w:val="20"/>
                <w:szCs w:val="20"/>
              </w:rPr>
            </w:pPr>
            <w:r w:rsidRPr="005C6F98">
              <w:rPr>
                <w:rFonts w:eastAsia="Calibri" w:cs="Times New Roman"/>
                <w:sz w:val="20"/>
                <w:szCs w:val="20"/>
              </w:rPr>
              <w:t>Тариф покупки потерь, в том числе:</w:t>
            </w:r>
          </w:p>
        </w:tc>
        <w:tc>
          <w:tcPr>
            <w:tcW w:w="1276" w:type="dxa"/>
            <w:noWrap/>
            <w:hideMark/>
          </w:tcPr>
          <w:p w14:paraId="25C6085A" w14:textId="141F8030" w:rsidR="00AE7EC4" w:rsidRPr="005C6F98" w:rsidRDefault="000C264C" w:rsidP="005C6F98">
            <w:pPr>
              <w:tabs>
                <w:tab w:val="left" w:pos="1134"/>
              </w:tabs>
              <w:spacing w:before="20" w:after="20"/>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руб.</w:t>
            </w:r>
            <w:r w:rsidR="00AE7EC4" w:rsidRPr="005C6F98">
              <w:rPr>
                <w:rFonts w:eastAsia="Calibri" w:cs="Times New Roman"/>
                <w:sz w:val="20"/>
                <w:szCs w:val="20"/>
              </w:rPr>
              <w:t>/МВт</w:t>
            </w:r>
            <w:r w:rsidR="0024367F" w:rsidRPr="005C6F98">
              <w:rPr>
                <w:rFonts w:eastAsia="Calibri" w:cs="Times New Roman"/>
                <w:sz w:val="20"/>
                <w:szCs w:val="20"/>
              </w:rPr>
              <w:t>*</w:t>
            </w:r>
            <w:r w:rsidR="00AE7EC4" w:rsidRPr="005C6F98">
              <w:rPr>
                <w:rFonts w:eastAsia="Calibri" w:cs="Times New Roman"/>
                <w:sz w:val="20"/>
                <w:szCs w:val="20"/>
              </w:rPr>
              <w:t>ч</w:t>
            </w:r>
          </w:p>
        </w:tc>
        <w:tc>
          <w:tcPr>
            <w:tcW w:w="1418" w:type="dxa"/>
            <w:noWrap/>
            <w:hideMark/>
          </w:tcPr>
          <w:p w14:paraId="393B2762" w14:textId="77777777" w:rsidR="00AE7EC4" w:rsidRPr="005C6F98" w:rsidRDefault="00AE7EC4" w:rsidP="005C6F98">
            <w:pPr>
              <w:tabs>
                <w:tab w:val="left" w:pos="1134"/>
              </w:tabs>
              <w:spacing w:before="20" w:after="20"/>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2 099,04</w:t>
            </w:r>
          </w:p>
        </w:tc>
        <w:tc>
          <w:tcPr>
            <w:tcW w:w="1419" w:type="dxa"/>
            <w:noWrap/>
            <w:hideMark/>
          </w:tcPr>
          <w:p w14:paraId="2D62BE68" w14:textId="77777777" w:rsidR="00AE7EC4" w:rsidRPr="005C6F98" w:rsidRDefault="00AE7EC4" w:rsidP="005C6F98">
            <w:pPr>
              <w:tabs>
                <w:tab w:val="left" w:pos="1134"/>
              </w:tabs>
              <w:spacing w:before="20" w:after="20"/>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2 237,01</w:t>
            </w:r>
          </w:p>
        </w:tc>
        <w:tc>
          <w:tcPr>
            <w:tcW w:w="1191" w:type="dxa"/>
            <w:noWrap/>
            <w:hideMark/>
          </w:tcPr>
          <w:p w14:paraId="402F7386" w14:textId="77777777" w:rsidR="00AE7EC4" w:rsidRPr="005C6F98" w:rsidRDefault="00AE7EC4" w:rsidP="005C6F98">
            <w:pPr>
              <w:tabs>
                <w:tab w:val="left" w:pos="1134"/>
              </w:tabs>
              <w:spacing w:before="20" w:after="20"/>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2165,19</w:t>
            </w:r>
          </w:p>
        </w:tc>
        <w:tc>
          <w:tcPr>
            <w:tcW w:w="1191" w:type="dxa"/>
            <w:noWrap/>
            <w:hideMark/>
          </w:tcPr>
          <w:p w14:paraId="776FAA0D" w14:textId="77777777" w:rsidR="00AE7EC4" w:rsidRPr="005C6F98" w:rsidRDefault="00AE7EC4" w:rsidP="005C6F98">
            <w:pPr>
              <w:tabs>
                <w:tab w:val="left" w:pos="1134"/>
              </w:tabs>
              <w:spacing w:before="20" w:after="20"/>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108,0%</w:t>
            </w:r>
          </w:p>
        </w:tc>
      </w:tr>
      <w:tr w:rsidR="00AE7EC4" w:rsidRPr="005C6F98" w14:paraId="4ACD61F0" w14:textId="77777777" w:rsidTr="005C6F98">
        <w:trPr>
          <w:trHeight w:val="274"/>
        </w:trPr>
        <w:tc>
          <w:tcPr>
            <w:cnfStyle w:val="001000000000" w:firstRow="0" w:lastRow="0" w:firstColumn="1" w:lastColumn="0" w:oddVBand="0" w:evenVBand="0" w:oddHBand="0" w:evenHBand="0" w:firstRowFirstColumn="0" w:firstRowLastColumn="0" w:lastRowFirstColumn="0" w:lastRowLastColumn="0"/>
            <w:tcW w:w="2970" w:type="dxa"/>
            <w:noWrap/>
            <w:hideMark/>
          </w:tcPr>
          <w:p w14:paraId="34B2FA1B" w14:textId="77777777" w:rsidR="00AE7EC4" w:rsidRPr="005C6F98" w:rsidRDefault="00AE7EC4" w:rsidP="005C6F98">
            <w:pPr>
              <w:tabs>
                <w:tab w:val="left" w:pos="1134"/>
              </w:tabs>
              <w:spacing w:before="20" w:after="20"/>
              <w:rPr>
                <w:rFonts w:eastAsia="Calibri" w:cs="Times New Roman"/>
                <w:sz w:val="20"/>
                <w:szCs w:val="20"/>
              </w:rPr>
            </w:pPr>
            <w:r w:rsidRPr="005C6F98">
              <w:rPr>
                <w:rFonts w:eastAsia="Calibri" w:cs="Times New Roman"/>
                <w:sz w:val="20"/>
                <w:szCs w:val="20"/>
              </w:rPr>
              <w:t xml:space="preserve">цена на покупку </w:t>
            </w:r>
          </w:p>
        </w:tc>
        <w:tc>
          <w:tcPr>
            <w:tcW w:w="1276" w:type="dxa"/>
            <w:noWrap/>
            <w:hideMark/>
          </w:tcPr>
          <w:p w14:paraId="5131A00B" w14:textId="41BC7BC1" w:rsidR="00AE7EC4" w:rsidRPr="005C6F98" w:rsidRDefault="000C264C" w:rsidP="005C6F98">
            <w:pPr>
              <w:tabs>
                <w:tab w:val="left" w:pos="1134"/>
              </w:tabs>
              <w:spacing w:before="20" w:after="20"/>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руб.</w:t>
            </w:r>
            <w:r w:rsidR="00AE7EC4" w:rsidRPr="005C6F98">
              <w:rPr>
                <w:rFonts w:eastAsia="Calibri" w:cs="Times New Roman"/>
                <w:sz w:val="20"/>
                <w:szCs w:val="20"/>
              </w:rPr>
              <w:t>/МВт</w:t>
            </w:r>
            <w:r w:rsidR="0024367F" w:rsidRPr="005C6F98">
              <w:rPr>
                <w:rFonts w:eastAsia="Calibri" w:cs="Times New Roman"/>
                <w:sz w:val="20"/>
                <w:szCs w:val="20"/>
              </w:rPr>
              <w:t>*</w:t>
            </w:r>
            <w:r w:rsidR="00AE7EC4" w:rsidRPr="005C6F98">
              <w:rPr>
                <w:rFonts w:eastAsia="Calibri" w:cs="Times New Roman"/>
                <w:sz w:val="20"/>
                <w:szCs w:val="20"/>
              </w:rPr>
              <w:t>ч</w:t>
            </w:r>
          </w:p>
        </w:tc>
        <w:tc>
          <w:tcPr>
            <w:tcW w:w="1418" w:type="dxa"/>
            <w:noWrap/>
            <w:hideMark/>
          </w:tcPr>
          <w:p w14:paraId="77D5B5B6" w14:textId="77777777" w:rsidR="00AE7EC4" w:rsidRPr="005C6F98" w:rsidRDefault="00AE7EC4" w:rsidP="005C6F98">
            <w:pPr>
              <w:tabs>
                <w:tab w:val="left" w:pos="1134"/>
              </w:tabs>
              <w:spacing w:before="20" w:after="20"/>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1 862,20</w:t>
            </w:r>
          </w:p>
        </w:tc>
        <w:tc>
          <w:tcPr>
            <w:tcW w:w="1419" w:type="dxa"/>
            <w:noWrap/>
            <w:hideMark/>
          </w:tcPr>
          <w:p w14:paraId="5CA900A6" w14:textId="77777777" w:rsidR="00AE7EC4" w:rsidRPr="005C6F98" w:rsidRDefault="00AE7EC4" w:rsidP="005C6F98">
            <w:pPr>
              <w:tabs>
                <w:tab w:val="left" w:pos="1134"/>
              </w:tabs>
              <w:spacing w:before="20" w:after="20"/>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1 990,69</w:t>
            </w:r>
          </w:p>
        </w:tc>
        <w:tc>
          <w:tcPr>
            <w:tcW w:w="1191" w:type="dxa"/>
            <w:noWrap/>
            <w:hideMark/>
          </w:tcPr>
          <w:p w14:paraId="5A8AD21F" w14:textId="77777777" w:rsidR="00AE7EC4" w:rsidRPr="005C6F98" w:rsidRDefault="00AE7EC4" w:rsidP="005C6F98">
            <w:pPr>
              <w:tabs>
                <w:tab w:val="left" w:pos="1134"/>
              </w:tabs>
              <w:spacing w:before="20" w:after="20"/>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1923,80</w:t>
            </w:r>
          </w:p>
        </w:tc>
        <w:tc>
          <w:tcPr>
            <w:tcW w:w="1191" w:type="dxa"/>
            <w:noWrap/>
            <w:hideMark/>
          </w:tcPr>
          <w:p w14:paraId="1AABC5BB" w14:textId="77777777" w:rsidR="00AE7EC4" w:rsidRPr="005C6F98" w:rsidRDefault="00AE7EC4" w:rsidP="005C6F98">
            <w:pPr>
              <w:tabs>
                <w:tab w:val="left" w:pos="1134"/>
              </w:tabs>
              <w:spacing w:before="20" w:after="20"/>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105,4%</w:t>
            </w:r>
          </w:p>
        </w:tc>
      </w:tr>
      <w:tr w:rsidR="00AE7EC4" w:rsidRPr="005C6F98" w14:paraId="6256D32B" w14:textId="77777777" w:rsidTr="005C6F98">
        <w:trPr>
          <w:trHeight w:val="274"/>
        </w:trPr>
        <w:tc>
          <w:tcPr>
            <w:cnfStyle w:val="001000000000" w:firstRow="0" w:lastRow="0" w:firstColumn="1" w:lastColumn="0" w:oddVBand="0" w:evenVBand="0" w:oddHBand="0" w:evenHBand="0" w:firstRowFirstColumn="0" w:firstRowLastColumn="0" w:lastRowFirstColumn="0" w:lastRowLastColumn="0"/>
            <w:tcW w:w="2970" w:type="dxa"/>
            <w:noWrap/>
            <w:hideMark/>
          </w:tcPr>
          <w:p w14:paraId="44330735" w14:textId="77777777" w:rsidR="00AE7EC4" w:rsidRPr="005C6F98" w:rsidRDefault="00AE7EC4" w:rsidP="005C6F98">
            <w:pPr>
              <w:tabs>
                <w:tab w:val="left" w:pos="1134"/>
              </w:tabs>
              <w:spacing w:before="20" w:after="20"/>
              <w:rPr>
                <w:rFonts w:eastAsia="Calibri" w:cs="Times New Roman"/>
                <w:sz w:val="20"/>
                <w:szCs w:val="20"/>
              </w:rPr>
            </w:pPr>
            <w:r w:rsidRPr="005C6F98">
              <w:rPr>
                <w:rFonts w:eastAsia="Calibri" w:cs="Times New Roman"/>
                <w:sz w:val="20"/>
                <w:szCs w:val="20"/>
              </w:rPr>
              <w:t>сбытовая надбавка</w:t>
            </w:r>
          </w:p>
        </w:tc>
        <w:tc>
          <w:tcPr>
            <w:tcW w:w="1276" w:type="dxa"/>
            <w:noWrap/>
            <w:hideMark/>
          </w:tcPr>
          <w:p w14:paraId="74A85FFB" w14:textId="47DAF831" w:rsidR="00AE7EC4" w:rsidRPr="005C6F98" w:rsidRDefault="000C264C" w:rsidP="005C6F98">
            <w:pPr>
              <w:tabs>
                <w:tab w:val="left" w:pos="1134"/>
              </w:tabs>
              <w:spacing w:before="20" w:after="20"/>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руб.</w:t>
            </w:r>
            <w:r w:rsidR="00AE7EC4" w:rsidRPr="005C6F98">
              <w:rPr>
                <w:rFonts w:eastAsia="Calibri" w:cs="Times New Roman"/>
                <w:sz w:val="20"/>
                <w:szCs w:val="20"/>
              </w:rPr>
              <w:t>/МВт</w:t>
            </w:r>
            <w:r w:rsidR="0024367F" w:rsidRPr="005C6F98">
              <w:rPr>
                <w:rFonts w:eastAsia="Calibri" w:cs="Times New Roman"/>
                <w:sz w:val="20"/>
                <w:szCs w:val="20"/>
              </w:rPr>
              <w:t>*</w:t>
            </w:r>
            <w:r w:rsidR="00AE7EC4" w:rsidRPr="005C6F98">
              <w:rPr>
                <w:rFonts w:eastAsia="Calibri" w:cs="Times New Roman"/>
                <w:sz w:val="20"/>
                <w:szCs w:val="20"/>
              </w:rPr>
              <w:t>ч</w:t>
            </w:r>
          </w:p>
        </w:tc>
        <w:tc>
          <w:tcPr>
            <w:tcW w:w="1418" w:type="dxa"/>
            <w:noWrap/>
            <w:hideMark/>
          </w:tcPr>
          <w:p w14:paraId="7A771751" w14:textId="77777777" w:rsidR="00AE7EC4" w:rsidRPr="005C6F98" w:rsidRDefault="00AE7EC4" w:rsidP="005C6F98">
            <w:pPr>
              <w:tabs>
                <w:tab w:val="left" w:pos="1134"/>
              </w:tabs>
              <w:spacing w:before="20" w:after="20"/>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233,71</w:t>
            </w:r>
          </w:p>
        </w:tc>
        <w:tc>
          <w:tcPr>
            <w:tcW w:w="1419" w:type="dxa"/>
            <w:noWrap/>
            <w:hideMark/>
          </w:tcPr>
          <w:p w14:paraId="45C6776F" w14:textId="77777777" w:rsidR="00AE7EC4" w:rsidRPr="005C6F98" w:rsidRDefault="00AE7EC4" w:rsidP="005C6F98">
            <w:pPr>
              <w:tabs>
                <w:tab w:val="left" w:pos="1134"/>
              </w:tabs>
              <w:spacing w:before="20" w:after="20"/>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243,06</w:t>
            </w:r>
          </w:p>
        </w:tc>
        <w:tc>
          <w:tcPr>
            <w:tcW w:w="1191" w:type="dxa"/>
            <w:noWrap/>
            <w:hideMark/>
          </w:tcPr>
          <w:p w14:paraId="69E0C4A6" w14:textId="77777777" w:rsidR="00AE7EC4" w:rsidRPr="005C6F98" w:rsidRDefault="00AE7EC4" w:rsidP="005C6F98">
            <w:pPr>
              <w:tabs>
                <w:tab w:val="left" w:pos="1134"/>
              </w:tabs>
              <w:spacing w:before="20" w:after="20"/>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238,19</w:t>
            </w:r>
          </w:p>
        </w:tc>
        <w:tc>
          <w:tcPr>
            <w:tcW w:w="1191" w:type="dxa"/>
            <w:noWrap/>
            <w:hideMark/>
          </w:tcPr>
          <w:p w14:paraId="6EE500A6" w14:textId="77777777" w:rsidR="00AE7EC4" w:rsidRPr="005C6F98" w:rsidRDefault="00AE7EC4" w:rsidP="005C6F98">
            <w:pPr>
              <w:tabs>
                <w:tab w:val="left" w:pos="1134"/>
              </w:tabs>
              <w:spacing w:before="20" w:after="20"/>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135,8%</w:t>
            </w:r>
          </w:p>
        </w:tc>
      </w:tr>
      <w:tr w:rsidR="00AE7EC4" w:rsidRPr="005C6F98" w14:paraId="178739EA" w14:textId="77777777" w:rsidTr="005C6F98">
        <w:trPr>
          <w:trHeight w:val="254"/>
        </w:trPr>
        <w:tc>
          <w:tcPr>
            <w:cnfStyle w:val="001000000000" w:firstRow="0" w:lastRow="0" w:firstColumn="1" w:lastColumn="0" w:oddVBand="0" w:evenVBand="0" w:oddHBand="0" w:evenHBand="0" w:firstRowFirstColumn="0" w:firstRowLastColumn="0" w:lastRowFirstColumn="0" w:lastRowLastColumn="0"/>
            <w:tcW w:w="2970" w:type="dxa"/>
            <w:noWrap/>
            <w:hideMark/>
          </w:tcPr>
          <w:p w14:paraId="37F003FF" w14:textId="77777777" w:rsidR="00AE7EC4" w:rsidRPr="005C6F98" w:rsidRDefault="00AE7EC4" w:rsidP="005C6F98">
            <w:pPr>
              <w:tabs>
                <w:tab w:val="left" w:pos="1134"/>
              </w:tabs>
              <w:spacing w:before="20" w:after="20"/>
              <w:rPr>
                <w:rFonts w:eastAsia="Calibri" w:cs="Times New Roman"/>
                <w:sz w:val="20"/>
                <w:szCs w:val="20"/>
              </w:rPr>
            </w:pPr>
            <w:r w:rsidRPr="005C6F98">
              <w:rPr>
                <w:rFonts w:eastAsia="Calibri" w:cs="Times New Roman"/>
                <w:sz w:val="20"/>
                <w:szCs w:val="20"/>
              </w:rPr>
              <w:t>инфраструктурные платежи</w:t>
            </w:r>
          </w:p>
        </w:tc>
        <w:tc>
          <w:tcPr>
            <w:tcW w:w="1276" w:type="dxa"/>
            <w:noWrap/>
            <w:hideMark/>
          </w:tcPr>
          <w:p w14:paraId="0DD60C48" w14:textId="02B8DE64" w:rsidR="00AE7EC4" w:rsidRPr="005C6F98" w:rsidRDefault="000C264C" w:rsidP="005C6F98">
            <w:pPr>
              <w:tabs>
                <w:tab w:val="left" w:pos="1134"/>
              </w:tabs>
              <w:spacing w:before="20" w:after="20"/>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руб.</w:t>
            </w:r>
            <w:r w:rsidR="00AE7EC4" w:rsidRPr="005C6F98">
              <w:rPr>
                <w:rFonts w:eastAsia="Calibri" w:cs="Times New Roman"/>
                <w:sz w:val="20"/>
                <w:szCs w:val="20"/>
              </w:rPr>
              <w:t>/МВт</w:t>
            </w:r>
            <w:r w:rsidR="0024367F" w:rsidRPr="005C6F98">
              <w:rPr>
                <w:rFonts w:eastAsia="Calibri" w:cs="Times New Roman"/>
                <w:sz w:val="20"/>
                <w:szCs w:val="20"/>
              </w:rPr>
              <w:t>*</w:t>
            </w:r>
            <w:r w:rsidR="00AE7EC4" w:rsidRPr="005C6F98">
              <w:rPr>
                <w:rFonts w:eastAsia="Calibri" w:cs="Times New Roman"/>
                <w:sz w:val="20"/>
                <w:szCs w:val="20"/>
              </w:rPr>
              <w:t>ч</w:t>
            </w:r>
          </w:p>
        </w:tc>
        <w:tc>
          <w:tcPr>
            <w:tcW w:w="1418" w:type="dxa"/>
            <w:noWrap/>
            <w:hideMark/>
          </w:tcPr>
          <w:p w14:paraId="67A1D3EF" w14:textId="77777777" w:rsidR="00AE7EC4" w:rsidRPr="005C6F98" w:rsidRDefault="00AE7EC4" w:rsidP="005C6F98">
            <w:pPr>
              <w:tabs>
                <w:tab w:val="left" w:pos="1134"/>
              </w:tabs>
              <w:spacing w:before="20" w:after="20"/>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3,13</w:t>
            </w:r>
          </w:p>
        </w:tc>
        <w:tc>
          <w:tcPr>
            <w:tcW w:w="1419" w:type="dxa"/>
            <w:noWrap/>
            <w:hideMark/>
          </w:tcPr>
          <w:p w14:paraId="464C775A" w14:textId="77777777" w:rsidR="00AE7EC4" w:rsidRPr="005C6F98" w:rsidRDefault="00AE7EC4" w:rsidP="005C6F98">
            <w:pPr>
              <w:tabs>
                <w:tab w:val="left" w:pos="1134"/>
              </w:tabs>
              <w:spacing w:before="20" w:after="20"/>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3,26</w:t>
            </w:r>
          </w:p>
        </w:tc>
        <w:tc>
          <w:tcPr>
            <w:tcW w:w="1191" w:type="dxa"/>
            <w:noWrap/>
            <w:hideMark/>
          </w:tcPr>
          <w:p w14:paraId="7E8B9760" w14:textId="77777777" w:rsidR="00AE7EC4" w:rsidRPr="005C6F98" w:rsidRDefault="00AE7EC4" w:rsidP="005C6F98">
            <w:pPr>
              <w:tabs>
                <w:tab w:val="left" w:pos="1134"/>
              </w:tabs>
              <w:spacing w:before="20" w:after="20"/>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3,19</w:t>
            </w:r>
          </w:p>
        </w:tc>
        <w:tc>
          <w:tcPr>
            <w:tcW w:w="1191" w:type="dxa"/>
            <w:noWrap/>
            <w:hideMark/>
          </w:tcPr>
          <w:p w14:paraId="4C3B3C5B" w14:textId="77777777" w:rsidR="00AE7EC4" w:rsidRPr="005C6F98" w:rsidRDefault="00AE7EC4" w:rsidP="005C6F98">
            <w:pPr>
              <w:tabs>
                <w:tab w:val="left" w:pos="1134"/>
              </w:tabs>
              <w:spacing w:before="20" w:after="20"/>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104,0%</w:t>
            </w:r>
          </w:p>
        </w:tc>
      </w:tr>
      <w:tr w:rsidR="00AE7EC4" w:rsidRPr="005C6F98" w14:paraId="2C4909A7" w14:textId="77777777" w:rsidTr="005C6F98">
        <w:trPr>
          <w:trHeight w:val="825"/>
        </w:trPr>
        <w:tc>
          <w:tcPr>
            <w:cnfStyle w:val="001000000000" w:firstRow="0" w:lastRow="0" w:firstColumn="1" w:lastColumn="0" w:oddVBand="0" w:evenVBand="0" w:oddHBand="0" w:evenHBand="0" w:firstRowFirstColumn="0" w:firstRowLastColumn="0" w:lastRowFirstColumn="0" w:lastRowLastColumn="0"/>
            <w:tcW w:w="2970" w:type="dxa"/>
            <w:hideMark/>
          </w:tcPr>
          <w:p w14:paraId="39C58B18" w14:textId="77777777" w:rsidR="00AE7EC4" w:rsidRPr="005C6F98" w:rsidRDefault="00AE7EC4" w:rsidP="005C6F98">
            <w:pPr>
              <w:tabs>
                <w:tab w:val="left" w:pos="1134"/>
              </w:tabs>
              <w:spacing w:before="20" w:after="20"/>
              <w:rPr>
                <w:rFonts w:eastAsia="Calibri" w:cs="Times New Roman"/>
                <w:sz w:val="20"/>
                <w:szCs w:val="20"/>
              </w:rPr>
            </w:pPr>
            <w:r w:rsidRPr="005C6F98">
              <w:rPr>
                <w:rFonts w:eastAsia="Calibri" w:cs="Times New Roman"/>
                <w:sz w:val="20"/>
                <w:szCs w:val="20"/>
              </w:rPr>
              <w:t>Затраты на покупную электроэнергию, приобретаемую в целях компенсации потерь</w:t>
            </w:r>
          </w:p>
        </w:tc>
        <w:tc>
          <w:tcPr>
            <w:tcW w:w="1276" w:type="dxa"/>
            <w:noWrap/>
            <w:hideMark/>
          </w:tcPr>
          <w:p w14:paraId="6A75DD53" w14:textId="63016150" w:rsidR="00AE7EC4" w:rsidRPr="005C6F98" w:rsidRDefault="00164398" w:rsidP="005C6F98">
            <w:pPr>
              <w:tabs>
                <w:tab w:val="left" w:pos="1134"/>
              </w:tabs>
              <w:spacing w:before="20" w:after="20"/>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тыс. руб.</w:t>
            </w:r>
          </w:p>
        </w:tc>
        <w:tc>
          <w:tcPr>
            <w:tcW w:w="1418" w:type="dxa"/>
            <w:noWrap/>
            <w:hideMark/>
          </w:tcPr>
          <w:p w14:paraId="46B8AF8A" w14:textId="77777777" w:rsidR="00AE7EC4" w:rsidRPr="005C6F98" w:rsidRDefault="00AE7EC4" w:rsidP="005C6F98">
            <w:pPr>
              <w:tabs>
                <w:tab w:val="left" w:pos="1134"/>
              </w:tabs>
              <w:spacing w:before="20" w:after="20"/>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430 513,10</w:t>
            </w:r>
          </w:p>
        </w:tc>
        <w:tc>
          <w:tcPr>
            <w:tcW w:w="1419" w:type="dxa"/>
            <w:noWrap/>
            <w:hideMark/>
          </w:tcPr>
          <w:p w14:paraId="36331AAC" w14:textId="77777777" w:rsidR="00AE7EC4" w:rsidRPr="005C6F98" w:rsidRDefault="00AE7EC4" w:rsidP="005C6F98">
            <w:pPr>
              <w:tabs>
                <w:tab w:val="left" w:pos="1134"/>
              </w:tabs>
              <w:spacing w:before="20" w:after="20"/>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422 571,19</w:t>
            </w:r>
          </w:p>
        </w:tc>
        <w:tc>
          <w:tcPr>
            <w:tcW w:w="1191" w:type="dxa"/>
            <w:noWrap/>
            <w:hideMark/>
          </w:tcPr>
          <w:p w14:paraId="619314A5" w14:textId="77777777" w:rsidR="00AE7EC4" w:rsidRPr="005C6F98" w:rsidRDefault="00AE7EC4" w:rsidP="005C6F98">
            <w:pPr>
              <w:tabs>
                <w:tab w:val="left" w:pos="1134"/>
              </w:tabs>
              <w:spacing w:before="20" w:after="20"/>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853 084,29</w:t>
            </w:r>
          </w:p>
        </w:tc>
        <w:tc>
          <w:tcPr>
            <w:tcW w:w="1191" w:type="dxa"/>
            <w:noWrap/>
            <w:hideMark/>
          </w:tcPr>
          <w:p w14:paraId="628BE7D0" w14:textId="77777777" w:rsidR="00AE7EC4" w:rsidRPr="005C6F98" w:rsidRDefault="00AE7EC4" w:rsidP="005C6F98">
            <w:pPr>
              <w:tabs>
                <w:tab w:val="left" w:pos="1134"/>
              </w:tabs>
              <w:spacing w:before="20" w:after="20"/>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5C6F98">
              <w:rPr>
                <w:rFonts w:eastAsia="Calibri" w:cs="Times New Roman"/>
                <w:sz w:val="20"/>
                <w:szCs w:val="20"/>
              </w:rPr>
              <w:t>117,5%</w:t>
            </w:r>
          </w:p>
        </w:tc>
      </w:tr>
    </w:tbl>
    <w:p w14:paraId="64106F97" w14:textId="410F6678" w:rsidR="00FD09F4" w:rsidRPr="00FB0A3A" w:rsidRDefault="00FD09F4" w:rsidP="00755B66">
      <w:pPr>
        <w:pStyle w:val="afff7"/>
      </w:pPr>
      <w:r w:rsidRPr="00FB0A3A">
        <w:t xml:space="preserve">В обоснование заявленных объемов филиалом ПАО </w:t>
      </w:r>
      <w:r w:rsidR="00655FFA" w:rsidRPr="00FB0A3A">
        <w:t>«</w:t>
      </w:r>
      <w:r w:rsidRPr="00FB0A3A">
        <w:t>МРСК Северо-Запада</w:t>
      </w:r>
      <w:r w:rsidR="00655FFA" w:rsidRPr="00FB0A3A">
        <w:t>»</w:t>
      </w:r>
      <w:r w:rsidRPr="00FB0A3A">
        <w:t xml:space="preserve"> </w:t>
      </w:r>
      <w:r w:rsidR="00655FFA" w:rsidRPr="00FB0A3A">
        <w:t>«</w:t>
      </w:r>
      <w:r w:rsidRPr="00FB0A3A">
        <w:t>Колэнерго</w:t>
      </w:r>
      <w:r w:rsidR="00655FFA" w:rsidRPr="00FB0A3A">
        <w:t>»</w:t>
      </w:r>
      <w:r w:rsidRPr="00FB0A3A">
        <w:t xml:space="preserve"> были представлены следующие документы:</w:t>
      </w:r>
    </w:p>
    <w:p w14:paraId="6595D5A3" w14:textId="52CB93C2" w:rsidR="00FD09F4" w:rsidRPr="00FB0A3A" w:rsidRDefault="00FD09F4" w:rsidP="009B0BC1">
      <w:pPr>
        <w:pStyle w:val="a4"/>
        <w:numPr>
          <w:ilvl w:val="0"/>
          <w:numId w:val="20"/>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Пояснительная записка;</w:t>
      </w:r>
    </w:p>
    <w:p w14:paraId="555482FE" w14:textId="4F601F21" w:rsidR="00FD09F4" w:rsidRPr="00FB0A3A" w:rsidRDefault="00FD09F4" w:rsidP="009B0BC1">
      <w:pPr>
        <w:pStyle w:val="a4"/>
        <w:numPr>
          <w:ilvl w:val="0"/>
          <w:numId w:val="20"/>
        </w:numPr>
        <w:tabs>
          <w:tab w:val="left" w:pos="1134"/>
        </w:tabs>
        <w:autoSpaceDE w:val="0"/>
        <w:autoSpaceDN w:val="0"/>
        <w:adjustRightInd w:val="0"/>
        <w:spacing w:after="0" w:line="360" w:lineRule="auto"/>
        <w:ind w:left="0" w:firstLine="567"/>
        <w:jc w:val="both"/>
        <w:rPr>
          <w:rFonts w:ascii="Myriad Pro" w:hAnsi="Myriad Pro"/>
          <w:sz w:val="26"/>
          <w:szCs w:val="26"/>
        </w:rPr>
      </w:pPr>
      <w:r w:rsidRPr="00FB0A3A">
        <w:rPr>
          <w:rFonts w:ascii="Myriad Pro" w:hAnsi="Myriad Pro"/>
          <w:sz w:val="26"/>
          <w:szCs w:val="26"/>
        </w:rPr>
        <w:lastRenderedPageBreak/>
        <w:t xml:space="preserve">Форма 46-ЭЭ </w:t>
      </w:r>
      <w:r w:rsidR="00655FFA" w:rsidRPr="00FB0A3A">
        <w:rPr>
          <w:rFonts w:ascii="Myriad Pro" w:hAnsi="Myriad Pro"/>
          <w:sz w:val="26"/>
          <w:szCs w:val="26"/>
        </w:rPr>
        <w:t>«</w:t>
      </w:r>
      <w:r w:rsidRPr="00FB0A3A">
        <w:rPr>
          <w:rFonts w:ascii="Myriad Pro" w:hAnsi="Myriad Pro"/>
          <w:sz w:val="26"/>
          <w:szCs w:val="26"/>
        </w:rPr>
        <w:t>Сведения об отпуске (передаче) электроэнергии распределительными сетевыми организациями отдельным категориям потребителей</w:t>
      </w:r>
      <w:r w:rsidR="00655FFA" w:rsidRPr="00FB0A3A">
        <w:rPr>
          <w:rFonts w:ascii="Myriad Pro" w:hAnsi="Myriad Pro"/>
          <w:sz w:val="26"/>
          <w:szCs w:val="26"/>
        </w:rPr>
        <w:t>»</w:t>
      </w:r>
      <w:r w:rsidRPr="00FB0A3A">
        <w:rPr>
          <w:rFonts w:ascii="Myriad Pro" w:hAnsi="Myriad Pro"/>
          <w:sz w:val="26"/>
          <w:szCs w:val="26"/>
        </w:rPr>
        <w:t xml:space="preserve"> за 2017 год (годовая и за каждый месяц);</w:t>
      </w:r>
    </w:p>
    <w:p w14:paraId="6E8336DD" w14:textId="68A63121" w:rsidR="00FD09F4" w:rsidRPr="00FB0A3A" w:rsidRDefault="00FD09F4" w:rsidP="009B0BC1">
      <w:pPr>
        <w:pStyle w:val="a4"/>
        <w:numPr>
          <w:ilvl w:val="0"/>
          <w:numId w:val="20"/>
        </w:numPr>
        <w:tabs>
          <w:tab w:val="left" w:pos="1134"/>
        </w:tabs>
        <w:autoSpaceDE w:val="0"/>
        <w:autoSpaceDN w:val="0"/>
        <w:adjustRightInd w:val="0"/>
        <w:spacing w:after="0" w:line="360" w:lineRule="auto"/>
        <w:ind w:left="0" w:firstLine="567"/>
        <w:jc w:val="both"/>
        <w:rPr>
          <w:rFonts w:ascii="Myriad Pro" w:hAnsi="Myriad Pro"/>
          <w:sz w:val="26"/>
          <w:szCs w:val="26"/>
        </w:rPr>
      </w:pPr>
      <w:r w:rsidRPr="00FB0A3A">
        <w:rPr>
          <w:rFonts w:ascii="Myriad Pro" w:hAnsi="Myriad Pro"/>
          <w:sz w:val="26"/>
          <w:szCs w:val="26"/>
        </w:rPr>
        <w:t xml:space="preserve">Таблица № 1.3. </w:t>
      </w:r>
      <w:r w:rsidR="00655FFA" w:rsidRPr="00FB0A3A">
        <w:rPr>
          <w:rFonts w:ascii="Myriad Pro" w:hAnsi="Myriad Pro"/>
          <w:sz w:val="26"/>
          <w:szCs w:val="26"/>
        </w:rPr>
        <w:t>«</w:t>
      </w:r>
      <w:r w:rsidRPr="00FB0A3A">
        <w:rPr>
          <w:rFonts w:ascii="Myriad Pro" w:hAnsi="Myriad Pro"/>
          <w:sz w:val="26"/>
          <w:szCs w:val="26"/>
        </w:rPr>
        <w:t xml:space="preserve">Расчет технологического расхода электрической энергии (потерь) в электрических сетях филиала ПАО </w:t>
      </w:r>
      <w:r w:rsidR="00655FFA" w:rsidRPr="00FB0A3A">
        <w:rPr>
          <w:rFonts w:ascii="Myriad Pro" w:hAnsi="Myriad Pro"/>
          <w:sz w:val="26"/>
          <w:szCs w:val="26"/>
        </w:rPr>
        <w:t>«</w:t>
      </w:r>
      <w:r w:rsidRPr="00FB0A3A">
        <w:rPr>
          <w:rFonts w:ascii="Myriad Pro" w:hAnsi="Myriad Pro"/>
          <w:sz w:val="26"/>
          <w:szCs w:val="26"/>
        </w:rPr>
        <w:t>МРСК Северо-Запада</w:t>
      </w:r>
      <w:r w:rsidR="00655FFA" w:rsidRPr="00FB0A3A">
        <w:rPr>
          <w:rFonts w:ascii="Myriad Pro" w:hAnsi="Myriad Pro"/>
          <w:sz w:val="26"/>
          <w:szCs w:val="26"/>
        </w:rPr>
        <w:t>»</w:t>
      </w:r>
      <w:r w:rsidRPr="00FB0A3A">
        <w:rPr>
          <w:rFonts w:ascii="Myriad Pro" w:hAnsi="Myriad Pro"/>
          <w:sz w:val="26"/>
          <w:szCs w:val="26"/>
        </w:rPr>
        <w:t xml:space="preserve"> </w:t>
      </w:r>
      <w:r w:rsidR="00655FFA" w:rsidRPr="00FB0A3A">
        <w:rPr>
          <w:rFonts w:ascii="Myriad Pro" w:hAnsi="Myriad Pro"/>
          <w:sz w:val="26"/>
          <w:szCs w:val="26"/>
        </w:rPr>
        <w:t>«</w:t>
      </w:r>
      <w:r w:rsidRPr="00FB0A3A">
        <w:rPr>
          <w:rFonts w:ascii="Myriad Pro" w:hAnsi="Myriad Pro"/>
          <w:sz w:val="26"/>
          <w:szCs w:val="26"/>
        </w:rPr>
        <w:t>Колэнерго</w:t>
      </w:r>
      <w:r w:rsidR="00655FFA" w:rsidRPr="00FB0A3A">
        <w:rPr>
          <w:rFonts w:ascii="Myriad Pro" w:hAnsi="Myriad Pro"/>
          <w:sz w:val="26"/>
          <w:szCs w:val="26"/>
        </w:rPr>
        <w:t>»</w:t>
      </w:r>
      <w:r w:rsidRPr="00FB0A3A">
        <w:rPr>
          <w:rFonts w:ascii="Myriad Pro" w:hAnsi="Myriad Pro"/>
          <w:sz w:val="26"/>
          <w:szCs w:val="26"/>
        </w:rPr>
        <w:t>;</w:t>
      </w:r>
    </w:p>
    <w:p w14:paraId="3ADCB572" w14:textId="7BDB4BB4" w:rsidR="00FD09F4" w:rsidRPr="00FB0A3A" w:rsidRDefault="00FD09F4" w:rsidP="009B0BC1">
      <w:pPr>
        <w:pStyle w:val="a4"/>
        <w:numPr>
          <w:ilvl w:val="0"/>
          <w:numId w:val="20"/>
        </w:numPr>
        <w:tabs>
          <w:tab w:val="left" w:pos="1134"/>
        </w:tabs>
        <w:spacing w:line="360" w:lineRule="auto"/>
        <w:ind w:left="0" w:firstLine="567"/>
        <w:jc w:val="both"/>
        <w:rPr>
          <w:rFonts w:ascii="Myriad Pro" w:hAnsi="Myriad Pro"/>
          <w:sz w:val="26"/>
          <w:szCs w:val="26"/>
        </w:rPr>
      </w:pPr>
      <w:r w:rsidRPr="00FB0A3A">
        <w:rPr>
          <w:rFonts w:ascii="Myriad Pro" w:hAnsi="Myriad Pro"/>
          <w:sz w:val="26"/>
          <w:szCs w:val="26"/>
        </w:rPr>
        <w:t xml:space="preserve">Таблица 1.4 </w:t>
      </w:r>
      <w:r w:rsidR="00655FFA" w:rsidRPr="00FB0A3A">
        <w:rPr>
          <w:rFonts w:ascii="Myriad Pro" w:hAnsi="Myriad Pro"/>
          <w:sz w:val="26"/>
          <w:szCs w:val="26"/>
        </w:rPr>
        <w:t>«</w:t>
      </w:r>
      <w:r w:rsidRPr="00FB0A3A">
        <w:rPr>
          <w:rFonts w:ascii="Myriad Pro" w:hAnsi="Myriad Pro"/>
          <w:sz w:val="26"/>
          <w:szCs w:val="26"/>
        </w:rPr>
        <w:t>Баланс электрической энергии по сетям ВН, СН1, СН11 и НН</w:t>
      </w:r>
      <w:r w:rsidR="00655FFA" w:rsidRPr="00FB0A3A">
        <w:rPr>
          <w:rFonts w:ascii="Myriad Pro" w:hAnsi="Myriad Pro"/>
          <w:sz w:val="26"/>
          <w:szCs w:val="26"/>
        </w:rPr>
        <w:t>»</w:t>
      </w:r>
      <w:r w:rsidRPr="00FB0A3A">
        <w:rPr>
          <w:rFonts w:ascii="Myriad Pro" w:hAnsi="Myriad Pro"/>
          <w:sz w:val="26"/>
          <w:szCs w:val="26"/>
        </w:rPr>
        <w:t xml:space="preserve"> (в формате приложений Методических указаний 20-э);</w:t>
      </w:r>
    </w:p>
    <w:p w14:paraId="4029A550" w14:textId="0E59260A" w:rsidR="00FD09F4" w:rsidRPr="00FB0A3A" w:rsidRDefault="00FD09F4" w:rsidP="009B0BC1">
      <w:pPr>
        <w:pStyle w:val="a4"/>
        <w:numPr>
          <w:ilvl w:val="0"/>
          <w:numId w:val="20"/>
        </w:numPr>
        <w:tabs>
          <w:tab w:val="left" w:pos="1134"/>
        </w:tabs>
        <w:autoSpaceDE w:val="0"/>
        <w:autoSpaceDN w:val="0"/>
        <w:adjustRightInd w:val="0"/>
        <w:spacing w:after="0" w:line="360" w:lineRule="auto"/>
        <w:ind w:left="0" w:firstLine="567"/>
        <w:jc w:val="both"/>
        <w:rPr>
          <w:rFonts w:ascii="Myriad Pro" w:hAnsi="Myriad Pro"/>
          <w:sz w:val="26"/>
          <w:szCs w:val="26"/>
        </w:rPr>
      </w:pPr>
      <w:r w:rsidRPr="00FB0A3A">
        <w:rPr>
          <w:rFonts w:ascii="Myriad Pro" w:hAnsi="Myriad Pro"/>
          <w:sz w:val="26"/>
          <w:szCs w:val="26"/>
        </w:rPr>
        <w:t xml:space="preserve">Таблица 1.5 </w:t>
      </w:r>
      <w:r w:rsidR="00655FFA" w:rsidRPr="00FB0A3A">
        <w:rPr>
          <w:rFonts w:ascii="Myriad Pro" w:hAnsi="Myriad Pro"/>
          <w:sz w:val="26"/>
          <w:szCs w:val="26"/>
        </w:rPr>
        <w:t>«</w:t>
      </w:r>
      <w:r w:rsidRPr="00FB0A3A">
        <w:rPr>
          <w:rFonts w:ascii="Myriad Pro" w:hAnsi="Myriad Pro"/>
          <w:sz w:val="26"/>
          <w:szCs w:val="26"/>
        </w:rPr>
        <w:t>Электрическая мощность по диапазонам напряжения ЭСО</w:t>
      </w:r>
      <w:r w:rsidR="00655FFA" w:rsidRPr="00FB0A3A">
        <w:rPr>
          <w:rFonts w:ascii="Myriad Pro" w:hAnsi="Myriad Pro"/>
          <w:sz w:val="26"/>
          <w:szCs w:val="26"/>
        </w:rPr>
        <w:t>»</w:t>
      </w:r>
      <w:r w:rsidRPr="00FB0A3A">
        <w:rPr>
          <w:rFonts w:ascii="Myriad Pro" w:hAnsi="Myriad Pro"/>
          <w:sz w:val="26"/>
          <w:szCs w:val="26"/>
        </w:rPr>
        <w:t xml:space="preserve"> (в формате приложений Методических указаний 20-э);</w:t>
      </w:r>
    </w:p>
    <w:p w14:paraId="18B7D22B" w14:textId="269799F6" w:rsidR="00FD09F4" w:rsidRPr="00FB0A3A" w:rsidRDefault="00FD09F4" w:rsidP="009B0BC1">
      <w:pPr>
        <w:pStyle w:val="a4"/>
        <w:numPr>
          <w:ilvl w:val="0"/>
          <w:numId w:val="20"/>
        </w:numPr>
        <w:tabs>
          <w:tab w:val="left" w:pos="1134"/>
        </w:tabs>
        <w:autoSpaceDE w:val="0"/>
        <w:autoSpaceDN w:val="0"/>
        <w:adjustRightInd w:val="0"/>
        <w:spacing w:after="0" w:line="360" w:lineRule="auto"/>
        <w:ind w:left="0" w:firstLine="567"/>
        <w:jc w:val="both"/>
        <w:rPr>
          <w:rFonts w:ascii="Myriad Pro" w:hAnsi="Myriad Pro"/>
          <w:sz w:val="26"/>
          <w:szCs w:val="26"/>
        </w:rPr>
      </w:pPr>
      <w:r w:rsidRPr="00FB0A3A">
        <w:rPr>
          <w:rFonts w:ascii="Myriad Pro" w:hAnsi="Myriad Pro"/>
          <w:sz w:val="26"/>
          <w:szCs w:val="26"/>
        </w:rPr>
        <w:t xml:space="preserve">Таблица № П 1.30 </w:t>
      </w:r>
      <w:r w:rsidR="00655FFA" w:rsidRPr="00FB0A3A">
        <w:rPr>
          <w:rFonts w:ascii="Myriad Pro" w:hAnsi="Myriad Pro"/>
          <w:sz w:val="26"/>
          <w:szCs w:val="26"/>
        </w:rPr>
        <w:t>«</w:t>
      </w:r>
      <w:r w:rsidRPr="00FB0A3A">
        <w:rPr>
          <w:rFonts w:ascii="Myriad Pro" w:hAnsi="Myriad Pro"/>
          <w:sz w:val="26"/>
          <w:szCs w:val="26"/>
        </w:rPr>
        <w:t>Отпуск (передача) электроэнергии филиала ПАО</w:t>
      </w:r>
      <w:r w:rsidR="009808E8">
        <w:rPr>
          <w:rFonts w:ascii="Myriad Pro" w:hAnsi="Myriad Pro"/>
          <w:sz w:val="26"/>
          <w:szCs w:val="26"/>
        </w:rPr>
        <w:t> </w:t>
      </w:r>
      <w:r w:rsidR="00655FFA" w:rsidRPr="00FB0A3A">
        <w:rPr>
          <w:rFonts w:ascii="Myriad Pro" w:hAnsi="Myriad Pro"/>
          <w:sz w:val="26"/>
          <w:szCs w:val="26"/>
        </w:rPr>
        <w:t>«</w:t>
      </w:r>
      <w:r w:rsidRPr="00FB0A3A">
        <w:rPr>
          <w:rFonts w:ascii="Myriad Pro" w:hAnsi="Myriad Pro"/>
          <w:sz w:val="26"/>
          <w:szCs w:val="26"/>
        </w:rPr>
        <w:t>МРСК Северо-Запада</w:t>
      </w:r>
      <w:r w:rsidR="00655FFA" w:rsidRPr="00FB0A3A">
        <w:rPr>
          <w:rFonts w:ascii="Myriad Pro" w:hAnsi="Myriad Pro"/>
          <w:sz w:val="26"/>
          <w:szCs w:val="26"/>
        </w:rPr>
        <w:t>»</w:t>
      </w:r>
      <w:r w:rsidRPr="00FB0A3A">
        <w:rPr>
          <w:rFonts w:ascii="Myriad Pro" w:hAnsi="Myriad Pro"/>
          <w:sz w:val="26"/>
          <w:szCs w:val="26"/>
        </w:rPr>
        <w:t xml:space="preserve"> </w:t>
      </w:r>
      <w:r w:rsidR="00655FFA" w:rsidRPr="00FB0A3A">
        <w:rPr>
          <w:rFonts w:ascii="Myriad Pro" w:hAnsi="Myriad Pro"/>
          <w:sz w:val="26"/>
          <w:szCs w:val="26"/>
        </w:rPr>
        <w:t>«</w:t>
      </w:r>
      <w:r w:rsidRPr="00FB0A3A">
        <w:rPr>
          <w:rFonts w:ascii="Myriad Pro" w:hAnsi="Myriad Pro"/>
          <w:sz w:val="26"/>
          <w:szCs w:val="26"/>
        </w:rPr>
        <w:t>Колэнерго</w:t>
      </w:r>
      <w:r w:rsidR="00655FFA" w:rsidRPr="00FB0A3A">
        <w:rPr>
          <w:rFonts w:ascii="Myriad Pro" w:hAnsi="Myriad Pro"/>
          <w:sz w:val="26"/>
          <w:szCs w:val="26"/>
        </w:rPr>
        <w:t>»</w:t>
      </w:r>
      <w:r w:rsidRPr="00FB0A3A">
        <w:rPr>
          <w:rFonts w:ascii="Myriad Pro" w:hAnsi="Myriad Pro"/>
          <w:sz w:val="26"/>
          <w:szCs w:val="26"/>
        </w:rPr>
        <w:t xml:space="preserve"> на 2019 год (в формате приложений Методических указаний 20-э);</w:t>
      </w:r>
    </w:p>
    <w:p w14:paraId="533D0821" w14:textId="77777777" w:rsidR="00FD09F4" w:rsidRPr="00FB0A3A" w:rsidRDefault="00FD09F4" w:rsidP="009B0BC1">
      <w:pPr>
        <w:pStyle w:val="a4"/>
        <w:numPr>
          <w:ilvl w:val="0"/>
          <w:numId w:val="20"/>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Расчет потерь электроэнергии на 2019г. по приказу Минэнерго России от 26.09.2017 №887;</w:t>
      </w:r>
    </w:p>
    <w:p w14:paraId="78CE551C" w14:textId="395C4C31" w:rsidR="00A6641C" w:rsidRPr="00FB0A3A" w:rsidRDefault="00A6641C" w:rsidP="009B0BC1">
      <w:pPr>
        <w:pStyle w:val="a4"/>
        <w:numPr>
          <w:ilvl w:val="0"/>
          <w:numId w:val="20"/>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 xml:space="preserve">Приложение №3. </w:t>
      </w:r>
      <w:r w:rsidR="00655FFA" w:rsidRPr="00FB0A3A">
        <w:rPr>
          <w:rFonts w:ascii="Myriad Pro" w:hAnsi="Myriad Pro"/>
          <w:sz w:val="26"/>
          <w:szCs w:val="26"/>
        </w:rPr>
        <w:t>«</w:t>
      </w:r>
      <w:r w:rsidRPr="00FB0A3A">
        <w:rPr>
          <w:rFonts w:ascii="Myriad Pro" w:hAnsi="Myriad Pro"/>
          <w:sz w:val="26"/>
          <w:szCs w:val="26"/>
        </w:rPr>
        <w:t>Анализ приобретения электрической энергии и (мощности) с целью компенсации нормативных технологических потерь за 2017</w:t>
      </w:r>
      <w:r w:rsidR="009808E8">
        <w:rPr>
          <w:rFonts w:ascii="Myriad Pro" w:hAnsi="Myriad Pro"/>
          <w:sz w:val="26"/>
          <w:szCs w:val="26"/>
        </w:rPr>
        <w:t> </w:t>
      </w:r>
      <w:r w:rsidRPr="00FB0A3A">
        <w:rPr>
          <w:rFonts w:ascii="Myriad Pro" w:hAnsi="Myriad Pro"/>
          <w:sz w:val="26"/>
          <w:szCs w:val="26"/>
        </w:rPr>
        <w:t>г.</w:t>
      </w:r>
      <w:r w:rsidR="00655FFA" w:rsidRPr="00FB0A3A">
        <w:rPr>
          <w:rFonts w:ascii="Myriad Pro" w:hAnsi="Myriad Pro"/>
          <w:sz w:val="26"/>
          <w:szCs w:val="26"/>
        </w:rPr>
        <w:t>»</w:t>
      </w:r>
      <w:r w:rsidRPr="00FB0A3A">
        <w:rPr>
          <w:rFonts w:ascii="Myriad Pro" w:hAnsi="Myriad Pro"/>
          <w:sz w:val="26"/>
          <w:szCs w:val="26"/>
        </w:rPr>
        <w:t>;</w:t>
      </w:r>
    </w:p>
    <w:p w14:paraId="5E287816" w14:textId="6568F680" w:rsidR="00FD09F4" w:rsidRPr="00FB0A3A" w:rsidRDefault="00FD09F4" w:rsidP="009B0BC1">
      <w:pPr>
        <w:pStyle w:val="a4"/>
        <w:numPr>
          <w:ilvl w:val="0"/>
          <w:numId w:val="20"/>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 xml:space="preserve">Предложения филиала </w:t>
      </w:r>
      <w:r w:rsidR="00CB3B02" w:rsidRPr="00FB0A3A">
        <w:rPr>
          <w:rFonts w:ascii="Myriad Pro" w:hAnsi="Myriad Pro"/>
          <w:sz w:val="26"/>
          <w:szCs w:val="26"/>
        </w:rPr>
        <w:t xml:space="preserve">ПАО </w:t>
      </w:r>
      <w:r w:rsidR="00655FFA" w:rsidRPr="00FB0A3A">
        <w:rPr>
          <w:rFonts w:ascii="Myriad Pro" w:hAnsi="Myriad Pro"/>
          <w:sz w:val="26"/>
          <w:szCs w:val="26"/>
        </w:rPr>
        <w:t>«</w:t>
      </w:r>
      <w:r w:rsidR="00CB3B02" w:rsidRPr="00FB0A3A">
        <w:rPr>
          <w:rFonts w:ascii="Myriad Pro" w:hAnsi="Myriad Pro"/>
          <w:sz w:val="26"/>
          <w:szCs w:val="26"/>
        </w:rPr>
        <w:t>МРСК Северо-Запада</w:t>
      </w:r>
      <w:r w:rsidR="00655FFA" w:rsidRPr="00FB0A3A">
        <w:rPr>
          <w:rFonts w:ascii="Myriad Pro" w:hAnsi="Myriad Pro"/>
          <w:sz w:val="26"/>
          <w:szCs w:val="26"/>
        </w:rPr>
        <w:t>»</w:t>
      </w:r>
      <w:r w:rsidR="00CB3B02" w:rsidRPr="00FB0A3A">
        <w:rPr>
          <w:rFonts w:ascii="Myriad Pro" w:hAnsi="Myriad Pro"/>
          <w:sz w:val="26"/>
          <w:szCs w:val="26"/>
        </w:rPr>
        <w:t xml:space="preserve"> </w:t>
      </w:r>
      <w:r w:rsidR="00655FFA" w:rsidRPr="00FB0A3A">
        <w:rPr>
          <w:rFonts w:ascii="Myriad Pro" w:hAnsi="Myriad Pro"/>
          <w:sz w:val="26"/>
          <w:szCs w:val="26"/>
        </w:rPr>
        <w:t>«</w:t>
      </w:r>
      <w:r w:rsidR="00CB3B02" w:rsidRPr="00FB0A3A">
        <w:rPr>
          <w:rFonts w:ascii="Myriad Pro" w:hAnsi="Myriad Pro"/>
          <w:sz w:val="26"/>
          <w:szCs w:val="26"/>
        </w:rPr>
        <w:t>Кол</w:t>
      </w:r>
      <w:r w:rsidRPr="00FB0A3A">
        <w:rPr>
          <w:rFonts w:ascii="Myriad Pro" w:hAnsi="Myriad Pro"/>
          <w:sz w:val="26"/>
          <w:szCs w:val="26"/>
        </w:rPr>
        <w:t>энерго</w:t>
      </w:r>
      <w:r w:rsidR="00655FFA" w:rsidRPr="00FB0A3A">
        <w:rPr>
          <w:rFonts w:ascii="Myriad Pro" w:hAnsi="Myriad Pro"/>
          <w:sz w:val="26"/>
          <w:szCs w:val="26"/>
        </w:rPr>
        <w:t>»</w:t>
      </w:r>
      <w:r w:rsidRPr="00FB0A3A">
        <w:rPr>
          <w:rFonts w:ascii="Myriad Pro" w:hAnsi="Myriad Pro"/>
          <w:sz w:val="26"/>
          <w:szCs w:val="26"/>
        </w:rPr>
        <w:t xml:space="preserve"> по технологическому расходу электроэнергии (мощности) – потерям в электрических сетях н</w:t>
      </w:r>
      <w:r w:rsidR="00A6641C" w:rsidRPr="00FB0A3A">
        <w:rPr>
          <w:rFonts w:ascii="Myriad Pro" w:hAnsi="Myriad Pro"/>
          <w:sz w:val="26"/>
          <w:szCs w:val="26"/>
        </w:rPr>
        <w:t>а 2019 год (по формам 3.1 и 16);</w:t>
      </w:r>
    </w:p>
    <w:p w14:paraId="7EDBBF84" w14:textId="31950CF1" w:rsidR="00A6641C" w:rsidRPr="00FB0A3A" w:rsidRDefault="00A6641C" w:rsidP="009B0BC1">
      <w:pPr>
        <w:pStyle w:val="a4"/>
        <w:numPr>
          <w:ilvl w:val="0"/>
          <w:numId w:val="20"/>
        </w:numPr>
        <w:tabs>
          <w:tab w:val="left" w:pos="1134"/>
        </w:tabs>
        <w:spacing w:after="0" w:line="360" w:lineRule="auto"/>
        <w:ind w:left="0" w:firstLine="567"/>
        <w:jc w:val="both"/>
        <w:rPr>
          <w:rFonts w:ascii="Myriad Pro" w:hAnsi="Myriad Pro"/>
          <w:sz w:val="26"/>
          <w:szCs w:val="26"/>
        </w:rPr>
      </w:pPr>
      <w:r w:rsidRPr="00FB0A3A">
        <w:rPr>
          <w:rFonts w:ascii="Myriad Pro" w:hAnsi="Myriad Pro"/>
          <w:sz w:val="26"/>
          <w:szCs w:val="26"/>
        </w:rPr>
        <w:t>Анализ потерь за 2015-2018 гг.</w:t>
      </w:r>
    </w:p>
    <w:p w14:paraId="7F0EE13F" w14:textId="77777777" w:rsidR="00FD09F4" w:rsidRPr="00FB0A3A" w:rsidRDefault="00FD09F4" w:rsidP="00A31747">
      <w:pPr>
        <w:pStyle w:val="a4"/>
        <w:tabs>
          <w:tab w:val="left" w:pos="1134"/>
        </w:tabs>
        <w:spacing w:after="0" w:line="360" w:lineRule="auto"/>
        <w:ind w:left="0" w:firstLine="567"/>
        <w:jc w:val="both"/>
        <w:rPr>
          <w:rFonts w:ascii="Myriad Pro" w:hAnsi="Myriad Pro"/>
          <w:sz w:val="26"/>
          <w:szCs w:val="26"/>
        </w:rPr>
      </w:pPr>
    </w:p>
    <w:p w14:paraId="33059074" w14:textId="6755C9EE" w:rsidR="00457D12" w:rsidRPr="00FB0A3A" w:rsidRDefault="00457D12" w:rsidP="00E556F8">
      <w:pPr>
        <w:tabs>
          <w:tab w:val="left" w:pos="1134"/>
        </w:tabs>
        <w:spacing w:after="0" w:line="360" w:lineRule="auto"/>
        <w:contextualSpacing/>
        <w:jc w:val="both"/>
        <w:rPr>
          <w:rFonts w:ascii="Myriad Pro" w:eastAsia="Calibri" w:hAnsi="Myriad Pro" w:cs="Times New Roman"/>
          <w:b/>
          <w:sz w:val="26"/>
          <w:szCs w:val="26"/>
        </w:rPr>
      </w:pPr>
      <w:r w:rsidRPr="00FB0A3A">
        <w:rPr>
          <w:rFonts w:ascii="Myriad Pro" w:eastAsia="Calibri" w:hAnsi="Myriad Pro" w:cs="Times New Roman"/>
          <w:b/>
          <w:sz w:val="26"/>
          <w:szCs w:val="26"/>
        </w:rPr>
        <w:t>ПОЗИЦИЯ ОРГАНА РЕГУЛИРОВАНИЯ</w:t>
      </w:r>
    </w:p>
    <w:p w14:paraId="1CE327AF" w14:textId="6351B78E" w:rsidR="008C068E" w:rsidRPr="00FB0A3A" w:rsidRDefault="00506814" w:rsidP="00A31747">
      <w:pPr>
        <w:tabs>
          <w:tab w:val="left" w:pos="1134"/>
        </w:tabs>
        <w:spacing w:after="0" w:line="360" w:lineRule="auto"/>
        <w:ind w:firstLine="567"/>
        <w:contextualSpacing/>
        <w:jc w:val="both"/>
        <w:rPr>
          <w:rFonts w:ascii="Myriad Pro" w:hAnsi="Myriad Pro" w:cs="Myriad Pro"/>
          <w:sz w:val="26"/>
          <w:szCs w:val="26"/>
        </w:rPr>
      </w:pPr>
      <w:r w:rsidRPr="00FB0A3A">
        <w:rPr>
          <w:rFonts w:ascii="Myriad Pro" w:hAnsi="Myriad Pro" w:cs="Myriad Pro"/>
          <w:sz w:val="26"/>
          <w:szCs w:val="26"/>
        </w:rPr>
        <w:t xml:space="preserve">В соответствии с Протоколом от 28-29.12.2018 Комитетом расходы на оплату технологического расхода (потерь) электрической энергии на 2019 год для филиала ПАО </w:t>
      </w:r>
      <w:r w:rsidR="00655FFA" w:rsidRPr="00FB0A3A">
        <w:rPr>
          <w:rFonts w:ascii="Myriad Pro" w:hAnsi="Myriad Pro" w:cs="Myriad Pro"/>
          <w:sz w:val="26"/>
          <w:szCs w:val="26"/>
        </w:rPr>
        <w:t>«</w:t>
      </w:r>
      <w:r w:rsidRPr="00FB0A3A">
        <w:rPr>
          <w:rFonts w:ascii="Myriad Pro" w:hAnsi="Myriad Pro" w:cs="Myriad Pro"/>
          <w:sz w:val="26"/>
          <w:szCs w:val="26"/>
        </w:rPr>
        <w:t>МРСК С</w:t>
      </w:r>
      <w:r w:rsidR="00D80468" w:rsidRPr="00FB0A3A">
        <w:rPr>
          <w:rFonts w:ascii="Myriad Pro" w:hAnsi="Myriad Pro" w:cs="Myriad Pro"/>
          <w:sz w:val="26"/>
          <w:szCs w:val="26"/>
        </w:rPr>
        <w:t>еверо-Запада</w:t>
      </w:r>
      <w:r w:rsidR="00655FFA" w:rsidRPr="00FB0A3A">
        <w:rPr>
          <w:rFonts w:ascii="Myriad Pro" w:hAnsi="Myriad Pro" w:cs="Myriad Pro"/>
          <w:sz w:val="26"/>
          <w:szCs w:val="26"/>
        </w:rPr>
        <w:t>»</w:t>
      </w:r>
      <w:r w:rsidR="00D80468" w:rsidRPr="00FB0A3A">
        <w:rPr>
          <w:rFonts w:ascii="Myriad Pro" w:hAnsi="Myriad Pro" w:cs="Myriad Pro"/>
          <w:sz w:val="26"/>
          <w:szCs w:val="26"/>
        </w:rPr>
        <w:t xml:space="preserve"> </w:t>
      </w:r>
      <w:r w:rsidR="00655FFA" w:rsidRPr="00FB0A3A">
        <w:rPr>
          <w:rFonts w:ascii="Myriad Pro" w:hAnsi="Myriad Pro" w:cs="Myriad Pro"/>
          <w:sz w:val="26"/>
          <w:szCs w:val="26"/>
        </w:rPr>
        <w:t>«</w:t>
      </w:r>
      <w:r w:rsidR="00D80468" w:rsidRPr="00FB0A3A">
        <w:rPr>
          <w:rFonts w:ascii="Myriad Pro" w:hAnsi="Myriad Pro" w:cs="Myriad Pro"/>
          <w:sz w:val="26"/>
          <w:szCs w:val="26"/>
        </w:rPr>
        <w:t>Колэнерго</w:t>
      </w:r>
      <w:r w:rsidR="00655FFA" w:rsidRPr="00FB0A3A">
        <w:rPr>
          <w:rFonts w:ascii="Myriad Pro" w:hAnsi="Myriad Pro" w:cs="Myriad Pro"/>
          <w:sz w:val="26"/>
          <w:szCs w:val="26"/>
        </w:rPr>
        <w:t>»</w:t>
      </w:r>
      <w:r w:rsidR="00D80468" w:rsidRPr="00FB0A3A">
        <w:rPr>
          <w:rFonts w:ascii="Myriad Pro" w:hAnsi="Myriad Pro" w:cs="Myriad Pro"/>
          <w:sz w:val="26"/>
          <w:szCs w:val="26"/>
        </w:rPr>
        <w:t xml:space="preserve"> учтены</w:t>
      </w:r>
      <w:r w:rsidRPr="00FB0A3A">
        <w:rPr>
          <w:rFonts w:ascii="Myriad Pro" w:hAnsi="Myriad Pro" w:cs="Myriad Pro"/>
          <w:sz w:val="26"/>
          <w:szCs w:val="26"/>
        </w:rPr>
        <w:t xml:space="preserve"> </w:t>
      </w:r>
      <w:r w:rsidR="00E663D3">
        <w:rPr>
          <w:rFonts w:ascii="Myriad Pro" w:hAnsi="Myriad Pro" w:cs="Myriad Pro"/>
          <w:sz w:val="26"/>
          <w:szCs w:val="26"/>
        </w:rPr>
        <w:t>в размере</w:t>
      </w:r>
      <w:r w:rsidRPr="00FB0A3A">
        <w:rPr>
          <w:rFonts w:ascii="Myriad Pro" w:hAnsi="Myriad Pro" w:cs="Myriad Pro"/>
          <w:sz w:val="26"/>
          <w:szCs w:val="26"/>
        </w:rPr>
        <w:t xml:space="preserve"> 821 984,42 тыс. руб. </w:t>
      </w:r>
    </w:p>
    <w:p w14:paraId="04961F48" w14:textId="7261FEB6" w:rsidR="00506814" w:rsidRPr="00FB0A3A" w:rsidRDefault="00506814" w:rsidP="00A31747">
      <w:pPr>
        <w:tabs>
          <w:tab w:val="left" w:pos="1134"/>
        </w:tabs>
        <w:spacing w:after="0" w:line="360" w:lineRule="auto"/>
        <w:ind w:firstLine="567"/>
        <w:contextualSpacing/>
        <w:jc w:val="both"/>
        <w:rPr>
          <w:rFonts w:ascii="Myriad Pro" w:hAnsi="Myriad Pro" w:cs="Myriad Pro"/>
          <w:sz w:val="26"/>
          <w:szCs w:val="26"/>
        </w:rPr>
      </w:pPr>
      <w:r w:rsidRPr="00FB0A3A">
        <w:rPr>
          <w:rFonts w:ascii="Myriad Pro" w:hAnsi="Myriad Pro" w:cs="Myriad Pro"/>
          <w:sz w:val="26"/>
          <w:szCs w:val="26"/>
        </w:rPr>
        <w:t>Никаких расчетов и пояснений по применению цены покупки электроэнергии в целях оплаты технологическог</w:t>
      </w:r>
      <w:r w:rsidR="002C47E8" w:rsidRPr="00FB0A3A">
        <w:rPr>
          <w:rFonts w:ascii="Myriad Pro" w:hAnsi="Myriad Pro" w:cs="Myriad Pro"/>
          <w:sz w:val="26"/>
          <w:szCs w:val="26"/>
        </w:rPr>
        <w:t>о расхода (потерь) Комитетом в П</w:t>
      </w:r>
      <w:r w:rsidRPr="00FB0A3A">
        <w:rPr>
          <w:rFonts w:ascii="Myriad Pro" w:hAnsi="Myriad Pro" w:cs="Myriad Pro"/>
          <w:sz w:val="26"/>
          <w:szCs w:val="26"/>
        </w:rPr>
        <w:t>ротоколе</w:t>
      </w:r>
      <w:r w:rsidR="002C47E8" w:rsidRPr="00FB0A3A">
        <w:rPr>
          <w:rFonts w:ascii="Myriad Pro" w:hAnsi="Myriad Pro" w:cs="Myriad Pro"/>
          <w:sz w:val="26"/>
          <w:szCs w:val="26"/>
        </w:rPr>
        <w:t xml:space="preserve"> от 28-29.12.2018</w:t>
      </w:r>
      <w:r w:rsidR="00711D09" w:rsidRPr="00FB0A3A">
        <w:rPr>
          <w:rFonts w:ascii="Myriad Pro" w:hAnsi="Myriad Pro" w:cs="Myriad Pro"/>
          <w:sz w:val="26"/>
          <w:szCs w:val="26"/>
        </w:rPr>
        <w:t xml:space="preserve"> не отражено</w:t>
      </w:r>
      <w:r w:rsidRPr="00FB0A3A">
        <w:rPr>
          <w:rFonts w:ascii="Myriad Pro" w:hAnsi="Myriad Pro" w:cs="Myriad Pro"/>
          <w:sz w:val="26"/>
          <w:szCs w:val="26"/>
        </w:rPr>
        <w:t>.</w:t>
      </w:r>
    </w:p>
    <w:p w14:paraId="0884BD10" w14:textId="6043B167" w:rsidR="00457D12" w:rsidRPr="00FB0A3A" w:rsidRDefault="00457D12" w:rsidP="00E556F8">
      <w:pPr>
        <w:tabs>
          <w:tab w:val="left" w:pos="1134"/>
        </w:tabs>
        <w:spacing w:after="0" w:line="360" w:lineRule="auto"/>
        <w:contextualSpacing/>
        <w:jc w:val="both"/>
        <w:rPr>
          <w:rFonts w:ascii="Myriad Pro" w:eastAsia="Calibri" w:hAnsi="Myriad Pro" w:cs="Times New Roman"/>
          <w:b/>
          <w:sz w:val="26"/>
          <w:szCs w:val="26"/>
        </w:rPr>
      </w:pPr>
      <w:r w:rsidRPr="00FB0A3A">
        <w:rPr>
          <w:rFonts w:ascii="Myriad Pro" w:eastAsia="Calibri" w:hAnsi="Myriad Pro" w:cs="Times New Roman"/>
          <w:b/>
          <w:sz w:val="26"/>
          <w:szCs w:val="26"/>
        </w:rPr>
        <w:lastRenderedPageBreak/>
        <w:t>ПОЗИЦИЯ ИСПОЛНИТЕЛЯ</w:t>
      </w:r>
    </w:p>
    <w:p w14:paraId="199C2C67" w14:textId="2CA03988" w:rsidR="006D4A80" w:rsidRPr="00FB0A3A" w:rsidRDefault="00943BCB" w:rsidP="00E556F8">
      <w:pPr>
        <w:tabs>
          <w:tab w:val="left" w:pos="1134"/>
        </w:tabs>
        <w:spacing w:after="0" w:line="360" w:lineRule="auto"/>
        <w:ind w:firstLine="567"/>
        <w:jc w:val="both"/>
        <w:rPr>
          <w:rFonts w:ascii="Myriad Pro" w:hAnsi="Myriad Pro" w:cs="Myriad Pro"/>
          <w:sz w:val="26"/>
          <w:szCs w:val="26"/>
        </w:rPr>
      </w:pPr>
      <w:r w:rsidRPr="00FB0A3A">
        <w:rPr>
          <w:rFonts w:ascii="Myriad Pro" w:hAnsi="Myriad Pro" w:cs="Myriad Pro"/>
          <w:sz w:val="26"/>
          <w:szCs w:val="26"/>
        </w:rPr>
        <w:t xml:space="preserve">В соответствии с параметрами Сводного прогнозного баланса электрической энергии (мощности), утвержденного приказом ФАС России от 16.11.2018 №1570/18-ДСП </w:t>
      </w:r>
      <w:r w:rsidR="006552E7" w:rsidRPr="00FB0A3A">
        <w:rPr>
          <w:rFonts w:ascii="Myriad Pro" w:hAnsi="Myriad Pro" w:cs="Myriad Pro"/>
          <w:sz w:val="26"/>
          <w:szCs w:val="26"/>
        </w:rPr>
        <w:t>потери в электрических сетях</w:t>
      </w:r>
      <w:r w:rsidR="006D4A80" w:rsidRPr="00FB0A3A">
        <w:rPr>
          <w:rFonts w:ascii="Myriad Pro" w:hAnsi="Myriad Pro" w:cs="Myriad Pro"/>
          <w:sz w:val="26"/>
          <w:szCs w:val="26"/>
        </w:rPr>
        <w:t xml:space="preserve"> филиала </w:t>
      </w:r>
      <w:r w:rsidRPr="00FB0A3A">
        <w:rPr>
          <w:rFonts w:ascii="Myriad Pro" w:hAnsi="Myriad Pro" w:cs="Myriad Pro"/>
          <w:sz w:val="26"/>
          <w:szCs w:val="26"/>
        </w:rPr>
        <w:t xml:space="preserve">ПАО </w:t>
      </w:r>
      <w:r w:rsidR="00655FFA" w:rsidRPr="00FB0A3A">
        <w:rPr>
          <w:rFonts w:ascii="Myriad Pro" w:hAnsi="Myriad Pro" w:cs="Myriad Pro"/>
          <w:sz w:val="26"/>
          <w:szCs w:val="26"/>
        </w:rPr>
        <w:t>«</w:t>
      </w:r>
      <w:r w:rsidRPr="00FB0A3A">
        <w:rPr>
          <w:rFonts w:ascii="Myriad Pro" w:hAnsi="Myriad Pro" w:cs="Myriad Pro"/>
          <w:sz w:val="26"/>
          <w:szCs w:val="26"/>
        </w:rPr>
        <w:t>МРСК Северо-Запада</w:t>
      </w:r>
      <w:r w:rsidR="00655FFA" w:rsidRPr="00FB0A3A">
        <w:rPr>
          <w:rFonts w:ascii="Myriad Pro" w:hAnsi="Myriad Pro" w:cs="Myriad Pro"/>
          <w:sz w:val="26"/>
          <w:szCs w:val="26"/>
        </w:rPr>
        <w:t>»</w:t>
      </w:r>
      <w:r w:rsidRPr="00FB0A3A">
        <w:rPr>
          <w:rFonts w:ascii="Myriad Pro" w:hAnsi="Myriad Pro" w:cs="Myriad Pro"/>
          <w:sz w:val="26"/>
          <w:szCs w:val="26"/>
        </w:rPr>
        <w:t xml:space="preserve"> </w:t>
      </w:r>
      <w:r w:rsidR="00655FFA" w:rsidRPr="00FB0A3A">
        <w:rPr>
          <w:rFonts w:ascii="Myriad Pro" w:hAnsi="Myriad Pro" w:cs="Myriad Pro"/>
          <w:sz w:val="26"/>
          <w:szCs w:val="26"/>
        </w:rPr>
        <w:t>«</w:t>
      </w:r>
      <w:r w:rsidRPr="00FB0A3A">
        <w:rPr>
          <w:rFonts w:ascii="Myriad Pro" w:hAnsi="Myriad Pro" w:cs="Myriad Pro"/>
          <w:sz w:val="26"/>
          <w:szCs w:val="26"/>
        </w:rPr>
        <w:t>Колэнерго</w:t>
      </w:r>
      <w:r w:rsidR="00655FFA" w:rsidRPr="00FB0A3A">
        <w:rPr>
          <w:rFonts w:ascii="Myriad Pro" w:hAnsi="Myriad Pro" w:cs="Myriad Pro"/>
          <w:sz w:val="26"/>
          <w:szCs w:val="26"/>
        </w:rPr>
        <w:t>»</w:t>
      </w:r>
      <w:r w:rsidRPr="00FB0A3A">
        <w:rPr>
          <w:rFonts w:ascii="Myriad Pro" w:hAnsi="Myriad Pro" w:cs="Myriad Pro"/>
          <w:sz w:val="26"/>
          <w:szCs w:val="26"/>
        </w:rPr>
        <w:t xml:space="preserve"> </w:t>
      </w:r>
      <w:r w:rsidR="006D4A80" w:rsidRPr="00FB0A3A">
        <w:rPr>
          <w:rFonts w:ascii="Myriad Pro" w:hAnsi="Myriad Pro" w:cs="Myriad Pro"/>
          <w:sz w:val="26"/>
          <w:szCs w:val="26"/>
        </w:rPr>
        <w:t xml:space="preserve">на 2019 год </w:t>
      </w:r>
      <w:r w:rsidR="006E0AD7" w:rsidRPr="00FB0A3A">
        <w:rPr>
          <w:rFonts w:ascii="Myriad Pro" w:hAnsi="Myriad Pro" w:cs="Myriad Pro"/>
          <w:sz w:val="26"/>
          <w:szCs w:val="26"/>
        </w:rPr>
        <w:t>утверждены</w:t>
      </w:r>
      <w:r w:rsidRPr="00FB0A3A">
        <w:rPr>
          <w:rFonts w:ascii="Myriad Pro" w:hAnsi="Myriad Pro" w:cs="Myriad Pro"/>
          <w:sz w:val="26"/>
          <w:szCs w:val="26"/>
        </w:rPr>
        <w:t xml:space="preserve"> в размере 403,26 млн. кВ</w:t>
      </w:r>
      <w:r w:rsidR="006E0AD7" w:rsidRPr="00FB0A3A">
        <w:rPr>
          <w:rFonts w:ascii="Myriad Pro" w:hAnsi="Myriad Pro" w:cs="Myriad Pro"/>
          <w:sz w:val="26"/>
          <w:szCs w:val="26"/>
        </w:rPr>
        <w:t>т</w:t>
      </w:r>
      <w:r w:rsidRPr="00FB0A3A">
        <w:rPr>
          <w:rFonts w:ascii="Myriad Pro" w:hAnsi="Myriad Pro" w:cs="Myriad Pro"/>
          <w:sz w:val="26"/>
          <w:szCs w:val="26"/>
        </w:rPr>
        <w:t>*ч.</w:t>
      </w:r>
      <w:r w:rsidR="006E0AD7" w:rsidRPr="00FB0A3A">
        <w:rPr>
          <w:rFonts w:ascii="Myriad Pro" w:hAnsi="Myriad Pro" w:cs="Myriad Pro"/>
          <w:sz w:val="26"/>
          <w:szCs w:val="26"/>
        </w:rPr>
        <w:t>, в том числе в 1</w:t>
      </w:r>
      <w:r w:rsidR="0024367F" w:rsidRPr="00FB0A3A">
        <w:rPr>
          <w:rFonts w:ascii="Myriad Pro" w:hAnsi="Myriad Pro" w:cs="Myriad Pro"/>
          <w:sz w:val="26"/>
          <w:szCs w:val="26"/>
        </w:rPr>
        <w:t> </w:t>
      </w:r>
      <w:r w:rsidR="006E0AD7" w:rsidRPr="00FB0A3A">
        <w:rPr>
          <w:rFonts w:ascii="Myriad Pro" w:hAnsi="Myriad Pro" w:cs="Myriad Pro"/>
          <w:sz w:val="26"/>
          <w:szCs w:val="26"/>
        </w:rPr>
        <w:t>полугодии 2019 г. – 210,18 млн. кВт*ч., во втором полугодии 2019 г. – 193,08 млн. кВт*ч., потери мощности в сети 59,38 МВт, в том числе в 1 полугодии 2019 г. – 61,25 МВт., во втором полугодии 2019 г. – 57,51 МВт.</w:t>
      </w:r>
    </w:p>
    <w:p w14:paraId="49F9A5C4" w14:textId="77777777" w:rsidR="00445DD1" w:rsidRPr="00FB0A3A" w:rsidRDefault="00445DD1" w:rsidP="00E556F8">
      <w:pPr>
        <w:tabs>
          <w:tab w:val="left" w:pos="1134"/>
        </w:tabs>
        <w:spacing w:after="0" w:line="360" w:lineRule="auto"/>
        <w:ind w:firstLine="567"/>
        <w:jc w:val="both"/>
        <w:rPr>
          <w:rFonts w:ascii="Myriad Pro" w:hAnsi="Myriad Pro" w:cs="Myriad Pro"/>
          <w:sz w:val="26"/>
          <w:szCs w:val="26"/>
        </w:rPr>
      </w:pPr>
    </w:p>
    <w:p w14:paraId="7D7EE1EC" w14:textId="70DF250A" w:rsidR="00943BCB" w:rsidRPr="00FB0A3A" w:rsidRDefault="00943BCB" w:rsidP="00E556F8">
      <w:pPr>
        <w:tabs>
          <w:tab w:val="left" w:pos="1134"/>
        </w:tabs>
        <w:spacing w:after="0" w:line="360" w:lineRule="auto"/>
        <w:ind w:firstLine="567"/>
        <w:jc w:val="both"/>
        <w:rPr>
          <w:rFonts w:ascii="Myriad Pro" w:hAnsi="Myriad Pro" w:cs="Myriad Pro"/>
          <w:sz w:val="26"/>
          <w:szCs w:val="26"/>
        </w:rPr>
      </w:pPr>
      <w:r w:rsidRPr="00FB0A3A">
        <w:rPr>
          <w:rFonts w:ascii="Myriad Pro" w:hAnsi="Myriad Pro" w:cs="Myriad Pro"/>
          <w:sz w:val="26"/>
          <w:szCs w:val="26"/>
        </w:rPr>
        <w:t>Цена электроэнергии формируется исходя из:</w:t>
      </w:r>
    </w:p>
    <w:p w14:paraId="4991AC07" w14:textId="34DB96FD" w:rsidR="00642EB3" w:rsidRPr="00FB0A3A" w:rsidRDefault="00943BCB" w:rsidP="009B0BC1">
      <w:pPr>
        <w:numPr>
          <w:ilvl w:val="0"/>
          <w:numId w:val="19"/>
        </w:numPr>
        <w:tabs>
          <w:tab w:val="left" w:pos="720"/>
          <w:tab w:val="left" w:pos="1134"/>
        </w:tabs>
        <w:spacing w:after="0" w:line="360" w:lineRule="auto"/>
        <w:ind w:left="0" w:firstLine="567"/>
        <w:jc w:val="both"/>
        <w:rPr>
          <w:rFonts w:ascii="Myriad Pro" w:hAnsi="Myriad Pro" w:cs="Myriad Pro"/>
          <w:sz w:val="26"/>
          <w:szCs w:val="26"/>
        </w:rPr>
      </w:pPr>
      <w:r w:rsidRPr="00FB0A3A">
        <w:rPr>
          <w:rFonts w:ascii="Myriad Pro" w:hAnsi="Myriad Pro" w:cs="Myriad Pro"/>
          <w:sz w:val="26"/>
          <w:szCs w:val="26"/>
        </w:rPr>
        <w:t>нерегулируемой цены на электроэнергию и мощность по полугодиям 2019 года, принятой в соответствии с Прогнозом свободных (нерегулируемых) цен на электрическую энергию (мощность) по субъектам Российской Федерации на 2019 год от 28.11.2018, опубликованному на официальном са</w:t>
      </w:r>
      <w:r w:rsidR="00D601EB" w:rsidRPr="00FB0A3A">
        <w:rPr>
          <w:rFonts w:ascii="Myriad Pro" w:hAnsi="Myriad Pro" w:cs="Myriad Pro"/>
          <w:sz w:val="26"/>
          <w:szCs w:val="26"/>
        </w:rPr>
        <w:t xml:space="preserve">йте Ассоциации </w:t>
      </w:r>
      <w:r w:rsidR="00655FFA" w:rsidRPr="00FB0A3A">
        <w:rPr>
          <w:rFonts w:ascii="Myriad Pro" w:hAnsi="Myriad Pro" w:cs="Myriad Pro"/>
          <w:sz w:val="26"/>
          <w:szCs w:val="26"/>
        </w:rPr>
        <w:t>«</w:t>
      </w:r>
      <w:r w:rsidR="00D601EB" w:rsidRPr="00FB0A3A">
        <w:rPr>
          <w:rFonts w:ascii="Myriad Pro" w:hAnsi="Myriad Pro" w:cs="Myriad Pro"/>
          <w:sz w:val="26"/>
          <w:szCs w:val="26"/>
        </w:rPr>
        <w:t>НП</w:t>
      </w:r>
      <w:r w:rsidR="0024367F" w:rsidRPr="00FB0A3A">
        <w:rPr>
          <w:rFonts w:ascii="Myriad Pro" w:hAnsi="Myriad Pro" w:cs="Myriad Pro"/>
          <w:sz w:val="26"/>
          <w:szCs w:val="26"/>
        </w:rPr>
        <w:t> </w:t>
      </w:r>
      <w:r w:rsidR="00D601EB" w:rsidRPr="00FB0A3A">
        <w:rPr>
          <w:rFonts w:ascii="Myriad Pro" w:hAnsi="Myriad Pro" w:cs="Myriad Pro"/>
          <w:sz w:val="26"/>
          <w:szCs w:val="26"/>
        </w:rPr>
        <w:t>Совет рынка</w:t>
      </w:r>
      <w:r w:rsidR="00655FFA" w:rsidRPr="00FB0A3A">
        <w:rPr>
          <w:rFonts w:ascii="Myriad Pro" w:hAnsi="Myriad Pro" w:cs="Myriad Pro"/>
          <w:sz w:val="26"/>
          <w:szCs w:val="26"/>
        </w:rPr>
        <w:t>»</w:t>
      </w:r>
      <w:r w:rsidR="00D601EB" w:rsidRPr="00FB0A3A">
        <w:rPr>
          <w:rFonts w:ascii="Myriad Pro" w:hAnsi="Myriad Pro" w:cs="Myriad Pro"/>
          <w:sz w:val="26"/>
          <w:szCs w:val="26"/>
        </w:rPr>
        <w:t>;</w:t>
      </w:r>
    </w:p>
    <w:p w14:paraId="2DC6F77E" w14:textId="1F9927B1" w:rsidR="00D601EB" w:rsidRPr="00FB0A3A" w:rsidRDefault="00D601EB" w:rsidP="009B0BC1">
      <w:pPr>
        <w:numPr>
          <w:ilvl w:val="0"/>
          <w:numId w:val="19"/>
        </w:numPr>
        <w:tabs>
          <w:tab w:val="left" w:pos="720"/>
          <w:tab w:val="left" w:pos="1134"/>
        </w:tabs>
        <w:spacing w:after="0" w:line="360" w:lineRule="auto"/>
        <w:ind w:left="0" w:firstLine="567"/>
        <w:jc w:val="both"/>
        <w:rPr>
          <w:rFonts w:ascii="Myriad Pro" w:hAnsi="Myriad Pro" w:cs="Myriad Pro"/>
          <w:sz w:val="26"/>
          <w:szCs w:val="26"/>
        </w:rPr>
      </w:pPr>
      <w:r w:rsidRPr="00FB0A3A">
        <w:rPr>
          <w:rFonts w:ascii="Myriad Pro" w:hAnsi="Myriad Pro" w:cs="Myriad Pro"/>
          <w:sz w:val="26"/>
          <w:szCs w:val="26"/>
        </w:rPr>
        <w:t xml:space="preserve">сбытовой надбавки гарантирующих поставщиков, принятой в соответствии с постановлением Комитета по тарифному регулированию </w:t>
      </w:r>
      <w:r w:rsidR="0024367F" w:rsidRPr="00FB0A3A">
        <w:rPr>
          <w:rFonts w:ascii="Myriad Pro" w:hAnsi="Myriad Pro" w:cs="Myriad Pro"/>
          <w:sz w:val="26"/>
          <w:szCs w:val="26"/>
        </w:rPr>
        <w:t>М</w:t>
      </w:r>
      <w:r w:rsidRPr="00FB0A3A">
        <w:rPr>
          <w:rFonts w:ascii="Myriad Pro" w:hAnsi="Myriad Pro" w:cs="Myriad Pro"/>
          <w:sz w:val="26"/>
          <w:szCs w:val="26"/>
        </w:rPr>
        <w:t xml:space="preserve">урманской области от </w:t>
      </w:r>
      <w:r w:rsidR="00DD5E67" w:rsidRPr="00FB0A3A">
        <w:rPr>
          <w:rFonts w:ascii="Myriad Pro" w:hAnsi="Myriad Pro" w:cs="Myriad Pro"/>
          <w:sz w:val="26"/>
          <w:szCs w:val="26"/>
        </w:rPr>
        <w:t xml:space="preserve">25.12.2018 № 53/1 </w:t>
      </w:r>
      <w:r w:rsidR="00655FFA" w:rsidRPr="00FB0A3A">
        <w:rPr>
          <w:rFonts w:ascii="Myriad Pro" w:hAnsi="Myriad Pro" w:cs="Myriad Pro"/>
          <w:sz w:val="26"/>
          <w:szCs w:val="26"/>
        </w:rPr>
        <w:t>«</w:t>
      </w:r>
      <w:r w:rsidR="00DD5E67" w:rsidRPr="00FB0A3A">
        <w:rPr>
          <w:rFonts w:ascii="Myriad Pro" w:hAnsi="Myriad Pro" w:cs="Myriad Pro"/>
          <w:sz w:val="26"/>
          <w:szCs w:val="26"/>
        </w:rPr>
        <w:t xml:space="preserve">Об установлении сбытовых надбавок гарантирующего поставщика АО </w:t>
      </w:r>
      <w:r w:rsidR="00655FFA" w:rsidRPr="00FB0A3A">
        <w:rPr>
          <w:rFonts w:ascii="Myriad Pro" w:hAnsi="Myriad Pro" w:cs="Myriad Pro"/>
          <w:sz w:val="26"/>
          <w:szCs w:val="26"/>
        </w:rPr>
        <w:t>«</w:t>
      </w:r>
      <w:r w:rsidR="00DD5E67" w:rsidRPr="00FB0A3A">
        <w:rPr>
          <w:rFonts w:ascii="Myriad Pro" w:hAnsi="Myriad Pro" w:cs="Myriad Pro"/>
          <w:sz w:val="26"/>
          <w:szCs w:val="26"/>
        </w:rPr>
        <w:t>АтомЭнергоСбыт</w:t>
      </w:r>
      <w:r w:rsidR="00655FFA" w:rsidRPr="00FB0A3A">
        <w:rPr>
          <w:rFonts w:ascii="Myriad Pro" w:hAnsi="Myriad Pro" w:cs="Myriad Pro"/>
          <w:sz w:val="26"/>
          <w:szCs w:val="26"/>
        </w:rPr>
        <w:t>»</w:t>
      </w:r>
      <w:r w:rsidR="00DD5E67" w:rsidRPr="00FB0A3A">
        <w:rPr>
          <w:rFonts w:ascii="Myriad Pro" w:hAnsi="Myriad Pro" w:cs="Myriad Pro"/>
          <w:sz w:val="26"/>
          <w:szCs w:val="26"/>
        </w:rPr>
        <w:t xml:space="preserve"> на 2019 год</w:t>
      </w:r>
      <w:r w:rsidR="00655FFA" w:rsidRPr="00FB0A3A">
        <w:rPr>
          <w:rFonts w:ascii="Myriad Pro" w:hAnsi="Myriad Pro" w:cs="Myriad Pro"/>
          <w:sz w:val="26"/>
          <w:szCs w:val="26"/>
        </w:rPr>
        <w:t>»</w:t>
      </w:r>
      <w:r w:rsidRPr="00FB0A3A">
        <w:rPr>
          <w:rFonts w:ascii="Myriad Pro" w:hAnsi="Myriad Pro" w:cs="Myriad Pro"/>
          <w:sz w:val="26"/>
          <w:szCs w:val="26"/>
        </w:rPr>
        <w:t xml:space="preserve"> </w:t>
      </w:r>
    </w:p>
    <w:p w14:paraId="6981614B" w14:textId="13644090" w:rsidR="00D601EB" w:rsidRPr="00FB0A3A" w:rsidRDefault="00D601EB" w:rsidP="00E556F8">
      <w:pPr>
        <w:tabs>
          <w:tab w:val="left" w:pos="720"/>
          <w:tab w:val="left" w:pos="1134"/>
        </w:tabs>
        <w:spacing w:after="0" w:line="360" w:lineRule="auto"/>
        <w:ind w:firstLine="567"/>
        <w:jc w:val="both"/>
        <w:rPr>
          <w:rFonts w:ascii="Myriad Pro" w:hAnsi="Myriad Pro" w:cs="Myriad Pro"/>
          <w:sz w:val="26"/>
          <w:szCs w:val="26"/>
        </w:rPr>
      </w:pPr>
      <w:r w:rsidRPr="00FB0A3A">
        <w:rPr>
          <w:rFonts w:ascii="Myriad Pro" w:hAnsi="Myriad Pro" w:cs="Myriad Pro"/>
          <w:sz w:val="26"/>
          <w:szCs w:val="26"/>
        </w:rPr>
        <w:t>в следующих размерах</w:t>
      </w:r>
      <w:r w:rsidR="00DD5E67" w:rsidRPr="00FB0A3A">
        <w:rPr>
          <w:rFonts w:ascii="Myriad Pro" w:hAnsi="Myriad Pro" w:cs="Myriad Pro"/>
          <w:sz w:val="26"/>
          <w:szCs w:val="26"/>
        </w:rPr>
        <w:t>:</w:t>
      </w:r>
    </w:p>
    <w:p w14:paraId="237E7608" w14:textId="4455D7D1" w:rsidR="00D601EB" w:rsidRPr="00FB0A3A" w:rsidRDefault="00D601EB" w:rsidP="009B0BC1">
      <w:pPr>
        <w:pStyle w:val="a4"/>
        <w:numPr>
          <w:ilvl w:val="0"/>
          <w:numId w:val="65"/>
        </w:numPr>
        <w:tabs>
          <w:tab w:val="left" w:pos="1134"/>
        </w:tabs>
        <w:spacing w:after="0" w:line="360" w:lineRule="auto"/>
        <w:ind w:left="0" w:firstLine="567"/>
        <w:contextualSpacing w:val="0"/>
        <w:rPr>
          <w:rFonts w:ascii="Myriad Pro" w:hAnsi="Myriad Pro" w:cs="Myriad Pro"/>
          <w:sz w:val="26"/>
          <w:szCs w:val="26"/>
        </w:rPr>
      </w:pPr>
      <w:r w:rsidRPr="00FB0A3A">
        <w:rPr>
          <w:rFonts w:ascii="Myriad Pro" w:hAnsi="Myriad Pro" w:cs="Myriad Pro"/>
          <w:sz w:val="26"/>
          <w:szCs w:val="26"/>
        </w:rPr>
        <w:t>с 01.01.201</w:t>
      </w:r>
      <w:r w:rsidR="00DD5E67" w:rsidRPr="00FB0A3A">
        <w:rPr>
          <w:rFonts w:ascii="Myriad Pro" w:hAnsi="Myriad Pro" w:cs="Myriad Pro"/>
          <w:sz w:val="26"/>
          <w:szCs w:val="26"/>
        </w:rPr>
        <w:t>9 г.  по 30.06.2019 г. – 158,261</w:t>
      </w:r>
      <w:r w:rsidRPr="00FB0A3A">
        <w:rPr>
          <w:rFonts w:ascii="Myriad Pro" w:hAnsi="Myriad Pro" w:cs="Myriad Pro"/>
          <w:sz w:val="26"/>
          <w:szCs w:val="26"/>
        </w:rPr>
        <w:t xml:space="preserve"> руб./МВт.ч.;</w:t>
      </w:r>
    </w:p>
    <w:p w14:paraId="4582C714" w14:textId="731282BB" w:rsidR="00D601EB" w:rsidRPr="00FB0A3A" w:rsidRDefault="00D601EB" w:rsidP="009B0BC1">
      <w:pPr>
        <w:pStyle w:val="a4"/>
        <w:numPr>
          <w:ilvl w:val="0"/>
          <w:numId w:val="65"/>
        </w:numPr>
        <w:tabs>
          <w:tab w:val="left" w:pos="1134"/>
        </w:tabs>
        <w:autoSpaceDE w:val="0"/>
        <w:autoSpaceDN w:val="0"/>
        <w:adjustRightInd w:val="0"/>
        <w:spacing w:after="0" w:line="360" w:lineRule="auto"/>
        <w:ind w:left="0" w:firstLine="567"/>
        <w:contextualSpacing w:val="0"/>
        <w:jc w:val="both"/>
        <w:rPr>
          <w:rFonts w:ascii="Myriad Pro" w:hAnsi="Myriad Pro" w:cs="Myriad Pro"/>
          <w:sz w:val="26"/>
          <w:szCs w:val="26"/>
        </w:rPr>
      </w:pPr>
      <w:r w:rsidRPr="00FB0A3A">
        <w:rPr>
          <w:rFonts w:ascii="Myriad Pro" w:hAnsi="Myriad Pro" w:cs="Myriad Pro"/>
          <w:sz w:val="26"/>
          <w:szCs w:val="26"/>
        </w:rPr>
        <w:t>с 01.07.2</w:t>
      </w:r>
      <w:r w:rsidR="00DD5E67" w:rsidRPr="00FB0A3A">
        <w:rPr>
          <w:rFonts w:ascii="Myriad Pro" w:hAnsi="Myriad Pro" w:cs="Myriad Pro"/>
          <w:sz w:val="26"/>
          <w:szCs w:val="26"/>
        </w:rPr>
        <w:t>019</w:t>
      </w:r>
      <w:r w:rsidRPr="00FB0A3A">
        <w:rPr>
          <w:rFonts w:ascii="Myriad Pro" w:hAnsi="Myriad Pro" w:cs="Myriad Pro"/>
          <w:sz w:val="26"/>
          <w:szCs w:val="26"/>
        </w:rPr>
        <w:t xml:space="preserve"> г. по</w:t>
      </w:r>
      <w:r w:rsidR="00DD5E67" w:rsidRPr="00FB0A3A">
        <w:rPr>
          <w:rFonts w:ascii="Myriad Pro" w:hAnsi="Myriad Pro" w:cs="Myriad Pro"/>
          <w:sz w:val="26"/>
          <w:szCs w:val="26"/>
        </w:rPr>
        <w:t xml:space="preserve"> 31.12.2019</w:t>
      </w:r>
      <w:r w:rsidRPr="00FB0A3A">
        <w:rPr>
          <w:rFonts w:ascii="Myriad Pro" w:hAnsi="Myriad Pro" w:cs="Myriad Pro"/>
          <w:sz w:val="26"/>
          <w:szCs w:val="26"/>
        </w:rPr>
        <w:t xml:space="preserve"> г. –  </w:t>
      </w:r>
      <w:r w:rsidR="00DD5E67" w:rsidRPr="00FB0A3A">
        <w:rPr>
          <w:rFonts w:ascii="Myriad Pro" w:hAnsi="Myriad Pro" w:cs="Myriad Pro"/>
          <w:sz w:val="26"/>
          <w:szCs w:val="26"/>
        </w:rPr>
        <w:t xml:space="preserve">158,261 </w:t>
      </w:r>
      <w:r w:rsidRPr="00FB0A3A">
        <w:rPr>
          <w:rFonts w:ascii="Myriad Pro" w:hAnsi="Myriad Pro" w:cs="Myriad Pro"/>
          <w:sz w:val="26"/>
          <w:szCs w:val="26"/>
        </w:rPr>
        <w:t>руб./МВт.ч.</w:t>
      </w:r>
    </w:p>
    <w:p w14:paraId="47EA8008" w14:textId="52A59701" w:rsidR="008C778E" w:rsidRPr="00FB0A3A" w:rsidRDefault="00943BCB" w:rsidP="009B0BC1">
      <w:pPr>
        <w:numPr>
          <w:ilvl w:val="0"/>
          <w:numId w:val="19"/>
        </w:numPr>
        <w:tabs>
          <w:tab w:val="left" w:pos="720"/>
          <w:tab w:val="left" w:pos="1134"/>
        </w:tabs>
        <w:spacing w:after="0" w:line="360" w:lineRule="auto"/>
        <w:ind w:left="0" w:firstLine="567"/>
        <w:jc w:val="both"/>
        <w:rPr>
          <w:rFonts w:ascii="Myriad Pro" w:hAnsi="Myriad Pro" w:cs="Myriad Pro"/>
          <w:sz w:val="26"/>
          <w:szCs w:val="26"/>
        </w:rPr>
      </w:pPr>
      <w:r w:rsidRPr="00FB0A3A">
        <w:rPr>
          <w:rFonts w:ascii="Myriad Pro" w:hAnsi="Myriad Pro" w:cs="Myriad Pro"/>
          <w:sz w:val="26"/>
          <w:szCs w:val="26"/>
        </w:rPr>
        <w:t>стоимости</w:t>
      </w:r>
      <w:r w:rsidR="008C778E" w:rsidRPr="00FB0A3A">
        <w:rPr>
          <w:rFonts w:ascii="Myriad Pro" w:hAnsi="Myriad Pro" w:cs="Myriad Pro"/>
          <w:sz w:val="26"/>
          <w:szCs w:val="26"/>
        </w:rPr>
        <w:t xml:space="preserve"> услуг АО </w:t>
      </w:r>
      <w:r w:rsidR="00655FFA" w:rsidRPr="00FB0A3A">
        <w:rPr>
          <w:rFonts w:ascii="Myriad Pro" w:hAnsi="Myriad Pro" w:cs="Myriad Pro"/>
          <w:sz w:val="26"/>
          <w:szCs w:val="26"/>
        </w:rPr>
        <w:t>«</w:t>
      </w:r>
      <w:r w:rsidR="008C778E" w:rsidRPr="00FB0A3A">
        <w:rPr>
          <w:rFonts w:ascii="Myriad Pro" w:hAnsi="Myriad Pro" w:cs="Myriad Pro"/>
          <w:sz w:val="26"/>
          <w:szCs w:val="26"/>
        </w:rPr>
        <w:t>АТС</w:t>
      </w:r>
      <w:r w:rsidR="00655FFA" w:rsidRPr="00FB0A3A">
        <w:rPr>
          <w:rFonts w:ascii="Myriad Pro" w:hAnsi="Myriad Pro" w:cs="Myriad Pro"/>
          <w:sz w:val="26"/>
          <w:szCs w:val="26"/>
        </w:rPr>
        <w:t>»</w:t>
      </w:r>
      <w:r w:rsidRPr="00FB0A3A">
        <w:rPr>
          <w:rFonts w:ascii="Myriad Pro" w:hAnsi="Myriad Pro" w:cs="Myriad Pro"/>
          <w:sz w:val="26"/>
          <w:szCs w:val="26"/>
        </w:rPr>
        <w:t>, которая на</w:t>
      </w:r>
      <w:r w:rsidR="008C778E" w:rsidRPr="00FB0A3A">
        <w:rPr>
          <w:rFonts w:ascii="Myriad Pro" w:hAnsi="Myriad Pro" w:cs="Myriad Pro"/>
          <w:sz w:val="26"/>
          <w:szCs w:val="26"/>
        </w:rPr>
        <w:t xml:space="preserve"> 2018 г. утверждена Приказом Федеральной антимонопольной службы (ФАС России) от 12 декабря 2017 г. №</w:t>
      </w:r>
      <w:r w:rsidR="0024367F" w:rsidRPr="00FB0A3A">
        <w:rPr>
          <w:rFonts w:ascii="Myriad Pro" w:hAnsi="Myriad Pro" w:cs="Myriad Pro"/>
          <w:sz w:val="26"/>
          <w:szCs w:val="26"/>
        </w:rPr>
        <w:t> </w:t>
      </w:r>
      <w:r w:rsidR="008C778E" w:rsidRPr="00FB0A3A">
        <w:rPr>
          <w:rFonts w:ascii="Myriad Pro" w:hAnsi="Myriad Pro" w:cs="Myriad Pro"/>
          <w:sz w:val="26"/>
          <w:szCs w:val="26"/>
        </w:rPr>
        <w:t xml:space="preserve">1671/17 </w:t>
      </w:r>
      <w:r w:rsidR="00655FFA" w:rsidRPr="00FB0A3A">
        <w:rPr>
          <w:rFonts w:ascii="Myriad Pro" w:hAnsi="Myriad Pro" w:cs="Myriad Pro"/>
          <w:sz w:val="26"/>
          <w:szCs w:val="26"/>
        </w:rPr>
        <w:t>«</w:t>
      </w:r>
      <w:r w:rsidR="008C778E" w:rsidRPr="00FB0A3A">
        <w:rPr>
          <w:rFonts w:ascii="Myriad Pro" w:hAnsi="Myriad Pro" w:cs="Myriad Pro"/>
          <w:sz w:val="26"/>
          <w:szCs w:val="26"/>
        </w:rPr>
        <w:t xml:space="preserve">Об утверждении тарифа на услуги коммерческого оператора, оказываемые АО </w:t>
      </w:r>
      <w:r w:rsidR="00655FFA" w:rsidRPr="00FB0A3A">
        <w:rPr>
          <w:rFonts w:ascii="Myriad Pro" w:hAnsi="Myriad Pro" w:cs="Myriad Pro"/>
          <w:sz w:val="26"/>
          <w:szCs w:val="26"/>
        </w:rPr>
        <w:t>«</w:t>
      </w:r>
      <w:r w:rsidR="008C778E" w:rsidRPr="00FB0A3A">
        <w:rPr>
          <w:rFonts w:ascii="Myriad Pro" w:hAnsi="Myriad Pro" w:cs="Myriad Pro"/>
          <w:sz w:val="26"/>
          <w:szCs w:val="26"/>
        </w:rPr>
        <w:t>АТС</w:t>
      </w:r>
      <w:r w:rsidR="00655FFA" w:rsidRPr="00FB0A3A">
        <w:rPr>
          <w:rFonts w:ascii="Myriad Pro" w:hAnsi="Myriad Pro" w:cs="Myriad Pro"/>
          <w:sz w:val="26"/>
          <w:szCs w:val="26"/>
        </w:rPr>
        <w:t>»</w:t>
      </w:r>
      <w:r w:rsidR="008C778E" w:rsidRPr="00FB0A3A">
        <w:rPr>
          <w:rFonts w:ascii="Myriad Pro" w:hAnsi="Myriad Pro" w:cs="Myriad Pro"/>
          <w:sz w:val="26"/>
          <w:szCs w:val="26"/>
        </w:rPr>
        <w:t>, на 2018 год</w:t>
      </w:r>
      <w:r w:rsidR="00655FFA" w:rsidRPr="00FB0A3A">
        <w:rPr>
          <w:rFonts w:ascii="Myriad Pro" w:hAnsi="Myriad Pro" w:cs="Myriad Pro"/>
          <w:sz w:val="26"/>
          <w:szCs w:val="26"/>
        </w:rPr>
        <w:t>»</w:t>
      </w:r>
    </w:p>
    <w:p w14:paraId="0A3E8555" w14:textId="1440E8C5" w:rsidR="008C778E" w:rsidRPr="00FB0A3A" w:rsidRDefault="008C778E" w:rsidP="00E556F8">
      <w:pPr>
        <w:tabs>
          <w:tab w:val="left" w:pos="720"/>
          <w:tab w:val="left" w:pos="1134"/>
        </w:tabs>
        <w:spacing w:after="0" w:line="360" w:lineRule="auto"/>
        <w:ind w:firstLine="567"/>
        <w:jc w:val="both"/>
        <w:rPr>
          <w:rFonts w:ascii="Myriad Pro" w:hAnsi="Myriad Pro" w:cs="Myriad Pro"/>
          <w:sz w:val="26"/>
          <w:szCs w:val="26"/>
        </w:rPr>
      </w:pPr>
      <w:r w:rsidRPr="00FB0A3A">
        <w:rPr>
          <w:rFonts w:ascii="Myriad Pro" w:hAnsi="Myriad Pro" w:cs="Myriad Pro"/>
          <w:sz w:val="26"/>
          <w:szCs w:val="26"/>
        </w:rPr>
        <w:t>в следующих размерах:</w:t>
      </w:r>
    </w:p>
    <w:p w14:paraId="1B8DB9DD" w14:textId="77777777" w:rsidR="008C778E" w:rsidRPr="00FB0A3A" w:rsidRDefault="008C778E" w:rsidP="009B0BC1">
      <w:pPr>
        <w:pStyle w:val="a4"/>
        <w:numPr>
          <w:ilvl w:val="0"/>
          <w:numId w:val="65"/>
        </w:numPr>
        <w:tabs>
          <w:tab w:val="left" w:pos="1134"/>
        </w:tabs>
        <w:spacing w:after="0" w:line="360" w:lineRule="auto"/>
        <w:ind w:left="0" w:firstLine="567"/>
        <w:contextualSpacing w:val="0"/>
        <w:rPr>
          <w:rFonts w:ascii="Myriad Pro" w:hAnsi="Myriad Pro" w:cs="Myriad Pro"/>
          <w:sz w:val="26"/>
          <w:szCs w:val="26"/>
        </w:rPr>
      </w:pPr>
      <w:r w:rsidRPr="00FB0A3A">
        <w:rPr>
          <w:rFonts w:ascii="Myriad Pro" w:hAnsi="Myriad Pro" w:cs="Myriad Pro"/>
          <w:sz w:val="26"/>
          <w:szCs w:val="26"/>
        </w:rPr>
        <w:t>с 01.01.2018 г.  по 30.06.2018 г. – 1,077 руб./МВт.ч.;</w:t>
      </w:r>
    </w:p>
    <w:p w14:paraId="27201EAA" w14:textId="2554C82E" w:rsidR="008C778E" w:rsidRPr="00FB0A3A" w:rsidRDefault="008C778E" w:rsidP="009B0BC1">
      <w:pPr>
        <w:pStyle w:val="a4"/>
        <w:numPr>
          <w:ilvl w:val="0"/>
          <w:numId w:val="65"/>
        </w:numPr>
        <w:tabs>
          <w:tab w:val="left" w:pos="1134"/>
        </w:tabs>
        <w:spacing w:after="0" w:line="360" w:lineRule="auto"/>
        <w:ind w:left="0" w:firstLine="567"/>
        <w:contextualSpacing w:val="0"/>
        <w:rPr>
          <w:rFonts w:ascii="Myriad Pro" w:hAnsi="Myriad Pro" w:cs="Myriad Pro"/>
          <w:sz w:val="26"/>
          <w:szCs w:val="26"/>
        </w:rPr>
      </w:pPr>
      <w:bookmarkStart w:id="66" w:name="sub_13"/>
      <w:r w:rsidRPr="00FB0A3A">
        <w:rPr>
          <w:rFonts w:ascii="Myriad Pro" w:hAnsi="Myriad Pro" w:cs="Myriad Pro"/>
          <w:sz w:val="26"/>
          <w:szCs w:val="26"/>
        </w:rPr>
        <w:t>с 01.07.2018 г. по 31.12.2018 г. –  1,121 руб./МВт.ч.</w:t>
      </w:r>
      <w:bookmarkEnd w:id="66"/>
    </w:p>
    <w:p w14:paraId="409062F5" w14:textId="5CF54313" w:rsidR="00E9498C" w:rsidRPr="00FB0A3A" w:rsidRDefault="00E9498C" w:rsidP="00E556F8">
      <w:pPr>
        <w:tabs>
          <w:tab w:val="left" w:pos="1134"/>
        </w:tabs>
        <w:autoSpaceDE w:val="0"/>
        <w:autoSpaceDN w:val="0"/>
        <w:adjustRightInd w:val="0"/>
        <w:spacing w:after="0" w:line="360" w:lineRule="auto"/>
        <w:ind w:firstLine="567"/>
        <w:jc w:val="both"/>
        <w:rPr>
          <w:rFonts w:ascii="Myriad Pro" w:hAnsi="Myriad Pro" w:cs="Myriad Pro"/>
          <w:sz w:val="26"/>
          <w:szCs w:val="26"/>
        </w:rPr>
      </w:pPr>
      <w:r w:rsidRPr="00FB0A3A">
        <w:rPr>
          <w:rFonts w:ascii="Myriad Pro" w:hAnsi="Myriad Pro" w:cs="Myriad Pro"/>
          <w:sz w:val="26"/>
          <w:szCs w:val="26"/>
        </w:rPr>
        <w:t xml:space="preserve">Приказ ФАС России от 13.12.2018 года N 1763/18 </w:t>
      </w:r>
      <w:r w:rsidR="00655FFA" w:rsidRPr="00FB0A3A">
        <w:rPr>
          <w:rFonts w:ascii="Myriad Pro" w:hAnsi="Myriad Pro" w:cs="Myriad Pro"/>
          <w:sz w:val="26"/>
          <w:szCs w:val="26"/>
        </w:rPr>
        <w:t>«</w:t>
      </w:r>
      <w:r w:rsidRPr="00FB0A3A">
        <w:rPr>
          <w:rFonts w:ascii="Myriad Pro" w:hAnsi="Myriad Pro" w:cs="Myriad Pro"/>
          <w:sz w:val="26"/>
          <w:szCs w:val="26"/>
        </w:rPr>
        <w:t xml:space="preserve">Об утверждении тарифа на услуги коммерческого оператора, оказываемые АО </w:t>
      </w:r>
      <w:r w:rsidR="00655FFA" w:rsidRPr="00FB0A3A">
        <w:rPr>
          <w:rFonts w:ascii="Myriad Pro" w:hAnsi="Myriad Pro" w:cs="Myriad Pro"/>
          <w:sz w:val="26"/>
          <w:szCs w:val="26"/>
        </w:rPr>
        <w:t>«</w:t>
      </w:r>
      <w:r w:rsidRPr="00FB0A3A">
        <w:rPr>
          <w:rFonts w:ascii="Myriad Pro" w:hAnsi="Myriad Pro" w:cs="Myriad Pro"/>
          <w:sz w:val="26"/>
          <w:szCs w:val="26"/>
        </w:rPr>
        <w:t>АТС</w:t>
      </w:r>
      <w:r w:rsidR="00655FFA" w:rsidRPr="00FB0A3A">
        <w:rPr>
          <w:rFonts w:ascii="Myriad Pro" w:hAnsi="Myriad Pro" w:cs="Myriad Pro"/>
          <w:sz w:val="26"/>
          <w:szCs w:val="26"/>
        </w:rPr>
        <w:t>»</w:t>
      </w:r>
      <w:r w:rsidRPr="00FB0A3A">
        <w:rPr>
          <w:rFonts w:ascii="Myriad Pro" w:hAnsi="Myriad Pro" w:cs="Myriad Pro"/>
          <w:sz w:val="26"/>
          <w:szCs w:val="26"/>
        </w:rPr>
        <w:t xml:space="preserve"> на 2019 год</w:t>
      </w:r>
      <w:r w:rsidR="00655FFA" w:rsidRPr="00FB0A3A">
        <w:rPr>
          <w:rFonts w:ascii="Myriad Pro" w:hAnsi="Myriad Pro" w:cs="Myriad Pro"/>
          <w:sz w:val="26"/>
          <w:szCs w:val="26"/>
        </w:rPr>
        <w:t>»</w:t>
      </w:r>
      <w:r w:rsidRPr="00FB0A3A">
        <w:rPr>
          <w:rFonts w:ascii="Myriad Pro" w:hAnsi="Myriad Pro" w:cs="Myriad Pro"/>
          <w:sz w:val="26"/>
          <w:szCs w:val="26"/>
        </w:rPr>
        <w:t xml:space="preserve"> не может </w:t>
      </w:r>
      <w:r w:rsidRPr="00FB0A3A">
        <w:rPr>
          <w:rFonts w:ascii="Myriad Pro" w:hAnsi="Myriad Pro" w:cs="Myriad Pro"/>
          <w:sz w:val="26"/>
          <w:szCs w:val="26"/>
        </w:rPr>
        <w:lastRenderedPageBreak/>
        <w:t>быть использован в расчетах по причине его публикации на официальном интернет – портале правовой информации (29.</w:t>
      </w:r>
      <w:r w:rsidR="00237CB4" w:rsidRPr="00FB0A3A">
        <w:rPr>
          <w:rFonts w:ascii="Myriad Pro" w:hAnsi="Myriad Pro" w:cs="Myriad Pro"/>
          <w:sz w:val="26"/>
          <w:szCs w:val="26"/>
        </w:rPr>
        <w:t>1</w:t>
      </w:r>
      <w:r w:rsidRPr="00FB0A3A">
        <w:rPr>
          <w:rFonts w:ascii="Myriad Pro" w:hAnsi="Myriad Pro" w:cs="Myriad Pro"/>
          <w:sz w:val="26"/>
          <w:szCs w:val="26"/>
        </w:rPr>
        <w:t>2.2018</w:t>
      </w:r>
      <w:r w:rsidR="00237CB4" w:rsidRPr="00FB0A3A">
        <w:rPr>
          <w:rFonts w:ascii="Myriad Pro" w:hAnsi="Myriad Pro" w:cs="Myriad Pro"/>
          <w:sz w:val="26"/>
          <w:szCs w:val="26"/>
        </w:rPr>
        <w:t xml:space="preserve"> </w:t>
      </w:r>
      <w:r w:rsidRPr="00FB0A3A">
        <w:rPr>
          <w:rFonts w:ascii="Myriad Pro" w:hAnsi="Myriad Pro" w:cs="Myriad Pro"/>
          <w:sz w:val="26"/>
          <w:szCs w:val="26"/>
        </w:rPr>
        <w:t xml:space="preserve">г.) и регистрации в Минюсте России (27.12.2018 №53211) в день даты принятия постановления об установлении тарифов на услуги по передаче электрической энергии, оказываемые филиалом ПАО </w:t>
      </w:r>
      <w:r w:rsidR="00655FFA" w:rsidRPr="00FB0A3A">
        <w:rPr>
          <w:rFonts w:ascii="Myriad Pro" w:hAnsi="Myriad Pro" w:cs="Myriad Pro"/>
          <w:sz w:val="26"/>
          <w:szCs w:val="26"/>
        </w:rPr>
        <w:t>«</w:t>
      </w:r>
      <w:r w:rsidRPr="00FB0A3A">
        <w:rPr>
          <w:rFonts w:ascii="Myriad Pro" w:hAnsi="Myriad Pro" w:cs="Myriad Pro"/>
          <w:sz w:val="26"/>
          <w:szCs w:val="26"/>
        </w:rPr>
        <w:t>МРСК Северо-Запада</w:t>
      </w:r>
      <w:r w:rsidR="00655FFA" w:rsidRPr="00FB0A3A">
        <w:rPr>
          <w:rFonts w:ascii="Myriad Pro" w:hAnsi="Myriad Pro" w:cs="Myriad Pro"/>
          <w:sz w:val="26"/>
          <w:szCs w:val="26"/>
        </w:rPr>
        <w:t>»</w:t>
      </w:r>
      <w:r w:rsidRPr="00FB0A3A">
        <w:rPr>
          <w:rFonts w:ascii="Myriad Pro" w:hAnsi="Myriad Pro" w:cs="Myriad Pro"/>
          <w:sz w:val="26"/>
          <w:szCs w:val="26"/>
        </w:rPr>
        <w:t xml:space="preserve"> </w:t>
      </w:r>
      <w:r w:rsidR="00655FFA" w:rsidRPr="00FB0A3A">
        <w:rPr>
          <w:rFonts w:ascii="Myriad Pro" w:hAnsi="Myriad Pro" w:cs="Myriad Pro"/>
          <w:sz w:val="26"/>
          <w:szCs w:val="26"/>
        </w:rPr>
        <w:t>«</w:t>
      </w:r>
      <w:r w:rsidRPr="00FB0A3A">
        <w:rPr>
          <w:rFonts w:ascii="Myriad Pro" w:hAnsi="Myriad Pro" w:cs="Myriad Pro"/>
          <w:sz w:val="26"/>
          <w:szCs w:val="26"/>
        </w:rPr>
        <w:t>Колэнерго</w:t>
      </w:r>
      <w:r w:rsidR="00655FFA" w:rsidRPr="00FB0A3A">
        <w:rPr>
          <w:rFonts w:ascii="Myriad Pro" w:hAnsi="Myriad Pro" w:cs="Myriad Pro"/>
          <w:sz w:val="26"/>
          <w:szCs w:val="26"/>
        </w:rPr>
        <w:t>»</w:t>
      </w:r>
      <w:r w:rsidRPr="00FB0A3A">
        <w:rPr>
          <w:rFonts w:ascii="Myriad Pro" w:hAnsi="Myriad Pro" w:cs="Myriad Pro"/>
          <w:sz w:val="26"/>
          <w:szCs w:val="26"/>
        </w:rPr>
        <w:t>;</w:t>
      </w:r>
    </w:p>
    <w:p w14:paraId="0D90A7EE" w14:textId="55375C9F" w:rsidR="00943BCB" w:rsidRPr="00FB0A3A" w:rsidRDefault="00943BCB" w:rsidP="009B0BC1">
      <w:pPr>
        <w:pStyle w:val="a4"/>
        <w:numPr>
          <w:ilvl w:val="0"/>
          <w:numId w:val="19"/>
        </w:numPr>
        <w:tabs>
          <w:tab w:val="left" w:pos="1134"/>
        </w:tabs>
        <w:autoSpaceDE w:val="0"/>
        <w:autoSpaceDN w:val="0"/>
        <w:adjustRightInd w:val="0"/>
        <w:spacing w:after="0" w:line="360" w:lineRule="auto"/>
        <w:ind w:left="0" w:firstLine="567"/>
        <w:contextualSpacing w:val="0"/>
        <w:jc w:val="both"/>
        <w:rPr>
          <w:rFonts w:ascii="Myriad Pro" w:hAnsi="Myriad Pro" w:cs="Myriad Pro"/>
          <w:sz w:val="26"/>
          <w:szCs w:val="26"/>
        </w:rPr>
      </w:pPr>
      <w:r w:rsidRPr="00FB0A3A">
        <w:rPr>
          <w:rFonts w:ascii="Myriad Pro" w:hAnsi="Myriad Pro" w:cs="Myriad Pro"/>
          <w:sz w:val="26"/>
          <w:szCs w:val="26"/>
        </w:rPr>
        <w:t>стоимости</w:t>
      </w:r>
      <w:r w:rsidR="008C778E" w:rsidRPr="00FB0A3A">
        <w:rPr>
          <w:rFonts w:ascii="Myriad Pro" w:hAnsi="Myriad Pro" w:cs="Myriad Pro"/>
          <w:sz w:val="26"/>
          <w:szCs w:val="26"/>
        </w:rPr>
        <w:t xml:space="preserve"> услуг ОАО </w:t>
      </w:r>
      <w:r w:rsidR="00655FFA" w:rsidRPr="00FB0A3A">
        <w:rPr>
          <w:rFonts w:ascii="Myriad Pro" w:hAnsi="Myriad Pro" w:cs="Myriad Pro"/>
          <w:sz w:val="26"/>
          <w:szCs w:val="26"/>
        </w:rPr>
        <w:t>«</w:t>
      </w:r>
      <w:r w:rsidR="008C778E" w:rsidRPr="00FB0A3A">
        <w:rPr>
          <w:rFonts w:ascii="Myriad Pro" w:hAnsi="Myriad Pro" w:cs="Myriad Pro"/>
          <w:sz w:val="26"/>
          <w:szCs w:val="26"/>
        </w:rPr>
        <w:t>ЦФР</w:t>
      </w:r>
      <w:r w:rsidR="00655FFA" w:rsidRPr="00FB0A3A">
        <w:rPr>
          <w:rFonts w:ascii="Myriad Pro" w:hAnsi="Myriad Pro" w:cs="Myriad Pro"/>
          <w:sz w:val="26"/>
          <w:szCs w:val="26"/>
        </w:rPr>
        <w:t>»</w:t>
      </w:r>
      <w:r w:rsidRPr="00FB0A3A">
        <w:rPr>
          <w:rFonts w:ascii="Myriad Pro" w:hAnsi="Myriad Pro" w:cs="Myriad Pro"/>
          <w:sz w:val="26"/>
          <w:szCs w:val="26"/>
        </w:rPr>
        <w:t xml:space="preserve">, которая </w:t>
      </w:r>
      <w:r w:rsidR="008C778E" w:rsidRPr="00FB0A3A">
        <w:rPr>
          <w:rFonts w:ascii="Myriad Pro" w:hAnsi="Myriad Pro" w:cs="Myriad Pro"/>
          <w:sz w:val="26"/>
          <w:szCs w:val="26"/>
        </w:rPr>
        <w:t xml:space="preserve">утверждена Наблюдательным советом НП </w:t>
      </w:r>
      <w:r w:rsidR="00655FFA" w:rsidRPr="00FB0A3A">
        <w:rPr>
          <w:rFonts w:ascii="Myriad Pro" w:hAnsi="Myriad Pro" w:cs="Myriad Pro"/>
          <w:sz w:val="26"/>
          <w:szCs w:val="26"/>
        </w:rPr>
        <w:t>«</w:t>
      </w:r>
      <w:r w:rsidR="008C778E" w:rsidRPr="00FB0A3A">
        <w:rPr>
          <w:rFonts w:ascii="Myriad Pro" w:hAnsi="Myriad Pro" w:cs="Myriad Pro"/>
          <w:sz w:val="26"/>
          <w:szCs w:val="26"/>
        </w:rPr>
        <w:t>Совет Рынка</w:t>
      </w:r>
      <w:r w:rsidR="00655FFA" w:rsidRPr="00FB0A3A">
        <w:rPr>
          <w:rFonts w:ascii="Myriad Pro" w:hAnsi="Myriad Pro" w:cs="Myriad Pro"/>
          <w:sz w:val="26"/>
          <w:szCs w:val="26"/>
        </w:rPr>
        <w:t>»</w:t>
      </w:r>
      <w:r w:rsidR="008C778E" w:rsidRPr="00FB0A3A">
        <w:rPr>
          <w:rFonts w:ascii="Myriad Pro" w:hAnsi="Myriad Pro" w:cs="Myriad Pro"/>
          <w:sz w:val="26"/>
          <w:szCs w:val="26"/>
        </w:rPr>
        <w:t xml:space="preserve"> при определении окончательной ст</w:t>
      </w:r>
      <w:r w:rsidR="00EB7C9F" w:rsidRPr="00FB0A3A">
        <w:rPr>
          <w:rFonts w:ascii="Myriad Pro" w:hAnsi="Myriad Pro" w:cs="Myriad Pro"/>
          <w:sz w:val="26"/>
          <w:szCs w:val="26"/>
        </w:rPr>
        <w:t xml:space="preserve">оимости комплексной услуги ОАО </w:t>
      </w:r>
      <w:r w:rsidR="00655FFA" w:rsidRPr="00FB0A3A">
        <w:rPr>
          <w:rFonts w:ascii="Myriad Pro" w:hAnsi="Myriad Pro" w:cs="Myriad Pro"/>
          <w:sz w:val="26"/>
          <w:szCs w:val="26"/>
        </w:rPr>
        <w:t>«</w:t>
      </w:r>
      <w:r w:rsidR="00EB7C9F" w:rsidRPr="00FB0A3A">
        <w:rPr>
          <w:rFonts w:ascii="Myriad Pro" w:hAnsi="Myriad Pro" w:cs="Myriad Pro"/>
          <w:sz w:val="26"/>
          <w:szCs w:val="26"/>
        </w:rPr>
        <w:t>ЦФР</w:t>
      </w:r>
      <w:r w:rsidR="00655FFA" w:rsidRPr="00FB0A3A">
        <w:rPr>
          <w:rFonts w:ascii="Myriad Pro" w:hAnsi="Myriad Pro" w:cs="Myriad Pro"/>
          <w:sz w:val="26"/>
          <w:szCs w:val="26"/>
        </w:rPr>
        <w:t>»</w:t>
      </w:r>
      <w:r w:rsidR="008C778E" w:rsidRPr="00FB0A3A">
        <w:rPr>
          <w:rFonts w:ascii="Myriad Pro" w:hAnsi="Myriad Pro" w:cs="Myriad Pro"/>
          <w:sz w:val="26"/>
          <w:szCs w:val="26"/>
        </w:rPr>
        <w:t xml:space="preserve">, оплачиваемой участниками оптового рынка – покупателями и продавцами электрической энергии в порядке и сроки, установленные Регламентом финансовых расчетов </w:t>
      </w:r>
      <w:r w:rsidRPr="00FB0A3A">
        <w:rPr>
          <w:rFonts w:ascii="Myriad Pro" w:hAnsi="Myriad Pro" w:cs="Myriad Pro"/>
          <w:sz w:val="26"/>
          <w:szCs w:val="26"/>
        </w:rPr>
        <w:t>на оптовом рынке электроэнергии</w:t>
      </w:r>
    </w:p>
    <w:p w14:paraId="4344DB68" w14:textId="67834E79" w:rsidR="008C778E" w:rsidRPr="00FB0A3A" w:rsidRDefault="008C778E" w:rsidP="00E556F8">
      <w:pPr>
        <w:tabs>
          <w:tab w:val="left" w:pos="1134"/>
        </w:tabs>
        <w:autoSpaceDE w:val="0"/>
        <w:autoSpaceDN w:val="0"/>
        <w:adjustRightInd w:val="0"/>
        <w:spacing w:after="0" w:line="360" w:lineRule="auto"/>
        <w:ind w:firstLine="567"/>
        <w:jc w:val="both"/>
        <w:rPr>
          <w:rFonts w:ascii="Myriad Pro" w:hAnsi="Myriad Pro" w:cs="Myriad Pro"/>
          <w:sz w:val="26"/>
          <w:szCs w:val="26"/>
        </w:rPr>
      </w:pPr>
      <w:r w:rsidRPr="00FB0A3A">
        <w:rPr>
          <w:rFonts w:ascii="Myriad Pro" w:hAnsi="Myriad Pro" w:cs="Myriad Pro"/>
          <w:sz w:val="26"/>
          <w:szCs w:val="26"/>
        </w:rPr>
        <w:t>C 1 января 2018 года по 31 декабря 2018 года действует размер п</w:t>
      </w:r>
      <w:r w:rsidR="00EB7C9F" w:rsidRPr="00FB0A3A">
        <w:rPr>
          <w:rFonts w:ascii="Myriad Pro" w:hAnsi="Myriad Pro" w:cs="Myriad Pro"/>
          <w:sz w:val="26"/>
          <w:szCs w:val="26"/>
        </w:rPr>
        <w:t xml:space="preserve">латы за комплексную услугу ОАО </w:t>
      </w:r>
      <w:r w:rsidR="00655FFA" w:rsidRPr="00FB0A3A">
        <w:rPr>
          <w:rFonts w:ascii="Myriad Pro" w:hAnsi="Myriad Pro" w:cs="Myriad Pro"/>
          <w:sz w:val="26"/>
          <w:szCs w:val="26"/>
        </w:rPr>
        <w:t>«</w:t>
      </w:r>
      <w:r w:rsidR="00EB7C9F" w:rsidRPr="00FB0A3A">
        <w:rPr>
          <w:rFonts w:ascii="Myriad Pro" w:hAnsi="Myriad Pro" w:cs="Myriad Pro"/>
          <w:sz w:val="26"/>
          <w:szCs w:val="26"/>
        </w:rPr>
        <w:t>ЦФР</w:t>
      </w:r>
      <w:r w:rsidR="00655FFA" w:rsidRPr="00FB0A3A">
        <w:rPr>
          <w:rFonts w:ascii="Myriad Pro" w:hAnsi="Myriad Pro" w:cs="Myriad Pro"/>
          <w:sz w:val="26"/>
          <w:szCs w:val="26"/>
        </w:rPr>
        <w:t>»</w:t>
      </w:r>
      <w:r w:rsidRPr="00FB0A3A">
        <w:rPr>
          <w:rFonts w:ascii="Myriad Pro" w:hAnsi="Myriad Pro" w:cs="Myriad Pro"/>
          <w:sz w:val="26"/>
          <w:szCs w:val="26"/>
        </w:rPr>
        <w:t xml:space="preserve">, равный 0,333 руб./МВт*ч (утвержден Наблюдательным советом НП </w:t>
      </w:r>
      <w:r w:rsidR="00655FFA" w:rsidRPr="00FB0A3A">
        <w:rPr>
          <w:rFonts w:ascii="Myriad Pro" w:hAnsi="Myriad Pro" w:cs="Myriad Pro"/>
          <w:sz w:val="26"/>
          <w:szCs w:val="26"/>
        </w:rPr>
        <w:t>«</w:t>
      </w:r>
      <w:r w:rsidRPr="00FB0A3A">
        <w:rPr>
          <w:rFonts w:ascii="Myriad Pro" w:hAnsi="Myriad Pro" w:cs="Myriad Pro"/>
          <w:sz w:val="26"/>
          <w:szCs w:val="26"/>
        </w:rPr>
        <w:t>Совет рынка</w:t>
      </w:r>
      <w:r w:rsidR="00655FFA" w:rsidRPr="00FB0A3A">
        <w:rPr>
          <w:rFonts w:ascii="Myriad Pro" w:hAnsi="Myriad Pro" w:cs="Myriad Pro"/>
          <w:sz w:val="26"/>
          <w:szCs w:val="26"/>
        </w:rPr>
        <w:t>»</w:t>
      </w:r>
      <w:r w:rsidRPr="00FB0A3A">
        <w:rPr>
          <w:rFonts w:ascii="Myriad Pro" w:hAnsi="Myriad Pro" w:cs="Myriad Pro"/>
          <w:sz w:val="26"/>
          <w:szCs w:val="26"/>
        </w:rPr>
        <w:t xml:space="preserve"> 17 апреля 2017 года</w:t>
      </w:r>
      <w:r w:rsidR="00237CB4" w:rsidRPr="00FB0A3A">
        <w:rPr>
          <w:rFonts w:ascii="Myriad Pro" w:hAnsi="Myriad Pro" w:cs="Myriad Pro"/>
          <w:sz w:val="26"/>
          <w:szCs w:val="26"/>
        </w:rPr>
        <w:t xml:space="preserve"> протокол №</w:t>
      </w:r>
      <w:r w:rsidR="0024367F" w:rsidRPr="00FB0A3A">
        <w:rPr>
          <w:rFonts w:ascii="Myriad Pro" w:hAnsi="Myriad Pro" w:cs="Myriad Pro"/>
          <w:sz w:val="26"/>
          <w:szCs w:val="26"/>
        </w:rPr>
        <w:t> </w:t>
      </w:r>
      <w:r w:rsidR="00237CB4" w:rsidRPr="00FB0A3A">
        <w:rPr>
          <w:rFonts w:ascii="Myriad Pro" w:hAnsi="Myriad Pro" w:cs="Myriad Pro"/>
          <w:sz w:val="26"/>
          <w:szCs w:val="26"/>
        </w:rPr>
        <w:t>7/2017</w:t>
      </w:r>
      <w:r w:rsidRPr="00FB0A3A">
        <w:rPr>
          <w:rFonts w:ascii="Myriad Pro" w:hAnsi="Myriad Pro" w:cs="Myriad Pro"/>
          <w:sz w:val="26"/>
          <w:szCs w:val="26"/>
        </w:rPr>
        <w:t xml:space="preserve">). </w:t>
      </w:r>
    </w:p>
    <w:p w14:paraId="08F1F127" w14:textId="17E035B4" w:rsidR="008C778E" w:rsidRPr="00FB0A3A" w:rsidRDefault="00943BCB" w:rsidP="00E556F8">
      <w:pPr>
        <w:tabs>
          <w:tab w:val="left" w:pos="1134"/>
        </w:tabs>
        <w:autoSpaceDE w:val="0"/>
        <w:autoSpaceDN w:val="0"/>
        <w:adjustRightInd w:val="0"/>
        <w:spacing w:after="0" w:line="360" w:lineRule="auto"/>
        <w:ind w:firstLine="567"/>
        <w:jc w:val="both"/>
        <w:rPr>
          <w:rFonts w:ascii="Myriad Pro" w:eastAsia="Calibri" w:hAnsi="Myriad Pro" w:cs="Myriad Pro"/>
          <w:sz w:val="26"/>
          <w:szCs w:val="26"/>
        </w:rPr>
      </w:pPr>
      <w:r w:rsidRPr="00FB0A3A">
        <w:rPr>
          <w:rFonts w:ascii="Myriad Pro" w:hAnsi="Myriad Pro" w:cs="Myriad Pro"/>
          <w:sz w:val="26"/>
          <w:szCs w:val="26"/>
        </w:rPr>
        <w:t>3) ст</w:t>
      </w:r>
      <w:r w:rsidR="008C778E" w:rsidRPr="00FB0A3A">
        <w:rPr>
          <w:rFonts w:ascii="Myriad Pro" w:eastAsia="Calibri" w:hAnsi="Myriad Pro" w:cs="Myriad Pro"/>
          <w:sz w:val="26"/>
          <w:szCs w:val="26"/>
        </w:rPr>
        <w:t>оимост</w:t>
      </w:r>
      <w:r w:rsidRPr="00FB0A3A">
        <w:rPr>
          <w:rFonts w:ascii="Myriad Pro" w:eastAsia="Calibri" w:hAnsi="Myriad Pro" w:cs="Myriad Pro"/>
          <w:sz w:val="26"/>
          <w:szCs w:val="26"/>
        </w:rPr>
        <w:t>и</w:t>
      </w:r>
      <w:r w:rsidR="008C778E" w:rsidRPr="00FB0A3A">
        <w:rPr>
          <w:rFonts w:ascii="Myriad Pro" w:eastAsia="Calibri" w:hAnsi="Myriad Pro" w:cs="Myriad Pro"/>
          <w:sz w:val="26"/>
          <w:szCs w:val="26"/>
        </w:rPr>
        <w:t xml:space="preserve"> услуг Системного оператора по оперативно-диспетчерскому управлению в электроэнергетике в части организации отбора исполнителей и оплаты услуг по обеспечению системной надежности, услуг по обеспечению вывода Единой энергетической системы России из аварийных ситуаций, услуг по формированию технологического резерва </w:t>
      </w:r>
      <w:r w:rsidR="00EB7C9F" w:rsidRPr="00FB0A3A">
        <w:rPr>
          <w:rFonts w:ascii="Myriad Pro" w:eastAsia="Calibri" w:hAnsi="Myriad Pro" w:cs="Myriad Pro"/>
          <w:sz w:val="26"/>
          <w:szCs w:val="26"/>
        </w:rPr>
        <w:t>мощностей, оказываемые АО</w:t>
      </w:r>
      <w:r w:rsidR="0024367F" w:rsidRPr="00FB0A3A">
        <w:rPr>
          <w:rFonts w:ascii="Myriad Pro" w:eastAsia="Calibri" w:hAnsi="Myriad Pro" w:cs="Myriad Pro"/>
          <w:sz w:val="26"/>
          <w:szCs w:val="26"/>
        </w:rPr>
        <w:t> </w:t>
      </w:r>
      <w:r w:rsidR="00655FFA" w:rsidRPr="00FB0A3A">
        <w:rPr>
          <w:rFonts w:ascii="Myriad Pro" w:eastAsia="Calibri" w:hAnsi="Myriad Pro" w:cs="Myriad Pro"/>
          <w:sz w:val="26"/>
          <w:szCs w:val="26"/>
        </w:rPr>
        <w:t>«</w:t>
      </w:r>
      <w:r w:rsidR="008C778E" w:rsidRPr="00FB0A3A">
        <w:rPr>
          <w:rFonts w:ascii="Myriad Pro" w:eastAsia="Calibri" w:hAnsi="Myriad Pro" w:cs="Myriad Pro"/>
          <w:sz w:val="26"/>
          <w:szCs w:val="26"/>
        </w:rPr>
        <w:t>Системный операто</w:t>
      </w:r>
      <w:r w:rsidR="00EB7C9F" w:rsidRPr="00FB0A3A">
        <w:rPr>
          <w:rFonts w:ascii="Myriad Pro" w:eastAsia="Calibri" w:hAnsi="Myriad Pro" w:cs="Myriad Pro"/>
          <w:sz w:val="26"/>
          <w:szCs w:val="26"/>
        </w:rPr>
        <w:t>р Единой энергетической системы</w:t>
      </w:r>
      <w:r w:rsidR="00655FFA" w:rsidRPr="00FB0A3A">
        <w:rPr>
          <w:rFonts w:ascii="Myriad Pro" w:eastAsia="Calibri" w:hAnsi="Myriad Pro" w:cs="Myriad Pro"/>
          <w:sz w:val="26"/>
          <w:szCs w:val="26"/>
        </w:rPr>
        <w:t>»</w:t>
      </w:r>
      <w:r w:rsidRPr="00FB0A3A">
        <w:rPr>
          <w:rFonts w:ascii="Myriad Pro" w:eastAsia="Calibri" w:hAnsi="Myriad Pro" w:cs="Myriad Pro"/>
          <w:sz w:val="26"/>
          <w:szCs w:val="26"/>
        </w:rPr>
        <w:t>, утвержденной</w:t>
      </w:r>
      <w:r w:rsidR="008C778E" w:rsidRPr="00FB0A3A">
        <w:rPr>
          <w:rFonts w:ascii="Myriad Pro" w:eastAsia="Calibri" w:hAnsi="Myriad Pro" w:cs="Myriad Pro"/>
          <w:sz w:val="26"/>
          <w:szCs w:val="26"/>
        </w:rPr>
        <w:t xml:space="preserve"> Приказом Федеральной антимонопольной службы (ФАС России) от 14 декабря 2017 г. № 1681/17 </w:t>
      </w:r>
      <w:r w:rsidR="00237CB4" w:rsidRPr="00FB0A3A">
        <w:rPr>
          <w:rFonts w:ascii="Myriad Pro" w:eastAsia="Calibri" w:hAnsi="Myriad Pro" w:cs="Myriad Pro"/>
          <w:sz w:val="26"/>
          <w:szCs w:val="26"/>
        </w:rPr>
        <w:t>в размере:</w:t>
      </w:r>
    </w:p>
    <w:p w14:paraId="23537B8A" w14:textId="7F771D1A" w:rsidR="008C778E" w:rsidRPr="00FB0A3A" w:rsidRDefault="002D2011" w:rsidP="009B0BC1">
      <w:pPr>
        <w:pStyle w:val="a4"/>
        <w:numPr>
          <w:ilvl w:val="0"/>
          <w:numId w:val="65"/>
        </w:numPr>
        <w:tabs>
          <w:tab w:val="left" w:pos="1134"/>
        </w:tabs>
        <w:spacing w:after="0" w:line="360" w:lineRule="auto"/>
        <w:ind w:left="0" w:firstLine="567"/>
        <w:contextualSpacing w:val="0"/>
        <w:rPr>
          <w:rFonts w:ascii="Myriad Pro" w:hAnsi="Myriad Pro" w:cs="Myriad Pro"/>
          <w:sz w:val="26"/>
          <w:szCs w:val="26"/>
        </w:rPr>
      </w:pPr>
      <w:bookmarkStart w:id="67" w:name="sub_21"/>
      <w:bookmarkStart w:id="68" w:name="sub_2"/>
      <w:r w:rsidRPr="00FB0A3A">
        <w:rPr>
          <w:rFonts w:ascii="Myriad Pro" w:hAnsi="Myriad Pro" w:cs="Myriad Pro"/>
          <w:sz w:val="26"/>
          <w:szCs w:val="26"/>
        </w:rPr>
        <w:t>на 1-ое полугодие 2018</w:t>
      </w:r>
      <w:r w:rsidR="008C778E" w:rsidRPr="00FB0A3A">
        <w:rPr>
          <w:rFonts w:ascii="Myriad Pro" w:hAnsi="Myriad Pro" w:cs="Myriad Pro"/>
          <w:sz w:val="26"/>
          <w:szCs w:val="26"/>
        </w:rPr>
        <w:t xml:space="preserve"> года – 1,363 руб./МВт*ч;</w:t>
      </w:r>
    </w:p>
    <w:p w14:paraId="54B731A7" w14:textId="1B35BE3A" w:rsidR="008C778E" w:rsidRPr="00FB0A3A" w:rsidRDefault="002D2011" w:rsidP="009B0BC1">
      <w:pPr>
        <w:pStyle w:val="a4"/>
        <w:numPr>
          <w:ilvl w:val="0"/>
          <w:numId w:val="65"/>
        </w:numPr>
        <w:tabs>
          <w:tab w:val="left" w:pos="1134"/>
        </w:tabs>
        <w:spacing w:after="0" w:line="360" w:lineRule="auto"/>
        <w:ind w:left="0" w:firstLine="567"/>
        <w:contextualSpacing w:val="0"/>
        <w:rPr>
          <w:rFonts w:ascii="Myriad Pro" w:hAnsi="Myriad Pro" w:cs="Myriad Pro"/>
          <w:sz w:val="26"/>
          <w:szCs w:val="26"/>
        </w:rPr>
      </w:pPr>
      <w:bookmarkStart w:id="69" w:name="sub_22"/>
      <w:bookmarkEnd w:id="67"/>
      <w:r w:rsidRPr="00FB0A3A">
        <w:rPr>
          <w:rFonts w:ascii="Myriad Pro" w:hAnsi="Myriad Pro" w:cs="Myriad Pro"/>
          <w:sz w:val="26"/>
          <w:szCs w:val="26"/>
        </w:rPr>
        <w:t>на 2-ое полугодие 2018</w:t>
      </w:r>
      <w:r w:rsidR="008C778E" w:rsidRPr="00FB0A3A">
        <w:rPr>
          <w:rFonts w:ascii="Myriad Pro" w:hAnsi="Myriad Pro" w:cs="Myriad Pro"/>
          <w:sz w:val="26"/>
          <w:szCs w:val="26"/>
        </w:rPr>
        <w:t xml:space="preserve"> года – 1,363 руб./МВт*ч.</w:t>
      </w:r>
      <w:bookmarkEnd w:id="68"/>
      <w:bookmarkEnd w:id="69"/>
    </w:p>
    <w:p w14:paraId="142D910A" w14:textId="4E8162CF" w:rsidR="00237CB4" w:rsidRPr="00FB0A3A" w:rsidRDefault="00237CB4" w:rsidP="00E556F8">
      <w:pPr>
        <w:pStyle w:val="26"/>
        <w:shd w:val="clear" w:color="auto" w:fill="auto"/>
        <w:tabs>
          <w:tab w:val="left" w:pos="1134"/>
        </w:tabs>
        <w:spacing w:line="360" w:lineRule="auto"/>
        <w:ind w:firstLine="567"/>
        <w:rPr>
          <w:rFonts w:ascii="Myriad Pro" w:eastAsia="Calibri" w:hAnsi="Myriad Pro" w:cs="Myriad Pro"/>
          <w:sz w:val="26"/>
          <w:szCs w:val="26"/>
        </w:rPr>
      </w:pPr>
      <w:r w:rsidRPr="00FB0A3A">
        <w:rPr>
          <w:rFonts w:ascii="Myriad Pro" w:eastAsia="Calibri" w:hAnsi="Myriad Pro"/>
        </w:rPr>
        <w:t xml:space="preserve"> </w:t>
      </w:r>
      <w:r w:rsidRPr="00FB0A3A">
        <w:rPr>
          <w:rFonts w:ascii="Myriad Pro" w:eastAsia="Calibri" w:hAnsi="Myriad Pro" w:cs="Myriad Pro"/>
          <w:sz w:val="26"/>
          <w:szCs w:val="26"/>
        </w:rPr>
        <w:t xml:space="preserve">Приказ ФАС России от 25.12.2018 года № 1853/18 </w:t>
      </w:r>
      <w:r w:rsidR="00655FFA" w:rsidRPr="00FB0A3A">
        <w:rPr>
          <w:rFonts w:ascii="Myriad Pro" w:eastAsia="Calibri" w:hAnsi="Myriad Pro" w:cs="Myriad Pro"/>
          <w:sz w:val="26"/>
          <w:szCs w:val="26"/>
        </w:rPr>
        <w:t>«</w:t>
      </w:r>
      <w:r w:rsidRPr="00FB0A3A">
        <w:rPr>
          <w:rFonts w:ascii="Myriad Pro" w:eastAsia="Calibri" w:hAnsi="Myriad Pro" w:cs="Myriad Pro"/>
          <w:sz w:val="26"/>
          <w:szCs w:val="26"/>
        </w:rPr>
        <w:t xml:space="preserve">Об утверждении тарифа на услуги по оперативно-диспетчерскому управлению, оказываемые АО </w:t>
      </w:r>
      <w:r w:rsidR="00655FFA" w:rsidRPr="00FB0A3A">
        <w:rPr>
          <w:rFonts w:ascii="Myriad Pro" w:eastAsia="Calibri" w:hAnsi="Myriad Pro" w:cs="Myriad Pro"/>
          <w:sz w:val="26"/>
          <w:szCs w:val="26"/>
        </w:rPr>
        <w:t>«</w:t>
      </w:r>
      <w:r w:rsidRPr="00FB0A3A">
        <w:rPr>
          <w:rFonts w:ascii="Myriad Pro" w:eastAsia="Calibri" w:hAnsi="Myriad Pro" w:cs="Myriad Pro"/>
          <w:sz w:val="26"/>
          <w:szCs w:val="26"/>
        </w:rPr>
        <w:t>ЕЭС</w:t>
      </w:r>
      <w:r w:rsidR="00655FFA" w:rsidRPr="00FB0A3A">
        <w:rPr>
          <w:rFonts w:ascii="Myriad Pro" w:eastAsia="Calibri" w:hAnsi="Myriad Pro" w:cs="Myriad Pro"/>
          <w:sz w:val="26"/>
          <w:szCs w:val="26"/>
        </w:rPr>
        <w:t>»</w:t>
      </w:r>
      <w:r w:rsidRPr="00FB0A3A">
        <w:rPr>
          <w:rFonts w:ascii="Myriad Pro" w:eastAsia="Calibri" w:hAnsi="Myriad Pro" w:cs="Myriad Pro"/>
          <w:sz w:val="26"/>
          <w:szCs w:val="26"/>
        </w:rPr>
        <w:t xml:space="preserve"> на 2019 год</w:t>
      </w:r>
      <w:r w:rsidR="00655FFA" w:rsidRPr="00FB0A3A">
        <w:rPr>
          <w:rFonts w:ascii="Myriad Pro" w:eastAsia="Calibri" w:hAnsi="Myriad Pro" w:cs="Myriad Pro"/>
          <w:sz w:val="26"/>
          <w:szCs w:val="26"/>
        </w:rPr>
        <w:t>»</w:t>
      </w:r>
      <w:r w:rsidRPr="00FB0A3A">
        <w:rPr>
          <w:rFonts w:ascii="Myriad Pro" w:eastAsia="Calibri" w:hAnsi="Myriad Pro" w:cs="Myriad Pro"/>
          <w:sz w:val="26"/>
          <w:szCs w:val="26"/>
        </w:rPr>
        <w:t xml:space="preserve"> не может быть использован в расчетах по причине </w:t>
      </w:r>
      <w:r w:rsidR="00771D03" w:rsidRPr="00FB0A3A">
        <w:rPr>
          <w:rFonts w:ascii="Myriad Pro" w:eastAsia="Calibri" w:hAnsi="Myriad Pro" w:cs="Myriad Pro"/>
          <w:sz w:val="26"/>
          <w:szCs w:val="26"/>
        </w:rPr>
        <w:t xml:space="preserve">регистрации в Минюсте России (29.12.2018 №53242) и </w:t>
      </w:r>
      <w:r w:rsidRPr="00FB0A3A">
        <w:rPr>
          <w:rFonts w:ascii="Myriad Pro" w:eastAsia="Calibri" w:hAnsi="Myriad Pro" w:cs="Myriad Pro"/>
          <w:sz w:val="26"/>
          <w:szCs w:val="26"/>
        </w:rPr>
        <w:t>его публикации на официальном интернет – портале правовой информации (31.12.2018г.)</w:t>
      </w:r>
      <w:r w:rsidR="00771D03" w:rsidRPr="00FB0A3A">
        <w:rPr>
          <w:rFonts w:ascii="Myriad Pro" w:eastAsia="Calibri" w:hAnsi="Myriad Pro" w:cs="Myriad Pro"/>
          <w:sz w:val="26"/>
          <w:szCs w:val="26"/>
        </w:rPr>
        <w:t>, т. е.</w:t>
      </w:r>
      <w:r w:rsidRPr="00FB0A3A">
        <w:rPr>
          <w:rFonts w:ascii="Myriad Pro" w:eastAsia="Calibri" w:hAnsi="Myriad Pro" w:cs="Myriad Pro"/>
          <w:sz w:val="26"/>
          <w:szCs w:val="26"/>
        </w:rPr>
        <w:t xml:space="preserve"> после даты принятия постановления об установлении тарифов на услуги по передаче электрической </w:t>
      </w:r>
      <w:r w:rsidRPr="00FB0A3A">
        <w:rPr>
          <w:rFonts w:ascii="Myriad Pro" w:eastAsia="Calibri" w:hAnsi="Myriad Pro" w:cs="Myriad Pro"/>
          <w:sz w:val="26"/>
          <w:szCs w:val="26"/>
        </w:rPr>
        <w:lastRenderedPageBreak/>
        <w:t xml:space="preserve">энергии, оказываемые филиалом ПАО </w:t>
      </w:r>
      <w:r w:rsidR="00655FFA" w:rsidRPr="00FB0A3A">
        <w:rPr>
          <w:rFonts w:ascii="Myriad Pro" w:eastAsia="Calibri" w:hAnsi="Myriad Pro" w:cs="Myriad Pro"/>
          <w:sz w:val="26"/>
          <w:szCs w:val="26"/>
        </w:rPr>
        <w:t>«</w:t>
      </w:r>
      <w:r w:rsidRPr="00FB0A3A">
        <w:rPr>
          <w:rFonts w:ascii="Myriad Pro" w:eastAsia="Calibri" w:hAnsi="Myriad Pro" w:cs="Myriad Pro"/>
          <w:sz w:val="26"/>
          <w:szCs w:val="26"/>
        </w:rPr>
        <w:t>МРСК Северо-Запада</w:t>
      </w:r>
      <w:r w:rsidR="00655FFA" w:rsidRPr="00FB0A3A">
        <w:rPr>
          <w:rFonts w:ascii="Myriad Pro" w:eastAsia="Calibri" w:hAnsi="Myriad Pro" w:cs="Myriad Pro"/>
          <w:sz w:val="26"/>
          <w:szCs w:val="26"/>
        </w:rPr>
        <w:t>»</w:t>
      </w:r>
      <w:r w:rsidRPr="00FB0A3A">
        <w:rPr>
          <w:rFonts w:ascii="Myriad Pro" w:eastAsia="Calibri" w:hAnsi="Myriad Pro" w:cs="Myriad Pro"/>
          <w:sz w:val="26"/>
          <w:szCs w:val="26"/>
        </w:rPr>
        <w:t xml:space="preserve"> </w:t>
      </w:r>
      <w:r w:rsidR="00655FFA" w:rsidRPr="00FB0A3A">
        <w:rPr>
          <w:rFonts w:ascii="Myriad Pro" w:eastAsia="Calibri" w:hAnsi="Myriad Pro" w:cs="Myriad Pro"/>
          <w:sz w:val="26"/>
          <w:szCs w:val="26"/>
        </w:rPr>
        <w:t>«</w:t>
      </w:r>
      <w:r w:rsidRPr="00FB0A3A">
        <w:rPr>
          <w:rFonts w:ascii="Myriad Pro" w:eastAsia="Calibri" w:hAnsi="Myriad Pro" w:cs="Myriad Pro"/>
          <w:sz w:val="26"/>
          <w:szCs w:val="26"/>
        </w:rPr>
        <w:t>Колэнерго</w:t>
      </w:r>
      <w:r w:rsidR="00655FFA" w:rsidRPr="00FB0A3A">
        <w:rPr>
          <w:rFonts w:ascii="Myriad Pro" w:eastAsia="Calibri" w:hAnsi="Myriad Pro" w:cs="Myriad Pro"/>
          <w:sz w:val="26"/>
          <w:szCs w:val="26"/>
        </w:rPr>
        <w:t>»</w:t>
      </w:r>
      <w:r w:rsidRPr="00FB0A3A">
        <w:rPr>
          <w:rFonts w:ascii="Myriad Pro" w:eastAsia="Calibri" w:hAnsi="Myriad Pro" w:cs="Myriad Pro"/>
          <w:sz w:val="26"/>
          <w:szCs w:val="26"/>
        </w:rPr>
        <w:t>;</w:t>
      </w:r>
    </w:p>
    <w:p w14:paraId="0321D2C8" w14:textId="1AE26D53" w:rsidR="002346E9" w:rsidRPr="00FB0A3A" w:rsidRDefault="002346E9" w:rsidP="00E556F8">
      <w:pPr>
        <w:pStyle w:val="afff4"/>
        <w:rPr>
          <w:lang w:val="ru-RU"/>
        </w:rPr>
      </w:pPr>
      <w:r w:rsidRPr="00FB0A3A">
        <w:rPr>
          <w:lang w:val="ru-RU"/>
        </w:rPr>
        <w:t>На основании положений п. 81 Основ ценообразования Исполнителем произведен расчет расходов на компенсацию потерь на 2019 год.</w:t>
      </w:r>
    </w:p>
    <w:tbl>
      <w:tblPr>
        <w:tblStyle w:val="afff6"/>
        <w:tblW w:w="5000" w:type="pct"/>
        <w:tblLayout w:type="fixed"/>
        <w:tblLook w:val="04A0" w:firstRow="1" w:lastRow="0" w:firstColumn="1" w:lastColumn="0" w:noHBand="0" w:noVBand="1"/>
      </w:tblPr>
      <w:tblGrid>
        <w:gridCol w:w="2786"/>
        <w:gridCol w:w="1106"/>
        <w:gridCol w:w="1131"/>
        <w:gridCol w:w="1119"/>
        <w:gridCol w:w="3202"/>
      </w:tblGrid>
      <w:tr w:rsidR="00E556F8" w:rsidRPr="005C6F98" w14:paraId="3D8539FB" w14:textId="77777777" w:rsidTr="002267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4B0F1F4" w14:textId="77AB368C" w:rsidR="009331F5" w:rsidRPr="005C6F98" w:rsidRDefault="00E373FC" w:rsidP="00E556F8">
            <w:pPr>
              <w:tabs>
                <w:tab w:val="left" w:pos="1134"/>
              </w:tabs>
              <w:jc w:val="center"/>
              <w:rPr>
                <w:rFonts w:eastAsia="Calibri" w:cs="Myriad Pro"/>
                <w:szCs w:val="18"/>
              </w:rPr>
            </w:pPr>
            <w:r w:rsidRPr="005C6F98">
              <w:rPr>
                <w:rFonts w:eastAsia="Calibri" w:cs="Myriad Pro"/>
                <w:szCs w:val="18"/>
              </w:rPr>
              <w:t>Н</w:t>
            </w:r>
            <w:r w:rsidR="009331F5" w:rsidRPr="005C6F98">
              <w:rPr>
                <w:rFonts w:eastAsia="Calibri" w:cs="Myriad Pro"/>
                <w:szCs w:val="18"/>
              </w:rPr>
              <w:t>аименование показателей</w:t>
            </w:r>
          </w:p>
        </w:tc>
        <w:tc>
          <w:tcPr>
            <w:tcW w:w="112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33EEC04" w14:textId="1428D007" w:rsidR="009331F5" w:rsidRPr="005C6F98" w:rsidRDefault="00EB2242" w:rsidP="00E556F8">
            <w:pPr>
              <w:tabs>
                <w:tab w:val="left" w:pos="1134"/>
              </w:tabs>
              <w:cnfStyle w:val="100000000000" w:firstRow="1" w:lastRow="0" w:firstColumn="0" w:lastColumn="0" w:oddVBand="0" w:evenVBand="0" w:oddHBand="0" w:evenHBand="0" w:firstRowFirstColumn="0" w:firstRowLastColumn="0" w:lastRowFirstColumn="0" w:lastRowLastColumn="0"/>
              <w:rPr>
                <w:rFonts w:eastAsia="Calibri" w:cs="Myriad Pro"/>
                <w:szCs w:val="18"/>
              </w:rPr>
            </w:pPr>
            <w:r w:rsidRPr="005C6F98">
              <w:rPr>
                <w:rFonts w:eastAsia="Calibri" w:cs="Myriad Pro"/>
                <w:szCs w:val="18"/>
              </w:rPr>
              <w:t>Е</w:t>
            </w:r>
            <w:r w:rsidR="009331F5" w:rsidRPr="005C6F98">
              <w:rPr>
                <w:rFonts w:eastAsia="Calibri" w:cs="Myriad Pro"/>
                <w:szCs w:val="18"/>
              </w:rPr>
              <w:t>д. изм.</w:t>
            </w:r>
          </w:p>
        </w:tc>
        <w:tc>
          <w:tcPr>
            <w:tcW w:w="228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FF12F24" w14:textId="77777777" w:rsidR="009331F5" w:rsidRPr="005C6F98" w:rsidRDefault="009331F5" w:rsidP="00E556F8">
            <w:pPr>
              <w:tabs>
                <w:tab w:val="left" w:pos="1134"/>
              </w:tabs>
              <w:cnfStyle w:val="100000000000" w:firstRow="1" w:lastRow="0" w:firstColumn="0" w:lastColumn="0" w:oddVBand="0" w:evenVBand="0" w:oddHBand="0" w:evenHBand="0" w:firstRowFirstColumn="0" w:firstRowLastColumn="0" w:lastRowFirstColumn="0" w:lastRowLastColumn="0"/>
              <w:rPr>
                <w:rFonts w:eastAsia="Calibri" w:cs="Myriad Pro"/>
                <w:szCs w:val="18"/>
              </w:rPr>
            </w:pPr>
            <w:r w:rsidRPr="005C6F98">
              <w:rPr>
                <w:rFonts w:eastAsia="Calibri" w:cs="Myriad Pro"/>
                <w:szCs w:val="18"/>
              </w:rPr>
              <w:t>2018</w:t>
            </w:r>
          </w:p>
        </w:tc>
        <w:tc>
          <w:tcPr>
            <w:tcW w:w="325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2AA622D" w14:textId="77777777" w:rsidR="009331F5" w:rsidRPr="005C6F98" w:rsidRDefault="009331F5" w:rsidP="00E556F8">
            <w:pPr>
              <w:tabs>
                <w:tab w:val="left" w:pos="1134"/>
              </w:tabs>
              <w:cnfStyle w:val="100000000000" w:firstRow="1" w:lastRow="0" w:firstColumn="0" w:lastColumn="0" w:oddVBand="0" w:evenVBand="0" w:oddHBand="0" w:evenHBand="0" w:firstRowFirstColumn="0" w:firstRowLastColumn="0" w:lastRowFirstColumn="0" w:lastRowLastColumn="0"/>
              <w:rPr>
                <w:rFonts w:eastAsia="Calibri" w:cs="Myriad Pro"/>
                <w:szCs w:val="18"/>
              </w:rPr>
            </w:pPr>
            <w:r w:rsidRPr="005C6F98">
              <w:rPr>
                <w:rFonts w:eastAsia="Calibri" w:cs="Myriad Pro"/>
                <w:szCs w:val="18"/>
              </w:rPr>
              <w:t>Обоснование</w:t>
            </w:r>
          </w:p>
        </w:tc>
      </w:tr>
      <w:tr w:rsidR="00E556F8" w:rsidRPr="005C6F98" w14:paraId="39F9FF00" w14:textId="77777777" w:rsidTr="002267D7">
        <w:tc>
          <w:tcPr>
            <w:cnfStyle w:val="001000000000" w:firstRow="0" w:lastRow="0" w:firstColumn="1" w:lastColumn="0" w:oddVBand="0" w:evenVBand="0" w:oddHBand="0" w:evenHBand="0" w:firstRowFirstColumn="0" w:firstRowLastColumn="0" w:lastRowFirstColumn="0" w:lastRowLastColumn="0"/>
            <w:tcW w:w="283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B0E1FA9" w14:textId="77777777" w:rsidR="009331F5" w:rsidRPr="005C6F98" w:rsidRDefault="009331F5" w:rsidP="00E556F8">
            <w:pPr>
              <w:tabs>
                <w:tab w:val="left" w:pos="1134"/>
              </w:tabs>
              <w:rPr>
                <w:rFonts w:eastAsia="Calibri" w:cs="Myriad Pro"/>
                <w:szCs w:val="18"/>
              </w:rPr>
            </w:pPr>
          </w:p>
        </w:tc>
        <w:tc>
          <w:tcPr>
            <w:tcW w:w="112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7E16931" w14:textId="77777777" w:rsidR="009331F5" w:rsidRPr="005C6F98" w:rsidRDefault="009331F5" w:rsidP="00E556F8">
            <w:pPr>
              <w:tabs>
                <w:tab w:val="left" w:pos="1134"/>
              </w:tabs>
              <w:cnfStyle w:val="000000000000" w:firstRow="0" w:lastRow="0" w:firstColumn="0" w:lastColumn="0" w:oddVBand="0" w:evenVBand="0" w:oddHBand="0" w:evenHBand="0" w:firstRowFirstColumn="0" w:firstRowLastColumn="0" w:lastRowFirstColumn="0" w:lastRowLastColumn="0"/>
              <w:rPr>
                <w:rFonts w:eastAsia="Calibri" w:cs="Myriad Pro"/>
                <w:szCs w:val="18"/>
              </w:rPr>
            </w:pPr>
          </w:p>
        </w:tc>
        <w:tc>
          <w:tcPr>
            <w:tcW w:w="11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0D8D4BA1" w14:textId="5304D95D" w:rsidR="009331F5" w:rsidRPr="005C6F98" w:rsidRDefault="00E373FC" w:rsidP="00E556F8">
            <w:pPr>
              <w:tabs>
                <w:tab w:val="left" w:pos="1134"/>
              </w:tabs>
              <w:cnfStyle w:val="000000000000" w:firstRow="0" w:lastRow="0" w:firstColumn="0" w:lastColumn="0" w:oddVBand="0" w:evenVBand="0" w:oddHBand="0" w:evenHBand="0" w:firstRowFirstColumn="0" w:firstRowLastColumn="0" w:lastRowFirstColumn="0" w:lastRowLastColumn="0"/>
              <w:rPr>
                <w:rFonts w:eastAsia="Calibri" w:cs="Myriad Pro"/>
                <w:color w:val="FFFFFF" w:themeColor="background1"/>
                <w:szCs w:val="18"/>
              </w:rPr>
            </w:pPr>
            <w:r w:rsidRPr="005C6F98">
              <w:rPr>
                <w:rFonts w:eastAsia="Calibri" w:cs="Myriad Pro"/>
                <w:color w:val="FFFFFF" w:themeColor="background1"/>
                <w:szCs w:val="18"/>
              </w:rPr>
              <w:t>1 полугодие</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009B1644" w14:textId="1A1656D2" w:rsidR="009331F5" w:rsidRPr="005C6F98" w:rsidRDefault="00E373FC" w:rsidP="00E556F8">
            <w:pPr>
              <w:tabs>
                <w:tab w:val="left" w:pos="1134"/>
              </w:tabs>
              <w:cnfStyle w:val="000000000000" w:firstRow="0" w:lastRow="0" w:firstColumn="0" w:lastColumn="0" w:oddVBand="0" w:evenVBand="0" w:oddHBand="0" w:evenHBand="0" w:firstRowFirstColumn="0" w:firstRowLastColumn="0" w:lastRowFirstColumn="0" w:lastRowLastColumn="0"/>
              <w:rPr>
                <w:rFonts w:eastAsia="Calibri" w:cs="Myriad Pro"/>
                <w:color w:val="FFFFFF" w:themeColor="background1"/>
                <w:szCs w:val="18"/>
              </w:rPr>
            </w:pPr>
            <w:r w:rsidRPr="005C6F98">
              <w:rPr>
                <w:rFonts w:eastAsia="Calibri" w:cs="Myriad Pro"/>
                <w:color w:val="FFFFFF" w:themeColor="background1"/>
                <w:szCs w:val="18"/>
              </w:rPr>
              <w:t>2 полугодие</w:t>
            </w:r>
          </w:p>
        </w:tc>
        <w:tc>
          <w:tcPr>
            <w:tcW w:w="325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8B1D9B6" w14:textId="77777777" w:rsidR="009331F5" w:rsidRPr="005C6F98" w:rsidRDefault="009331F5" w:rsidP="00E556F8">
            <w:pPr>
              <w:tabs>
                <w:tab w:val="left" w:pos="1134"/>
              </w:tabs>
              <w:cnfStyle w:val="000000000000" w:firstRow="0" w:lastRow="0" w:firstColumn="0" w:lastColumn="0" w:oddVBand="0" w:evenVBand="0" w:oddHBand="0" w:evenHBand="0" w:firstRowFirstColumn="0" w:firstRowLastColumn="0" w:lastRowFirstColumn="0" w:lastRowLastColumn="0"/>
              <w:rPr>
                <w:rFonts w:eastAsia="Calibri" w:cs="Myriad Pro"/>
                <w:szCs w:val="18"/>
              </w:rPr>
            </w:pPr>
          </w:p>
        </w:tc>
      </w:tr>
      <w:tr w:rsidR="009331F5" w:rsidRPr="005C6F98" w14:paraId="32A48039" w14:textId="77777777" w:rsidTr="002267D7">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FFFFFF" w:themeColor="background1"/>
            </w:tcBorders>
            <w:hideMark/>
          </w:tcPr>
          <w:p w14:paraId="4F243BD5" w14:textId="4FE8B609" w:rsidR="009331F5" w:rsidRPr="005C6F98" w:rsidRDefault="009331F5" w:rsidP="00E556F8">
            <w:pPr>
              <w:tabs>
                <w:tab w:val="left" w:pos="1134"/>
              </w:tabs>
              <w:rPr>
                <w:rFonts w:eastAsia="Calibri" w:cs="Myriad Pro"/>
                <w:szCs w:val="18"/>
              </w:rPr>
            </w:pPr>
            <w:r w:rsidRPr="005C6F98">
              <w:rPr>
                <w:rFonts w:eastAsia="Calibri" w:cs="Myriad Pro"/>
                <w:szCs w:val="18"/>
              </w:rPr>
              <w:t xml:space="preserve">Прогнозная нерегулируемая цена </w:t>
            </w:r>
            <w:r w:rsidR="00C34B4A" w:rsidRPr="005C6F98">
              <w:rPr>
                <w:rFonts w:eastAsia="Calibri" w:cs="Myriad Pro"/>
                <w:szCs w:val="18"/>
              </w:rPr>
              <w:t>на мощность</w:t>
            </w:r>
            <w:r w:rsidRPr="005C6F98">
              <w:rPr>
                <w:rFonts w:eastAsia="Calibri" w:cs="Myriad Pro"/>
                <w:szCs w:val="18"/>
              </w:rPr>
              <w:t xml:space="preserve"> </w:t>
            </w:r>
          </w:p>
        </w:tc>
        <w:tc>
          <w:tcPr>
            <w:tcW w:w="1121" w:type="dxa"/>
            <w:tcBorders>
              <w:top w:val="single" w:sz="4" w:space="0" w:color="FFFFFF" w:themeColor="background1"/>
            </w:tcBorders>
            <w:hideMark/>
          </w:tcPr>
          <w:p w14:paraId="3C182CA7" w14:textId="77777777" w:rsidR="009331F5" w:rsidRPr="005C6F98" w:rsidRDefault="009331F5" w:rsidP="00E556F8">
            <w:pPr>
              <w:tabs>
                <w:tab w:val="left" w:pos="1134"/>
              </w:tabs>
              <w:cnfStyle w:val="000000000000" w:firstRow="0" w:lastRow="0" w:firstColumn="0" w:lastColumn="0" w:oddVBand="0" w:evenVBand="0" w:oddHBand="0" w:evenHBand="0" w:firstRowFirstColumn="0" w:firstRowLastColumn="0" w:lastRowFirstColumn="0" w:lastRowLastColumn="0"/>
              <w:rPr>
                <w:rFonts w:eastAsia="Calibri" w:cs="Myriad Pro"/>
                <w:szCs w:val="18"/>
              </w:rPr>
            </w:pPr>
            <w:r w:rsidRPr="005C6F98">
              <w:rPr>
                <w:rFonts w:eastAsia="Calibri" w:cs="Myriad Pro"/>
                <w:szCs w:val="18"/>
              </w:rPr>
              <w:t>руб./МВт в мес.</w:t>
            </w:r>
          </w:p>
        </w:tc>
        <w:tc>
          <w:tcPr>
            <w:tcW w:w="1147" w:type="dxa"/>
            <w:tcBorders>
              <w:top w:val="single" w:sz="4" w:space="0" w:color="FFFFFF" w:themeColor="background1"/>
            </w:tcBorders>
            <w:hideMark/>
          </w:tcPr>
          <w:p w14:paraId="0675C715" w14:textId="77777777" w:rsidR="009331F5" w:rsidRPr="005C6F98" w:rsidRDefault="009331F5" w:rsidP="00E556F8">
            <w:pPr>
              <w:tabs>
                <w:tab w:val="left" w:pos="1134"/>
              </w:tabs>
              <w:cnfStyle w:val="000000000000" w:firstRow="0" w:lastRow="0" w:firstColumn="0" w:lastColumn="0" w:oddVBand="0" w:evenVBand="0" w:oddHBand="0" w:evenHBand="0" w:firstRowFirstColumn="0" w:firstRowLastColumn="0" w:lastRowFirstColumn="0" w:lastRowLastColumn="0"/>
              <w:rPr>
                <w:rFonts w:eastAsia="Calibri" w:cs="Myriad Pro"/>
                <w:szCs w:val="18"/>
              </w:rPr>
            </w:pPr>
            <w:r w:rsidRPr="005C6F98">
              <w:rPr>
                <w:rFonts w:eastAsia="Calibri" w:cs="Myriad Pro"/>
                <w:szCs w:val="18"/>
              </w:rPr>
              <w:t>757 374</w:t>
            </w:r>
          </w:p>
        </w:tc>
        <w:tc>
          <w:tcPr>
            <w:tcW w:w="1134" w:type="dxa"/>
            <w:tcBorders>
              <w:top w:val="single" w:sz="4" w:space="0" w:color="FFFFFF" w:themeColor="background1"/>
            </w:tcBorders>
            <w:hideMark/>
          </w:tcPr>
          <w:p w14:paraId="6F631DE2" w14:textId="77777777" w:rsidR="009331F5" w:rsidRPr="005C6F98" w:rsidRDefault="009331F5" w:rsidP="00E556F8">
            <w:pPr>
              <w:tabs>
                <w:tab w:val="left" w:pos="1134"/>
              </w:tabs>
              <w:cnfStyle w:val="000000000000" w:firstRow="0" w:lastRow="0" w:firstColumn="0" w:lastColumn="0" w:oddVBand="0" w:evenVBand="0" w:oddHBand="0" w:evenHBand="0" w:firstRowFirstColumn="0" w:firstRowLastColumn="0" w:lastRowFirstColumn="0" w:lastRowLastColumn="0"/>
              <w:rPr>
                <w:rFonts w:eastAsia="Calibri" w:cs="Myriad Pro"/>
                <w:szCs w:val="18"/>
              </w:rPr>
            </w:pPr>
            <w:r w:rsidRPr="005C6F98">
              <w:rPr>
                <w:rFonts w:eastAsia="Calibri" w:cs="Myriad Pro"/>
                <w:szCs w:val="18"/>
              </w:rPr>
              <w:t>807 295</w:t>
            </w:r>
          </w:p>
        </w:tc>
        <w:tc>
          <w:tcPr>
            <w:tcW w:w="3254" w:type="dxa"/>
            <w:vMerge w:val="restart"/>
            <w:tcBorders>
              <w:top w:val="single" w:sz="4" w:space="0" w:color="FFFFFF" w:themeColor="background1"/>
            </w:tcBorders>
            <w:hideMark/>
          </w:tcPr>
          <w:p w14:paraId="487E5C37" w14:textId="2204F4FB" w:rsidR="009331F5" w:rsidRPr="005C6F98" w:rsidRDefault="009331F5" w:rsidP="00E556F8">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Myriad Pro"/>
                <w:szCs w:val="18"/>
              </w:rPr>
            </w:pPr>
            <w:r w:rsidRPr="005C6F98">
              <w:rPr>
                <w:rFonts w:eastAsia="Calibri" w:cs="Myriad Pro"/>
                <w:szCs w:val="18"/>
              </w:rPr>
              <w:t xml:space="preserve">Прогноз свободных (нерегулируемых) цен на электрическую энергию (мощность) по субъектам Российской Федерации на 2019 год от 28.11.2018, опубликованный на официальном сайте Ассоциации </w:t>
            </w:r>
            <w:r w:rsidR="00655FFA" w:rsidRPr="005C6F98">
              <w:rPr>
                <w:rFonts w:eastAsia="Calibri" w:cs="Myriad Pro"/>
                <w:szCs w:val="18"/>
              </w:rPr>
              <w:t>«</w:t>
            </w:r>
            <w:r w:rsidRPr="005C6F98">
              <w:rPr>
                <w:rFonts w:eastAsia="Calibri" w:cs="Myriad Pro"/>
                <w:szCs w:val="18"/>
              </w:rPr>
              <w:t>НП Совет рынка</w:t>
            </w:r>
            <w:r w:rsidR="00655FFA" w:rsidRPr="005C6F98">
              <w:rPr>
                <w:rFonts w:eastAsia="Calibri" w:cs="Myriad Pro"/>
                <w:szCs w:val="18"/>
              </w:rPr>
              <w:t>»</w:t>
            </w:r>
            <w:r w:rsidRPr="005C6F98">
              <w:rPr>
                <w:rFonts w:eastAsia="Calibri" w:cs="Myriad Pro"/>
                <w:szCs w:val="18"/>
              </w:rPr>
              <w:t>.</w:t>
            </w:r>
          </w:p>
        </w:tc>
      </w:tr>
      <w:tr w:rsidR="009331F5" w:rsidRPr="005C6F98" w14:paraId="0C80D09F" w14:textId="77777777" w:rsidTr="00E556F8">
        <w:tc>
          <w:tcPr>
            <w:cnfStyle w:val="001000000000" w:firstRow="0" w:lastRow="0" w:firstColumn="1" w:lastColumn="0" w:oddVBand="0" w:evenVBand="0" w:oddHBand="0" w:evenHBand="0" w:firstRowFirstColumn="0" w:firstRowLastColumn="0" w:lastRowFirstColumn="0" w:lastRowLastColumn="0"/>
            <w:tcW w:w="2830" w:type="dxa"/>
            <w:hideMark/>
          </w:tcPr>
          <w:p w14:paraId="6BD7E72B" w14:textId="4256BC1C" w:rsidR="009331F5" w:rsidRPr="005C6F98" w:rsidRDefault="009331F5" w:rsidP="00E556F8">
            <w:pPr>
              <w:tabs>
                <w:tab w:val="left" w:pos="1134"/>
              </w:tabs>
              <w:rPr>
                <w:rFonts w:eastAsia="Calibri" w:cs="Myriad Pro"/>
                <w:szCs w:val="18"/>
              </w:rPr>
            </w:pPr>
            <w:r w:rsidRPr="005C6F98">
              <w:rPr>
                <w:rFonts w:eastAsia="Calibri" w:cs="Myriad Pro"/>
                <w:szCs w:val="18"/>
              </w:rPr>
              <w:t>Прогнозная нерегулируемая цена на электрическую</w:t>
            </w:r>
            <w:r w:rsidR="00C34B4A" w:rsidRPr="005C6F98">
              <w:rPr>
                <w:rFonts w:eastAsia="Calibri" w:cs="Myriad Pro"/>
                <w:szCs w:val="18"/>
              </w:rPr>
              <w:t xml:space="preserve"> энергию</w:t>
            </w:r>
            <w:r w:rsidRPr="005C6F98">
              <w:rPr>
                <w:rFonts w:eastAsia="Calibri" w:cs="Myriad Pro"/>
                <w:szCs w:val="18"/>
              </w:rPr>
              <w:t xml:space="preserve"> </w:t>
            </w:r>
          </w:p>
        </w:tc>
        <w:tc>
          <w:tcPr>
            <w:tcW w:w="1121" w:type="dxa"/>
            <w:hideMark/>
          </w:tcPr>
          <w:p w14:paraId="54CC3C01" w14:textId="77777777" w:rsidR="009331F5" w:rsidRPr="005C6F98" w:rsidRDefault="009331F5" w:rsidP="00E556F8">
            <w:pPr>
              <w:tabs>
                <w:tab w:val="left" w:pos="1134"/>
              </w:tabs>
              <w:cnfStyle w:val="000000000000" w:firstRow="0" w:lastRow="0" w:firstColumn="0" w:lastColumn="0" w:oddVBand="0" w:evenVBand="0" w:oddHBand="0" w:evenHBand="0" w:firstRowFirstColumn="0" w:firstRowLastColumn="0" w:lastRowFirstColumn="0" w:lastRowLastColumn="0"/>
              <w:rPr>
                <w:rFonts w:eastAsia="Calibri" w:cs="Myriad Pro"/>
                <w:szCs w:val="18"/>
              </w:rPr>
            </w:pPr>
            <w:r w:rsidRPr="005C6F98">
              <w:rPr>
                <w:rFonts w:eastAsia="Calibri" w:cs="Myriad Pro"/>
                <w:szCs w:val="18"/>
              </w:rPr>
              <w:t>руб./МВтч</w:t>
            </w:r>
          </w:p>
        </w:tc>
        <w:tc>
          <w:tcPr>
            <w:tcW w:w="1147" w:type="dxa"/>
            <w:hideMark/>
          </w:tcPr>
          <w:p w14:paraId="3A26D50B" w14:textId="77777777" w:rsidR="009331F5" w:rsidRPr="005C6F98" w:rsidRDefault="009331F5" w:rsidP="00E556F8">
            <w:pPr>
              <w:tabs>
                <w:tab w:val="left" w:pos="1134"/>
              </w:tabs>
              <w:cnfStyle w:val="000000000000" w:firstRow="0" w:lastRow="0" w:firstColumn="0" w:lastColumn="0" w:oddVBand="0" w:evenVBand="0" w:oddHBand="0" w:evenHBand="0" w:firstRowFirstColumn="0" w:firstRowLastColumn="0" w:lastRowFirstColumn="0" w:lastRowLastColumn="0"/>
              <w:rPr>
                <w:rFonts w:eastAsia="Calibri" w:cs="Myriad Pro"/>
                <w:szCs w:val="18"/>
              </w:rPr>
            </w:pPr>
            <w:r w:rsidRPr="005C6F98">
              <w:rPr>
                <w:rFonts w:eastAsia="Calibri" w:cs="Myriad Pro"/>
                <w:szCs w:val="18"/>
              </w:rPr>
              <w:t>956</w:t>
            </w:r>
          </w:p>
        </w:tc>
        <w:tc>
          <w:tcPr>
            <w:tcW w:w="1134" w:type="dxa"/>
            <w:hideMark/>
          </w:tcPr>
          <w:p w14:paraId="7EC7E94C" w14:textId="77777777" w:rsidR="009331F5" w:rsidRPr="005C6F98" w:rsidRDefault="009331F5" w:rsidP="00E556F8">
            <w:pPr>
              <w:tabs>
                <w:tab w:val="left" w:pos="1134"/>
              </w:tabs>
              <w:cnfStyle w:val="000000000000" w:firstRow="0" w:lastRow="0" w:firstColumn="0" w:lastColumn="0" w:oddVBand="0" w:evenVBand="0" w:oddHBand="0" w:evenHBand="0" w:firstRowFirstColumn="0" w:firstRowLastColumn="0" w:lastRowFirstColumn="0" w:lastRowLastColumn="0"/>
              <w:rPr>
                <w:rFonts w:eastAsia="Calibri" w:cs="Myriad Pro"/>
                <w:szCs w:val="18"/>
              </w:rPr>
            </w:pPr>
            <w:r w:rsidRPr="005C6F98">
              <w:rPr>
                <w:rFonts w:eastAsia="Calibri" w:cs="Myriad Pro"/>
                <w:szCs w:val="18"/>
              </w:rPr>
              <w:t>1017</w:t>
            </w:r>
          </w:p>
        </w:tc>
        <w:tc>
          <w:tcPr>
            <w:tcW w:w="3254" w:type="dxa"/>
            <w:vMerge/>
            <w:hideMark/>
          </w:tcPr>
          <w:p w14:paraId="564E14CD" w14:textId="77777777" w:rsidR="009331F5" w:rsidRPr="005C6F98" w:rsidRDefault="009331F5" w:rsidP="00E556F8">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Myriad Pro"/>
                <w:szCs w:val="18"/>
              </w:rPr>
            </w:pPr>
          </w:p>
        </w:tc>
      </w:tr>
      <w:tr w:rsidR="009331F5" w:rsidRPr="005C6F98" w14:paraId="1FEFEA52" w14:textId="77777777" w:rsidTr="00E556F8">
        <w:tc>
          <w:tcPr>
            <w:cnfStyle w:val="001000000000" w:firstRow="0" w:lastRow="0" w:firstColumn="1" w:lastColumn="0" w:oddVBand="0" w:evenVBand="0" w:oddHBand="0" w:evenHBand="0" w:firstRowFirstColumn="0" w:firstRowLastColumn="0" w:lastRowFirstColumn="0" w:lastRowLastColumn="0"/>
            <w:tcW w:w="2830" w:type="dxa"/>
            <w:hideMark/>
          </w:tcPr>
          <w:p w14:paraId="44D01690" w14:textId="77777777" w:rsidR="009331F5" w:rsidRPr="005C6F98" w:rsidRDefault="009331F5" w:rsidP="00E556F8">
            <w:pPr>
              <w:tabs>
                <w:tab w:val="left" w:pos="1134"/>
              </w:tabs>
              <w:rPr>
                <w:rFonts w:eastAsia="Calibri" w:cs="Myriad Pro"/>
                <w:szCs w:val="18"/>
              </w:rPr>
            </w:pPr>
            <w:r w:rsidRPr="005C6F98">
              <w:rPr>
                <w:rFonts w:eastAsia="Calibri" w:cs="Myriad Pro"/>
                <w:szCs w:val="18"/>
              </w:rPr>
              <w:t>Сбытовая надбавка</w:t>
            </w:r>
          </w:p>
        </w:tc>
        <w:tc>
          <w:tcPr>
            <w:tcW w:w="1121" w:type="dxa"/>
            <w:hideMark/>
          </w:tcPr>
          <w:p w14:paraId="7DFE71FE" w14:textId="77777777" w:rsidR="009331F5" w:rsidRPr="005C6F98" w:rsidRDefault="009331F5" w:rsidP="00E556F8">
            <w:pPr>
              <w:tabs>
                <w:tab w:val="left" w:pos="1134"/>
              </w:tabs>
              <w:cnfStyle w:val="000000000000" w:firstRow="0" w:lastRow="0" w:firstColumn="0" w:lastColumn="0" w:oddVBand="0" w:evenVBand="0" w:oddHBand="0" w:evenHBand="0" w:firstRowFirstColumn="0" w:firstRowLastColumn="0" w:lastRowFirstColumn="0" w:lastRowLastColumn="0"/>
              <w:rPr>
                <w:rFonts w:eastAsia="Calibri" w:cs="Myriad Pro"/>
                <w:szCs w:val="18"/>
              </w:rPr>
            </w:pPr>
            <w:r w:rsidRPr="005C6F98">
              <w:rPr>
                <w:rFonts w:eastAsia="Calibri" w:cs="Myriad Pro"/>
                <w:szCs w:val="18"/>
              </w:rPr>
              <w:t>руб./МВтч</w:t>
            </w:r>
          </w:p>
        </w:tc>
        <w:tc>
          <w:tcPr>
            <w:tcW w:w="1147" w:type="dxa"/>
            <w:hideMark/>
          </w:tcPr>
          <w:p w14:paraId="25681BC1" w14:textId="77777777" w:rsidR="009331F5" w:rsidRPr="005C6F98" w:rsidRDefault="009331F5" w:rsidP="00E556F8">
            <w:pPr>
              <w:tabs>
                <w:tab w:val="left" w:pos="1134"/>
              </w:tabs>
              <w:cnfStyle w:val="000000000000" w:firstRow="0" w:lastRow="0" w:firstColumn="0" w:lastColumn="0" w:oddVBand="0" w:evenVBand="0" w:oddHBand="0" w:evenHBand="0" w:firstRowFirstColumn="0" w:firstRowLastColumn="0" w:lastRowFirstColumn="0" w:lastRowLastColumn="0"/>
              <w:rPr>
                <w:rFonts w:eastAsia="Calibri" w:cs="Myriad Pro"/>
                <w:szCs w:val="18"/>
              </w:rPr>
            </w:pPr>
            <w:r w:rsidRPr="005C6F98">
              <w:rPr>
                <w:rFonts w:eastAsia="Calibri" w:cs="Myriad Pro"/>
                <w:szCs w:val="18"/>
              </w:rPr>
              <w:t>158,26</w:t>
            </w:r>
          </w:p>
        </w:tc>
        <w:tc>
          <w:tcPr>
            <w:tcW w:w="1134" w:type="dxa"/>
            <w:hideMark/>
          </w:tcPr>
          <w:p w14:paraId="25FD85F8" w14:textId="77777777" w:rsidR="009331F5" w:rsidRPr="005C6F98" w:rsidRDefault="009331F5" w:rsidP="00E556F8">
            <w:pPr>
              <w:tabs>
                <w:tab w:val="left" w:pos="1134"/>
              </w:tabs>
              <w:cnfStyle w:val="000000000000" w:firstRow="0" w:lastRow="0" w:firstColumn="0" w:lastColumn="0" w:oddVBand="0" w:evenVBand="0" w:oddHBand="0" w:evenHBand="0" w:firstRowFirstColumn="0" w:firstRowLastColumn="0" w:lastRowFirstColumn="0" w:lastRowLastColumn="0"/>
              <w:rPr>
                <w:rFonts w:eastAsia="Calibri" w:cs="Myriad Pro"/>
                <w:szCs w:val="18"/>
              </w:rPr>
            </w:pPr>
            <w:r w:rsidRPr="005C6F98">
              <w:rPr>
                <w:rFonts w:eastAsia="Calibri" w:cs="Myriad Pro"/>
                <w:szCs w:val="18"/>
              </w:rPr>
              <w:t>158,26</w:t>
            </w:r>
          </w:p>
        </w:tc>
        <w:tc>
          <w:tcPr>
            <w:tcW w:w="3254" w:type="dxa"/>
            <w:hideMark/>
          </w:tcPr>
          <w:p w14:paraId="0A09402E" w14:textId="43E103D2" w:rsidR="009331F5" w:rsidRPr="005C6F98" w:rsidRDefault="009331F5" w:rsidP="00E556F8">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Myriad Pro"/>
                <w:szCs w:val="18"/>
              </w:rPr>
            </w:pPr>
            <w:r w:rsidRPr="005C6F98">
              <w:rPr>
                <w:rFonts w:eastAsia="Calibri" w:cs="Myriad Pro"/>
                <w:szCs w:val="18"/>
              </w:rPr>
              <w:t xml:space="preserve">Постановление Комитета от 25.12.2018 № 53/1 </w:t>
            </w:r>
            <w:r w:rsidR="00655FFA" w:rsidRPr="005C6F98">
              <w:rPr>
                <w:rFonts w:eastAsia="Calibri" w:cs="Myriad Pro"/>
                <w:szCs w:val="18"/>
              </w:rPr>
              <w:t>«</w:t>
            </w:r>
            <w:r w:rsidRPr="005C6F98">
              <w:rPr>
                <w:rFonts w:eastAsia="Calibri" w:cs="Myriad Pro"/>
                <w:szCs w:val="18"/>
              </w:rPr>
              <w:t xml:space="preserve">Об установлении сбытовых надбавок гарантирующего поставщика АО </w:t>
            </w:r>
            <w:r w:rsidR="00655FFA" w:rsidRPr="005C6F98">
              <w:rPr>
                <w:rFonts w:eastAsia="Calibri" w:cs="Myriad Pro"/>
                <w:szCs w:val="18"/>
              </w:rPr>
              <w:t>«</w:t>
            </w:r>
            <w:r w:rsidRPr="005C6F98">
              <w:rPr>
                <w:rFonts w:eastAsia="Calibri" w:cs="Myriad Pro"/>
                <w:szCs w:val="18"/>
              </w:rPr>
              <w:t>АтомЭнергоСбыт</w:t>
            </w:r>
            <w:r w:rsidR="00655FFA" w:rsidRPr="005C6F98">
              <w:rPr>
                <w:rFonts w:eastAsia="Calibri" w:cs="Myriad Pro"/>
                <w:szCs w:val="18"/>
              </w:rPr>
              <w:t>»</w:t>
            </w:r>
            <w:r w:rsidRPr="005C6F98">
              <w:rPr>
                <w:rFonts w:eastAsia="Calibri" w:cs="Myriad Pro"/>
                <w:szCs w:val="18"/>
              </w:rPr>
              <w:t xml:space="preserve"> на 2019 год</w:t>
            </w:r>
            <w:r w:rsidR="00655FFA" w:rsidRPr="005C6F98">
              <w:rPr>
                <w:rFonts w:eastAsia="Calibri" w:cs="Myriad Pro"/>
                <w:szCs w:val="18"/>
              </w:rPr>
              <w:t>»</w:t>
            </w:r>
            <w:r w:rsidRPr="005C6F98">
              <w:rPr>
                <w:rFonts w:eastAsia="Calibri" w:cs="Myriad Pro"/>
                <w:szCs w:val="18"/>
              </w:rPr>
              <w:t xml:space="preserve"> </w:t>
            </w:r>
          </w:p>
        </w:tc>
      </w:tr>
      <w:tr w:rsidR="009331F5" w:rsidRPr="005C6F98" w14:paraId="71009E17" w14:textId="77777777" w:rsidTr="00E556F8">
        <w:tc>
          <w:tcPr>
            <w:cnfStyle w:val="001000000000" w:firstRow="0" w:lastRow="0" w:firstColumn="1" w:lastColumn="0" w:oddVBand="0" w:evenVBand="0" w:oddHBand="0" w:evenHBand="0" w:firstRowFirstColumn="0" w:firstRowLastColumn="0" w:lastRowFirstColumn="0" w:lastRowLastColumn="0"/>
            <w:tcW w:w="2830" w:type="dxa"/>
            <w:hideMark/>
          </w:tcPr>
          <w:p w14:paraId="51FD1BD0" w14:textId="028A78EB" w:rsidR="009331F5" w:rsidRPr="005C6F98" w:rsidRDefault="009331F5" w:rsidP="00E556F8">
            <w:pPr>
              <w:tabs>
                <w:tab w:val="left" w:pos="1134"/>
              </w:tabs>
              <w:rPr>
                <w:rFonts w:eastAsia="Calibri" w:cs="Myriad Pro"/>
                <w:szCs w:val="18"/>
              </w:rPr>
            </w:pPr>
            <w:r w:rsidRPr="005C6F98">
              <w:rPr>
                <w:rFonts w:eastAsia="Calibri" w:cs="Myriad Pro"/>
                <w:szCs w:val="18"/>
              </w:rPr>
              <w:t xml:space="preserve">Плата АО </w:t>
            </w:r>
            <w:r w:rsidR="00655FFA" w:rsidRPr="005C6F98">
              <w:rPr>
                <w:rFonts w:eastAsia="Calibri" w:cs="Myriad Pro"/>
                <w:szCs w:val="18"/>
              </w:rPr>
              <w:t>«</w:t>
            </w:r>
            <w:r w:rsidRPr="005C6F98">
              <w:rPr>
                <w:rFonts w:eastAsia="Calibri" w:cs="Myriad Pro"/>
                <w:szCs w:val="18"/>
              </w:rPr>
              <w:t>АТС</w:t>
            </w:r>
            <w:r w:rsidR="00655FFA" w:rsidRPr="005C6F98">
              <w:rPr>
                <w:rFonts w:eastAsia="Calibri" w:cs="Myriad Pro"/>
                <w:szCs w:val="18"/>
              </w:rPr>
              <w:t>»</w:t>
            </w:r>
          </w:p>
        </w:tc>
        <w:tc>
          <w:tcPr>
            <w:tcW w:w="1121" w:type="dxa"/>
            <w:hideMark/>
          </w:tcPr>
          <w:p w14:paraId="7620D419" w14:textId="77777777" w:rsidR="009331F5" w:rsidRPr="005C6F98" w:rsidRDefault="009331F5" w:rsidP="00E556F8">
            <w:pPr>
              <w:tabs>
                <w:tab w:val="left" w:pos="1134"/>
              </w:tabs>
              <w:cnfStyle w:val="000000000000" w:firstRow="0" w:lastRow="0" w:firstColumn="0" w:lastColumn="0" w:oddVBand="0" w:evenVBand="0" w:oddHBand="0" w:evenHBand="0" w:firstRowFirstColumn="0" w:firstRowLastColumn="0" w:lastRowFirstColumn="0" w:lastRowLastColumn="0"/>
              <w:rPr>
                <w:rFonts w:eastAsia="Calibri" w:cs="Myriad Pro"/>
                <w:szCs w:val="18"/>
              </w:rPr>
            </w:pPr>
            <w:r w:rsidRPr="005C6F98">
              <w:rPr>
                <w:rFonts w:eastAsia="Calibri" w:cs="Myriad Pro"/>
                <w:szCs w:val="18"/>
              </w:rPr>
              <w:t>руб./МВтч</w:t>
            </w:r>
          </w:p>
        </w:tc>
        <w:tc>
          <w:tcPr>
            <w:tcW w:w="1147" w:type="dxa"/>
            <w:hideMark/>
          </w:tcPr>
          <w:p w14:paraId="6475C59B" w14:textId="77777777" w:rsidR="009331F5" w:rsidRPr="005C6F98" w:rsidRDefault="009331F5" w:rsidP="00E556F8">
            <w:pPr>
              <w:tabs>
                <w:tab w:val="left" w:pos="1134"/>
              </w:tabs>
              <w:cnfStyle w:val="000000000000" w:firstRow="0" w:lastRow="0" w:firstColumn="0" w:lastColumn="0" w:oddVBand="0" w:evenVBand="0" w:oddHBand="0" w:evenHBand="0" w:firstRowFirstColumn="0" w:firstRowLastColumn="0" w:lastRowFirstColumn="0" w:lastRowLastColumn="0"/>
              <w:rPr>
                <w:rFonts w:eastAsia="Calibri" w:cs="Myriad Pro"/>
                <w:szCs w:val="18"/>
              </w:rPr>
            </w:pPr>
            <w:r w:rsidRPr="005C6F98">
              <w:rPr>
                <w:rFonts w:eastAsia="Calibri" w:cs="Myriad Pro"/>
                <w:szCs w:val="18"/>
              </w:rPr>
              <w:t>1,121</w:t>
            </w:r>
          </w:p>
        </w:tc>
        <w:tc>
          <w:tcPr>
            <w:tcW w:w="1134" w:type="dxa"/>
            <w:hideMark/>
          </w:tcPr>
          <w:p w14:paraId="152AB556" w14:textId="77777777" w:rsidR="009331F5" w:rsidRPr="005C6F98" w:rsidRDefault="009331F5" w:rsidP="00E556F8">
            <w:pPr>
              <w:tabs>
                <w:tab w:val="left" w:pos="1134"/>
              </w:tabs>
              <w:cnfStyle w:val="000000000000" w:firstRow="0" w:lastRow="0" w:firstColumn="0" w:lastColumn="0" w:oddVBand="0" w:evenVBand="0" w:oddHBand="0" w:evenHBand="0" w:firstRowFirstColumn="0" w:firstRowLastColumn="0" w:lastRowFirstColumn="0" w:lastRowLastColumn="0"/>
              <w:rPr>
                <w:rFonts w:eastAsia="Calibri" w:cs="Myriad Pro"/>
                <w:szCs w:val="18"/>
              </w:rPr>
            </w:pPr>
            <w:r w:rsidRPr="005C6F98">
              <w:rPr>
                <w:rFonts w:eastAsia="Calibri" w:cs="Myriad Pro"/>
                <w:szCs w:val="18"/>
              </w:rPr>
              <w:t>1,173</w:t>
            </w:r>
          </w:p>
        </w:tc>
        <w:tc>
          <w:tcPr>
            <w:tcW w:w="3254" w:type="dxa"/>
            <w:hideMark/>
          </w:tcPr>
          <w:p w14:paraId="227B588B" w14:textId="77777777" w:rsidR="009331F5" w:rsidRPr="005C6F98" w:rsidRDefault="009331F5" w:rsidP="00E556F8">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Myriad Pro"/>
                <w:szCs w:val="18"/>
              </w:rPr>
            </w:pPr>
            <w:r w:rsidRPr="005C6F98">
              <w:rPr>
                <w:rFonts w:eastAsia="Calibri" w:cs="Myriad Pro"/>
                <w:szCs w:val="18"/>
              </w:rPr>
              <w:t>Приказ ФАС России от 12.12.2017 № 1671/17, ИПЦ 104,6% на 2 полугодие 2019</w:t>
            </w:r>
          </w:p>
        </w:tc>
      </w:tr>
      <w:tr w:rsidR="009331F5" w:rsidRPr="005C6F98" w14:paraId="28596970" w14:textId="77777777" w:rsidTr="00E556F8">
        <w:tc>
          <w:tcPr>
            <w:cnfStyle w:val="001000000000" w:firstRow="0" w:lastRow="0" w:firstColumn="1" w:lastColumn="0" w:oddVBand="0" w:evenVBand="0" w:oddHBand="0" w:evenHBand="0" w:firstRowFirstColumn="0" w:firstRowLastColumn="0" w:lastRowFirstColumn="0" w:lastRowLastColumn="0"/>
            <w:tcW w:w="2830" w:type="dxa"/>
            <w:hideMark/>
          </w:tcPr>
          <w:p w14:paraId="3FBDD124" w14:textId="058F65A4" w:rsidR="009331F5" w:rsidRPr="005C6F98" w:rsidRDefault="009331F5" w:rsidP="00E556F8">
            <w:pPr>
              <w:tabs>
                <w:tab w:val="left" w:pos="1134"/>
              </w:tabs>
              <w:rPr>
                <w:rFonts w:eastAsia="Calibri" w:cs="Myriad Pro"/>
                <w:szCs w:val="18"/>
              </w:rPr>
            </w:pPr>
            <w:r w:rsidRPr="005C6F98">
              <w:rPr>
                <w:rFonts w:eastAsia="Calibri" w:cs="Myriad Pro"/>
                <w:szCs w:val="18"/>
              </w:rPr>
              <w:t xml:space="preserve">Плата АО </w:t>
            </w:r>
            <w:r w:rsidR="00655FFA" w:rsidRPr="005C6F98">
              <w:rPr>
                <w:rFonts w:eastAsia="Calibri" w:cs="Myriad Pro"/>
                <w:szCs w:val="18"/>
              </w:rPr>
              <w:t>«</w:t>
            </w:r>
            <w:r w:rsidRPr="005C6F98">
              <w:rPr>
                <w:rFonts w:eastAsia="Calibri" w:cs="Myriad Pro"/>
                <w:szCs w:val="18"/>
              </w:rPr>
              <w:t>СО ЕЭС</w:t>
            </w:r>
            <w:r w:rsidR="00655FFA" w:rsidRPr="005C6F98">
              <w:rPr>
                <w:rFonts w:eastAsia="Calibri" w:cs="Myriad Pro"/>
                <w:szCs w:val="18"/>
              </w:rPr>
              <w:t>»</w:t>
            </w:r>
          </w:p>
        </w:tc>
        <w:tc>
          <w:tcPr>
            <w:tcW w:w="1121" w:type="dxa"/>
            <w:hideMark/>
          </w:tcPr>
          <w:p w14:paraId="700D246C" w14:textId="77777777" w:rsidR="009331F5" w:rsidRPr="005C6F98" w:rsidRDefault="009331F5" w:rsidP="00E556F8">
            <w:pPr>
              <w:tabs>
                <w:tab w:val="left" w:pos="1134"/>
              </w:tabs>
              <w:cnfStyle w:val="000000000000" w:firstRow="0" w:lastRow="0" w:firstColumn="0" w:lastColumn="0" w:oddVBand="0" w:evenVBand="0" w:oddHBand="0" w:evenHBand="0" w:firstRowFirstColumn="0" w:firstRowLastColumn="0" w:lastRowFirstColumn="0" w:lastRowLastColumn="0"/>
              <w:rPr>
                <w:rFonts w:eastAsia="Calibri" w:cs="Myriad Pro"/>
                <w:szCs w:val="18"/>
              </w:rPr>
            </w:pPr>
            <w:r w:rsidRPr="005C6F98">
              <w:rPr>
                <w:rFonts w:eastAsia="Calibri" w:cs="Myriad Pro"/>
                <w:szCs w:val="18"/>
              </w:rPr>
              <w:t>руб./МВтч</w:t>
            </w:r>
          </w:p>
        </w:tc>
        <w:tc>
          <w:tcPr>
            <w:tcW w:w="1147" w:type="dxa"/>
            <w:hideMark/>
          </w:tcPr>
          <w:p w14:paraId="433B34FA" w14:textId="77777777" w:rsidR="009331F5" w:rsidRPr="005C6F98" w:rsidRDefault="009331F5" w:rsidP="00E556F8">
            <w:pPr>
              <w:tabs>
                <w:tab w:val="left" w:pos="1134"/>
              </w:tabs>
              <w:cnfStyle w:val="000000000000" w:firstRow="0" w:lastRow="0" w:firstColumn="0" w:lastColumn="0" w:oddVBand="0" w:evenVBand="0" w:oddHBand="0" w:evenHBand="0" w:firstRowFirstColumn="0" w:firstRowLastColumn="0" w:lastRowFirstColumn="0" w:lastRowLastColumn="0"/>
              <w:rPr>
                <w:rFonts w:eastAsia="Calibri" w:cs="Myriad Pro"/>
                <w:szCs w:val="18"/>
              </w:rPr>
            </w:pPr>
            <w:r w:rsidRPr="005C6F98">
              <w:rPr>
                <w:rFonts w:eastAsia="Calibri" w:cs="Myriad Pro"/>
                <w:szCs w:val="18"/>
              </w:rPr>
              <w:t>1,363</w:t>
            </w:r>
          </w:p>
        </w:tc>
        <w:tc>
          <w:tcPr>
            <w:tcW w:w="1134" w:type="dxa"/>
            <w:hideMark/>
          </w:tcPr>
          <w:p w14:paraId="516C2A78" w14:textId="77777777" w:rsidR="009331F5" w:rsidRPr="005C6F98" w:rsidRDefault="009331F5" w:rsidP="00E556F8">
            <w:pPr>
              <w:tabs>
                <w:tab w:val="left" w:pos="1134"/>
              </w:tabs>
              <w:cnfStyle w:val="000000000000" w:firstRow="0" w:lastRow="0" w:firstColumn="0" w:lastColumn="0" w:oddVBand="0" w:evenVBand="0" w:oddHBand="0" w:evenHBand="0" w:firstRowFirstColumn="0" w:firstRowLastColumn="0" w:lastRowFirstColumn="0" w:lastRowLastColumn="0"/>
              <w:rPr>
                <w:rFonts w:eastAsia="Calibri" w:cs="Myriad Pro"/>
                <w:szCs w:val="18"/>
              </w:rPr>
            </w:pPr>
            <w:r w:rsidRPr="005C6F98">
              <w:rPr>
                <w:rFonts w:eastAsia="Calibri" w:cs="Myriad Pro"/>
                <w:szCs w:val="18"/>
              </w:rPr>
              <w:t>1,426</w:t>
            </w:r>
          </w:p>
        </w:tc>
        <w:tc>
          <w:tcPr>
            <w:tcW w:w="3254" w:type="dxa"/>
            <w:hideMark/>
          </w:tcPr>
          <w:p w14:paraId="3DA61AA8" w14:textId="77777777" w:rsidR="009331F5" w:rsidRPr="005C6F98" w:rsidRDefault="009331F5" w:rsidP="00E556F8">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Myriad Pro"/>
                <w:szCs w:val="18"/>
              </w:rPr>
            </w:pPr>
            <w:r w:rsidRPr="005C6F98">
              <w:rPr>
                <w:rFonts w:eastAsia="Calibri" w:cs="Myriad Pro"/>
                <w:szCs w:val="18"/>
              </w:rPr>
              <w:t>Приказ ФАС России от 14.12.2017 №1681/17, ИПЦ 104,6% на 2 полугодие 2019</w:t>
            </w:r>
          </w:p>
        </w:tc>
      </w:tr>
      <w:tr w:rsidR="009331F5" w:rsidRPr="005C6F98" w14:paraId="43F04613" w14:textId="77777777" w:rsidTr="00E556F8">
        <w:tc>
          <w:tcPr>
            <w:cnfStyle w:val="001000000000" w:firstRow="0" w:lastRow="0" w:firstColumn="1" w:lastColumn="0" w:oddVBand="0" w:evenVBand="0" w:oddHBand="0" w:evenHBand="0" w:firstRowFirstColumn="0" w:firstRowLastColumn="0" w:lastRowFirstColumn="0" w:lastRowLastColumn="0"/>
            <w:tcW w:w="2830" w:type="dxa"/>
            <w:hideMark/>
          </w:tcPr>
          <w:p w14:paraId="092EAF54" w14:textId="3DC98653" w:rsidR="009331F5" w:rsidRPr="005C6F98" w:rsidRDefault="009331F5" w:rsidP="00E556F8">
            <w:pPr>
              <w:tabs>
                <w:tab w:val="left" w:pos="1134"/>
              </w:tabs>
              <w:rPr>
                <w:rFonts w:eastAsia="Calibri" w:cs="Myriad Pro"/>
                <w:szCs w:val="18"/>
              </w:rPr>
            </w:pPr>
            <w:r w:rsidRPr="005C6F98">
              <w:rPr>
                <w:rFonts w:eastAsia="Calibri" w:cs="Myriad Pro"/>
                <w:szCs w:val="18"/>
              </w:rPr>
              <w:t xml:space="preserve">Плата услуг АО </w:t>
            </w:r>
            <w:r w:rsidR="00655FFA" w:rsidRPr="005C6F98">
              <w:rPr>
                <w:rFonts w:eastAsia="Calibri" w:cs="Myriad Pro"/>
                <w:szCs w:val="18"/>
              </w:rPr>
              <w:t>«</w:t>
            </w:r>
            <w:r w:rsidRPr="005C6F98">
              <w:rPr>
                <w:rFonts w:eastAsia="Calibri" w:cs="Myriad Pro"/>
                <w:szCs w:val="18"/>
              </w:rPr>
              <w:t>ЦФР</w:t>
            </w:r>
            <w:r w:rsidR="00655FFA" w:rsidRPr="005C6F98">
              <w:rPr>
                <w:rFonts w:eastAsia="Calibri" w:cs="Myriad Pro"/>
                <w:szCs w:val="18"/>
              </w:rPr>
              <w:t>»</w:t>
            </w:r>
          </w:p>
        </w:tc>
        <w:tc>
          <w:tcPr>
            <w:tcW w:w="1121" w:type="dxa"/>
            <w:hideMark/>
          </w:tcPr>
          <w:p w14:paraId="5F08E17C" w14:textId="77777777" w:rsidR="009331F5" w:rsidRPr="005C6F98" w:rsidRDefault="009331F5" w:rsidP="00E556F8">
            <w:pPr>
              <w:tabs>
                <w:tab w:val="left" w:pos="1134"/>
              </w:tabs>
              <w:cnfStyle w:val="000000000000" w:firstRow="0" w:lastRow="0" w:firstColumn="0" w:lastColumn="0" w:oddVBand="0" w:evenVBand="0" w:oddHBand="0" w:evenHBand="0" w:firstRowFirstColumn="0" w:firstRowLastColumn="0" w:lastRowFirstColumn="0" w:lastRowLastColumn="0"/>
              <w:rPr>
                <w:rFonts w:eastAsia="Calibri" w:cs="Myriad Pro"/>
                <w:szCs w:val="18"/>
              </w:rPr>
            </w:pPr>
            <w:r w:rsidRPr="005C6F98">
              <w:rPr>
                <w:rFonts w:eastAsia="Calibri" w:cs="Myriad Pro"/>
                <w:szCs w:val="18"/>
              </w:rPr>
              <w:t>руб./МВтч</w:t>
            </w:r>
          </w:p>
        </w:tc>
        <w:tc>
          <w:tcPr>
            <w:tcW w:w="1147" w:type="dxa"/>
            <w:hideMark/>
          </w:tcPr>
          <w:p w14:paraId="72BF462F" w14:textId="77777777" w:rsidR="009331F5" w:rsidRPr="005C6F98" w:rsidRDefault="009331F5" w:rsidP="00E556F8">
            <w:pPr>
              <w:tabs>
                <w:tab w:val="left" w:pos="1134"/>
              </w:tabs>
              <w:cnfStyle w:val="000000000000" w:firstRow="0" w:lastRow="0" w:firstColumn="0" w:lastColumn="0" w:oddVBand="0" w:evenVBand="0" w:oddHBand="0" w:evenHBand="0" w:firstRowFirstColumn="0" w:firstRowLastColumn="0" w:lastRowFirstColumn="0" w:lastRowLastColumn="0"/>
              <w:rPr>
                <w:rFonts w:eastAsia="Calibri" w:cs="Myriad Pro"/>
                <w:szCs w:val="18"/>
              </w:rPr>
            </w:pPr>
            <w:r w:rsidRPr="005C6F98">
              <w:rPr>
                <w:rFonts w:eastAsia="Calibri" w:cs="Myriad Pro"/>
                <w:szCs w:val="18"/>
              </w:rPr>
              <w:t>0,333</w:t>
            </w:r>
          </w:p>
        </w:tc>
        <w:tc>
          <w:tcPr>
            <w:tcW w:w="1134" w:type="dxa"/>
            <w:hideMark/>
          </w:tcPr>
          <w:p w14:paraId="2EF467BF" w14:textId="77777777" w:rsidR="009331F5" w:rsidRPr="005C6F98" w:rsidRDefault="009331F5" w:rsidP="00E556F8">
            <w:pPr>
              <w:tabs>
                <w:tab w:val="left" w:pos="1134"/>
              </w:tabs>
              <w:cnfStyle w:val="000000000000" w:firstRow="0" w:lastRow="0" w:firstColumn="0" w:lastColumn="0" w:oddVBand="0" w:evenVBand="0" w:oddHBand="0" w:evenHBand="0" w:firstRowFirstColumn="0" w:firstRowLastColumn="0" w:lastRowFirstColumn="0" w:lastRowLastColumn="0"/>
              <w:rPr>
                <w:rFonts w:eastAsia="Calibri" w:cs="Myriad Pro"/>
                <w:szCs w:val="18"/>
              </w:rPr>
            </w:pPr>
            <w:r w:rsidRPr="005C6F98">
              <w:rPr>
                <w:rFonts w:eastAsia="Calibri" w:cs="Myriad Pro"/>
                <w:szCs w:val="18"/>
              </w:rPr>
              <w:t>0,333</w:t>
            </w:r>
          </w:p>
        </w:tc>
        <w:tc>
          <w:tcPr>
            <w:tcW w:w="3254" w:type="dxa"/>
            <w:hideMark/>
          </w:tcPr>
          <w:p w14:paraId="713CC8CD" w14:textId="375934F4" w:rsidR="009331F5" w:rsidRPr="005C6F98" w:rsidRDefault="009331F5" w:rsidP="00E556F8">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Myriad Pro"/>
                <w:szCs w:val="18"/>
              </w:rPr>
            </w:pPr>
            <w:r w:rsidRPr="005C6F98">
              <w:rPr>
                <w:rFonts w:eastAsia="Calibri" w:cs="Myriad Pro"/>
                <w:szCs w:val="18"/>
              </w:rPr>
              <w:t>Размер платы за комплексную услугу АО </w:t>
            </w:r>
            <w:r w:rsidR="00655FFA" w:rsidRPr="005C6F98">
              <w:rPr>
                <w:rFonts w:eastAsia="Calibri" w:cs="Myriad Pro"/>
                <w:szCs w:val="18"/>
              </w:rPr>
              <w:t>«</w:t>
            </w:r>
            <w:r w:rsidRPr="005C6F98">
              <w:rPr>
                <w:rFonts w:eastAsia="Calibri" w:cs="Myriad Pro"/>
                <w:szCs w:val="18"/>
              </w:rPr>
              <w:t>ЦФР</w:t>
            </w:r>
            <w:r w:rsidR="00655FFA" w:rsidRPr="005C6F98">
              <w:rPr>
                <w:rFonts w:eastAsia="Calibri" w:cs="Myriad Pro"/>
                <w:szCs w:val="18"/>
              </w:rPr>
              <w:t>»</w:t>
            </w:r>
            <w:r w:rsidRPr="005C6F98">
              <w:rPr>
                <w:rFonts w:eastAsia="Calibri" w:cs="Myriad Pro"/>
                <w:szCs w:val="18"/>
              </w:rPr>
              <w:t xml:space="preserve">, утвержденный Наблюдательным советом Ассоциации </w:t>
            </w:r>
            <w:r w:rsidR="00655FFA" w:rsidRPr="005C6F98">
              <w:rPr>
                <w:rFonts w:eastAsia="Calibri" w:cs="Myriad Pro"/>
                <w:szCs w:val="18"/>
              </w:rPr>
              <w:t>«</w:t>
            </w:r>
            <w:r w:rsidRPr="005C6F98">
              <w:rPr>
                <w:rFonts w:eastAsia="Calibri" w:cs="Myriad Pro"/>
                <w:szCs w:val="18"/>
              </w:rPr>
              <w:t>НП Совет рынка</w:t>
            </w:r>
            <w:r w:rsidR="00655FFA" w:rsidRPr="005C6F98">
              <w:rPr>
                <w:rFonts w:eastAsia="Calibri" w:cs="Myriad Pro"/>
                <w:szCs w:val="18"/>
              </w:rPr>
              <w:t>»</w:t>
            </w:r>
            <w:r w:rsidRPr="005C6F98">
              <w:rPr>
                <w:rFonts w:eastAsia="Calibri" w:cs="Myriad Pro"/>
                <w:szCs w:val="18"/>
              </w:rPr>
              <w:t xml:space="preserve"> 17.04.2017 года</w:t>
            </w:r>
          </w:p>
        </w:tc>
      </w:tr>
      <w:tr w:rsidR="009331F5" w:rsidRPr="005C6F98" w14:paraId="0B8C32B8" w14:textId="77777777" w:rsidTr="00E556F8">
        <w:tc>
          <w:tcPr>
            <w:cnfStyle w:val="001000000000" w:firstRow="0" w:lastRow="0" w:firstColumn="1" w:lastColumn="0" w:oddVBand="0" w:evenVBand="0" w:oddHBand="0" w:evenHBand="0" w:firstRowFirstColumn="0" w:firstRowLastColumn="0" w:lastRowFirstColumn="0" w:lastRowLastColumn="0"/>
            <w:tcW w:w="2830" w:type="dxa"/>
            <w:hideMark/>
          </w:tcPr>
          <w:p w14:paraId="73BD2C6D" w14:textId="77777777" w:rsidR="009331F5" w:rsidRPr="005C6F98" w:rsidRDefault="009331F5" w:rsidP="00E556F8">
            <w:pPr>
              <w:tabs>
                <w:tab w:val="left" w:pos="1134"/>
              </w:tabs>
              <w:rPr>
                <w:rFonts w:eastAsia="Calibri" w:cs="Myriad Pro"/>
                <w:szCs w:val="18"/>
              </w:rPr>
            </w:pPr>
            <w:r w:rsidRPr="005C6F98">
              <w:rPr>
                <w:rFonts w:eastAsia="Calibri" w:cs="Myriad Pro"/>
                <w:szCs w:val="18"/>
              </w:rPr>
              <w:t>Объём потерь</w:t>
            </w:r>
          </w:p>
        </w:tc>
        <w:tc>
          <w:tcPr>
            <w:tcW w:w="1121" w:type="dxa"/>
            <w:hideMark/>
          </w:tcPr>
          <w:p w14:paraId="3B5E5685" w14:textId="77777777" w:rsidR="009331F5" w:rsidRPr="005C6F98" w:rsidRDefault="009331F5" w:rsidP="00E556F8">
            <w:pPr>
              <w:tabs>
                <w:tab w:val="left" w:pos="1134"/>
              </w:tabs>
              <w:cnfStyle w:val="000000000000" w:firstRow="0" w:lastRow="0" w:firstColumn="0" w:lastColumn="0" w:oddVBand="0" w:evenVBand="0" w:oddHBand="0" w:evenHBand="0" w:firstRowFirstColumn="0" w:firstRowLastColumn="0" w:lastRowFirstColumn="0" w:lastRowLastColumn="0"/>
              <w:rPr>
                <w:rFonts w:eastAsia="Calibri" w:cs="Myriad Pro"/>
                <w:szCs w:val="18"/>
              </w:rPr>
            </w:pPr>
            <w:r w:rsidRPr="005C6F98">
              <w:rPr>
                <w:rFonts w:eastAsia="Calibri" w:cs="Myriad Pro"/>
                <w:szCs w:val="18"/>
              </w:rPr>
              <w:t>МВтч</w:t>
            </w:r>
          </w:p>
        </w:tc>
        <w:tc>
          <w:tcPr>
            <w:tcW w:w="1147" w:type="dxa"/>
            <w:hideMark/>
          </w:tcPr>
          <w:p w14:paraId="2D2A0F26" w14:textId="77777777" w:rsidR="009331F5" w:rsidRPr="005C6F98" w:rsidRDefault="009331F5" w:rsidP="00E556F8">
            <w:pPr>
              <w:tabs>
                <w:tab w:val="left" w:pos="1134"/>
              </w:tabs>
              <w:cnfStyle w:val="000000000000" w:firstRow="0" w:lastRow="0" w:firstColumn="0" w:lastColumn="0" w:oddVBand="0" w:evenVBand="0" w:oddHBand="0" w:evenHBand="0" w:firstRowFirstColumn="0" w:firstRowLastColumn="0" w:lastRowFirstColumn="0" w:lastRowLastColumn="0"/>
              <w:rPr>
                <w:rFonts w:eastAsia="Calibri" w:cs="Myriad Pro"/>
                <w:szCs w:val="18"/>
              </w:rPr>
            </w:pPr>
            <w:r w:rsidRPr="005C6F98">
              <w:rPr>
                <w:rFonts w:eastAsia="Calibri" w:cs="Myriad Pro"/>
                <w:szCs w:val="18"/>
              </w:rPr>
              <w:t>210,18</w:t>
            </w:r>
          </w:p>
        </w:tc>
        <w:tc>
          <w:tcPr>
            <w:tcW w:w="1134" w:type="dxa"/>
            <w:hideMark/>
          </w:tcPr>
          <w:p w14:paraId="4193EEAF" w14:textId="77777777" w:rsidR="009331F5" w:rsidRPr="005C6F98" w:rsidRDefault="009331F5" w:rsidP="00E556F8">
            <w:pPr>
              <w:tabs>
                <w:tab w:val="left" w:pos="1134"/>
              </w:tabs>
              <w:cnfStyle w:val="000000000000" w:firstRow="0" w:lastRow="0" w:firstColumn="0" w:lastColumn="0" w:oddVBand="0" w:evenVBand="0" w:oddHBand="0" w:evenHBand="0" w:firstRowFirstColumn="0" w:firstRowLastColumn="0" w:lastRowFirstColumn="0" w:lastRowLastColumn="0"/>
              <w:rPr>
                <w:rFonts w:eastAsia="Calibri" w:cs="Myriad Pro"/>
                <w:szCs w:val="18"/>
              </w:rPr>
            </w:pPr>
            <w:r w:rsidRPr="005C6F98">
              <w:rPr>
                <w:rFonts w:eastAsia="Calibri" w:cs="Myriad Pro"/>
                <w:szCs w:val="18"/>
              </w:rPr>
              <w:t>193,08</w:t>
            </w:r>
          </w:p>
        </w:tc>
        <w:tc>
          <w:tcPr>
            <w:tcW w:w="3254" w:type="dxa"/>
            <w:vMerge w:val="restart"/>
            <w:hideMark/>
          </w:tcPr>
          <w:p w14:paraId="63388D28" w14:textId="77777777" w:rsidR="009331F5" w:rsidRPr="005C6F98" w:rsidRDefault="009331F5" w:rsidP="00E556F8">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Myriad Pro"/>
                <w:szCs w:val="18"/>
              </w:rPr>
            </w:pPr>
            <w:r w:rsidRPr="005C6F98">
              <w:rPr>
                <w:rFonts w:eastAsia="Calibri" w:cs="Myriad Pro"/>
                <w:szCs w:val="18"/>
              </w:rPr>
              <w:t>Сводный прогнозный баланс электрической энергии (мощности), утвержденный приказом ФАС России от 16.11.2018 №1570/88-ДСП</w:t>
            </w:r>
          </w:p>
        </w:tc>
      </w:tr>
      <w:tr w:rsidR="009331F5" w:rsidRPr="005C6F98" w14:paraId="480AEF42" w14:textId="77777777" w:rsidTr="00E556F8">
        <w:tc>
          <w:tcPr>
            <w:cnfStyle w:val="001000000000" w:firstRow="0" w:lastRow="0" w:firstColumn="1" w:lastColumn="0" w:oddVBand="0" w:evenVBand="0" w:oddHBand="0" w:evenHBand="0" w:firstRowFirstColumn="0" w:firstRowLastColumn="0" w:lastRowFirstColumn="0" w:lastRowLastColumn="0"/>
            <w:tcW w:w="2830" w:type="dxa"/>
            <w:hideMark/>
          </w:tcPr>
          <w:p w14:paraId="1C8261A3" w14:textId="77777777" w:rsidR="009331F5" w:rsidRPr="005C6F98" w:rsidRDefault="009331F5" w:rsidP="00E556F8">
            <w:pPr>
              <w:tabs>
                <w:tab w:val="left" w:pos="1134"/>
              </w:tabs>
              <w:rPr>
                <w:rFonts w:eastAsia="Calibri" w:cs="Myriad Pro"/>
                <w:szCs w:val="18"/>
              </w:rPr>
            </w:pPr>
            <w:r w:rsidRPr="005C6F98">
              <w:rPr>
                <w:rFonts w:eastAsia="Calibri" w:cs="Myriad Pro"/>
                <w:szCs w:val="18"/>
              </w:rPr>
              <w:t>Мощность потерь</w:t>
            </w:r>
          </w:p>
        </w:tc>
        <w:tc>
          <w:tcPr>
            <w:tcW w:w="1121" w:type="dxa"/>
            <w:hideMark/>
          </w:tcPr>
          <w:p w14:paraId="50E864CF" w14:textId="77777777" w:rsidR="009331F5" w:rsidRPr="005C6F98" w:rsidRDefault="009331F5" w:rsidP="00E556F8">
            <w:pPr>
              <w:tabs>
                <w:tab w:val="left" w:pos="1134"/>
              </w:tabs>
              <w:cnfStyle w:val="000000000000" w:firstRow="0" w:lastRow="0" w:firstColumn="0" w:lastColumn="0" w:oddVBand="0" w:evenVBand="0" w:oddHBand="0" w:evenHBand="0" w:firstRowFirstColumn="0" w:firstRowLastColumn="0" w:lastRowFirstColumn="0" w:lastRowLastColumn="0"/>
              <w:rPr>
                <w:rFonts w:eastAsia="Calibri" w:cs="Myriad Pro"/>
                <w:szCs w:val="18"/>
              </w:rPr>
            </w:pPr>
            <w:r w:rsidRPr="005C6F98">
              <w:rPr>
                <w:rFonts w:eastAsia="Calibri" w:cs="Myriad Pro"/>
                <w:szCs w:val="18"/>
              </w:rPr>
              <w:t>МВт</w:t>
            </w:r>
          </w:p>
        </w:tc>
        <w:tc>
          <w:tcPr>
            <w:tcW w:w="1147" w:type="dxa"/>
            <w:hideMark/>
          </w:tcPr>
          <w:p w14:paraId="7E7034AF" w14:textId="77777777" w:rsidR="009331F5" w:rsidRPr="005C6F98" w:rsidRDefault="009331F5" w:rsidP="00E556F8">
            <w:pPr>
              <w:tabs>
                <w:tab w:val="left" w:pos="1134"/>
              </w:tabs>
              <w:cnfStyle w:val="000000000000" w:firstRow="0" w:lastRow="0" w:firstColumn="0" w:lastColumn="0" w:oddVBand="0" w:evenVBand="0" w:oddHBand="0" w:evenHBand="0" w:firstRowFirstColumn="0" w:firstRowLastColumn="0" w:lastRowFirstColumn="0" w:lastRowLastColumn="0"/>
              <w:rPr>
                <w:rFonts w:eastAsia="Calibri" w:cs="Myriad Pro"/>
                <w:szCs w:val="18"/>
              </w:rPr>
            </w:pPr>
            <w:r w:rsidRPr="005C6F98">
              <w:rPr>
                <w:rFonts w:eastAsia="Calibri" w:cs="Myriad Pro"/>
                <w:szCs w:val="18"/>
              </w:rPr>
              <w:t>61,25</w:t>
            </w:r>
          </w:p>
        </w:tc>
        <w:tc>
          <w:tcPr>
            <w:tcW w:w="1134" w:type="dxa"/>
            <w:hideMark/>
          </w:tcPr>
          <w:p w14:paraId="31A21576" w14:textId="77777777" w:rsidR="009331F5" w:rsidRPr="005C6F98" w:rsidRDefault="009331F5" w:rsidP="00E556F8">
            <w:pPr>
              <w:tabs>
                <w:tab w:val="left" w:pos="1134"/>
              </w:tabs>
              <w:cnfStyle w:val="000000000000" w:firstRow="0" w:lastRow="0" w:firstColumn="0" w:lastColumn="0" w:oddVBand="0" w:evenVBand="0" w:oddHBand="0" w:evenHBand="0" w:firstRowFirstColumn="0" w:firstRowLastColumn="0" w:lastRowFirstColumn="0" w:lastRowLastColumn="0"/>
              <w:rPr>
                <w:rFonts w:eastAsia="Calibri" w:cs="Myriad Pro"/>
                <w:szCs w:val="18"/>
              </w:rPr>
            </w:pPr>
            <w:r w:rsidRPr="005C6F98">
              <w:rPr>
                <w:rFonts w:eastAsia="Calibri" w:cs="Myriad Pro"/>
                <w:szCs w:val="18"/>
              </w:rPr>
              <w:t>57,51</w:t>
            </w:r>
          </w:p>
        </w:tc>
        <w:tc>
          <w:tcPr>
            <w:tcW w:w="3254" w:type="dxa"/>
            <w:vMerge/>
            <w:hideMark/>
          </w:tcPr>
          <w:p w14:paraId="321E1B52" w14:textId="77777777" w:rsidR="009331F5" w:rsidRPr="005C6F98" w:rsidRDefault="009331F5" w:rsidP="00E556F8">
            <w:pPr>
              <w:tabs>
                <w:tab w:val="left" w:pos="1134"/>
              </w:tabs>
              <w:cnfStyle w:val="000000000000" w:firstRow="0" w:lastRow="0" w:firstColumn="0" w:lastColumn="0" w:oddVBand="0" w:evenVBand="0" w:oddHBand="0" w:evenHBand="0" w:firstRowFirstColumn="0" w:firstRowLastColumn="0" w:lastRowFirstColumn="0" w:lastRowLastColumn="0"/>
              <w:rPr>
                <w:rFonts w:eastAsia="Calibri" w:cs="Myriad Pro"/>
                <w:szCs w:val="18"/>
              </w:rPr>
            </w:pPr>
          </w:p>
        </w:tc>
      </w:tr>
      <w:tr w:rsidR="009331F5" w:rsidRPr="005C6F98" w14:paraId="5106C318" w14:textId="77777777" w:rsidTr="00E556F8">
        <w:tc>
          <w:tcPr>
            <w:cnfStyle w:val="001000000000" w:firstRow="0" w:lastRow="0" w:firstColumn="1" w:lastColumn="0" w:oddVBand="0" w:evenVBand="0" w:oddHBand="0" w:evenHBand="0" w:firstRowFirstColumn="0" w:firstRowLastColumn="0" w:lastRowFirstColumn="0" w:lastRowLastColumn="0"/>
            <w:tcW w:w="2830" w:type="dxa"/>
            <w:hideMark/>
          </w:tcPr>
          <w:p w14:paraId="668981FA" w14:textId="77777777" w:rsidR="009331F5" w:rsidRPr="005C6F98" w:rsidRDefault="009331F5" w:rsidP="00E556F8">
            <w:pPr>
              <w:tabs>
                <w:tab w:val="left" w:pos="1134"/>
              </w:tabs>
              <w:rPr>
                <w:rFonts w:eastAsia="Calibri" w:cs="Myriad Pro"/>
                <w:szCs w:val="18"/>
              </w:rPr>
            </w:pPr>
            <w:r w:rsidRPr="005C6F98">
              <w:rPr>
                <w:rFonts w:eastAsia="Calibri" w:cs="Myriad Pro"/>
                <w:szCs w:val="18"/>
              </w:rPr>
              <w:t>Прогнозная цена покупки потерь</w:t>
            </w:r>
          </w:p>
        </w:tc>
        <w:tc>
          <w:tcPr>
            <w:tcW w:w="1121" w:type="dxa"/>
            <w:hideMark/>
          </w:tcPr>
          <w:p w14:paraId="444C4D34" w14:textId="77777777" w:rsidR="009331F5" w:rsidRPr="005C6F98" w:rsidRDefault="009331F5" w:rsidP="00E556F8">
            <w:pPr>
              <w:tabs>
                <w:tab w:val="left" w:pos="1134"/>
              </w:tabs>
              <w:cnfStyle w:val="000000000000" w:firstRow="0" w:lastRow="0" w:firstColumn="0" w:lastColumn="0" w:oddVBand="0" w:evenVBand="0" w:oddHBand="0" w:evenHBand="0" w:firstRowFirstColumn="0" w:firstRowLastColumn="0" w:lastRowFirstColumn="0" w:lastRowLastColumn="0"/>
              <w:rPr>
                <w:rFonts w:eastAsia="Calibri" w:cs="Myriad Pro"/>
                <w:szCs w:val="18"/>
              </w:rPr>
            </w:pPr>
            <w:r w:rsidRPr="005C6F98">
              <w:rPr>
                <w:rFonts w:eastAsia="Calibri" w:cs="Myriad Pro"/>
                <w:szCs w:val="18"/>
              </w:rPr>
              <w:t>руб./МВтч</w:t>
            </w:r>
          </w:p>
        </w:tc>
        <w:tc>
          <w:tcPr>
            <w:tcW w:w="1147" w:type="dxa"/>
            <w:hideMark/>
          </w:tcPr>
          <w:p w14:paraId="3E3AA79F" w14:textId="77777777" w:rsidR="009331F5" w:rsidRPr="005C6F98" w:rsidRDefault="009331F5" w:rsidP="00E556F8">
            <w:pPr>
              <w:tabs>
                <w:tab w:val="left" w:pos="1134"/>
              </w:tabs>
              <w:cnfStyle w:val="000000000000" w:firstRow="0" w:lastRow="0" w:firstColumn="0" w:lastColumn="0" w:oddVBand="0" w:evenVBand="0" w:oddHBand="0" w:evenHBand="0" w:firstRowFirstColumn="0" w:firstRowLastColumn="0" w:lastRowFirstColumn="0" w:lastRowLastColumn="0"/>
              <w:rPr>
                <w:rFonts w:eastAsia="Calibri" w:cs="Myriad Pro"/>
                <w:szCs w:val="18"/>
              </w:rPr>
            </w:pPr>
            <w:r w:rsidRPr="005C6F98">
              <w:rPr>
                <w:rFonts w:eastAsia="Calibri" w:cs="Myriad Pro"/>
                <w:szCs w:val="18"/>
              </w:rPr>
              <w:t>2 441,35</w:t>
            </w:r>
          </w:p>
        </w:tc>
        <w:tc>
          <w:tcPr>
            <w:tcW w:w="1134" w:type="dxa"/>
            <w:hideMark/>
          </w:tcPr>
          <w:p w14:paraId="6B3D4F88" w14:textId="77777777" w:rsidR="009331F5" w:rsidRPr="005C6F98" w:rsidRDefault="009331F5" w:rsidP="00E556F8">
            <w:pPr>
              <w:tabs>
                <w:tab w:val="left" w:pos="1134"/>
              </w:tabs>
              <w:cnfStyle w:val="000000000000" w:firstRow="0" w:lastRow="0" w:firstColumn="0" w:lastColumn="0" w:oddVBand="0" w:evenVBand="0" w:oddHBand="0" w:evenHBand="0" w:firstRowFirstColumn="0" w:firstRowLastColumn="0" w:lastRowFirstColumn="0" w:lastRowLastColumn="0"/>
              <w:rPr>
                <w:rFonts w:eastAsia="Calibri" w:cs="Myriad Pro"/>
                <w:szCs w:val="18"/>
              </w:rPr>
            </w:pPr>
            <w:r w:rsidRPr="005C6F98">
              <w:rPr>
                <w:rFonts w:eastAsia="Calibri" w:cs="Myriad Pro"/>
                <w:szCs w:val="18"/>
              </w:rPr>
              <w:t>2 620,94</w:t>
            </w:r>
          </w:p>
        </w:tc>
        <w:tc>
          <w:tcPr>
            <w:tcW w:w="3254" w:type="dxa"/>
            <w:hideMark/>
          </w:tcPr>
          <w:p w14:paraId="2A210D44" w14:textId="77777777" w:rsidR="009331F5" w:rsidRPr="005C6F98" w:rsidRDefault="009331F5" w:rsidP="00E556F8">
            <w:pPr>
              <w:tabs>
                <w:tab w:val="left" w:pos="1134"/>
              </w:tabs>
              <w:cnfStyle w:val="000000000000" w:firstRow="0" w:lastRow="0" w:firstColumn="0" w:lastColumn="0" w:oddVBand="0" w:evenVBand="0" w:oddHBand="0" w:evenHBand="0" w:firstRowFirstColumn="0" w:firstRowLastColumn="0" w:lastRowFirstColumn="0" w:lastRowLastColumn="0"/>
              <w:rPr>
                <w:rFonts w:eastAsia="Calibri" w:cs="Myriad Pro"/>
                <w:szCs w:val="18"/>
              </w:rPr>
            </w:pPr>
            <w:r w:rsidRPr="005C6F98">
              <w:rPr>
                <w:rFonts w:eastAsia="Calibri" w:cs="Myriad Pro"/>
                <w:szCs w:val="18"/>
              </w:rPr>
              <w:t> </w:t>
            </w:r>
          </w:p>
        </w:tc>
      </w:tr>
      <w:tr w:rsidR="009331F5" w:rsidRPr="005C6F98" w14:paraId="69A463AC" w14:textId="77777777" w:rsidTr="00E556F8">
        <w:tc>
          <w:tcPr>
            <w:cnfStyle w:val="001000000000" w:firstRow="0" w:lastRow="0" w:firstColumn="1" w:lastColumn="0" w:oddVBand="0" w:evenVBand="0" w:oddHBand="0" w:evenHBand="0" w:firstRowFirstColumn="0" w:firstRowLastColumn="0" w:lastRowFirstColumn="0" w:lastRowLastColumn="0"/>
            <w:tcW w:w="2830" w:type="dxa"/>
            <w:hideMark/>
          </w:tcPr>
          <w:p w14:paraId="0B773DF3" w14:textId="77777777" w:rsidR="009331F5" w:rsidRPr="005C6F98" w:rsidRDefault="009331F5" w:rsidP="00E556F8">
            <w:pPr>
              <w:tabs>
                <w:tab w:val="left" w:pos="1134"/>
              </w:tabs>
              <w:rPr>
                <w:rFonts w:eastAsia="Calibri" w:cs="Myriad Pro"/>
                <w:szCs w:val="18"/>
              </w:rPr>
            </w:pPr>
            <w:r w:rsidRPr="005C6F98">
              <w:rPr>
                <w:rFonts w:eastAsia="Calibri" w:cs="Myriad Pro"/>
                <w:szCs w:val="18"/>
              </w:rPr>
              <w:t>Расходы на покупку потерь по полугодиям</w:t>
            </w:r>
          </w:p>
        </w:tc>
        <w:tc>
          <w:tcPr>
            <w:tcW w:w="1121" w:type="dxa"/>
            <w:hideMark/>
          </w:tcPr>
          <w:p w14:paraId="789038AA" w14:textId="77777777" w:rsidR="009331F5" w:rsidRPr="005C6F98" w:rsidRDefault="009331F5" w:rsidP="00E556F8">
            <w:pPr>
              <w:tabs>
                <w:tab w:val="left" w:pos="1134"/>
              </w:tabs>
              <w:cnfStyle w:val="000000000000" w:firstRow="0" w:lastRow="0" w:firstColumn="0" w:lastColumn="0" w:oddVBand="0" w:evenVBand="0" w:oddHBand="0" w:evenHBand="0" w:firstRowFirstColumn="0" w:firstRowLastColumn="0" w:lastRowFirstColumn="0" w:lastRowLastColumn="0"/>
              <w:rPr>
                <w:rFonts w:eastAsia="Calibri" w:cs="Myriad Pro"/>
                <w:szCs w:val="18"/>
              </w:rPr>
            </w:pPr>
            <w:r w:rsidRPr="005C6F98">
              <w:rPr>
                <w:rFonts w:eastAsia="Calibri" w:cs="Myriad Pro"/>
                <w:szCs w:val="18"/>
              </w:rPr>
              <w:t>тыс. руб.</w:t>
            </w:r>
          </w:p>
        </w:tc>
        <w:tc>
          <w:tcPr>
            <w:tcW w:w="1147" w:type="dxa"/>
            <w:hideMark/>
          </w:tcPr>
          <w:p w14:paraId="4FDAC419" w14:textId="77777777" w:rsidR="009331F5" w:rsidRPr="005C6F98" w:rsidRDefault="009331F5" w:rsidP="00E556F8">
            <w:pPr>
              <w:tabs>
                <w:tab w:val="left" w:pos="1134"/>
              </w:tabs>
              <w:cnfStyle w:val="000000000000" w:firstRow="0" w:lastRow="0" w:firstColumn="0" w:lastColumn="0" w:oddVBand="0" w:evenVBand="0" w:oddHBand="0" w:evenHBand="0" w:firstRowFirstColumn="0" w:firstRowLastColumn="0" w:lastRowFirstColumn="0" w:lastRowLastColumn="0"/>
              <w:rPr>
                <w:rFonts w:eastAsia="Calibri" w:cs="Myriad Pro"/>
                <w:szCs w:val="18"/>
              </w:rPr>
            </w:pPr>
            <w:r w:rsidRPr="005C6F98">
              <w:rPr>
                <w:rFonts w:eastAsia="Calibri" w:cs="Myriad Pro"/>
                <w:szCs w:val="18"/>
              </w:rPr>
              <w:t>513 122,40</w:t>
            </w:r>
          </w:p>
        </w:tc>
        <w:tc>
          <w:tcPr>
            <w:tcW w:w="1134" w:type="dxa"/>
            <w:hideMark/>
          </w:tcPr>
          <w:p w14:paraId="16A1D41E" w14:textId="77777777" w:rsidR="009331F5" w:rsidRPr="005C6F98" w:rsidRDefault="009331F5" w:rsidP="00E556F8">
            <w:pPr>
              <w:tabs>
                <w:tab w:val="left" w:pos="1134"/>
              </w:tabs>
              <w:cnfStyle w:val="000000000000" w:firstRow="0" w:lastRow="0" w:firstColumn="0" w:lastColumn="0" w:oddVBand="0" w:evenVBand="0" w:oddHBand="0" w:evenHBand="0" w:firstRowFirstColumn="0" w:firstRowLastColumn="0" w:lastRowFirstColumn="0" w:lastRowLastColumn="0"/>
              <w:rPr>
                <w:rFonts w:eastAsia="Calibri" w:cs="Myriad Pro"/>
                <w:szCs w:val="18"/>
              </w:rPr>
            </w:pPr>
            <w:r w:rsidRPr="005C6F98">
              <w:rPr>
                <w:rFonts w:eastAsia="Calibri" w:cs="Myriad Pro"/>
                <w:szCs w:val="18"/>
              </w:rPr>
              <w:t>506 050,58</w:t>
            </w:r>
          </w:p>
        </w:tc>
        <w:tc>
          <w:tcPr>
            <w:tcW w:w="3254" w:type="dxa"/>
            <w:hideMark/>
          </w:tcPr>
          <w:p w14:paraId="59533EFD" w14:textId="77777777" w:rsidR="009331F5" w:rsidRPr="005C6F98" w:rsidRDefault="009331F5" w:rsidP="00E556F8">
            <w:pPr>
              <w:tabs>
                <w:tab w:val="left" w:pos="1134"/>
              </w:tabs>
              <w:cnfStyle w:val="000000000000" w:firstRow="0" w:lastRow="0" w:firstColumn="0" w:lastColumn="0" w:oddVBand="0" w:evenVBand="0" w:oddHBand="0" w:evenHBand="0" w:firstRowFirstColumn="0" w:firstRowLastColumn="0" w:lastRowFirstColumn="0" w:lastRowLastColumn="0"/>
              <w:rPr>
                <w:rFonts w:eastAsia="Calibri" w:cs="Myriad Pro"/>
                <w:szCs w:val="18"/>
              </w:rPr>
            </w:pPr>
            <w:r w:rsidRPr="005C6F98">
              <w:rPr>
                <w:rFonts w:eastAsia="Calibri" w:cs="Myriad Pro"/>
                <w:szCs w:val="18"/>
              </w:rPr>
              <w:t> </w:t>
            </w:r>
          </w:p>
        </w:tc>
      </w:tr>
      <w:tr w:rsidR="009331F5" w:rsidRPr="005C6F98" w14:paraId="0B53A976" w14:textId="77777777" w:rsidTr="00E556F8">
        <w:tc>
          <w:tcPr>
            <w:cnfStyle w:val="001000000000" w:firstRow="0" w:lastRow="0" w:firstColumn="1" w:lastColumn="0" w:oddVBand="0" w:evenVBand="0" w:oddHBand="0" w:evenHBand="0" w:firstRowFirstColumn="0" w:firstRowLastColumn="0" w:lastRowFirstColumn="0" w:lastRowLastColumn="0"/>
            <w:tcW w:w="2830" w:type="dxa"/>
            <w:hideMark/>
          </w:tcPr>
          <w:p w14:paraId="6290AFAC" w14:textId="77777777" w:rsidR="009331F5" w:rsidRPr="005C6F98" w:rsidRDefault="009331F5" w:rsidP="00E556F8">
            <w:pPr>
              <w:tabs>
                <w:tab w:val="left" w:pos="1134"/>
              </w:tabs>
              <w:rPr>
                <w:rFonts w:eastAsia="Calibri" w:cs="Myriad Pro"/>
                <w:szCs w:val="18"/>
              </w:rPr>
            </w:pPr>
            <w:r w:rsidRPr="005C6F98">
              <w:rPr>
                <w:rFonts w:eastAsia="Calibri" w:cs="Myriad Pro"/>
                <w:szCs w:val="18"/>
              </w:rPr>
              <w:t>Расходы на покупку потерь на 2019 год</w:t>
            </w:r>
          </w:p>
        </w:tc>
        <w:tc>
          <w:tcPr>
            <w:tcW w:w="1121" w:type="dxa"/>
            <w:hideMark/>
          </w:tcPr>
          <w:p w14:paraId="63B052CB" w14:textId="77777777" w:rsidR="009331F5" w:rsidRPr="005C6F98" w:rsidRDefault="009331F5" w:rsidP="00E556F8">
            <w:pPr>
              <w:tabs>
                <w:tab w:val="left" w:pos="1134"/>
              </w:tabs>
              <w:cnfStyle w:val="000000000000" w:firstRow="0" w:lastRow="0" w:firstColumn="0" w:lastColumn="0" w:oddVBand="0" w:evenVBand="0" w:oddHBand="0" w:evenHBand="0" w:firstRowFirstColumn="0" w:firstRowLastColumn="0" w:lastRowFirstColumn="0" w:lastRowLastColumn="0"/>
              <w:rPr>
                <w:rFonts w:eastAsia="Calibri" w:cs="Myriad Pro"/>
                <w:szCs w:val="18"/>
              </w:rPr>
            </w:pPr>
            <w:r w:rsidRPr="005C6F98">
              <w:rPr>
                <w:rFonts w:eastAsia="Calibri" w:cs="Myriad Pro"/>
                <w:szCs w:val="18"/>
              </w:rPr>
              <w:t> </w:t>
            </w:r>
          </w:p>
        </w:tc>
        <w:tc>
          <w:tcPr>
            <w:tcW w:w="2281" w:type="dxa"/>
            <w:gridSpan w:val="2"/>
            <w:hideMark/>
          </w:tcPr>
          <w:p w14:paraId="7E651281" w14:textId="77777777" w:rsidR="009331F5" w:rsidRPr="005C6F98" w:rsidRDefault="009331F5" w:rsidP="00E556F8">
            <w:pPr>
              <w:tabs>
                <w:tab w:val="left" w:pos="1134"/>
              </w:tabs>
              <w:cnfStyle w:val="000000000000" w:firstRow="0" w:lastRow="0" w:firstColumn="0" w:lastColumn="0" w:oddVBand="0" w:evenVBand="0" w:oddHBand="0" w:evenHBand="0" w:firstRowFirstColumn="0" w:firstRowLastColumn="0" w:lastRowFirstColumn="0" w:lastRowLastColumn="0"/>
              <w:rPr>
                <w:rFonts w:eastAsia="Calibri" w:cs="Myriad Pro"/>
                <w:szCs w:val="18"/>
              </w:rPr>
            </w:pPr>
            <w:r w:rsidRPr="005C6F98">
              <w:rPr>
                <w:rFonts w:eastAsia="Calibri" w:cs="Myriad Pro"/>
                <w:szCs w:val="18"/>
              </w:rPr>
              <w:t>1 019 172,97</w:t>
            </w:r>
          </w:p>
        </w:tc>
        <w:tc>
          <w:tcPr>
            <w:tcW w:w="3254" w:type="dxa"/>
            <w:hideMark/>
          </w:tcPr>
          <w:p w14:paraId="0683DA20" w14:textId="77777777" w:rsidR="009331F5" w:rsidRPr="005C6F98" w:rsidRDefault="009331F5" w:rsidP="00E556F8">
            <w:pPr>
              <w:tabs>
                <w:tab w:val="left" w:pos="1134"/>
              </w:tabs>
              <w:cnfStyle w:val="000000000000" w:firstRow="0" w:lastRow="0" w:firstColumn="0" w:lastColumn="0" w:oddVBand="0" w:evenVBand="0" w:oddHBand="0" w:evenHBand="0" w:firstRowFirstColumn="0" w:firstRowLastColumn="0" w:lastRowFirstColumn="0" w:lastRowLastColumn="0"/>
              <w:rPr>
                <w:rFonts w:eastAsia="Calibri" w:cs="Myriad Pro"/>
                <w:szCs w:val="18"/>
              </w:rPr>
            </w:pPr>
            <w:r w:rsidRPr="005C6F98">
              <w:rPr>
                <w:rFonts w:eastAsia="Calibri" w:cs="Myriad Pro"/>
                <w:szCs w:val="18"/>
              </w:rPr>
              <w:t> </w:t>
            </w:r>
          </w:p>
        </w:tc>
      </w:tr>
    </w:tbl>
    <w:p w14:paraId="288B1886" w14:textId="449DD427" w:rsidR="00D80468" w:rsidRPr="00FB0A3A" w:rsidRDefault="00D80468" w:rsidP="00166C15">
      <w:pPr>
        <w:pStyle w:val="afff7"/>
        <w:spacing w:after="200"/>
      </w:pPr>
      <w:r w:rsidRPr="00FB0A3A">
        <w:t xml:space="preserve">На основании вышеизложенного Исполнитель делает вывод, что Комитетом в составе НВВ филиала ПАО </w:t>
      </w:r>
      <w:r w:rsidR="00655FFA" w:rsidRPr="00FB0A3A">
        <w:t>«</w:t>
      </w:r>
      <w:r w:rsidRPr="00FB0A3A">
        <w:t>МРСК Северо-Запада</w:t>
      </w:r>
      <w:r w:rsidR="00655FFA" w:rsidRPr="00FB0A3A">
        <w:t>»</w:t>
      </w:r>
      <w:r w:rsidRPr="00FB0A3A">
        <w:t xml:space="preserve"> </w:t>
      </w:r>
      <w:r w:rsidR="00655FFA" w:rsidRPr="00FB0A3A">
        <w:t>«</w:t>
      </w:r>
      <w:r w:rsidRPr="00FB0A3A">
        <w:t>Колэнерго</w:t>
      </w:r>
      <w:r w:rsidR="00655FFA" w:rsidRPr="00FB0A3A">
        <w:t>»</w:t>
      </w:r>
      <w:r w:rsidRPr="00FB0A3A">
        <w:t xml:space="preserve"> на 2019 год необоснованно не учтена сумма расходов на компенсацию потерь электроэнергии при ее передаче в размере </w:t>
      </w:r>
      <w:r w:rsidR="00E373FC" w:rsidRPr="00FB0A3A">
        <w:t>197 188,6</w:t>
      </w:r>
      <w:r w:rsidRPr="00FB0A3A">
        <w:t xml:space="preserve"> тыс. руб. </w:t>
      </w:r>
    </w:p>
    <w:tbl>
      <w:tblPr>
        <w:tblStyle w:val="afff6"/>
        <w:tblW w:w="5000" w:type="pct"/>
        <w:tblLayout w:type="fixed"/>
        <w:tblLook w:val="04A0" w:firstRow="1" w:lastRow="0" w:firstColumn="1" w:lastColumn="0" w:noHBand="0" w:noVBand="1"/>
      </w:tblPr>
      <w:tblGrid>
        <w:gridCol w:w="2022"/>
        <w:gridCol w:w="1326"/>
        <w:gridCol w:w="1473"/>
        <w:gridCol w:w="1473"/>
        <w:gridCol w:w="1525"/>
        <w:gridCol w:w="1525"/>
      </w:tblGrid>
      <w:tr w:rsidR="00E373FC" w:rsidRPr="00FB0A3A" w14:paraId="2CF70193" w14:textId="77777777" w:rsidTr="002267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6BDB0725" w14:textId="77777777" w:rsidR="00E373FC" w:rsidRPr="00FB0A3A" w:rsidRDefault="00E373FC" w:rsidP="00166C15">
            <w:pPr>
              <w:tabs>
                <w:tab w:val="left" w:pos="1134"/>
              </w:tabs>
              <w:jc w:val="center"/>
              <w:rPr>
                <w:rFonts w:cs="Myriad Pro"/>
                <w:sz w:val="20"/>
                <w:szCs w:val="20"/>
              </w:rPr>
            </w:pPr>
            <w:r w:rsidRPr="00FB0A3A">
              <w:rPr>
                <w:rFonts w:cs="Myriad Pro"/>
                <w:sz w:val="20"/>
                <w:szCs w:val="20"/>
              </w:rPr>
              <w:lastRenderedPageBreak/>
              <w:t> Наименование статьи</w:t>
            </w:r>
          </w:p>
        </w:tc>
        <w:tc>
          <w:tcPr>
            <w:tcW w:w="13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4CADF440" w14:textId="77777777" w:rsidR="00E373FC" w:rsidRPr="00FB0A3A" w:rsidRDefault="00E373FC" w:rsidP="00166C15">
            <w:pPr>
              <w:tabs>
                <w:tab w:val="left" w:pos="1134"/>
              </w:tabs>
              <w:cnfStyle w:val="100000000000" w:firstRow="1" w:lastRow="0" w:firstColumn="0" w:lastColumn="0" w:oddVBand="0" w:evenVBand="0" w:oddHBand="0" w:evenHBand="0" w:firstRowFirstColumn="0" w:firstRowLastColumn="0" w:lastRowFirstColumn="0" w:lastRowLastColumn="0"/>
              <w:rPr>
                <w:rFonts w:cs="Myriad Pro"/>
                <w:sz w:val="20"/>
                <w:szCs w:val="20"/>
              </w:rPr>
            </w:pPr>
            <w:r w:rsidRPr="00FB0A3A">
              <w:rPr>
                <w:rFonts w:cs="Myriad Pro"/>
                <w:sz w:val="20"/>
                <w:szCs w:val="20"/>
              </w:rPr>
              <w:t>Заявлено Филиалом</w:t>
            </w:r>
          </w:p>
        </w:tc>
        <w:tc>
          <w:tcPr>
            <w:tcW w:w="14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88024F9" w14:textId="77777777" w:rsidR="00E373FC" w:rsidRPr="00FB0A3A" w:rsidRDefault="00E373FC" w:rsidP="00166C15">
            <w:pPr>
              <w:tabs>
                <w:tab w:val="left" w:pos="1134"/>
              </w:tabs>
              <w:cnfStyle w:val="100000000000" w:firstRow="1" w:lastRow="0" w:firstColumn="0" w:lastColumn="0" w:oddVBand="0" w:evenVBand="0" w:oddHBand="0" w:evenHBand="0" w:firstRowFirstColumn="0" w:firstRowLastColumn="0" w:lastRowFirstColumn="0" w:lastRowLastColumn="0"/>
              <w:rPr>
                <w:rFonts w:cs="Myriad Pro"/>
                <w:sz w:val="20"/>
                <w:szCs w:val="20"/>
              </w:rPr>
            </w:pPr>
            <w:r w:rsidRPr="00FB0A3A">
              <w:rPr>
                <w:rFonts w:cs="Myriad Pro"/>
                <w:sz w:val="20"/>
                <w:szCs w:val="20"/>
              </w:rPr>
              <w:t>Рассчитано Комитетом</w:t>
            </w:r>
          </w:p>
        </w:tc>
        <w:tc>
          <w:tcPr>
            <w:tcW w:w="14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717499B" w14:textId="77777777" w:rsidR="00E373FC" w:rsidRPr="00FB0A3A" w:rsidRDefault="00E373FC" w:rsidP="00166C15">
            <w:pPr>
              <w:tabs>
                <w:tab w:val="left" w:pos="1134"/>
              </w:tabs>
              <w:cnfStyle w:val="100000000000" w:firstRow="1" w:lastRow="0" w:firstColumn="0" w:lastColumn="0" w:oddVBand="0" w:evenVBand="0" w:oddHBand="0" w:evenHBand="0" w:firstRowFirstColumn="0" w:firstRowLastColumn="0" w:lastRowFirstColumn="0" w:lastRowLastColumn="0"/>
              <w:rPr>
                <w:rFonts w:cs="Myriad Pro"/>
                <w:sz w:val="20"/>
                <w:szCs w:val="20"/>
              </w:rPr>
            </w:pPr>
            <w:r w:rsidRPr="00FB0A3A">
              <w:rPr>
                <w:rFonts w:cs="Myriad Pro"/>
                <w:sz w:val="20"/>
                <w:szCs w:val="20"/>
              </w:rPr>
              <w:t>Рассчитано Исполнителем</w:t>
            </w:r>
          </w:p>
        </w:tc>
        <w:tc>
          <w:tcPr>
            <w:tcW w:w="15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36FC7C1" w14:textId="77777777" w:rsidR="00E373FC" w:rsidRPr="00FB0A3A" w:rsidRDefault="00E373FC" w:rsidP="00166C15">
            <w:pPr>
              <w:tabs>
                <w:tab w:val="left" w:pos="1134"/>
              </w:tabs>
              <w:cnfStyle w:val="100000000000" w:firstRow="1" w:lastRow="0" w:firstColumn="0" w:lastColumn="0" w:oddVBand="0" w:evenVBand="0" w:oddHBand="0" w:evenHBand="0" w:firstRowFirstColumn="0" w:firstRowLastColumn="0" w:lastRowFirstColumn="0" w:lastRowLastColumn="0"/>
              <w:rPr>
                <w:rFonts w:cs="Myriad Pro"/>
                <w:sz w:val="20"/>
                <w:szCs w:val="20"/>
              </w:rPr>
            </w:pPr>
            <w:r w:rsidRPr="00FB0A3A">
              <w:rPr>
                <w:rFonts w:cs="Myriad Pro"/>
                <w:sz w:val="20"/>
                <w:szCs w:val="20"/>
              </w:rPr>
              <w:t xml:space="preserve">Отклонение  между Филиалом и Комитетом </w:t>
            </w:r>
          </w:p>
        </w:tc>
        <w:tc>
          <w:tcPr>
            <w:tcW w:w="15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24F081D" w14:textId="77777777" w:rsidR="00E373FC" w:rsidRPr="00FB0A3A" w:rsidRDefault="00E373FC" w:rsidP="00166C15">
            <w:pPr>
              <w:tabs>
                <w:tab w:val="left" w:pos="1134"/>
              </w:tabs>
              <w:cnfStyle w:val="100000000000" w:firstRow="1" w:lastRow="0" w:firstColumn="0" w:lastColumn="0" w:oddVBand="0" w:evenVBand="0" w:oddHBand="0" w:evenHBand="0" w:firstRowFirstColumn="0" w:firstRowLastColumn="0" w:lastRowFirstColumn="0" w:lastRowLastColumn="0"/>
              <w:rPr>
                <w:rFonts w:cs="Myriad Pro"/>
                <w:sz w:val="20"/>
                <w:szCs w:val="20"/>
              </w:rPr>
            </w:pPr>
            <w:r w:rsidRPr="00FB0A3A">
              <w:rPr>
                <w:rFonts w:cs="Myriad Pro"/>
                <w:sz w:val="20"/>
                <w:szCs w:val="20"/>
              </w:rPr>
              <w:t xml:space="preserve">Отклонение  между Исполнителем и Комитетом </w:t>
            </w:r>
          </w:p>
        </w:tc>
      </w:tr>
      <w:tr w:rsidR="00E373FC" w:rsidRPr="00FB0A3A" w14:paraId="20B69E03" w14:textId="77777777" w:rsidTr="002267D7">
        <w:tc>
          <w:tcPr>
            <w:cnfStyle w:val="001000000000" w:firstRow="0" w:lastRow="0" w:firstColumn="1" w:lastColumn="0" w:oddVBand="0" w:evenVBand="0" w:oddHBand="0" w:evenHBand="0" w:firstRowFirstColumn="0" w:firstRowLastColumn="0" w:lastRowFirstColumn="0" w:lastRowLastColumn="0"/>
            <w:tcW w:w="2054" w:type="dxa"/>
            <w:tcBorders>
              <w:top w:val="single" w:sz="4" w:space="0" w:color="FFFFFF" w:themeColor="background1"/>
            </w:tcBorders>
            <w:hideMark/>
          </w:tcPr>
          <w:p w14:paraId="1B04315C" w14:textId="77777777" w:rsidR="00E373FC" w:rsidRPr="00FB0A3A" w:rsidRDefault="00E373FC" w:rsidP="00166C15">
            <w:pPr>
              <w:tabs>
                <w:tab w:val="left" w:pos="1134"/>
              </w:tabs>
              <w:rPr>
                <w:rFonts w:cs="Myriad Pro"/>
                <w:sz w:val="20"/>
                <w:szCs w:val="20"/>
              </w:rPr>
            </w:pPr>
            <w:r w:rsidRPr="00FB0A3A">
              <w:rPr>
                <w:rFonts w:cs="Myriad Pro"/>
                <w:sz w:val="20"/>
                <w:szCs w:val="20"/>
              </w:rPr>
              <w:t>Расходы на оплату нормативных (технологических) потерь электрической энергии (мощности)</w:t>
            </w:r>
          </w:p>
        </w:tc>
        <w:tc>
          <w:tcPr>
            <w:tcW w:w="1346" w:type="dxa"/>
            <w:tcBorders>
              <w:top w:val="single" w:sz="4" w:space="0" w:color="FFFFFF" w:themeColor="background1"/>
            </w:tcBorders>
            <w:hideMark/>
          </w:tcPr>
          <w:p w14:paraId="0AE64F72" w14:textId="77777777" w:rsidR="00E373FC" w:rsidRPr="00FB0A3A" w:rsidRDefault="00E373FC" w:rsidP="00166C15">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FB0A3A">
              <w:rPr>
                <w:rFonts w:cs="Myriad Pro"/>
                <w:sz w:val="20"/>
                <w:szCs w:val="20"/>
              </w:rPr>
              <w:t>853 084,29</w:t>
            </w:r>
          </w:p>
        </w:tc>
        <w:tc>
          <w:tcPr>
            <w:tcW w:w="1495" w:type="dxa"/>
            <w:tcBorders>
              <w:top w:val="single" w:sz="4" w:space="0" w:color="FFFFFF" w:themeColor="background1"/>
            </w:tcBorders>
            <w:hideMark/>
          </w:tcPr>
          <w:p w14:paraId="408284A8" w14:textId="77777777" w:rsidR="00E373FC" w:rsidRPr="00FB0A3A" w:rsidRDefault="00E373FC" w:rsidP="00166C15">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FB0A3A">
              <w:rPr>
                <w:rFonts w:cs="Myriad Pro"/>
                <w:sz w:val="20"/>
                <w:szCs w:val="20"/>
              </w:rPr>
              <w:t>821 984,42</w:t>
            </w:r>
          </w:p>
        </w:tc>
        <w:tc>
          <w:tcPr>
            <w:tcW w:w="1495" w:type="dxa"/>
            <w:tcBorders>
              <w:top w:val="single" w:sz="4" w:space="0" w:color="FFFFFF" w:themeColor="background1"/>
            </w:tcBorders>
            <w:hideMark/>
          </w:tcPr>
          <w:p w14:paraId="6A27FC5E" w14:textId="77777777" w:rsidR="00E373FC" w:rsidRPr="00FB0A3A" w:rsidRDefault="00E373FC" w:rsidP="00166C15">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FB0A3A">
              <w:rPr>
                <w:rFonts w:cs="Myriad Pro"/>
                <w:sz w:val="20"/>
                <w:szCs w:val="20"/>
              </w:rPr>
              <w:t>1 019 172,97</w:t>
            </w:r>
          </w:p>
        </w:tc>
        <w:tc>
          <w:tcPr>
            <w:tcW w:w="1548" w:type="dxa"/>
            <w:tcBorders>
              <w:top w:val="single" w:sz="4" w:space="0" w:color="FFFFFF" w:themeColor="background1"/>
            </w:tcBorders>
            <w:hideMark/>
          </w:tcPr>
          <w:p w14:paraId="1B098C1A" w14:textId="77777777" w:rsidR="00E373FC" w:rsidRPr="00FB0A3A" w:rsidRDefault="00E373FC" w:rsidP="00166C15">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FB0A3A">
              <w:rPr>
                <w:rFonts w:cs="Myriad Pro"/>
                <w:sz w:val="20"/>
                <w:szCs w:val="20"/>
              </w:rPr>
              <w:t>31 099,87</w:t>
            </w:r>
          </w:p>
        </w:tc>
        <w:tc>
          <w:tcPr>
            <w:tcW w:w="1548" w:type="dxa"/>
            <w:tcBorders>
              <w:top w:val="single" w:sz="4" w:space="0" w:color="FFFFFF" w:themeColor="background1"/>
            </w:tcBorders>
            <w:hideMark/>
          </w:tcPr>
          <w:p w14:paraId="58506EC7" w14:textId="77777777" w:rsidR="00E373FC" w:rsidRPr="00FB0A3A" w:rsidRDefault="00E373FC" w:rsidP="00166C15">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FB0A3A">
              <w:rPr>
                <w:rFonts w:cs="Myriad Pro"/>
                <w:sz w:val="20"/>
                <w:szCs w:val="20"/>
              </w:rPr>
              <w:t>197 188,55</w:t>
            </w:r>
          </w:p>
        </w:tc>
      </w:tr>
    </w:tbl>
    <w:p w14:paraId="2ABB7B21" w14:textId="768A24BB" w:rsidR="00E373FC" w:rsidRPr="00FB0A3A" w:rsidRDefault="00E373FC" w:rsidP="00A31747">
      <w:pPr>
        <w:tabs>
          <w:tab w:val="left" w:pos="1134"/>
        </w:tabs>
        <w:spacing w:after="0" w:line="360" w:lineRule="auto"/>
        <w:ind w:firstLine="567"/>
        <w:contextualSpacing/>
        <w:jc w:val="both"/>
        <w:rPr>
          <w:rFonts w:ascii="Myriad Pro" w:hAnsi="Myriad Pro" w:cs="Myriad Pro"/>
          <w:sz w:val="26"/>
          <w:szCs w:val="26"/>
        </w:rPr>
      </w:pPr>
    </w:p>
    <w:p w14:paraId="2CB01B90" w14:textId="2C0EC746" w:rsidR="00FA4604" w:rsidRPr="00FB0A3A" w:rsidRDefault="00FA4604" w:rsidP="00A31747">
      <w:pPr>
        <w:tabs>
          <w:tab w:val="left" w:pos="1134"/>
        </w:tabs>
        <w:spacing w:after="0" w:line="360" w:lineRule="auto"/>
        <w:ind w:firstLine="567"/>
        <w:contextualSpacing/>
        <w:jc w:val="both"/>
        <w:rPr>
          <w:rFonts w:ascii="Myriad Pro" w:hAnsi="Myriad Pro" w:cs="Myriad Pro"/>
          <w:sz w:val="26"/>
          <w:szCs w:val="26"/>
        </w:rPr>
      </w:pPr>
      <w:r w:rsidRPr="00FB0A3A">
        <w:rPr>
          <w:rFonts w:ascii="Myriad Pro" w:hAnsi="Myriad Pro" w:cs="Myriad Pro"/>
          <w:sz w:val="26"/>
          <w:szCs w:val="26"/>
        </w:rPr>
        <w:t xml:space="preserve">Фактические расходы на оплату потерь за 2019 год составили 905 381,68 тыс. руб. (информация опубликована на официальном сайте ПАО </w:t>
      </w:r>
      <w:r w:rsidR="00655FFA" w:rsidRPr="00FB0A3A">
        <w:rPr>
          <w:rFonts w:ascii="Myriad Pro" w:hAnsi="Myriad Pro" w:cs="Myriad Pro"/>
          <w:sz w:val="26"/>
          <w:szCs w:val="26"/>
        </w:rPr>
        <w:t>«</w:t>
      </w:r>
      <w:r w:rsidRPr="00FB0A3A">
        <w:rPr>
          <w:rFonts w:ascii="Myriad Pro" w:hAnsi="Myriad Pro" w:cs="Myriad Pro"/>
          <w:sz w:val="26"/>
          <w:szCs w:val="26"/>
        </w:rPr>
        <w:t>МРСК Северо-Запада</w:t>
      </w:r>
      <w:r w:rsidR="00655FFA" w:rsidRPr="00FB0A3A">
        <w:rPr>
          <w:rFonts w:ascii="Myriad Pro" w:hAnsi="Myriad Pro" w:cs="Myriad Pro"/>
          <w:sz w:val="26"/>
          <w:szCs w:val="26"/>
        </w:rPr>
        <w:t>»</w:t>
      </w:r>
      <w:r w:rsidRPr="00FB0A3A">
        <w:rPr>
          <w:rFonts w:ascii="Myriad Pro" w:hAnsi="Myriad Pro" w:cs="Myriad Pro"/>
          <w:sz w:val="26"/>
          <w:szCs w:val="26"/>
        </w:rPr>
        <w:t>.</w:t>
      </w:r>
    </w:p>
    <w:p w14:paraId="062AD230" w14:textId="14886ACC" w:rsidR="00FA4604" w:rsidRPr="00FB0A3A" w:rsidRDefault="00FA4604" w:rsidP="00A31747">
      <w:pPr>
        <w:tabs>
          <w:tab w:val="left" w:pos="1134"/>
        </w:tabs>
        <w:spacing w:after="0" w:line="360" w:lineRule="auto"/>
        <w:ind w:firstLine="567"/>
        <w:contextualSpacing/>
        <w:jc w:val="both"/>
        <w:rPr>
          <w:rFonts w:ascii="Myriad Pro" w:hAnsi="Myriad Pro" w:cs="Myriad Pro"/>
          <w:sz w:val="26"/>
          <w:szCs w:val="26"/>
        </w:rPr>
      </w:pPr>
      <w:r w:rsidRPr="00791006">
        <w:rPr>
          <w:rFonts w:ascii="Myriad Pro" w:hAnsi="Myriad Pro" w:cs="Myriad Pro"/>
          <w:sz w:val="26"/>
          <w:szCs w:val="26"/>
        </w:rPr>
        <w:t>Регулирующим органам ежегодно производится корректировка необходимой валовой выручки, устанавливаемой на очередной финансовый год, в том числе с учетом изменения полезного отпуска и цен на электрическую энергию. Таким образом, при установлении тарифов на 2021 год регулирующим органом будет произведена корректировка по фактическим данным за 2019 год.</w:t>
      </w:r>
    </w:p>
    <w:p w14:paraId="2CBB068B" w14:textId="4804FAC7" w:rsidR="0085421C" w:rsidRPr="00FB0A3A" w:rsidRDefault="0085421C" w:rsidP="00A31747">
      <w:pPr>
        <w:tabs>
          <w:tab w:val="left" w:pos="1134"/>
        </w:tabs>
        <w:spacing w:after="0" w:line="360" w:lineRule="auto"/>
        <w:ind w:firstLine="567"/>
        <w:contextualSpacing/>
        <w:jc w:val="both"/>
        <w:rPr>
          <w:rFonts w:ascii="Myriad Pro" w:hAnsi="Myriad Pro" w:cs="Myriad Pro"/>
          <w:sz w:val="26"/>
          <w:szCs w:val="26"/>
        </w:rPr>
      </w:pPr>
    </w:p>
    <w:p w14:paraId="6522838C" w14:textId="77777777" w:rsidR="0085421C" w:rsidRPr="00FB0A3A" w:rsidRDefault="0085421C" w:rsidP="00A31747">
      <w:pPr>
        <w:tabs>
          <w:tab w:val="left" w:pos="1134"/>
        </w:tabs>
        <w:spacing w:after="0" w:line="360" w:lineRule="auto"/>
        <w:ind w:firstLine="567"/>
        <w:contextualSpacing/>
        <w:jc w:val="both"/>
        <w:rPr>
          <w:rFonts w:ascii="Myriad Pro" w:hAnsi="Myriad Pro" w:cs="Myriad Pro"/>
          <w:sz w:val="26"/>
          <w:szCs w:val="26"/>
        </w:rPr>
        <w:sectPr w:rsidR="0085421C" w:rsidRPr="00FB0A3A" w:rsidSect="00FB0A3A">
          <w:pgSz w:w="11906" w:h="16838"/>
          <w:pgMar w:top="1134" w:right="851" w:bottom="1134" w:left="1701" w:header="708" w:footer="708" w:gutter="0"/>
          <w:cols w:space="708"/>
          <w:docGrid w:linePitch="360"/>
        </w:sectPr>
      </w:pPr>
    </w:p>
    <w:tbl>
      <w:tblPr>
        <w:tblStyle w:val="afff6"/>
        <w:tblW w:w="5036" w:type="pct"/>
        <w:tblLayout w:type="fixed"/>
        <w:tblLook w:val="04A0" w:firstRow="1" w:lastRow="0" w:firstColumn="1" w:lastColumn="0" w:noHBand="0" w:noVBand="1"/>
      </w:tblPr>
      <w:tblGrid>
        <w:gridCol w:w="3912"/>
        <w:gridCol w:w="1437"/>
        <w:gridCol w:w="1575"/>
        <w:gridCol w:w="1550"/>
        <w:gridCol w:w="1391"/>
        <w:gridCol w:w="1470"/>
        <w:gridCol w:w="1559"/>
        <w:gridCol w:w="1470"/>
        <w:gridCol w:w="15"/>
      </w:tblGrid>
      <w:tr w:rsidR="00907AB4" w:rsidRPr="005C6F98" w14:paraId="3B0F932B" w14:textId="77777777" w:rsidTr="005C6F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3" w:type="dxa"/>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hideMark/>
          </w:tcPr>
          <w:p w14:paraId="6CE6CE78" w14:textId="77777777" w:rsidR="0085421C" w:rsidRPr="005C6F98" w:rsidRDefault="0085421C" w:rsidP="00363AC0">
            <w:pPr>
              <w:tabs>
                <w:tab w:val="left" w:pos="1134"/>
              </w:tabs>
              <w:jc w:val="center"/>
              <w:rPr>
                <w:rFonts w:cs="Myriad Pro"/>
                <w:sz w:val="20"/>
                <w:szCs w:val="20"/>
              </w:rPr>
            </w:pPr>
            <w:r w:rsidRPr="005C6F98">
              <w:rPr>
                <w:rFonts w:cs="Myriad Pro"/>
                <w:sz w:val="20"/>
                <w:szCs w:val="20"/>
              </w:rPr>
              <w:lastRenderedPageBreak/>
              <w:t>Наименование статьи расходов</w:t>
            </w:r>
          </w:p>
        </w:tc>
        <w:tc>
          <w:tcPr>
            <w:tcW w:w="3012"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D8BCFEC" w14:textId="299526D4" w:rsidR="0085421C" w:rsidRPr="005C6F98" w:rsidRDefault="0085421C" w:rsidP="00363AC0">
            <w:pPr>
              <w:tabs>
                <w:tab w:val="left" w:pos="1134"/>
              </w:tabs>
              <w:cnfStyle w:val="100000000000" w:firstRow="1"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 xml:space="preserve">Филиал ПАО </w:t>
            </w:r>
            <w:r w:rsidR="00655FFA" w:rsidRPr="005C6F98">
              <w:rPr>
                <w:rFonts w:cs="Myriad Pro"/>
                <w:sz w:val="20"/>
                <w:szCs w:val="20"/>
              </w:rPr>
              <w:t>«</w:t>
            </w:r>
            <w:r w:rsidRPr="005C6F98">
              <w:rPr>
                <w:rFonts w:cs="Myriad Pro"/>
                <w:sz w:val="20"/>
                <w:szCs w:val="20"/>
              </w:rPr>
              <w:t>МРСК Северо-Запада</w:t>
            </w:r>
            <w:r w:rsidR="00655FFA" w:rsidRPr="005C6F98">
              <w:rPr>
                <w:rFonts w:cs="Myriad Pro"/>
                <w:sz w:val="20"/>
                <w:szCs w:val="20"/>
              </w:rPr>
              <w:t>»</w:t>
            </w:r>
            <w:r w:rsidRPr="005C6F98">
              <w:rPr>
                <w:rFonts w:cs="Myriad Pro"/>
                <w:sz w:val="20"/>
                <w:szCs w:val="20"/>
              </w:rPr>
              <w:t xml:space="preserve"> </w:t>
            </w:r>
            <w:r w:rsidR="00655FFA" w:rsidRPr="005C6F98">
              <w:rPr>
                <w:rFonts w:cs="Myriad Pro"/>
                <w:sz w:val="20"/>
                <w:szCs w:val="20"/>
              </w:rPr>
              <w:t>«</w:t>
            </w:r>
            <w:r w:rsidRPr="005C6F98">
              <w:rPr>
                <w:rFonts w:cs="Myriad Pro"/>
                <w:sz w:val="20"/>
                <w:szCs w:val="20"/>
              </w:rPr>
              <w:t>Колэнерго</w:t>
            </w:r>
            <w:r w:rsidR="00655FFA" w:rsidRPr="005C6F98">
              <w:rPr>
                <w:rFonts w:cs="Myriad Pro"/>
                <w:sz w:val="20"/>
                <w:szCs w:val="20"/>
              </w:rPr>
              <w:t>»</w:t>
            </w:r>
          </w:p>
        </w:tc>
        <w:tc>
          <w:tcPr>
            <w:tcW w:w="294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7B4742B" w14:textId="77777777" w:rsidR="0085421C" w:rsidRPr="005C6F98" w:rsidRDefault="0085421C" w:rsidP="00363AC0">
            <w:pPr>
              <w:tabs>
                <w:tab w:val="left" w:pos="1134"/>
              </w:tabs>
              <w:cnfStyle w:val="100000000000" w:firstRow="1"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 xml:space="preserve">Комитет по тарифному регулированию Мурманской области </w:t>
            </w:r>
          </w:p>
        </w:tc>
        <w:tc>
          <w:tcPr>
            <w:tcW w:w="4514"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50D94A98" w14:textId="77777777" w:rsidR="0085421C" w:rsidRPr="005C6F98" w:rsidRDefault="0085421C" w:rsidP="00363AC0">
            <w:pPr>
              <w:tabs>
                <w:tab w:val="left" w:pos="1134"/>
              </w:tabs>
              <w:cnfStyle w:val="100000000000" w:firstRow="1"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Исполнитель</w:t>
            </w:r>
          </w:p>
        </w:tc>
      </w:tr>
      <w:tr w:rsidR="00363AC0" w:rsidRPr="005C6F98" w14:paraId="1F4C457E" w14:textId="77777777" w:rsidTr="005C6F98">
        <w:trPr>
          <w:gridAfter w:val="1"/>
          <w:wAfter w:w="15" w:type="dxa"/>
          <w:trHeight w:val="450"/>
        </w:trPr>
        <w:tc>
          <w:tcPr>
            <w:cnfStyle w:val="001000000000" w:firstRow="0" w:lastRow="0" w:firstColumn="1" w:lastColumn="0" w:oddVBand="0" w:evenVBand="0" w:oddHBand="0" w:evenHBand="0" w:firstRowFirstColumn="0" w:firstRowLastColumn="0" w:lastRowFirstColumn="0" w:lastRowLastColumn="0"/>
            <w:tcW w:w="3913" w:type="dxa"/>
            <w:vMerge/>
            <w:tcBorders>
              <w:top w:val="single" w:sz="4" w:space="0" w:color="FFFFFF" w:themeColor="background1"/>
              <w:left w:val="single" w:sz="4" w:space="0" w:color="FFFFFF" w:themeColor="background1"/>
              <w:bottom w:val="single" w:sz="4" w:space="0" w:color="auto"/>
              <w:right w:val="single" w:sz="4" w:space="0" w:color="FFFFFF" w:themeColor="background1"/>
            </w:tcBorders>
            <w:hideMark/>
          </w:tcPr>
          <w:p w14:paraId="5F8DAC50" w14:textId="77777777" w:rsidR="0085421C" w:rsidRPr="005C6F98" w:rsidRDefault="0085421C" w:rsidP="00363AC0">
            <w:pPr>
              <w:tabs>
                <w:tab w:val="left" w:pos="1134"/>
              </w:tabs>
              <w:rPr>
                <w:rFonts w:cs="Myriad Pro"/>
                <w:sz w:val="20"/>
                <w:szCs w:val="20"/>
              </w:rPr>
            </w:pPr>
          </w:p>
        </w:tc>
        <w:tc>
          <w:tcPr>
            <w:tcW w:w="143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59187524"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color w:val="FFFFFF" w:themeColor="background1"/>
                <w:sz w:val="20"/>
                <w:szCs w:val="20"/>
              </w:rPr>
            </w:pPr>
            <w:r w:rsidRPr="005C6F98">
              <w:rPr>
                <w:rFonts w:cs="Myriad Pro"/>
                <w:color w:val="FFFFFF" w:themeColor="background1"/>
                <w:sz w:val="20"/>
                <w:szCs w:val="20"/>
              </w:rPr>
              <w:t xml:space="preserve"> Факт за 2017, тыс. руб. </w:t>
            </w:r>
          </w:p>
        </w:tc>
        <w:tc>
          <w:tcPr>
            <w:tcW w:w="157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A52DE7E"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color w:val="FFFFFF" w:themeColor="background1"/>
                <w:sz w:val="20"/>
                <w:szCs w:val="20"/>
              </w:rPr>
            </w:pPr>
            <w:r w:rsidRPr="005C6F98">
              <w:rPr>
                <w:rFonts w:cs="Myriad Pro"/>
                <w:color w:val="FFFFFF" w:themeColor="background1"/>
                <w:sz w:val="20"/>
                <w:szCs w:val="20"/>
              </w:rPr>
              <w:t xml:space="preserve"> Тарифная заявка на 2019 </w:t>
            </w:r>
            <w:r w:rsidRPr="005C6F98">
              <w:rPr>
                <w:rFonts w:cs="Myriad Pro"/>
                <w:color w:val="FFFFFF" w:themeColor="background1"/>
                <w:sz w:val="20"/>
                <w:szCs w:val="20"/>
              </w:rPr>
              <w:br/>
              <w:t xml:space="preserve">(от 28.05.2018), тыс. руб. </w:t>
            </w:r>
          </w:p>
        </w:tc>
        <w:tc>
          <w:tcPr>
            <w:tcW w:w="155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782E3746" w14:textId="2F09FF49"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color w:val="FFFFFF" w:themeColor="background1"/>
                <w:sz w:val="20"/>
                <w:szCs w:val="20"/>
              </w:rPr>
            </w:pPr>
            <w:r w:rsidRPr="005C6F98">
              <w:rPr>
                <w:rFonts w:cs="Myriad Pro"/>
                <w:color w:val="FFFFFF" w:themeColor="background1"/>
                <w:sz w:val="20"/>
                <w:szCs w:val="20"/>
              </w:rPr>
              <w:t xml:space="preserve"> ТБР 2019, </w:t>
            </w:r>
            <w:r w:rsidR="005C6F98">
              <w:rPr>
                <w:rFonts w:cs="Myriad Pro"/>
                <w:color w:val="FFFFFF" w:themeColor="background1"/>
                <w:sz w:val="20"/>
                <w:szCs w:val="20"/>
              </w:rPr>
              <w:br/>
            </w:r>
            <w:r w:rsidRPr="005C6F98">
              <w:rPr>
                <w:rFonts w:cs="Myriad Pro"/>
                <w:color w:val="FFFFFF" w:themeColor="background1"/>
                <w:sz w:val="20"/>
                <w:szCs w:val="20"/>
              </w:rPr>
              <w:t xml:space="preserve">тыс. руб. </w:t>
            </w:r>
          </w:p>
        </w:tc>
        <w:tc>
          <w:tcPr>
            <w:tcW w:w="139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200B7EC7" w14:textId="2D935EE6"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color w:val="FFFFFF" w:themeColor="background1"/>
                <w:sz w:val="20"/>
                <w:szCs w:val="20"/>
              </w:rPr>
            </w:pPr>
            <w:r w:rsidRPr="005C6F98">
              <w:rPr>
                <w:rFonts w:cs="Myriad Pro"/>
                <w:color w:val="FFFFFF" w:themeColor="background1"/>
                <w:sz w:val="20"/>
                <w:szCs w:val="20"/>
              </w:rPr>
              <w:t xml:space="preserve"> ТБР 2019 (ЭОУ), </w:t>
            </w:r>
            <w:r w:rsidR="005C6F98">
              <w:rPr>
                <w:rFonts w:cs="Myriad Pro"/>
                <w:color w:val="FFFFFF" w:themeColor="background1"/>
                <w:sz w:val="20"/>
                <w:szCs w:val="20"/>
              </w:rPr>
              <w:br/>
            </w:r>
            <w:r w:rsidRPr="005C6F98">
              <w:rPr>
                <w:rFonts w:cs="Myriad Pro"/>
                <w:color w:val="FFFFFF" w:themeColor="background1"/>
                <w:sz w:val="20"/>
                <w:szCs w:val="20"/>
              </w:rPr>
              <w:t xml:space="preserve">тыс. руб. </w:t>
            </w:r>
          </w:p>
        </w:tc>
        <w:tc>
          <w:tcPr>
            <w:tcW w:w="147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740B65FE" w14:textId="09AC7AB2"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color w:val="FFFFFF" w:themeColor="background1"/>
                <w:sz w:val="20"/>
                <w:szCs w:val="20"/>
              </w:rPr>
            </w:pPr>
            <w:r w:rsidRPr="005C6F98">
              <w:rPr>
                <w:rFonts w:cs="Myriad Pro"/>
                <w:color w:val="FFFFFF" w:themeColor="background1"/>
                <w:sz w:val="20"/>
                <w:szCs w:val="20"/>
              </w:rPr>
              <w:t xml:space="preserve">Расчет Исполнителя (ЭОУ), </w:t>
            </w:r>
            <w:r w:rsidR="005C6F98">
              <w:rPr>
                <w:rFonts w:cs="Myriad Pro"/>
                <w:color w:val="FFFFFF" w:themeColor="background1"/>
                <w:sz w:val="20"/>
                <w:szCs w:val="20"/>
              </w:rPr>
              <w:br/>
            </w:r>
            <w:r w:rsidRPr="005C6F98">
              <w:rPr>
                <w:rFonts w:cs="Myriad Pro"/>
                <w:color w:val="FFFFFF" w:themeColor="background1"/>
                <w:sz w:val="20"/>
                <w:szCs w:val="20"/>
              </w:rPr>
              <w:t>тыс. руб.</w:t>
            </w:r>
          </w:p>
        </w:tc>
        <w:tc>
          <w:tcPr>
            <w:tcW w:w="155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7454A8F9"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color w:val="FFFFFF" w:themeColor="background1"/>
                <w:sz w:val="20"/>
                <w:szCs w:val="20"/>
              </w:rPr>
            </w:pPr>
            <w:r w:rsidRPr="005C6F98">
              <w:rPr>
                <w:rFonts w:cs="Myriad Pro"/>
                <w:color w:val="FFFFFF" w:themeColor="background1"/>
                <w:sz w:val="20"/>
                <w:szCs w:val="20"/>
              </w:rPr>
              <w:t>в т.ч.  расходы недоучтенные регулятором в сравнении с ЭОР, тыс. руб.</w:t>
            </w:r>
          </w:p>
        </w:tc>
        <w:tc>
          <w:tcPr>
            <w:tcW w:w="147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6EE34147" w14:textId="7A21FFF2" w:rsidR="0085421C" w:rsidRPr="00297DA6" w:rsidRDefault="00297DA6"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color w:val="FFFFFF" w:themeColor="background1"/>
                <w:sz w:val="20"/>
                <w:szCs w:val="20"/>
              </w:rPr>
            </w:pPr>
            <w:r>
              <w:rPr>
                <w:rFonts w:cs="Myriad Pro"/>
                <w:color w:val="FFFFFF" w:themeColor="background1"/>
                <w:sz w:val="20"/>
                <w:szCs w:val="20"/>
              </w:rPr>
              <w:t>в т.ч. требующие документального обоснования</w:t>
            </w:r>
            <w:r w:rsidR="0085421C" w:rsidRPr="00297DA6">
              <w:rPr>
                <w:rFonts w:cs="Myriad Pro"/>
                <w:color w:val="FFFFFF" w:themeColor="background1"/>
                <w:sz w:val="20"/>
                <w:szCs w:val="20"/>
              </w:rPr>
              <w:t xml:space="preserve">, </w:t>
            </w:r>
            <w:r w:rsidR="005C6F98" w:rsidRPr="00297DA6">
              <w:rPr>
                <w:rFonts w:cs="Myriad Pro"/>
                <w:color w:val="FFFFFF" w:themeColor="background1"/>
                <w:sz w:val="20"/>
                <w:szCs w:val="20"/>
              </w:rPr>
              <w:br/>
            </w:r>
            <w:r w:rsidR="0085421C" w:rsidRPr="00297DA6">
              <w:rPr>
                <w:rFonts w:cs="Myriad Pro"/>
                <w:color w:val="FFFFFF" w:themeColor="background1"/>
                <w:sz w:val="20"/>
                <w:szCs w:val="20"/>
              </w:rPr>
              <w:t>тыс. руб.</w:t>
            </w:r>
          </w:p>
        </w:tc>
      </w:tr>
      <w:tr w:rsidR="00363AC0" w:rsidRPr="005C6F98" w14:paraId="11539BB7" w14:textId="77777777" w:rsidTr="005C6F98">
        <w:trPr>
          <w:gridAfter w:val="1"/>
          <w:wAfter w:w="15" w:type="dxa"/>
          <w:trHeight w:val="450"/>
        </w:trPr>
        <w:tc>
          <w:tcPr>
            <w:cnfStyle w:val="001000000000" w:firstRow="0" w:lastRow="0" w:firstColumn="1" w:lastColumn="0" w:oddVBand="0" w:evenVBand="0" w:oddHBand="0" w:evenHBand="0" w:firstRowFirstColumn="0" w:firstRowLastColumn="0" w:lastRowFirstColumn="0" w:lastRowLastColumn="0"/>
            <w:tcW w:w="3913" w:type="dxa"/>
            <w:vMerge/>
            <w:tcBorders>
              <w:top w:val="single" w:sz="4" w:space="0" w:color="FFFFFF" w:themeColor="background1"/>
              <w:left w:val="single" w:sz="4" w:space="0" w:color="FFFFFF" w:themeColor="background1"/>
              <w:bottom w:val="single" w:sz="4" w:space="0" w:color="auto"/>
              <w:right w:val="single" w:sz="4" w:space="0" w:color="FFFFFF" w:themeColor="background1"/>
            </w:tcBorders>
            <w:hideMark/>
          </w:tcPr>
          <w:p w14:paraId="4C12C0A0" w14:textId="77777777" w:rsidR="0085421C" w:rsidRPr="005C6F98" w:rsidRDefault="0085421C" w:rsidP="00363AC0">
            <w:pPr>
              <w:tabs>
                <w:tab w:val="left" w:pos="1134"/>
              </w:tabs>
              <w:rPr>
                <w:rFonts w:cs="Myriad Pro"/>
                <w:sz w:val="20"/>
                <w:szCs w:val="20"/>
              </w:rPr>
            </w:pPr>
          </w:p>
        </w:tc>
        <w:tc>
          <w:tcPr>
            <w:tcW w:w="1437" w:type="dxa"/>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hideMark/>
          </w:tcPr>
          <w:p w14:paraId="06748967"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p>
        </w:tc>
        <w:tc>
          <w:tcPr>
            <w:tcW w:w="1575" w:type="dxa"/>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hideMark/>
          </w:tcPr>
          <w:p w14:paraId="3FC7EEA3"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p>
        </w:tc>
        <w:tc>
          <w:tcPr>
            <w:tcW w:w="1550" w:type="dxa"/>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hideMark/>
          </w:tcPr>
          <w:p w14:paraId="741AC239"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p>
        </w:tc>
        <w:tc>
          <w:tcPr>
            <w:tcW w:w="1391" w:type="dxa"/>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hideMark/>
          </w:tcPr>
          <w:p w14:paraId="4199EAD6"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p>
        </w:tc>
        <w:tc>
          <w:tcPr>
            <w:tcW w:w="1470" w:type="dxa"/>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hideMark/>
          </w:tcPr>
          <w:p w14:paraId="48D2DD66"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p>
        </w:tc>
        <w:tc>
          <w:tcPr>
            <w:tcW w:w="1559" w:type="dxa"/>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hideMark/>
          </w:tcPr>
          <w:p w14:paraId="5C845ABC"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p>
        </w:tc>
        <w:tc>
          <w:tcPr>
            <w:tcW w:w="1470" w:type="dxa"/>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hideMark/>
          </w:tcPr>
          <w:p w14:paraId="5C99BF7A" w14:textId="77777777" w:rsidR="0085421C" w:rsidRPr="00297DA6"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p>
        </w:tc>
      </w:tr>
      <w:tr w:rsidR="00907AB4" w:rsidRPr="005C6F98" w14:paraId="79ACBD45" w14:textId="77777777" w:rsidTr="005C6F98">
        <w:trPr>
          <w:gridAfter w:val="1"/>
          <w:wAfter w:w="15" w:type="dxa"/>
        </w:trPr>
        <w:tc>
          <w:tcPr>
            <w:cnfStyle w:val="001000000000" w:firstRow="0" w:lastRow="0" w:firstColumn="1" w:lastColumn="0" w:oddVBand="0" w:evenVBand="0" w:oddHBand="0" w:evenHBand="0" w:firstRowFirstColumn="0" w:firstRowLastColumn="0" w:lastRowFirstColumn="0" w:lastRowLastColumn="0"/>
            <w:tcW w:w="3913" w:type="dxa"/>
            <w:tcBorders>
              <w:top w:val="single" w:sz="4" w:space="0" w:color="auto"/>
            </w:tcBorders>
            <w:hideMark/>
          </w:tcPr>
          <w:p w14:paraId="36027A81" w14:textId="77777777" w:rsidR="0085421C" w:rsidRPr="005C6F98" w:rsidRDefault="0085421C" w:rsidP="00363AC0">
            <w:pPr>
              <w:tabs>
                <w:tab w:val="left" w:pos="1134"/>
              </w:tabs>
              <w:rPr>
                <w:rFonts w:cs="Myriad Pro"/>
                <w:sz w:val="20"/>
                <w:szCs w:val="20"/>
              </w:rPr>
            </w:pPr>
            <w:r w:rsidRPr="005C6F98">
              <w:rPr>
                <w:rFonts w:cs="Myriad Pro"/>
                <w:sz w:val="20"/>
                <w:szCs w:val="20"/>
              </w:rPr>
              <w:t>Материальные затраты</w:t>
            </w:r>
          </w:p>
        </w:tc>
        <w:tc>
          <w:tcPr>
            <w:tcW w:w="1437" w:type="dxa"/>
            <w:tcBorders>
              <w:top w:val="single" w:sz="4" w:space="0" w:color="auto"/>
            </w:tcBorders>
            <w:hideMark/>
          </w:tcPr>
          <w:p w14:paraId="182269C7"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255 622,6</w:t>
            </w:r>
          </w:p>
        </w:tc>
        <w:tc>
          <w:tcPr>
            <w:tcW w:w="1575" w:type="dxa"/>
            <w:tcBorders>
              <w:top w:val="single" w:sz="4" w:space="0" w:color="auto"/>
            </w:tcBorders>
            <w:hideMark/>
          </w:tcPr>
          <w:p w14:paraId="7B40B2A2"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350 811,48</w:t>
            </w:r>
          </w:p>
        </w:tc>
        <w:tc>
          <w:tcPr>
            <w:tcW w:w="1550" w:type="dxa"/>
            <w:tcBorders>
              <w:top w:val="single" w:sz="4" w:space="0" w:color="auto"/>
            </w:tcBorders>
            <w:hideMark/>
          </w:tcPr>
          <w:p w14:paraId="7C11EBA8"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290 891,5</w:t>
            </w:r>
          </w:p>
        </w:tc>
        <w:tc>
          <w:tcPr>
            <w:tcW w:w="1391" w:type="dxa"/>
            <w:tcBorders>
              <w:top w:val="single" w:sz="4" w:space="0" w:color="auto"/>
            </w:tcBorders>
            <w:hideMark/>
          </w:tcPr>
          <w:p w14:paraId="568A8125"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302 145,5</w:t>
            </w:r>
          </w:p>
        </w:tc>
        <w:tc>
          <w:tcPr>
            <w:tcW w:w="1470" w:type="dxa"/>
            <w:tcBorders>
              <w:top w:val="single" w:sz="4" w:space="0" w:color="auto"/>
            </w:tcBorders>
            <w:hideMark/>
          </w:tcPr>
          <w:p w14:paraId="1A893EB0"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283 838,1</w:t>
            </w:r>
          </w:p>
        </w:tc>
        <w:tc>
          <w:tcPr>
            <w:tcW w:w="1559" w:type="dxa"/>
            <w:tcBorders>
              <w:top w:val="single" w:sz="4" w:space="0" w:color="auto"/>
            </w:tcBorders>
            <w:hideMark/>
          </w:tcPr>
          <w:p w14:paraId="1E369C0A"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8 043,8</w:t>
            </w:r>
          </w:p>
        </w:tc>
        <w:tc>
          <w:tcPr>
            <w:tcW w:w="1470" w:type="dxa"/>
            <w:tcBorders>
              <w:top w:val="single" w:sz="4" w:space="0" w:color="auto"/>
            </w:tcBorders>
            <w:hideMark/>
          </w:tcPr>
          <w:p w14:paraId="300CE4A8" w14:textId="77777777" w:rsidR="0085421C" w:rsidRPr="00297DA6"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297DA6">
              <w:rPr>
                <w:rFonts w:cs="Myriad Pro"/>
                <w:sz w:val="20"/>
                <w:szCs w:val="20"/>
              </w:rPr>
              <w:t>-15 097,2</w:t>
            </w:r>
          </w:p>
        </w:tc>
      </w:tr>
      <w:tr w:rsidR="00907AB4" w:rsidRPr="005C6F98" w14:paraId="29B4CBC3" w14:textId="77777777" w:rsidTr="005C6F98">
        <w:trPr>
          <w:gridAfter w:val="1"/>
          <w:wAfter w:w="15" w:type="dxa"/>
        </w:trPr>
        <w:tc>
          <w:tcPr>
            <w:cnfStyle w:val="001000000000" w:firstRow="0" w:lastRow="0" w:firstColumn="1" w:lastColumn="0" w:oddVBand="0" w:evenVBand="0" w:oddHBand="0" w:evenHBand="0" w:firstRowFirstColumn="0" w:firstRowLastColumn="0" w:lastRowFirstColumn="0" w:lastRowLastColumn="0"/>
            <w:tcW w:w="3913" w:type="dxa"/>
            <w:hideMark/>
          </w:tcPr>
          <w:p w14:paraId="72E601C4" w14:textId="77777777" w:rsidR="0085421C" w:rsidRPr="005C6F98" w:rsidRDefault="0085421C" w:rsidP="00363AC0">
            <w:pPr>
              <w:tabs>
                <w:tab w:val="left" w:pos="1134"/>
              </w:tabs>
              <w:rPr>
                <w:rFonts w:cs="Myriad Pro"/>
                <w:sz w:val="20"/>
                <w:szCs w:val="20"/>
              </w:rPr>
            </w:pPr>
            <w:r w:rsidRPr="005C6F98">
              <w:rPr>
                <w:rFonts w:cs="Myriad Pro"/>
                <w:sz w:val="20"/>
                <w:szCs w:val="20"/>
              </w:rPr>
              <w:t>Сырье, материалы, запасные части, инструмент, топливо</w:t>
            </w:r>
          </w:p>
        </w:tc>
        <w:tc>
          <w:tcPr>
            <w:tcW w:w="1437" w:type="dxa"/>
            <w:hideMark/>
          </w:tcPr>
          <w:p w14:paraId="7CDEA639"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174 034,8</w:t>
            </w:r>
          </w:p>
        </w:tc>
        <w:tc>
          <w:tcPr>
            <w:tcW w:w="1575" w:type="dxa"/>
            <w:hideMark/>
          </w:tcPr>
          <w:p w14:paraId="049BD9D0"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195 105,03</w:t>
            </w:r>
          </w:p>
        </w:tc>
        <w:tc>
          <w:tcPr>
            <w:tcW w:w="1550" w:type="dxa"/>
            <w:hideMark/>
          </w:tcPr>
          <w:p w14:paraId="69FFB2D6"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209 513,2</w:t>
            </w:r>
          </w:p>
        </w:tc>
        <w:tc>
          <w:tcPr>
            <w:tcW w:w="1391" w:type="dxa"/>
            <w:hideMark/>
          </w:tcPr>
          <w:p w14:paraId="117CB761"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217 618,9</w:t>
            </w:r>
          </w:p>
        </w:tc>
        <w:tc>
          <w:tcPr>
            <w:tcW w:w="1470" w:type="dxa"/>
            <w:hideMark/>
          </w:tcPr>
          <w:p w14:paraId="7893AC79"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194 416,0</w:t>
            </w:r>
          </w:p>
        </w:tc>
        <w:tc>
          <w:tcPr>
            <w:tcW w:w="1559" w:type="dxa"/>
            <w:hideMark/>
          </w:tcPr>
          <w:p w14:paraId="544C8C8D" w14:textId="54AFCAC5"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p>
        </w:tc>
        <w:tc>
          <w:tcPr>
            <w:tcW w:w="1470" w:type="dxa"/>
            <w:hideMark/>
          </w:tcPr>
          <w:p w14:paraId="17B8DAF6" w14:textId="77777777" w:rsidR="0085421C" w:rsidRPr="00297DA6"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297DA6">
              <w:rPr>
                <w:rFonts w:cs="Myriad Pro"/>
                <w:sz w:val="20"/>
                <w:szCs w:val="20"/>
              </w:rPr>
              <w:t>-15 097,2</w:t>
            </w:r>
          </w:p>
        </w:tc>
      </w:tr>
      <w:tr w:rsidR="00907AB4" w:rsidRPr="005C6F98" w14:paraId="61F6C13A" w14:textId="77777777" w:rsidTr="005C6F98">
        <w:trPr>
          <w:gridAfter w:val="1"/>
          <w:wAfter w:w="15" w:type="dxa"/>
        </w:trPr>
        <w:tc>
          <w:tcPr>
            <w:cnfStyle w:val="001000000000" w:firstRow="0" w:lastRow="0" w:firstColumn="1" w:lastColumn="0" w:oddVBand="0" w:evenVBand="0" w:oddHBand="0" w:evenHBand="0" w:firstRowFirstColumn="0" w:firstRowLastColumn="0" w:lastRowFirstColumn="0" w:lastRowLastColumn="0"/>
            <w:tcW w:w="3913" w:type="dxa"/>
            <w:hideMark/>
          </w:tcPr>
          <w:p w14:paraId="17F9BAC1" w14:textId="77777777" w:rsidR="0085421C" w:rsidRPr="005C6F98" w:rsidRDefault="0085421C" w:rsidP="00363AC0">
            <w:pPr>
              <w:tabs>
                <w:tab w:val="left" w:pos="1134"/>
              </w:tabs>
              <w:rPr>
                <w:rFonts w:cs="Myriad Pro"/>
                <w:sz w:val="20"/>
                <w:szCs w:val="20"/>
              </w:rPr>
            </w:pPr>
            <w:r w:rsidRPr="005C6F98">
              <w:rPr>
                <w:rFonts w:cs="Myriad Pro"/>
                <w:sz w:val="20"/>
                <w:szCs w:val="20"/>
              </w:rPr>
              <w:t xml:space="preserve">Работы и услуги производственного характера </w:t>
            </w:r>
          </w:p>
        </w:tc>
        <w:tc>
          <w:tcPr>
            <w:tcW w:w="1437" w:type="dxa"/>
            <w:hideMark/>
          </w:tcPr>
          <w:p w14:paraId="627E3974"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81 587,8</w:t>
            </w:r>
          </w:p>
        </w:tc>
        <w:tc>
          <w:tcPr>
            <w:tcW w:w="1575" w:type="dxa"/>
            <w:hideMark/>
          </w:tcPr>
          <w:p w14:paraId="1F6F11F3"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155 706,45</w:t>
            </w:r>
          </w:p>
        </w:tc>
        <w:tc>
          <w:tcPr>
            <w:tcW w:w="1550" w:type="dxa"/>
            <w:hideMark/>
          </w:tcPr>
          <w:p w14:paraId="031065F5"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81 378,3</w:t>
            </w:r>
          </w:p>
        </w:tc>
        <w:tc>
          <w:tcPr>
            <w:tcW w:w="1391" w:type="dxa"/>
            <w:hideMark/>
          </w:tcPr>
          <w:p w14:paraId="272410D7"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84 526,6</w:t>
            </w:r>
          </w:p>
        </w:tc>
        <w:tc>
          <w:tcPr>
            <w:tcW w:w="1470" w:type="dxa"/>
            <w:hideMark/>
          </w:tcPr>
          <w:p w14:paraId="2DA6E1B9"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89 422,1</w:t>
            </w:r>
          </w:p>
        </w:tc>
        <w:tc>
          <w:tcPr>
            <w:tcW w:w="1559" w:type="dxa"/>
            <w:hideMark/>
          </w:tcPr>
          <w:p w14:paraId="762E49F9"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8 043,8</w:t>
            </w:r>
          </w:p>
        </w:tc>
        <w:tc>
          <w:tcPr>
            <w:tcW w:w="1470" w:type="dxa"/>
            <w:hideMark/>
          </w:tcPr>
          <w:p w14:paraId="68D8D881" w14:textId="7702C2AD" w:rsidR="0085421C" w:rsidRPr="00297DA6"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p>
        </w:tc>
      </w:tr>
      <w:tr w:rsidR="00907AB4" w:rsidRPr="005C6F98" w14:paraId="51355AF0" w14:textId="77777777" w:rsidTr="005C6F98">
        <w:trPr>
          <w:gridAfter w:val="1"/>
          <w:wAfter w:w="15" w:type="dxa"/>
        </w:trPr>
        <w:tc>
          <w:tcPr>
            <w:cnfStyle w:val="001000000000" w:firstRow="0" w:lastRow="0" w:firstColumn="1" w:lastColumn="0" w:oddVBand="0" w:evenVBand="0" w:oddHBand="0" w:evenHBand="0" w:firstRowFirstColumn="0" w:firstRowLastColumn="0" w:lastRowFirstColumn="0" w:lastRowLastColumn="0"/>
            <w:tcW w:w="3913" w:type="dxa"/>
            <w:hideMark/>
          </w:tcPr>
          <w:p w14:paraId="525FAB48" w14:textId="77777777" w:rsidR="0085421C" w:rsidRPr="005C6F98" w:rsidRDefault="0085421C" w:rsidP="00363AC0">
            <w:pPr>
              <w:tabs>
                <w:tab w:val="left" w:pos="1134"/>
              </w:tabs>
              <w:rPr>
                <w:rFonts w:cs="Myriad Pro"/>
                <w:sz w:val="20"/>
                <w:szCs w:val="20"/>
              </w:rPr>
            </w:pPr>
            <w:r w:rsidRPr="005C6F98">
              <w:rPr>
                <w:rFonts w:cs="Myriad Pro"/>
                <w:sz w:val="20"/>
                <w:szCs w:val="20"/>
              </w:rPr>
              <w:t>Ремонт основных фондов</w:t>
            </w:r>
          </w:p>
        </w:tc>
        <w:tc>
          <w:tcPr>
            <w:tcW w:w="1437" w:type="dxa"/>
            <w:hideMark/>
          </w:tcPr>
          <w:p w14:paraId="3B3AC17F"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90 199,8</w:t>
            </w:r>
          </w:p>
        </w:tc>
        <w:tc>
          <w:tcPr>
            <w:tcW w:w="1575" w:type="dxa"/>
            <w:hideMark/>
          </w:tcPr>
          <w:p w14:paraId="581E04E5"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155 000,00</w:t>
            </w:r>
          </w:p>
        </w:tc>
        <w:tc>
          <w:tcPr>
            <w:tcW w:w="1550" w:type="dxa"/>
            <w:hideMark/>
          </w:tcPr>
          <w:p w14:paraId="12AEA447"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112 171,3</w:t>
            </w:r>
          </w:p>
        </w:tc>
        <w:tc>
          <w:tcPr>
            <w:tcW w:w="1391" w:type="dxa"/>
            <w:hideMark/>
          </w:tcPr>
          <w:p w14:paraId="50E0FE86"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116 511,0</w:t>
            </w:r>
          </w:p>
        </w:tc>
        <w:tc>
          <w:tcPr>
            <w:tcW w:w="1470" w:type="dxa"/>
            <w:hideMark/>
          </w:tcPr>
          <w:p w14:paraId="62914680"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116 511,0</w:t>
            </w:r>
          </w:p>
        </w:tc>
        <w:tc>
          <w:tcPr>
            <w:tcW w:w="1559" w:type="dxa"/>
            <w:hideMark/>
          </w:tcPr>
          <w:p w14:paraId="7A4A84F2"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4 339,7</w:t>
            </w:r>
          </w:p>
        </w:tc>
        <w:tc>
          <w:tcPr>
            <w:tcW w:w="1470" w:type="dxa"/>
            <w:hideMark/>
          </w:tcPr>
          <w:p w14:paraId="17DB4010" w14:textId="3FF36241" w:rsidR="0085421C" w:rsidRPr="00297DA6"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p>
        </w:tc>
      </w:tr>
      <w:tr w:rsidR="00907AB4" w:rsidRPr="005C6F98" w14:paraId="656147A2" w14:textId="77777777" w:rsidTr="005C6F98">
        <w:trPr>
          <w:gridAfter w:val="1"/>
          <w:wAfter w:w="15" w:type="dxa"/>
        </w:trPr>
        <w:tc>
          <w:tcPr>
            <w:cnfStyle w:val="001000000000" w:firstRow="0" w:lastRow="0" w:firstColumn="1" w:lastColumn="0" w:oddVBand="0" w:evenVBand="0" w:oddHBand="0" w:evenHBand="0" w:firstRowFirstColumn="0" w:firstRowLastColumn="0" w:lastRowFirstColumn="0" w:lastRowLastColumn="0"/>
            <w:tcW w:w="3913" w:type="dxa"/>
            <w:hideMark/>
          </w:tcPr>
          <w:p w14:paraId="06EE7AB7" w14:textId="77777777" w:rsidR="0085421C" w:rsidRPr="005C6F98" w:rsidRDefault="0085421C" w:rsidP="00363AC0">
            <w:pPr>
              <w:tabs>
                <w:tab w:val="left" w:pos="1134"/>
              </w:tabs>
              <w:rPr>
                <w:rFonts w:cs="Myriad Pro"/>
                <w:sz w:val="20"/>
                <w:szCs w:val="20"/>
              </w:rPr>
            </w:pPr>
            <w:r w:rsidRPr="005C6F98">
              <w:rPr>
                <w:rFonts w:cs="Myriad Pro"/>
                <w:sz w:val="20"/>
                <w:szCs w:val="20"/>
              </w:rPr>
              <w:t>Расходы на оплату труда</w:t>
            </w:r>
          </w:p>
        </w:tc>
        <w:tc>
          <w:tcPr>
            <w:tcW w:w="1437" w:type="dxa"/>
            <w:hideMark/>
          </w:tcPr>
          <w:p w14:paraId="05E66393"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886 240,3</w:t>
            </w:r>
          </w:p>
        </w:tc>
        <w:tc>
          <w:tcPr>
            <w:tcW w:w="1575" w:type="dxa"/>
            <w:hideMark/>
          </w:tcPr>
          <w:p w14:paraId="7286AE81"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1 265 486,04</w:t>
            </w:r>
          </w:p>
        </w:tc>
        <w:tc>
          <w:tcPr>
            <w:tcW w:w="1550" w:type="dxa"/>
            <w:hideMark/>
          </w:tcPr>
          <w:p w14:paraId="33E17C3B"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992 705,2</w:t>
            </w:r>
          </w:p>
        </w:tc>
        <w:tc>
          <w:tcPr>
            <w:tcW w:w="1391" w:type="dxa"/>
            <w:hideMark/>
          </w:tcPr>
          <w:p w14:paraId="6C67B687"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1 031 111,2</w:t>
            </w:r>
          </w:p>
        </w:tc>
        <w:tc>
          <w:tcPr>
            <w:tcW w:w="1470" w:type="dxa"/>
            <w:hideMark/>
          </w:tcPr>
          <w:p w14:paraId="61D243BD"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1 054 083,9</w:t>
            </w:r>
          </w:p>
        </w:tc>
        <w:tc>
          <w:tcPr>
            <w:tcW w:w="1559" w:type="dxa"/>
            <w:hideMark/>
          </w:tcPr>
          <w:p w14:paraId="5A7D9CAC"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61 378,8</w:t>
            </w:r>
          </w:p>
        </w:tc>
        <w:tc>
          <w:tcPr>
            <w:tcW w:w="1470" w:type="dxa"/>
            <w:hideMark/>
          </w:tcPr>
          <w:p w14:paraId="1FF06BB8" w14:textId="770D37BE" w:rsidR="0085421C" w:rsidRPr="00297DA6"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p>
        </w:tc>
      </w:tr>
      <w:tr w:rsidR="00907AB4" w:rsidRPr="005C6F98" w14:paraId="5DFDCF31" w14:textId="77777777" w:rsidTr="005C6F98">
        <w:trPr>
          <w:gridAfter w:val="1"/>
          <w:wAfter w:w="15" w:type="dxa"/>
        </w:trPr>
        <w:tc>
          <w:tcPr>
            <w:cnfStyle w:val="001000000000" w:firstRow="0" w:lastRow="0" w:firstColumn="1" w:lastColumn="0" w:oddVBand="0" w:evenVBand="0" w:oddHBand="0" w:evenHBand="0" w:firstRowFirstColumn="0" w:firstRowLastColumn="0" w:lastRowFirstColumn="0" w:lastRowLastColumn="0"/>
            <w:tcW w:w="3913" w:type="dxa"/>
            <w:hideMark/>
          </w:tcPr>
          <w:p w14:paraId="6006113A" w14:textId="77777777" w:rsidR="0085421C" w:rsidRPr="005C6F98" w:rsidRDefault="0085421C" w:rsidP="00363AC0">
            <w:pPr>
              <w:tabs>
                <w:tab w:val="left" w:pos="1134"/>
              </w:tabs>
              <w:rPr>
                <w:rFonts w:cs="Myriad Pro"/>
                <w:sz w:val="20"/>
                <w:szCs w:val="20"/>
              </w:rPr>
            </w:pPr>
            <w:r w:rsidRPr="005C6F98">
              <w:rPr>
                <w:rFonts w:cs="Myriad Pro"/>
                <w:sz w:val="20"/>
                <w:szCs w:val="20"/>
              </w:rPr>
              <w:t>Прочие расходы, всего, в том числе:</w:t>
            </w:r>
          </w:p>
        </w:tc>
        <w:tc>
          <w:tcPr>
            <w:tcW w:w="1437" w:type="dxa"/>
            <w:hideMark/>
          </w:tcPr>
          <w:p w14:paraId="63CFD62E"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576 774,4</w:t>
            </w:r>
          </w:p>
        </w:tc>
        <w:tc>
          <w:tcPr>
            <w:tcW w:w="1575" w:type="dxa"/>
            <w:hideMark/>
          </w:tcPr>
          <w:p w14:paraId="37588312"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686 646,16</w:t>
            </w:r>
          </w:p>
        </w:tc>
        <w:tc>
          <w:tcPr>
            <w:tcW w:w="1550" w:type="dxa"/>
            <w:hideMark/>
          </w:tcPr>
          <w:p w14:paraId="59A913A4"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302 736,0</w:t>
            </w:r>
          </w:p>
        </w:tc>
        <w:tc>
          <w:tcPr>
            <w:tcW w:w="1391" w:type="dxa"/>
            <w:hideMark/>
          </w:tcPr>
          <w:p w14:paraId="46636D12"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314 448,3</w:t>
            </w:r>
          </w:p>
        </w:tc>
        <w:tc>
          <w:tcPr>
            <w:tcW w:w="1470" w:type="dxa"/>
            <w:hideMark/>
          </w:tcPr>
          <w:p w14:paraId="6F5C13FE"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326 298,8</w:t>
            </w:r>
          </w:p>
        </w:tc>
        <w:tc>
          <w:tcPr>
            <w:tcW w:w="1559" w:type="dxa"/>
            <w:hideMark/>
          </w:tcPr>
          <w:p w14:paraId="3A77E9EA"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63 278,5</w:t>
            </w:r>
          </w:p>
        </w:tc>
        <w:tc>
          <w:tcPr>
            <w:tcW w:w="1470" w:type="dxa"/>
            <w:hideMark/>
          </w:tcPr>
          <w:p w14:paraId="25558C8D" w14:textId="77777777" w:rsidR="0085421C" w:rsidRPr="00297DA6"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297DA6">
              <w:rPr>
                <w:rFonts w:cs="Myriad Pro"/>
                <w:sz w:val="20"/>
                <w:szCs w:val="20"/>
              </w:rPr>
              <w:t>-39 715,8</w:t>
            </w:r>
          </w:p>
        </w:tc>
      </w:tr>
      <w:tr w:rsidR="00907AB4" w:rsidRPr="005C6F98" w14:paraId="2F4AF992" w14:textId="77777777" w:rsidTr="005C6F98">
        <w:trPr>
          <w:gridAfter w:val="1"/>
          <w:wAfter w:w="15" w:type="dxa"/>
        </w:trPr>
        <w:tc>
          <w:tcPr>
            <w:cnfStyle w:val="001000000000" w:firstRow="0" w:lastRow="0" w:firstColumn="1" w:lastColumn="0" w:oddVBand="0" w:evenVBand="0" w:oddHBand="0" w:evenHBand="0" w:firstRowFirstColumn="0" w:firstRowLastColumn="0" w:lastRowFirstColumn="0" w:lastRowLastColumn="0"/>
            <w:tcW w:w="3913" w:type="dxa"/>
            <w:hideMark/>
          </w:tcPr>
          <w:p w14:paraId="6D028010" w14:textId="77777777" w:rsidR="0085421C" w:rsidRPr="005C6F98" w:rsidRDefault="0085421C" w:rsidP="00363AC0">
            <w:pPr>
              <w:tabs>
                <w:tab w:val="left" w:pos="1134"/>
              </w:tabs>
              <w:rPr>
                <w:rFonts w:cs="Myriad Pro"/>
                <w:sz w:val="20"/>
                <w:szCs w:val="20"/>
              </w:rPr>
            </w:pPr>
            <w:r w:rsidRPr="005C6F98">
              <w:rPr>
                <w:rFonts w:cs="Myriad Pro"/>
                <w:sz w:val="20"/>
                <w:szCs w:val="20"/>
              </w:rPr>
              <w:t>Оплата работ и услуг сторонних организаций</w:t>
            </w:r>
          </w:p>
        </w:tc>
        <w:tc>
          <w:tcPr>
            <w:tcW w:w="1437" w:type="dxa"/>
            <w:hideMark/>
          </w:tcPr>
          <w:p w14:paraId="13F7C9EB"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134 027,5</w:t>
            </w:r>
          </w:p>
        </w:tc>
        <w:tc>
          <w:tcPr>
            <w:tcW w:w="1575" w:type="dxa"/>
            <w:hideMark/>
          </w:tcPr>
          <w:p w14:paraId="240A09A0"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178 111,53</w:t>
            </w:r>
          </w:p>
        </w:tc>
        <w:tc>
          <w:tcPr>
            <w:tcW w:w="1550" w:type="dxa"/>
            <w:hideMark/>
          </w:tcPr>
          <w:p w14:paraId="301FFD04"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133 625,3</w:t>
            </w:r>
          </w:p>
        </w:tc>
        <w:tc>
          <w:tcPr>
            <w:tcW w:w="1391" w:type="dxa"/>
            <w:hideMark/>
          </w:tcPr>
          <w:p w14:paraId="563A5DA4"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138 795,0</w:t>
            </w:r>
          </w:p>
        </w:tc>
        <w:tc>
          <w:tcPr>
            <w:tcW w:w="1470" w:type="dxa"/>
            <w:hideMark/>
          </w:tcPr>
          <w:p w14:paraId="18273898"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149 173,8</w:t>
            </w:r>
          </w:p>
        </w:tc>
        <w:tc>
          <w:tcPr>
            <w:tcW w:w="1559" w:type="dxa"/>
            <w:hideMark/>
          </w:tcPr>
          <w:p w14:paraId="33B2D4CB"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15 548,6</w:t>
            </w:r>
          </w:p>
        </w:tc>
        <w:tc>
          <w:tcPr>
            <w:tcW w:w="1470" w:type="dxa"/>
            <w:hideMark/>
          </w:tcPr>
          <w:p w14:paraId="6E9A44B6" w14:textId="77777777" w:rsidR="0085421C" w:rsidRPr="00297DA6"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297DA6">
              <w:rPr>
                <w:rFonts w:cs="Myriad Pro"/>
                <w:sz w:val="20"/>
                <w:szCs w:val="20"/>
              </w:rPr>
              <w:t>0,0</w:t>
            </w:r>
          </w:p>
        </w:tc>
      </w:tr>
      <w:tr w:rsidR="00907AB4" w:rsidRPr="005C6F98" w14:paraId="3D2827C2" w14:textId="77777777" w:rsidTr="005C6F98">
        <w:trPr>
          <w:gridAfter w:val="1"/>
          <w:wAfter w:w="15" w:type="dxa"/>
        </w:trPr>
        <w:tc>
          <w:tcPr>
            <w:cnfStyle w:val="001000000000" w:firstRow="0" w:lastRow="0" w:firstColumn="1" w:lastColumn="0" w:oddVBand="0" w:evenVBand="0" w:oddHBand="0" w:evenHBand="0" w:firstRowFirstColumn="0" w:firstRowLastColumn="0" w:lastRowFirstColumn="0" w:lastRowLastColumn="0"/>
            <w:tcW w:w="3913" w:type="dxa"/>
            <w:hideMark/>
          </w:tcPr>
          <w:p w14:paraId="6A552ED4" w14:textId="77777777" w:rsidR="0085421C" w:rsidRPr="005C6F98" w:rsidRDefault="0085421C" w:rsidP="00363AC0">
            <w:pPr>
              <w:tabs>
                <w:tab w:val="left" w:pos="1134"/>
              </w:tabs>
              <w:rPr>
                <w:rFonts w:cs="Myriad Pro"/>
                <w:sz w:val="20"/>
                <w:szCs w:val="20"/>
              </w:rPr>
            </w:pPr>
            <w:r w:rsidRPr="005C6F98">
              <w:rPr>
                <w:rFonts w:cs="Myriad Pro"/>
                <w:sz w:val="20"/>
                <w:szCs w:val="20"/>
              </w:rPr>
              <w:t>услуги связи</w:t>
            </w:r>
          </w:p>
        </w:tc>
        <w:tc>
          <w:tcPr>
            <w:tcW w:w="1437" w:type="dxa"/>
            <w:hideMark/>
          </w:tcPr>
          <w:p w14:paraId="60F25E38"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13 465,0</w:t>
            </w:r>
          </w:p>
        </w:tc>
        <w:tc>
          <w:tcPr>
            <w:tcW w:w="1575" w:type="dxa"/>
            <w:hideMark/>
          </w:tcPr>
          <w:p w14:paraId="4D157710"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20 480,54</w:t>
            </w:r>
          </w:p>
        </w:tc>
        <w:tc>
          <w:tcPr>
            <w:tcW w:w="1550" w:type="dxa"/>
            <w:hideMark/>
          </w:tcPr>
          <w:p w14:paraId="4B859028"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17 136,8</w:t>
            </w:r>
          </w:p>
        </w:tc>
        <w:tc>
          <w:tcPr>
            <w:tcW w:w="1391" w:type="dxa"/>
            <w:hideMark/>
          </w:tcPr>
          <w:p w14:paraId="5DF82539"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17 799,8</w:t>
            </w:r>
          </w:p>
        </w:tc>
        <w:tc>
          <w:tcPr>
            <w:tcW w:w="1470" w:type="dxa"/>
            <w:hideMark/>
          </w:tcPr>
          <w:p w14:paraId="13B8DB9E"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17 997,9</w:t>
            </w:r>
          </w:p>
        </w:tc>
        <w:tc>
          <w:tcPr>
            <w:tcW w:w="1559" w:type="dxa"/>
            <w:hideMark/>
          </w:tcPr>
          <w:p w14:paraId="35CE030F"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861,1</w:t>
            </w:r>
          </w:p>
        </w:tc>
        <w:tc>
          <w:tcPr>
            <w:tcW w:w="1470" w:type="dxa"/>
            <w:hideMark/>
          </w:tcPr>
          <w:p w14:paraId="3B5814F1" w14:textId="512075F3" w:rsidR="0085421C" w:rsidRPr="00297DA6"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p>
        </w:tc>
      </w:tr>
      <w:tr w:rsidR="00907AB4" w:rsidRPr="005C6F98" w14:paraId="2EC4962B" w14:textId="77777777" w:rsidTr="005C6F98">
        <w:trPr>
          <w:gridAfter w:val="1"/>
          <w:wAfter w:w="15" w:type="dxa"/>
        </w:trPr>
        <w:tc>
          <w:tcPr>
            <w:cnfStyle w:val="001000000000" w:firstRow="0" w:lastRow="0" w:firstColumn="1" w:lastColumn="0" w:oddVBand="0" w:evenVBand="0" w:oddHBand="0" w:evenHBand="0" w:firstRowFirstColumn="0" w:firstRowLastColumn="0" w:lastRowFirstColumn="0" w:lastRowLastColumn="0"/>
            <w:tcW w:w="3913" w:type="dxa"/>
            <w:hideMark/>
          </w:tcPr>
          <w:p w14:paraId="488A1EE2" w14:textId="77777777" w:rsidR="0085421C" w:rsidRPr="005C6F98" w:rsidRDefault="0085421C" w:rsidP="00363AC0">
            <w:pPr>
              <w:tabs>
                <w:tab w:val="left" w:pos="1134"/>
              </w:tabs>
              <w:rPr>
                <w:rFonts w:cs="Myriad Pro"/>
                <w:sz w:val="20"/>
                <w:szCs w:val="20"/>
              </w:rPr>
            </w:pPr>
            <w:r w:rsidRPr="005C6F98">
              <w:rPr>
                <w:rFonts w:cs="Myriad Pro"/>
                <w:sz w:val="20"/>
                <w:szCs w:val="20"/>
              </w:rPr>
              <w:t>расходы на услуги вневедомственной охраны и коммунального хозяйства</w:t>
            </w:r>
          </w:p>
        </w:tc>
        <w:tc>
          <w:tcPr>
            <w:tcW w:w="1437" w:type="dxa"/>
            <w:hideMark/>
          </w:tcPr>
          <w:p w14:paraId="75CFA308"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37 980,0</w:t>
            </w:r>
          </w:p>
        </w:tc>
        <w:tc>
          <w:tcPr>
            <w:tcW w:w="1575" w:type="dxa"/>
            <w:hideMark/>
          </w:tcPr>
          <w:p w14:paraId="39AE6F6E"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48 492,64</w:t>
            </w:r>
          </w:p>
        </w:tc>
        <w:tc>
          <w:tcPr>
            <w:tcW w:w="1550" w:type="dxa"/>
            <w:hideMark/>
          </w:tcPr>
          <w:p w14:paraId="73F59CCF"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38 418,1</w:t>
            </w:r>
          </w:p>
        </w:tc>
        <w:tc>
          <w:tcPr>
            <w:tcW w:w="1391" w:type="dxa"/>
            <w:hideMark/>
          </w:tcPr>
          <w:p w14:paraId="308DA6D7"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39 904,4</w:t>
            </w:r>
          </w:p>
        </w:tc>
        <w:tc>
          <w:tcPr>
            <w:tcW w:w="1470" w:type="dxa"/>
            <w:hideMark/>
          </w:tcPr>
          <w:p w14:paraId="4546407A"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48 492,6</w:t>
            </w:r>
          </w:p>
        </w:tc>
        <w:tc>
          <w:tcPr>
            <w:tcW w:w="1559" w:type="dxa"/>
            <w:hideMark/>
          </w:tcPr>
          <w:p w14:paraId="33244EE7"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10 074,5</w:t>
            </w:r>
          </w:p>
        </w:tc>
        <w:tc>
          <w:tcPr>
            <w:tcW w:w="1470" w:type="dxa"/>
            <w:hideMark/>
          </w:tcPr>
          <w:p w14:paraId="12F3D1CE" w14:textId="6559C3EA" w:rsidR="0085421C" w:rsidRPr="00297DA6"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p>
        </w:tc>
      </w:tr>
      <w:tr w:rsidR="00907AB4" w:rsidRPr="005C6F98" w14:paraId="2CF97B9C" w14:textId="77777777" w:rsidTr="005C6F98">
        <w:trPr>
          <w:gridAfter w:val="1"/>
          <w:wAfter w:w="15" w:type="dxa"/>
        </w:trPr>
        <w:tc>
          <w:tcPr>
            <w:cnfStyle w:val="001000000000" w:firstRow="0" w:lastRow="0" w:firstColumn="1" w:lastColumn="0" w:oddVBand="0" w:evenVBand="0" w:oddHBand="0" w:evenHBand="0" w:firstRowFirstColumn="0" w:firstRowLastColumn="0" w:lastRowFirstColumn="0" w:lastRowLastColumn="0"/>
            <w:tcW w:w="3913" w:type="dxa"/>
            <w:hideMark/>
          </w:tcPr>
          <w:p w14:paraId="46C1AA4A" w14:textId="77777777" w:rsidR="0085421C" w:rsidRPr="005C6F98" w:rsidRDefault="0085421C" w:rsidP="00363AC0">
            <w:pPr>
              <w:tabs>
                <w:tab w:val="left" w:pos="1134"/>
              </w:tabs>
              <w:rPr>
                <w:rFonts w:cs="Myriad Pro"/>
                <w:sz w:val="20"/>
                <w:szCs w:val="20"/>
              </w:rPr>
            </w:pPr>
            <w:r w:rsidRPr="005C6F98">
              <w:rPr>
                <w:rFonts w:cs="Myriad Pro"/>
                <w:sz w:val="20"/>
                <w:szCs w:val="20"/>
              </w:rPr>
              <w:t>расходы на юридические и информационные услуги</w:t>
            </w:r>
          </w:p>
        </w:tc>
        <w:tc>
          <w:tcPr>
            <w:tcW w:w="1437" w:type="dxa"/>
            <w:hideMark/>
          </w:tcPr>
          <w:p w14:paraId="0EAEBB58"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24 261,8</w:t>
            </w:r>
          </w:p>
        </w:tc>
        <w:tc>
          <w:tcPr>
            <w:tcW w:w="1575" w:type="dxa"/>
            <w:hideMark/>
          </w:tcPr>
          <w:p w14:paraId="6055C601"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37 670,85</w:t>
            </w:r>
          </w:p>
        </w:tc>
        <w:tc>
          <w:tcPr>
            <w:tcW w:w="1550" w:type="dxa"/>
            <w:hideMark/>
          </w:tcPr>
          <w:p w14:paraId="559A068E"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22 971,7</w:t>
            </w:r>
          </w:p>
        </w:tc>
        <w:tc>
          <w:tcPr>
            <w:tcW w:w="1391" w:type="dxa"/>
            <w:hideMark/>
          </w:tcPr>
          <w:p w14:paraId="10FA4889"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23 860,4</w:t>
            </w:r>
          </w:p>
        </w:tc>
        <w:tc>
          <w:tcPr>
            <w:tcW w:w="1470" w:type="dxa"/>
            <w:hideMark/>
          </w:tcPr>
          <w:p w14:paraId="6CBD662A"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23 860,5</w:t>
            </w:r>
          </w:p>
        </w:tc>
        <w:tc>
          <w:tcPr>
            <w:tcW w:w="1559" w:type="dxa"/>
            <w:hideMark/>
          </w:tcPr>
          <w:p w14:paraId="39055484"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888,7</w:t>
            </w:r>
          </w:p>
        </w:tc>
        <w:tc>
          <w:tcPr>
            <w:tcW w:w="1470" w:type="dxa"/>
            <w:hideMark/>
          </w:tcPr>
          <w:p w14:paraId="1C881E27" w14:textId="3FBDE3A4" w:rsidR="0085421C" w:rsidRPr="00297DA6"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p>
        </w:tc>
      </w:tr>
      <w:tr w:rsidR="00907AB4" w:rsidRPr="005C6F98" w14:paraId="319685C8" w14:textId="77777777" w:rsidTr="005C6F98">
        <w:trPr>
          <w:gridAfter w:val="1"/>
          <w:wAfter w:w="15" w:type="dxa"/>
        </w:trPr>
        <w:tc>
          <w:tcPr>
            <w:cnfStyle w:val="001000000000" w:firstRow="0" w:lastRow="0" w:firstColumn="1" w:lastColumn="0" w:oddVBand="0" w:evenVBand="0" w:oddHBand="0" w:evenHBand="0" w:firstRowFirstColumn="0" w:firstRowLastColumn="0" w:lastRowFirstColumn="0" w:lastRowLastColumn="0"/>
            <w:tcW w:w="3913" w:type="dxa"/>
            <w:hideMark/>
          </w:tcPr>
          <w:p w14:paraId="7A07E769" w14:textId="77777777" w:rsidR="0085421C" w:rsidRPr="005C6F98" w:rsidRDefault="0085421C" w:rsidP="00363AC0">
            <w:pPr>
              <w:tabs>
                <w:tab w:val="left" w:pos="1134"/>
              </w:tabs>
              <w:rPr>
                <w:rFonts w:cs="Myriad Pro"/>
                <w:sz w:val="20"/>
                <w:szCs w:val="20"/>
              </w:rPr>
            </w:pPr>
            <w:r w:rsidRPr="005C6F98">
              <w:rPr>
                <w:rFonts w:cs="Myriad Pro"/>
                <w:sz w:val="20"/>
                <w:szCs w:val="20"/>
              </w:rPr>
              <w:t>расходы на аудиторские и консультационные услуги</w:t>
            </w:r>
          </w:p>
        </w:tc>
        <w:tc>
          <w:tcPr>
            <w:tcW w:w="1437" w:type="dxa"/>
            <w:hideMark/>
          </w:tcPr>
          <w:p w14:paraId="1C459BE3"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248,0</w:t>
            </w:r>
          </w:p>
        </w:tc>
        <w:tc>
          <w:tcPr>
            <w:tcW w:w="1575" w:type="dxa"/>
            <w:hideMark/>
          </w:tcPr>
          <w:p w14:paraId="357A06F1"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475,49</w:t>
            </w:r>
          </w:p>
        </w:tc>
        <w:tc>
          <w:tcPr>
            <w:tcW w:w="1550" w:type="dxa"/>
            <w:hideMark/>
          </w:tcPr>
          <w:p w14:paraId="25691D39"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419,0</w:t>
            </w:r>
          </w:p>
        </w:tc>
        <w:tc>
          <w:tcPr>
            <w:tcW w:w="1391" w:type="dxa"/>
            <w:hideMark/>
          </w:tcPr>
          <w:p w14:paraId="4C92ED19"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435,2</w:t>
            </w:r>
          </w:p>
        </w:tc>
        <w:tc>
          <w:tcPr>
            <w:tcW w:w="1470" w:type="dxa"/>
            <w:hideMark/>
          </w:tcPr>
          <w:p w14:paraId="3B9EA64F"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435,2</w:t>
            </w:r>
          </w:p>
        </w:tc>
        <w:tc>
          <w:tcPr>
            <w:tcW w:w="1559" w:type="dxa"/>
            <w:hideMark/>
          </w:tcPr>
          <w:p w14:paraId="505EF073"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16,2</w:t>
            </w:r>
          </w:p>
        </w:tc>
        <w:tc>
          <w:tcPr>
            <w:tcW w:w="1470" w:type="dxa"/>
            <w:hideMark/>
          </w:tcPr>
          <w:p w14:paraId="653B5E1E" w14:textId="72D2D92D" w:rsidR="0085421C" w:rsidRPr="00297DA6"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p>
        </w:tc>
      </w:tr>
      <w:tr w:rsidR="00907AB4" w:rsidRPr="005C6F98" w14:paraId="7A8623AC" w14:textId="77777777" w:rsidTr="005C6F98">
        <w:trPr>
          <w:gridAfter w:val="1"/>
          <w:wAfter w:w="15" w:type="dxa"/>
        </w:trPr>
        <w:tc>
          <w:tcPr>
            <w:cnfStyle w:val="001000000000" w:firstRow="0" w:lastRow="0" w:firstColumn="1" w:lastColumn="0" w:oddVBand="0" w:evenVBand="0" w:oddHBand="0" w:evenHBand="0" w:firstRowFirstColumn="0" w:firstRowLastColumn="0" w:lastRowFirstColumn="0" w:lastRowLastColumn="0"/>
            <w:tcW w:w="3913" w:type="dxa"/>
            <w:hideMark/>
          </w:tcPr>
          <w:p w14:paraId="76971E2C" w14:textId="77777777" w:rsidR="0085421C" w:rsidRPr="005C6F98" w:rsidRDefault="0085421C" w:rsidP="00363AC0">
            <w:pPr>
              <w:tabs>
                <w:tab w:val="left" w:pos="1134"/>
              </w:tabs>
              <w:rPr>
                <w:rFonts w:cs="Myriad Pro"/>
                <w:sz w:val="20"/>
                <w:szCs w:val="20"/>
              </w:rPr>
            </w:pPr>
            <w:r w:rsidRPr="005C6F98">
              <w:rPr>
                <w:rFonts w:cs="Myriad Pro"/>
                <w:sz w:val="20"/>
                <w:szCs w:val="20"/>
              </w:rPr>
              <w:t>транспортные услуги</w:t>
            </w:r>
          </w:p>
        </w:tc>
        <w:tc>
          <w:tcPr>
            <w:tcW w:w="1437" w:type="dxa"/>
            <w:hideMark/>
          </w:tcPr>
          <w:p w14:paraId="1E6D79FE"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2 493,9</w:t>
            </w:r>
          </w:p>
        </w:tc>
        <w:tc>
          <w:tcPr>
            <w:tcW w:w="1575" w:type="dxa"/>
            <w:hideMark/>
          </w:tcPr>
          <w:p w14:paraId="68EDD06D"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3 856,28</w:t>
            </w:r>
          </w:p>
        </w:tc>
        <w:tc>
          <w:tcPr>
            <w:tcW w:w="1550" w:type="dxa"/>
            <w:hideMark/>
          </w:tcPr>
          <w:p w14:paraId="0661C68F"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3 178,1</w:t>
            </w:r>
          </w:p>
        </w:tc>
        <w:tc>
          <w:tcPr>
            <w:tcW w:w="1391" w:type="dxa"/>
            <w:hideMark/>
          </w:tcPr>
          <w:p w14:paraId="700B1112"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3 301,1</w:t>
            </w:r>
          </w:p>
        </w:tc>
        <w:tc>
          <w:tcPr>
            <w:tcW w:w="1470" w:type="dxa"/>
            <w:hideMark/>
          </w:tcPr>
          <w:p w14:paraId="739AD76C"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3 767,4</w:t>
            </w:r>
          </w:p>
        </w:tc>
        <w:tc>
          <w:tcPr>
            <w:tcW w:w="1559" w:type="dxa"/>
            <w:hideMark/>
          </w:tcPr>
          <w:p w14:paraId="16473C0E"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589,3</w:t>
            </w:r>
          </w:p>
        </w:tc>
        <w:tc>
          <w:tcPr>
            <w:tcW w:w="1470" w:type="dxa"/>
            <w:hideMark/>
          </w:tcPr>
          <w:p w14:paraId="45D79544" w14:textId="1DE281F2" w:rsidR="0085421C" w:rsidRPr="00297DA6"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p>
        </w:tc>
      </w:tr>
      <w:tr w:rsidR="00907AB4" w:rsidRPr="005C6F98" w14:paraId="3B9DEE8D" w14:textId="77777777" w:rsidTr="005C6F98">
        <w:trPr>
          <w:gridAfter w:val="1"/>
          <w:wAfter w:w="15" w:type="dxa"/>
        </w:trPr>
        <w:tc>
          <w:tcPr>
            <w:cnfStyle w:val="001000000000" w:firstRow="0" w:lastRow="0" w:firstColumn="1" w:lastColumn="0" w:oddVBand="0" w:evenVBand="0" w:oddHBand="0" w:evenHBand="0" w:firstRowFirstColumn="0" w:firstRowLastColumn="0" w:lastRowFirstColumn="0" w:lastRowLastColumn="0"/>
            <w:tcW w:w="3913" w:type="dxa"/>
            <w:hideMark/>
          </w:tcPr>
          <w:p w14:paraId="071372C0" w14:textId="77777777" w:rsidR="0085421C" w:rsidRPr="005C6F98" w:rsidRDefault="0085421C" w:rsidP="00363AC0">
            <w:pPr>
              <w:tabs>
                <w:tab w:val="left" w:pos="1134"/>
              </w:tabs>
              <w:rPr>
                <w:rFonts w:cs="Myriad Pro"/>
                <w:sz w:val="20"/>
                <w:szCs w:val="20"/>
              </w:rPr>
            </w:pPr>
            <w:r w:rsidRPr="005C6F98">
              <w:rPr>
                <w:rFonts w:cs="Myriad Pro"/>
                <w:sz w:val="20"/>
                <w:szCs w:val="20"/>
              </w:rPr>
              <w:t>прочие услуги сторонних организаций</w:t>
            </w:r>
          </w:p>
        </w:tc>
        <w:tc>
          <w:tcPr>
            <w:tcW w:w="1437" w:type="dxa"/>
            <w:hideMark/>
          </w:tcPr>
          <w:p w14:paraId="1025ED92"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55 578,9</w:t>
            </w:r>
          </w:p>
        </w:tc>
        <w:tc>
          <w:tcPr>
            <w:tcW w:w="1575" w:type="dxa"/>
            <w:hideMark/>
          </w:tcPr>
          <w:p w14:paraId="1A17A7E6"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67 135,73</w:t>
            </w:r>
          </w:p>
        </w:tc>
        <w:tc>
          <w:tcPr>
            <w:tcW w:w="1550" w:type="dxa"/>
            <w:hideMark/>
          </w:tcPr>
          <w:p w14:paraId="1890DC54"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51 501,5</w:t>
            </w:r>
          </w:p>
        </w:tc>
        <w:tc>
          <w:tcPr>
            <w:tcW w:w="1391" w:type="dxa"/>
            <w:hideMark/>
          </w:tcPr>
          <w:p w14:paraId="086137B8"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53 494,0</w:t>
            </w:r>
          </w:p>
        </w:tc>
        <w:tc>
          <w:tcPr>
            <w:tcW w:w="1470" w:type="dxa"/>
            <w:hideMark/>
          </w:tcPr>
          <w:p w14:paraId="14A33FF9"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54 620,2</w:t>
            </w:r>
          </w:p>
        </w:tc>
        <w:tc>
          <w:tcPr>
            <w:tcW w:w="1559" w:type="dxa"/>
            <w:hideMark/>
          </w:tcPr>
          <w:p w14:paraId="55D9FACA"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3 118,7</w:t>
            </w:r>
          </w:p>
        </w:tc>
        <w:tc>
          <w:tcPr>
            <w:tcW w:w="1470" w:type="dxa"/>
            <w:hideMark/>
          </w:tcPr>
          <w:p w14:paraId="2676EE3A" w14:textId="159FD84A" w:rsidR="0085421C" w:rsidRPr="00297DA6"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p>
        </w:tc>
      </w:tr>
      <w:tr w:rsidR="00907AB4" w:rsidRPr="005C6F98" w14:paraId="358AD873" w14:textId="77777777" w:rsidTr="005C6F98">
        <w:trPr>
          <w:gridAfter w:val="1"/>
          <w:wAfter w:w="15" w:type="dxa"/>
        </w:trPr>
        <w:tc>
          <w:tcPr>
            <w:cnfStyle w:val="001000000000" w:firstRow="0" w:lastRow="0" w:firstColumn="1" w:lastColumn="0" w:oddVBand="0" w:evenVBand="0" w:oddHBand="0" w:evenHBand="0" w:firstRowFirstColumn="0" w:firstRowLastColumn="0" w:lastRowFirstColumn="0" w:lastRowLastColumn="0"/>
            <w:tcW w:w="3913" w:type="dxa"/>
            <w:hideMark/>
          </w:tcPr>
          <w:p w14:paraId="34D57C01" w14:textId="77777777" w:rsidR="0085421C" w:rsidRPr="005C6F98" w:rsidRDefault="0085421C" w:rsidP="00363AC0">
            <w:pPr>
              <w:tabs>
                <w:tab w:val="left" w:pos="1134"/>
              </w:tabs>
              <w:rPr>
                <w:rFonts w:cs="Myriad Pro"/>
                <w:sz w:val="20"/>
                <w:szCs w:val="20"/>
              </w:rPr>
            </w:pPr>
            <w:r w:rsidRPr="005C6F98">
              <w:rPr>
                <w:rFonts w:cs="Myriad Pro"/>
                <w:sz w:val="20"/>
                <w:szCs w:val="20"/>
              </w:rPr>
              <w:t>Расходы на командировки и представительские</w:t>
            </w:r>
          </w:p>
        </w:tc>
        <w:tc>
          <w:tcPr>
            <w:tcW w:w="1437" w:type="dxa"/>
            <w:hideMark/>
          </w:tcPr>
          <w:p w14:paraId="7D02F199"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34 135,1</w:t>
            </w:r>
          </w:p>
        </w:tc>
        <w:tc>
          <w:tcPr>
            <w:tcW w:w="1575" w:type="dxa"/>
            <w:hideMark/>
          </w:tcPr>
          <w:p w14:paraId="74FB8678"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47 157,28</w:t>
            </w:r>
          </w:p>
        </w:tc>
        <w:tc>
          <w:tcPr>
            <w:tcW w:w="1550" w:type="dxa"/>
            <w:hideMark/>
          </w:tcPr>
          <w:p w14:paraId="7062AE97"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30 523,6</w:t>
            </w:r>
          </w:p>
        </w:tc>
        <w:tc>
          <w:tcPr>
            <w:tcW w:w="1391" w:type="dxa"/>
            <w:hideMark/>
          </w:tcPr>
          <w:p w14:paraId="14D0C095"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31 704,5</w:t>
            </w:r>
          </w:p>
        </w:tc>
        <w:tc>
          <w:tcPr>
            <w:tcW w:w="1470" w:type="dxa"/>
            <w:hideMark/>
          </w:tcPr>
          <w:p w14:paraId="2778D2FF"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31 704,5</w:t>
            </w:r>
          </w:p>
        </w:tc>
        <w:tc>
          <w:tcPr>
            <w:tcW w:w="1559" w:type="dxa"/>
            <w:hideMark/>
          </w:tcPr>
          <w:p w14:paraId="61434352"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1 180,9</w:t>
            </w:r>
          </w:p>
        </w:tc>
        <w:tc>
          <w:tcPr>
            <w:tcW w:w="1470" w:type="dxa"/>
            <w:hideMark/>
          </w:tcPr>
          <w:p w14:paraId="6C7A93F4" w14:textId="30394B47" w:rsidR="0085421C" w:rsidRPr="00297DA6"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p>
        </w:tc>
      </w:tr>
      <w:tr w:rsidR="00907AB4" w:rsidRPr="005C6F98" w14:paraId="45A9EDF3" w14:textId="77777777" w:rsidTr="005C6F98">
        <w:trPr>
          <w:gridAfter w:val="1"/>
          <w:wAfter w:w="15" w:type="dxa"/>
        </w:trPr>
        <w:tc>
          <w:tcPr>
            <w:cnfStyle w:val="001000000000" w:firstRow="0" w:lastRow="0" w:firstColumn="1" w:lastColumn="0" w:oddVBand="0" w:evenVBand="0" w:oddHBand="0" w:evenHBand="0" w:firstRowFirstColumn="0" w:firstRowLastColumn="0" w:lastRowFirstColumn="0" w:lastRowLastColumn="0"/>
            <w:tcW w:w="3913" w:type="dxa"/>
            <w:hideMark/>
          </w:tcPr>
          <w:p w14:paraId="2A9E8154" w14:textId="77777777" w:rsidR="0085421C" w:rsidRPr="005C6F98" w:rsidRDefault="0085421C" w:rsidP="00363AC0">
            <w:pPr>
              <w:tabs>
                <w:tab w:val="left" w:pos="1134"/>
              </w:tabs>
              <w:rPr>
                <w:rFonts w:cs="Myriad Pro"/>
                <w:sz w:val="20"/>
                <w:szCs w:val="20"/>
              </w:rPr>
            </w:pPr>
            <w:r w:rsidRPr="005C6F98">
              <w:rPr>
                <w:rFonts w:cs="Myriad Pro"/>
                <w:sz w:val="20"/>
                <w:szCs w:val="20"/>
              </w:rPr>
              <w:lastRenderedPageBreak/>
              <w:t>Расходы на подготовку кадров</w:t>
            </w:r>
          </w:p>
        </w:tc>
        <w:tc>
          <w:tcPr>
            <w:tcW w:w="1437" w:type="dxa"/>
            <w:hideMark/>
          </w:tcPr>
          <w:p w14:paraId="1DD44D48"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5 953,7</w:t>
            </w:r>
          </w:p>
        </w:tc>
        <w:tc>
          <w:tcPr>
            <w:tcW w:w="1575" w:type="dxa"/>
            <w:hideMark/>
          </w:tcPr>
          <w:p w14:paraId="74A58DDB"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6 430,00</w:t>
            </w:r>
          </w:p>
        </w:tc>
        <w:tc>
          <w:tcPr>
            <w:tcW w:w="1550" w:type="dxa"/>
            <w:hideMark/>
          </w:tcPr>
          <w:p w14:paraId="0E400E70"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5 167,0</w:t>
            </w:r>
          </w:p>
        </w:tc>
        <w:tc>
          <w:tcPr>
            <w:tcW w:w="1391" w:type="dxa"/>
            <w:hideMark/>
          </w:tcPr>
          <w:p w14:paraId="4A76862D"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5 366,9</w:t>
            </w:r>
          </w:p>
        </w:tc>
        <w:tc>
          <w:tcPr>
            <w:tcW w:w="1470" w:type="dxa"/>
            <w:hideMark/>
          </w:tcPr>
          <w:p w14:paraId="40063B9F"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5 366,9</w:t>
            </w:r>
          </w:p>
        </w:tc>
        <w:tc>
          <w:tcPr>
            <w:tcW w:w="1559" w:type="dxa"/>
            <w:hideMark/>
          </w:tcPr>
          <w:p w14:paraId="4A2A2358"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199,9</w:t>
            </w:r>
          </w:p>
        </w:tc>
        <w:tc>
          <w:tcPr>
            <w:tcW w:w="1470" w:type="dxa"/>
            <w:hideMark/>
          </w:tcPr>
          <w:p w14:paraId="4D9AC5FA" w14:textId="2109A5B5" w:rsidR="0085421C" w:rsidRPr="00297DA6"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p>
        </w:tc>
      </w:tr>
      <w:tr w:rsidR="00907AB4" w:rsidRPr="005C6F98" w14:paraId="24CD01BD" w14:textId="77777777" w:rsidTr="005C6F98">
        <w:trPr>
          <w:gridAfter w:val="1"/>
          <w:wAfter w:w="15" w:type="dxa"/>
        </w:trPr>
        <w:tc>
          <w:tcPr>
            <w:cnfStyle w:val="001000000000" w:firstRow="0" w:lastRow="0" w:firstColumn="1" w:lastColumn="0" w:oddVBand="0" w:evenVBand="0" w:oddHBand="0" w:evenHBand="0" w:firstRowFirstColumn="0" w:firstRowLastColumn="0" w:lastRowFirstColumn="0" w:lastRowLastColumn="0"/>
            <w:tcW w:w="3913" w:type="dxa"/>
            <w:hideMark/>
          </w:tcPr>
          <w:p w14:paraId="231A4CDC" w14:textId="77777777" w:rsidR="0085421C" w:rsidRPr="005C6F98" w:rsidRDefault="0085421C" w:rsidP="00363AC0">
            <w:pPr>
              <w:tabs>
                <w:tab w:val="left" w:pos="1134"/>
              </w:tabs>
              <w:rPr>
                <w:rFonts w:cs="Myriad Pro"/>
                <w:sz w:val="20"/>
                <w:szCs w:val="20"/>
              </w:rPr>
            </w:pPr>
            <w:r w:rsidRPr="005C6F98">
              <w:rPr>
                <w:rFonts w:cs="Myriad Pro"/>
                <w:sz w:val="20"/>
                <w:szCs w:val="20"/>
              </w:rPr>
              <w:t>Расходы на обеспечение нормальных условий труда и мер по технике безопасности</w:t>
            </w:r>
          </w:p>
        </w:tc>
        <w:tc>
          <w:tcPr>
            <w:tcW w:w="1437" w:type="dxa"/>
            <w:hideMark/>
          </w:tcPr>
          <w:p w14:paraId="430355A2"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9 504,2</w:t>
            </w:r>
          </w:p>
        </w:tc>
        <w:tc>
          <w:tcPr>
            <w:tcW w:w="1575" w:type="dxa"/>
            <w:hideMark/>
          </w:tcPr>
          <w:p w14:paraId="71F90D27"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33 948,73</w:t>
            </w:r>
          </w:p>
        </w:tc>
        <w:tc>
          <w:tcPr>
            <w:tcW w:w="1550" w:type="dxa"/>
            <w:hideMark/>
          </w:tcPr>
          <w:p w14:paraId="7A7A812F"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9 379,9</w:t>
            </w:r>
          </w:p>
        </w:tc>
        <w:tc>
          <w:tcPr>
            <w:tcW w:w="1391" w:type="dxa"/>
            <w:hideMark/>
          </w:tcPr>
          <w:p w14:paraId="48BAD731"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9 742,8</w:t>
            </w:r>
          </w:p>
        </w:tc>
        <w:tc>
          <w:tcPr>
            <w:tcW w:w="1470" w:type="dxa"/>
            <w:hideMark/>
          </w:tcPr>
          <w:p w14:paraId="42DE5B07"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9 742,8</w:t>
            </w:r>
          </w:p>
        </w:tc>
        <w:tc>
          <w:tcPr>
            <w:tcW w:w="1559" w:type="dxa"/>
            <w:hideMark/>
          </w:tcPr>
          <w:p w14:paraId="6756E86B"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362,9</w:t>
            </w:r>
          </w:p>
        </w:tc>
        <w:tc>
          <w:tcPr>
            <w:tcW w:w="1470" w:type="dxa"/>
            <w:hideMark/>
          </w:tcPr>
          <w:p w14:paraId="0C1F38A6" w14:textId="0A26CC1A" w:rsidR="0085421C" w:rsidRPr="00297DA6"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p>
        </w:tc>
      </w:tr>
      <w:tr w:rsidR="00907AB4" w:rsidRPr="005C6F98" w14:paraId="5C55482A" w14:textId="77777777" w:rsidTr="005C6F98">
        <w:trPr>
          <w:gridAfter w:val="1"/>
          <w:wAfter w:w="15" w:type="dxa"/>
        </w:trPr>
        <w:tc>
          <w:tcPr>
            <w:cnfStyle w:val="001000000000" w:firstRow="0" w:lastRow="0" w:firstColumn="1" w:lastColumn="0" w:oddVBand="0" w:evenVBand="0" w:oddHBand="0" w:evenHBand="0" w:firstRowFirstColumn="0" w:firstRowLastColumn="0" w:lastRowFirstColumn="0" w:lastRowLastColumn="0"/>
            <w:tcW w:w="3913" w:type="dxa"/>
            <w:hideMark/>
          </w:tcPr>
          <w:p w14:paraId="67C8636F" w14:textId="77777777" w:rsidR="0085421C" w:rsidRPr="005C6F98" w:rsidRDefault="0085421C" w:rsidP="00363AC0">
            <w:pPr>
              <w:tabs>
                <w:tab w:val="left" w:pos="1134"/>
              </w:tabs>
              <w:rPr>
                <w:rFonts w:cs="Myriad Pro"/>
                <w:sz w:val="20"/>
                <w:szCs w:val="20"/>
              </w:rPr>
            </w:pPr>
            <w:r w:rsidRPr="005C6F98">
              <w:rPr>
                <w:rFonts w:cs="Myriad Pro"/>
                <w:sz w:val="20"/>
                <w:szCs w:val="20"/>
              </w:rPr>
              <w:t>Расходы на страхование</w:t>
            </w:r>
          </w:p>
        </w:tc>
        <w:tc>
          <w:tcPr>
            <w:tcW w:w="1437" w:type="dxa"/>
            <w:hideMark/>
          </w:tcPr>
          <w:p w14:paraId="0D9B86DF"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24 849,8</w:t>
            </w:r>
          </w:p>
        </w:tc>
        <w:tc>
          <w:tcPr>
            <w:tcW w:w="1575" w:type="dxa"/>
            <w:hideMark/>
          </w:tcPr>
          <w:p w14:paraId="2291E1EB"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30 215,93</w:t>
            </w:r>
          </w:p>
        </w:tc>
        <w:tc>
          <w:tcPr>
            <w:tcW w:w="1550" w:type="dxa"/>
            <w:hideMark/>
          </w:tcPr>
          <w:p w14:paraId="5194C418"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16 620,6</w:t>
            </w:r>
          </w:p>
        </w:tc>
        <w:tc>
          <w:tcPr>
            <w:tcW w:w="1391" w:type="dxa"/>
            <w:hideMark/>
          </w:tcPr>
          <w:p w14:paraId="5333B0BF"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17 263,7</w:t>
            </w:r>
          </w:p>
        </w:tc>
        <w:tc>
          <w:tcPr>
            <w:tcW w:w="1470" w:type="dxa"/>
            <w:hideMark/>
          </w:tcPr>
          <w:p w14:paraId="01107C09"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11 249,0</w:t>
            </w:r>
          </w:p>
        </w:tc>
        <w:tc>
          <w:tcPr>
            <w:tcW w:w="1559" w:type="dxa"/>
            <w:hideMark/>
          </w:tcPr>
          <w:p w14:paraId="70732747" w14:textId="0D70AF88"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p>
        </w:tc>
        <w:tc>
          <w:tcPr>
            <w:tcW w:w="1470" w:type="dxa"/>
            <w:hideMark/>
          </w:tcPr>
          <w:p w14:paraId="0CB6CFF9" w14:textId="77777777" w:rsidR="0085421C" w:rsidRPr="00297DA6"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297DA6">
              <w:rPr>
                <w:rFonts w:cs="Myriad Pro"/>
                <w:sz w:val="20"/>
                <w:szCs w:val="20"/>
              </w:rPr>
              <w:t>-5 371,7</w:t>
            </w:r>
          </w:p>
        </w:tc>
      </w:tr>
      <w:tr w:rsidR="00907AB4" w:rsidRPr="005C6F98" w14:paraId="600254FA" w14:textId="77777777" w:rsidTr="005C6F98">
        <w:trPr>
          <w:gridAfter w:val="1"/>
          <w:wAfter w:w="15" w:type="dxa"/>
        </w:trPr>
        <w:tc>
          <w:tcPr>
            <w:cnfStyle w:val="001000000000" w:firstRow="0" w:lastRow="0" w:firstColumn="1" w:lastColumn="0" w:oddVBand="0" w:evenVBand="0" w:oddHBand="0" w:evenHBand="0" w:firstRowFirstColumn="0" w:firstRowLastColumn="0" w:lastRowFirstColumn="0" w:lastRowLastColumn="0"/>
            <w:tcW w:w="3913" w:type="dxa"/>
            <w:hideMark/>
          </w:tcPr>
          <w:p w14:paraId="4EBE62C0" w14:textId="59D67C05" w:rsidR="0085421C" w:rsidRPr="005C6F98" w:rsidRDefault="0085421C" w:rsidP="00363AC0">
            <w:pPr>
              <w:tabs>
                <w:tab w:val="left" w:pos="1134"/>
              </w:tabs>
              <w:rPr>
                <w:rFonts w:cs="Myriad Pro"/>
                <w:sz w:val="20"/>
                <w:szCs w:val="20"/>
              </w:rPr>
            </w:pPr>
            <w:r w:rsidRPr="005C6F98">
              <w:rPr>
                <w:rFonts w:cs="Myriad Pro"/>
                <w:sz w:val="20"/>
                <w:szCs w:val="20"/>
              </w:rPr>
              <w:t>Электроэнергия на хоз</w:t>
            </w:r>
            <w:r w:rsidR="00164398" w:rsidRPr="005C6F98">
              <w:rPr>
                <w:rFonts w:cs="Myriad Pro"/>
                <w:sz w:val="20"/>
                <w:szCs w:val="20"/>
              </w:rPr>
              <w:t>яйственные</w:t>
            </w:r>
            <w:r w:rsidRPr="005C6F98">
              <w:rPr>
                <w:rFonts w:cs="Myriad Pro"/>
                <w:sz w:val="20"/>
                <w:szCs w:val="20"/>
              </w:rPr>
              <w:t xml:space="preserve"> нужды</w:t>
            </w:r>
          </w:p>
        </w:tc>
        <w:tc>
          <w:tcPr>
            <w:tcW w:w="1437" w:type="dxa"/>
            <w:hideMark/>
          </w:tcPr>
          <w:p w14:paraId="78DF4460"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16 806,4</w:t>
            </w:r>
          </w:p>
        </w:tc>
        <w:tc>
          <w:tcPr>
            <w:tcW w:w="1575" w:type="dxa"/>
            <w:hideMark/>
          </w:tcPr>
          <w:p w14:paraId="284F14E8"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19 140,76</w:t>
            </w:r>
          </w:p>
        </w:tc>
        <w:tc>
          <w:tcPr>
            <w:tcW w:w="1550" w:type="dxa"/>
            <w:hideMark/>
          </w:tcPr>
          <w:p w14:paraId="7CE1CFD6"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17 803,3</w:t>
            </w:r>
          </w:p>
        </w:tc>
        <w:tc>
          <w:tcPr>
            <w:tcW w:w="1391" w:type="dxa"/>
            <w:hideMark/>
          </w:tcPr>
          <w:p w14:paraId="7DEF307C"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18 492,1</w:t>
            </w:r>
          </w:p>
        </w:tc>
        <w:tc>
          <w:tcPr>
            <w:tcW w:w="1470" w:type="dxa"/>
            <w:hideMark/>
          </w:tcPr>
          <w:p w14:paraId="5C240D0A"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18 490,4</w:t>
            </w:r>
          </w:p>
        </w:tc>
        <w:tc>
          <w:tcPr>
            <w:tcW w:w="1559" w:type="dxa"/>
            <w:hideMark/>
          </w:tcPr>
          <w:p w14:paraId="6E152C8B"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687,1</w:t>
            </w:r>
          </w:p>
        </w:tc>
        <w:tc>
          <w:tcPr>
            <w:tcW w:w="1470" w:type="dxa"/>
            <w:hideMark/>
          </w:tcPr>
          <w:p w14:paraId="3D5AD0A0" w14:textId="370A9CB8" w:rsidR="0085421C" w:rsidRPr="00297DA6"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p>
        </w:tc>
      </w:tr>
      <w:tr w:rsidR="00907AB4" w:rsidRPr="005C6F98" w14:paraId="44B634C5" w14:textId="77777777" w:rsidTr="005C6F98">
        <w:trPr>
          <w:gridAfter w:val="1"/>
          <w:wAfter w:w="15" w:type="dxa"/>
        </w:trPr>
        <w:tc>
          <w:tcPr>
            <w:cnfStyle w:val="001000000000" w:firstRow="0" w:lastRow="0" w:firstColumn="1" w:lastColumn="0" w:oddVBand="0" w:evenVBand="0" w:oddHBand="0" w:evenHBand="0" w:firstRowFirstColumn="0" w:firstRowLastColumn="0" w:lastRowFirstColumn="0" w:lastRowLastColumn="0"/>
            <w:tcW w:w="3913" w:type="dxa"/>
            <w:hideMark/>
          </w:tcPr>
          <w:p w14:paraId="5482E644" w14:textId="77777777" w:rsidR="0085421C" w:rsidRPr="005C6F98" w:rsidRDefault="0085421C" w:rsidP="00363AC0">
            <w:pPr>
              <w:tabs>
                <w:tab w:val="left" w:pos="1134"/>
              </w:tabs>
              <w:rPr>
                <w:rFonts w:cs="Myriad Pro"/>
                <w:sz w:val="20"/>
                <w:szCs w:val="20"/>
              </w:rPr>
            </w:pPr>
            <w:r w:rsidRPr="005C6F98">
              <w:rPr>
                <w:rFonts w:cs="Myriad Pro"/>
                <w:sz w:val="20"/>
                <w:szCs w:val="20"/>
              </w:rPr>
              <w:t>Подконтрольные расходы из прибыли</w:t>
            </w:r>
          </w:p>
        </w:tc>
        <w:tc>
          <w:tcPr>
            <w:tcW w:w="1437" w:type="dxa"/>
            <w:hideMark/>
          </w:tcPr>
          <w:p w14:paraId="3CC8AAAD"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351 497,7</w:t>
            </w:r>
          </w:p>
        </w:tc>
        <w:tc>
          <w:tcPr>
            <w:tcW w:w="1575" w:type="dxa"/>
            <w:hideMark/>
          </w:tcPr>
          <w:p w14:paraId="79487EDE"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371 641,93</w:t>
            </w:r>
          </w:p>
        </w:tc>
        <w:tc>
          <w:tcPr>
            <w:tcW w:w="1550" w:type="dxa"/>
            <w:hideMark/>
          </w:tcPr>
          <w:p w14:paraId="6D380A8C"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89 616,3</w:t>
            </w:r>
          </w:p>
        </w:tc>
        <w:tc>
          <w:tcPr>
            <w:tcW w:w="1391" w:type="dxa"/>
            <w:hideMark/>
          </w:tcPr>
          <w:p w14:paraId="19F99F76"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93 083,4</w:t>
            </w:r>
          </w:p>
        </w:tc>
        <w:tc>
          <w:tcPr>
            <w:tcW w:w="1470" w:type="dxa"/>
            <w:hideMark/>
          </w:tcPr>
          <w:p w14:paraId="18673C6C"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100 571,4</w:t>
            </w:r>
          </w:p>
        </w:tc>
        <w:tc>
          <w:tcPr>
            <w:tcW w:w="1559" w:type="dxa"/>
            <w:hideMark/>
          </w:tcPr>
          <w:p w14:paraId="4B85CACF"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45 299,2</w:t>
            </w:r>
          </w:p>
        </w:tc>
        <w:tc>
          <w:tcPr>
            <w:tcW w:w="1470" w:type="dxa"/>
            <w:hideMark/>
          </w:tcPr>
          <w:p w14:paraId="66C23D4A" w14:textId="77777777" w:rsidR="0085421C" w:rsidRPr="00297DA6"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297DA6">
              <w:rPr>
                <w:rFonts w:cs="Myriad Pro"/>
                <w:sz w:val="20"/>
                <w:szCs w:val="20"/>
              </w:rPr>
              <w:t>-34 344,1</w:t>
            </w:r>
          </w:p>
        </w:tc>
      </w:tr>
      <w:tr w:rsidR="00907AB4" w:rsidRPr="005C6F98" w14:paraId="01F513A3" w14:textId="77777777" w:rsidTr="005C6F98">
        <w:trPr>
          <w:gridAfter w:val="1"/>
          <w:wAfter w:w="15" w:type="dxa"/>
        </w:trPr>
        <w:tc>
          <w:tcPr>
            <w:cnfStyle w:val="001000000000" w:firstRow="0" w:lastRow="0" w:firstColumn="1" w:lastColumn="0" w:oddVBand="0" w:evenVBand="0" w:oddHBand="0" w:evenHBand="0" w:firstRowFirstColumn="0" w:firstRowLastColumn="0" w:lastRowFirstColumn="0" w:lastRowLastColumn="0"/>
            <w:tcW w:w="3913" w:type="dxa"/>
            <w:hideMark/>
          </w:tcPr>
          <w:p w14:paraId="1D135132" w14:textId="77777777" w:rsidR="0085421C" w:rsidRPr="005C6F98" w:rsidRDefault="0085421C" w:rsidP="00363AC0">
            <w:pPr>
              <w:tabs>
                <w:tab w:val="left" w:pos="1134"/>
              </w:tabs>
              <w:rPr>
                <w:rFonts w:cs="Myriad Pro"/>
                <w:sz w:val="20"/>
                <w:szCs w:val="20"/>
              </w:rPr>
            </w:pPr>
            <w:r w:rsidRPr="005C6F98">
              <w:rPr>
                <w:rFonts w:cs="Myriad Pro"/>
                <w:sz w:val="20"/>
                <w:szCs w:val="20"/>
              </w:rPr>
              <w:t>Содержание управляющей компании</w:t>
            </w:r>
          </w:p>
        </w:tc>
        <w:tc>
          <w:tcPr>
            <w:tcW w:w="1437" w:type="dxa"/>
            <w:hideMark/>
          </w:tcPr>
          <w:p w14:paraId="091EA6A9"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207 224,1</w:t>
            </w:r>
          </w:p>
        </w:tc>
        <w:tc>
          <w:tcPr>
            <w:tcW w:w="1575" w:type="dxa"/>
            <w:hideMark/>
          </w:tcPr>
          <w:p w14:paraId="77EC5D69"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223 487,03</w:t>
            </w:r>
          </w:p>
        </w:tc>
        <w:tc>
          <w:tcPr>
            <w:tcW w:w="1550" w:type="dxa"/>
            <w:hideMark/>
          </w:tcPr>
          <w:p w14:paraId="41C871F1"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28 338,5</w:t>
            </w:r>
          </w:p>
        </w:tc>
        <w:tc>
          <w:tcPr>
            <w:tcW w:w="1391" w:type="dxa"/>
            <w:hideMark/>
          </w:tcPr>
          <w:p w14:paraId="41C7FA80"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29 434,8</w:t>
            </w:r>
          </w:p>
        </w:tc>
        <w:tc>
          <w:tcPr>
            <w:tcW w:w="1470" w:type="dxa"/>
            <w:hideMark/>
          </w:tcPr>
          <w:p w14:paraId="2FE1D313"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70 547,2</w:t>
            </w:r>
          </w:p>
        </w:tc>
        <w:tc>
          <w:tcPr>
            <w:tcW w:w="1559" w:type="dxa"/>
            <w:hideMark/>
          </w:tcPr>
          <w:p w14:paraId="056B39D3"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42 208,7</w:t>
            </w:r>
          </w:p>
        </w:tc>
        <w:tc>
          <w:tcPr>
            <w:tcW w:w="1470" w:type="dxa"/>
            <w:hideMark/>
          </w:tcPr>
          <w:p w14:paraId="7D9616C9" w14:textId="2D2B0E0B" w:rsidR="0085421C" w:rsidRPr="00297DA6"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p>
        </w:tc>
      </w:tr>
      <w:tr w:rsidR="00907AB4" w:rsidRPr="005C6F98" w14:paraId="4DB389DF" w14:textId="77777777" w:rsidTr="005C6F98">
        <w:trPr>
          <w:gridAfter w:val="1"/>
          <w:wAfter w:w="15" w:type="dxa"/>
        </w:trPr>
        <w:tc>
          <w:tcPr>
            <w:cnfStyle w:val="001000000000" w:firstRow="0" w:lastRow="0" w:firstColumn="1" w:lastColumn="0" w:oddVBand="0" w:evenVBand="0" w:oddHBand="0" w:evenHBand="0" w:firstRowFirstColumn="0" w:firstRowLastColumn="0" w:lastRowFirstColumn="0" w:lastRowLastColumn="0"/>
            <w:tcW w:w="3913" w:type="dxa"/>
            <w:hideMark/>
          </w:tcPr>
          <w:p w14:paraId="31FEF602" w14:textId="77777777" w:rsidR="0085421C" w:rsidRPr="005C6F98" w:rsidRDefault="0085421C" w:rsidP="00363AC0">
            <w:pPr>
              <w:tabs>
                <w:tab w:val="left" w:pos="1134"/>
              </w:tabs>
              <w:rPr>
                <w:rFonts w:cs="Myriad Pro"/>
                <w:sz w:val="20"/>
                <w:szCs w:val="20"/>
              </w:rPr>
            </w:pPr>
            <w:r w:rsidRPr="005C6F98">
              <w:rPr>
                <w:rFonts w:cs="Myriad Pro"/>
                <w:sz w:val="20"/>
                <w:szCs w:val="20"/>
              </w:rPr>
              <w:t>Расходы из прибыли по коллективному договору</w:t>
            </w:r>
          </w:p>
        </w:tc>
        <w:tc>
          <w:tcPr>
            <w:tcW w:w="1437" w:type="dxa"/>
            <w:hideMark/>
          </w:tcPr>
          <w:p w14:paraId="1D308180"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33 191,3</w:t>
            </w:r>
          </w:p>
        </w:tc>
        <w:tc>
          <w:tcPr>
            <w:tcW w:w="1575" w:type="dxa"/>
            <w:hideMark/>
          </w:tcPr>
          <w:p w14:paraId="68E4BCA7"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41 231,50</w:t>
            </w:r>
          </w:p>
        </w:tc>
        <w:tc>
          <w:tcPr>
            <w:tcW w:w="1550" w:type="dxa"/>
            <w:hideMark/>
          </w:tcPr>
          <w:p w14:paraId="2A263281"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23 771,5</w:t>
            </w:r>
          </w:p>
        </w:tc>
        <w:tc>
          <w:tcPr>
            <w:tcW w:w="1391" w:type="dxa"/>
            <w:hideMark/>
          </w:tcPr>
          <w:p w14:paraId="166C3E8E"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24 691,2</w:t>
            </w:r>
          </w:p>
        </w:tc>
        <w:tc>
          <w:tcPr>
            <w:tcW w:w="1470" w:type="dxa"/>
            <w:hideMark/>
          </w:tcPr>
          <w:p w14:paraId="51A89032"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26 862,0</w:t>
            </w:r>
          </w:p>
        </w:tc>
        <w:tc>
          <w:tcPr>
            <w:tcW w:w="1559" w:type="dxa"/>
            <w:hideMark/>
          </w:tcPr>
          <w:p w14:paraId="4AB0BA5C"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3 090,5</w:t>
            </w:r>
          </w:p>
        </w:tc>
        <w:tc>
          <w:tcPr>
            <w:tcW w:w="1470" w:type="dxa"/>
            <w:hideMark/>
          </w:tcPr>
          <w:p w14:paraId="78EA4059" w14:textId="67C6959C" w:rsidR="0085421C" w:rsidRPr="00297DA6"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p>
        </w:tc>
      </w:tr>
      <w:tr w:rsidR="00907AB4" w:rsidRPr="005C6F98" w14:paraId="1A9C7D22" w14:textId="77777777" w:rsidTr="005C6F98">
        <w:trPr>
          <w:gridAfter w:val="1"/>
          <w:wAfter w:w="15" w:type="dxa"/>
        </w:trPr>
        <w:tc>
          <w:tcPr>
            <w:cnfStyle w:val="001000000000" w:firstRow="0" w:lastRow="0" w:firstColumn="1" w:lastColumn="0" w:oddVBand="0" w:evenVBand="0" w:oddHBand="0" w:evenHBand="0" w:firstRowFirstColumn="0" w:firstRowLastColumn="0" w:lastRowFirstColumn="0" w:lastRowLastColumn="0"/>
            <w:tcW w:w="3913" w:type="dxa"/>
            <w:hideMark/>
          </w:tcPr>
          <w:p w14:paraId="7BBD0D72" w14:textId="77777777" w:rsidR="0085421C" w:rsidRPr="005C6F98" w:rsidRDefault="0085421C" w:rsidP="00363AC0">
            <w:pPr>
              <w:tabs>
                <w:tab w:val="left" w:pos="1134"/>
              </w:tabs>
              <w:rPr>
                <w:rFonts w:cs="Myriad Pro"/>
                <w:sz w:val="20"/>
                <w:szCs w:val="20"/>
              </w:rPr>
            </w:pPr>
            <w:r w:rsidRPr="005C6F98">
              <w:rPr>
                <w:rFonts w:cs="Myriad Pro"/>
                <w:sz w:val="20"/>
                <w:szCs w:val="20"/>
              </w:rPr>
              <w:t>Другие расходы из прибыли</w:t>
            </w:r>
          </w:p>
        </w:tc>
        <w:tc>
          <w:tcPr>
            <w:tcW w:w="1437" w:type="dxa"/>
            <w:hideMark/>
          </w:tcPr>
          <w:p w14:paraId="1EB9BBA9"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111 082,3</w:t>
            </w:r>
          </w:p>
        </w:tc>
        <w:tc>
          <w:tcPr>
            <w:tcW w:w="1575" w:type="dxa"/>
            <w:hideMark/>
          </w:tcPr>
          <w:p w14:paraId="566115F0"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106 923,40</w:t>
            </w:r>
          </w:p>
        </w:tc>
        <w:tc>
          <w:tcPr>
            <w:tcW w:w="1550" w:type="dxa"/>
            <w:hideMark/>
          </w:tcPr>
          <w:p w14:paraId="65938655"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37 506,4</w:t>
            </w:r>
          </w:p>
        </w:tc>
        <w:tc>
          <w:tcPr>
            <w:tcW w:w="1391" w:type="dxa"/>
            <w:hideMark/>
          </w:tcPr>
          <w:p w14:paraId="6795452A"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38 957,4</w:t>
            </w:r>
          </w:p>
        </w:tc>
        <w:tc>
          <w:tcPr>
            <w:tcW w:w="1470" w:type="dxa"/>
            <w:hideMark/>
          </w:tcPr>
          <w:p w14:paraId="648B57BD"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3 162,3</w:t>
            </w:r>
          </w:p>
        </w:tc>
        <w:tc>
          <w:tcPr>
            <w:tcW w:w="1559" w:type="dxa"/>
            <w:hideMark/>
          </w:tcPr>
          <w:p w14:paraId="50B1D4B0" w14:textId="486664CD"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p>
        </w:tc>
        <w:tc>
          <w:tcPr>
            <w:tcW w:w="1470" w:type="dxa"/>
            <w:hideMark/>
          </w:tcPr>
          <w:p w14:paraId="51393469" w14:textId="77777777" w:rsidR="0085421C" w:rsidRPr="00297DA6"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297DA6">
              <w:rPr>
                <w:rFonts w:cs="Myriad Pro"/>
                <w:sz w:val="20"/>
                <w:szCs w:val="20"/>
              </w:rPr>
              <w:t>-34 344,1</w:t>
            </w:r>
          </w:p>
        </w:tc>
      </w:tr>
      <w:tr w:rsidR="00907AB4" w:rsidRPr="005C6F98" w14:paraId="2036BC1E" w14:textId="77777777" w:rsidTr="005C6F98">
        <w:trPr>
          <w:gridAfter w:val="1"/>
          <w:wAfter w:w="15" w:type="dxa"/>
        </w:trPr>
        <w:tc>
          <w:tcPr>
            <w:cnfStyle w:val="001000000000" w:firstRow="0" w:lastRow="0" w:firstColumn="1" w:lastColumn="0" w:oddVBand="0" w:evenVBand="0" w:oddHBand="0" w:evenHBand="0" w:firstRowFirstColumn="0" w:firstRowLastColumn="0" w:lastRowFirstColumn="0" w:lastRowLastColumn="0"/>
            <w:tcW w:w="3913" w:type="dxa"/>
            <w:hideMark/>
          </w:tcPr>
          <w:p w14:paraId="007944CB" w14:textId="77777777" w:rsidR="0085421C" w:rsidRPr="005C6F98" w:rsidRDefault="0085421C" w:rsidP="00363AC0">
            <w:pPr>
              <w:tabs>
                <w:tab w:val="left" w:pos="1134"/>
              </w:tabs>
              <w:rPr>
                <w:rFonts w:cs="Myriad Pro"/>
                <w:b/>
                <w:sz w:val="20"/>
                <w:szCs w:val="20"/>
              </w:rPr>
            </w:pPr>
            <w:r w:rsidRPr="005C6F98">
              <w:rPr>
                <w:rFonts w:cs="Myriad Pro"/>
                <w:b/>
                <w:sz w:val="20"/>
                <w:szCs w:val="20"/>
              </w:rPr>
              <w:t>ИТОГО операционные (подконтрольные) расходы</w:t>
            </w:r>
          </w:p>
        </w:tc>
        <w:tc>
          <w:tcPr>
            <w:tcW w:w="1437" w:type="dxa"/>
            <w:hideMark/>
          </w:tcPr>
          <w:p w14:paraId="4750BF24"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b/>
                <w:sz w:val="20"/>
                <w:szCs w:val="20"/>
              </w:rPr>
            </w:pPr>
            <w:r w:rsidRPr="005C6F98">
              <w:rPr>
                <w:rFonts w:cs="Myriad Pro"/>
                <w:b/>
                <w:sz w:val="20"/>
                <w:szCs w:val="20"/>
              </w:rPr>
              <w:t>1 808 837,22</w:t>
            </w:r>
          </w:p>
        </w:tc>
        <w:tc>
          <w:tcPr>
            <w:tcW w:w="1575" w:type="dxa"/>
            <w:hideMark/>
          </w:tcPr>
          <w:p w14:paraId="7FC1A609"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b/>
                <w:sz w:val="20"/>
                <w:szCs w:val="20"/>
              </w:rPr>
            </w:pPr>
            <w:r w:rsidRPr="005C6F98">
              <w:rPr>
                <w:rFonts w:cs="Myriad Pro"/>
                <w:b/>
                <w:sz w:val="20"/>
                <w:szCs w:val="20"/>
              </w:rPr>
              <w:t>2 457 943,68</w:t>
            </w:r>
          </w:p>
        </w:tc>
        <w:tc>
          <w:tcPr>
            <w:tcW w:w="1550" w:type="dxa"/>
            <w:hideMark/>
          </w:tcPr>
          <w:p w14:paraId="430BAA65"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b/>
                <w:sz w:val="20"/>
                <w:szCs w:val="20"/>
              </w:rPr>
            </w:pPr>
            <w:r w:rsidRPr="005C6F98">
              <w:rPr>
                <w:rFonts w:cs="Myriad Pro"/>
                <w:b/>
                <w:sz w:val="20"/>
                <w:szCs w:val="20"/>
              </w:rPr>
              <w:t>1 698 503,91</w:t>
            </w:r>
          </w:p>
        </w:tc>
        <w:tc>
          <w:tcPr>
            <w:tcW w:w="1391" w:type="dxa"/>
            <w:hideMark/>
          </w:tcPr>
          <w:p w14:paraId="3194B9BC"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b/>
                <w:sz w:val="20"/>
                <w:szCs w:val="20"/>
              </w:rPr>
            </w:pPr>
            <w:r w:rsidRPr="005C6F98">
              <w:rPr>
                <w:rFonts w:cs="Myriad Pro"/>
                <w:b/>
                <w:sz w:val="20"/>
                <w:szCs w:val="20"/>
              </w:rPr>
              <w:t>1 764 216,06</w:t>
            </w:r>
          </w:p>
        </w:tc>
        <w:tc>
          <w:tcPr>
            <w:tcW w:w="1470" w:type="dxa"/>
            <w:hideMark/>
          </w:tcPr>
          <w:p w14:paraId="31A6415B"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b/>
                <w:sz w:val="20"/>
                <w:szCs w:val="20"/>
              </w:rPr>
            </w:pPr>
            <w:r w:rsidRPr="005C6F98">
              <w:rPr>
                <w:rFonts w:cs="Myriad Pro"/>
                <w:b/>
                <w:sz w:val="20"/>
                <w:szCs w:val="20"/>
              </w:rPr>
              <w:t>1 780 731,76</w:t>
            </w:r>
          </w:p>
        </w:tc>
        <w:tc>
          <w:tcPr>
            <w:tcW w:w="1559" w:type="dxa"/>
            <w:hideMark/>
          </w:tcPr>
          <w:p w14:paraId="522614A7"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b/>
                <w:sz w:val="20"/>
                <w:szCs w:val="20"/>
              </w:rPr>
            </w:pPr>
            <w:r w:rsidRPr="005C6F98">
              <w:rPr>
                <w:rFonts w:cs="Myriad Pro"/>
                <w:b/>
                <w:sz w:val="20"/>
                <w:szCs w:val="20"/>
              </w:rPr>
              <w:t>137 040,84</w:t>
            </w:r>
          </w:p>
        </w:tc>
        <w:tc>
          <w:tcPr>
            <w:tcW w:w="1470" w:type="dxa"/>
            <w:hideMark/>
          </w:tcPr>
          <w:p w14:paraId="19F32748" w14:textId="77777777" w:rsidR="0085421C" w:rsidRPr="00297DA6"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b/>
                <w:sz w:val="20"/>
                <w:szCs w:val="20"/>
              </w:rPr>
            </w:pPr>
            <w:r w:rsidRPr="00297DA6">
              <w:rPr>
                <w:rFonts w:cs="Myriad Pro"/>
                <w:b/>
                <w:sz w:val="20"/>
                <w:szCs w:val="20"/>
              </w:rPr>
              <w:t>-54 812,99</w:t>
            </w:r>
          </w:p>
        </w:tc>
      </w:tr>
      <w:tr w:rsidR="00655FFA" w:rsidRPr="005C6F98" w14:paraId="561B8A72" w14:textId="77777777" w:rsidTr="005C6F98">
        <w:trPr>
          <w:gridAfter w:val="1"/>
          <w:wAfter w:w="15" w:type="dxa"/>
        </w:trPr>
        <w:tc>
          <w:tcPr>
            <w:cnfStyle w:val="001000000000" w:firstRow="0" w:lastRow="0" w:firstColumn="1" w:lastColumn="0" w:oddVBand="0" w:evenVBand="0" w:oddHBand="0" w:evenHBand="0" w:firstRowFirstColumn="0" w:firstRowLastColumn="0" w:lastRowFirstColumn="0" w:lastRowLastColumn="0"/>
            <w:tcW w:w="3913" w:type="dxa"/>
            <w:hideMark/>
          </w:tcPr>
          <w:p w14:paraId="6EDB7EE5" w14:textId="71346A11" w:rsidR="0085421C" w:rsidRPr="005C6F98" w:rsidRDefault="0085421C" w:rsidP="00363AC0">
            <w:pPr>
              <w:tabs>
                <w:tab w:val="left" w:pos="1134"/>
              </w:tabs>
              <w:rPr>
                <w:rFonts w:cs="Myriad Pro"/>
                <w:sz w:val="20"/>
                <w:szCs w:val="20"/>
              </w:rPr>
            </w:pPr>
            <w:r w:rsidRPr="005C6F98">
              <w:rPr>
                <w:rFonts w:cs="Myriad Pro"/>
                <w:sz w:val="20"/>
                <w:szCs w:val="20"/>
              </w:rPr>
              <w:t xml:space="preserve">Оплата услуг ПАО </w:t>
            </w:r>
            <w:r w:rsidR="00655FFA" w:rsidRPr="005C6F98">
              <w:rPr>
                <w:rFonts w:cs="Myriad Pro"/>
                <w:sz w:val="20"/>
                <w:szCs w:val="20"/>
              </w:rPr>
              <w:t>«</w:t>
            </w:r>
            <w:r w:rsidRPr="005C6F98">
              <w:rPr>
                <w:rFonts w:cs="Myriad Pro"/>
                <w:sz w:val="20"/>
                <w:szCs w:val="20"/>
              </w:rPr>
              <w:t>ФСК ЕЭС</w:t>
            </w:r>
            <w:r w:rsidR="00655FFA" w:rsidRPr="005C6F98">
              <w:rPr>
                <w:rFonts w:cs="Myriad Pro"/>
                <w:sz w:val="20"/>
                <w:szCs w:val="20"/>
              </w:rPr>
              <w:t>»</w:t>
            </w:r>
          </w:p>
        </w:tc>
        <w:tc>
          <w:tcPr>
            <w:tcW w:w="1437" w:type="dxa"/>
            <w:hideMark/>
          </w:tcPr>
          <w:p w14:paraId="75A019A3"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2 256 810,5</w:t>
            </w:r>
          </w:p>
        </w:tc>
        <w:tc>
          <w:tcPr>
            <w:tcW w:w="1575" w:type="dxa"/>
            <w:hideMark/>
          </w:tcPr>
          <w:p w14:paraId="1A048B90"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2 507 399,5</w:t>
            </w:r>
          </w:p>
        </w:tc>
        <w:tc>
          <w:tcPr>
            <w:tcW w:w="1550" w:type="dxa"/>
            <w:hideMark/>
          </w:tcPr>
          <w:p w14:paraId="3B6AC4D7"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2 550 894,7</w:t>
            </w:r>
          </w:p>
        </w:tc>
        <w:tc>
          <w:tcPr>
            <w:tcW w:w="1391" w:type="dxa"/>
            <w:noWrap/>
            <w:hideMark/>
          </w:tcPr>
          <w:p w14:paraId="0A0E486C" w14:textId="1B35F23A"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p>
        </w:tc>
        <w:tc>
          <w:tcPr>
            <w:tcW w:w="1470" w:type="dxa"/>
            <w:hideMark/>
          </w:tcPr>
          <w:p w14:paraId="60FD0251"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2 481 508,4</w:t>
            </w:r>
          </w:p>
        </w:tc>
        <w:tc>
          <w:tcPr>
            <w:tcW w:w="1559" w:type="dxa"/>
            <w:hideMark/>
          </w:tcPr>
          <w:p w14:paraId="654EC846" w14:textId="7F9A682B"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p>
        </w:tc>
        <w:tc>
          <w:tcPr>
            <w:tcW w:w="1470" w:type="dxa"/>
            <w:hideMark/>
          </w:tcPr>
          <w:p w14:paraId="1A660005" w14:textId="77777777" w:rsidR="0085421C" w:rsidRPr="00297DA6"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297DA6">
              <w:rPr>
                <w:rFonts w:cs="Myriad Pro"/>
                <w:sz w:val="20"/>
                <w:szCs w:val="20"/>
              </w:rPr>
              <w:t>-69 386,3</w:t>
            </w:r>
          </w:p>
        </w:tc>
      </w:tr>
      <w:tr w:rsidR="00655FFA" w:rsidRPr="005C6F98" w14:paraId="712C263E" w14:textId="77777777" w:rsidTr="005C6F98">
        <w:trPr>
          <w:gridAfter w:val="1"/>
          <w:wAfter w:w="15" w:type="dxa"/>
        </w:trPr>
        <w:tc>
          <w:tcPr>
            <w:cnfStyle w:val="001000000000" w:firstRow="0" w:lastRow="0" w:firstColumn="1" w:lastColumn="0" w:oddVBand="0" w:evenVBand="0" w:oddHBand="0" w:evenHBand="0" w:firstRowFirstColumn="0" w:firstRowLastColumn="0" w:lastRowFirstColumn="0" w:lastRowLastColumn="0"/>
            <w:tcW w:w="3913" w:type="dxa"/>
            <w:hideMark/>
          </w:tcPr>
          <w:p w14:paraId="799B0DF4" w14:textId="77777777" w:rsidR="0085421C" w:rsidRPr="005C6F98" w:rsidRDefault="0085421C" w:rsidP="00363AC0">
            <w:pPr>
              <w:tabs>
                <w:tab w:val="left" w:pos="1134"/>
              </w:tabs>
              <w:rPr>
                <w:rFonts w:cs="Myriad Pro"/>
                <w:sz w:val="20"/>
                <w:szCs w:val="20"/>
              </w:rPr>
            </w:pPr>
            <w:r w:rsidRPr="005C6F98">
              <w:rPr>
                <w:rFonts w:cs="Myriad Pro"/>
                <w:sz w:val="20"/>
                <w:szCs w:val="20"/>
              </w:rPr>
              <w:t>Тепловая энергия на хоз. нужды</w:t>
            </w:r>
          </w:p>
        </w:tc>
        <w:tc>
          <w:tcPr>
            <w:tcW w:w="1437" w:type="dxa"/>
            <w:hideMark/>
          </w:tcPr>
          <w:p w14:paraId="4C7341FA"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15 522,8</w:t>
            </w:r>
          </w:p>
        </w:tc>
        <w:tc>
          <w:tcPr>
            <w:tcW w:w="1575" w:type="dxa"/>
            <w:hideMark/>
          </w:tcPr>
          <w:p w14:paraId="7CB6E2DE"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0,0</w:t>
            </w:r>
          </w:p>
        </w:tc>
        <w:tc>
          <w:tcPr>
            <w:tcW w:w="1550" w:type="dxa"/>
            <w:hideMark/>
          </w:tcPr>
          <w:p w14:paraId="0F2A50B1"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19 140,0</w:t>
            </w:r>
          </w:p>
        </w:tc>
        <w:tc>
          <w:tcPr>
            <w:tcW w:w="1391" w:type="dxa"/>
            <w:noWrap/>
            <w:hideMark/>
          </w:tcPr>
          <w:p w14:paraId="65665B75" w14:textId="619B364D"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p>
        </w:tc>
        <w:tc>
          <w:tcPr>
            <w:tcW w:w="1470" w:type="dxa"/>
            <w:hideMark/>
          </w:tcPr>
          <w:p w14:paraId="22CF8A72"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18 973,5</w:t>
            </w:r>
          </w:p>
        </w:tc>
        <w:tc>
          <w:tcPr>
            <w:tcW w:w="1559" w:type="dxa"/>
            <w:hideMark/>
          </w:tcPr>
          <w:p w14:paraId="0EFF0352" w14:textId="1A7F0B68"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p>
        </w:tc>
        <w:tc>
          <w:tcPr>
            <w:tcW w:w="1470" w:type="dxa"/>
            <w:hideMark/>
          </w:tcPr>
          <w:p w14:paraId="682F1456" w14:textId="77777777" w:rsidR="0085421C" w:rsidRPr="00297DA6"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297DA6">
              <w:rPr>
                <w:rFonts w:cs="Myriad Pro"/>
                <w:sz w:val="20"/>
                <w:szCs w:val="20"/>
              </w:rPr>
              <w:t>-166,5</w:t>
            </w:r>
          </w:p>
        </w:tc>
      </w:tr>
      <w:tr w:rsidR="00655FFA" w:rsidRPr="005C6F98" w14:paraId="29E1D995" w14:textId="77777777" w:rsidTr="005C6F98">
        <w:trPr>
          <w:gridAfter w:val="1"/>
          <w:wAfter w:w="15" w:type="dxa"/>
        </w:trPr>
        <w:tc>
          <w:tcPr>
            <w:cnfStyle w:val="001000000000" w:firstRow="0" w:lastRow="0" w:firstColumn="1" w:lastColumn="0" w:oddVBand="0" w:evenVBand="0" w:oddHBand="0" w:evenHBand="0" w:firstRowFirstColumn="0" w:firstRowLastColumn="0" w:lastRowFirstColumn="0" w:lastRowLastColumn="0"/>
            <w:tcW w:w="3913" w:type="dxa"/>
            <w:hideMark/>
          </w:tcPr>
          <w:p w14:paraId="45C41428" w14:textId="77777777" w:rsidR="0085421C" w:rsidRPr="005C6F98" w:rsidRDefault="0085421C" w:rsidP="00363AC0">
            <w:pPr>
              <w:tabs>
                <w:tab w:val="left" w:pos="1134"/>
              </w:tabs>
              <w:rPr>
                <w:rFonts w:cs="Myriad Pro"/>
                <w:sz w:val="20"/>
                <w:szCs w:val="20"/>
              </w:rPr>
            </w:pPr>
            <w:r w:rsidRPr="005C6F98">
              <w:rPr>
                <w:rFonts w:cs="Myriad Pro"/>
                <w:sz w:val="20"/>
                <w:szCs w:val="20"/>
              </w:rPr>
              <w:t>Плата за аренду имущества, всего</w:t>
            </w:r>
          </w:p>
        </w:tc>
        <w:tc>
          <w:tcPr>
            <w:tcW w:w="1437" w:type="dxa"/>
            <w:hideMark/>
          </w:tcPr>
          <w:p w14:paraId="0E461149"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7 980,2</w:t>
            </w:r>
          </w:p>
        </w:tc>
        <w:tc>
          <w:tcPr>
            <w:tcW w:w="1575" w:type="dxa"/>
            <w:hideMark/>
          </w:tcPr>
          <w:p w14:paraId="3111CD53"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6 993,5</w:t>
            </w:r>
          </w:p>
        </w:tc>
        <w:tc>
          <w:tcPr>
            <w:tcW w:w="1550" w:type="dxa"/>
            <w:hideMark/>
          </w:tcPr>
          <w:p w14:paraId="12FEBEA6"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2 191,6</w:t>
            </w:r>
          </w:p>
        </w:tc>
        <w:tc>
          <w:tcPr>
            <w:tcW w:w="1391" w:type="dxa"/>
            <w:noWrap/>
            <w:hideMark/>
          </w:tcPr>
          <w:p w14:paraId="51E4A372" w14:textId="16E549AF"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p>
        </w:tc>
        <w:tc>
          <w:tcPr>
            <w:tcW w:w="1470" w:type="dxa"/>
            <w:hideMark/>
          </w:tcPr>
          <w:p w14:paraId="4B5F2EA5"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1 988,5</w:t>
            </w:r>
          </w:p>
        </w:tc>
        <w:tc>
          <w:tcPr>
            <w:tcW w:w="1559" w:type="dxa"/>
            <w:hideMark/>
          </w:tcPr>
          <w:p w14:paraId="1D8D4ECE" w14:textId="75487B30"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p>
        </w:tc>
        <w:tc>
          <w:tcPr>
            <w:tcW w:w="1470" w:type="dxa"/>
            <w:hideMark/>
          </w:tcPr>
          <w:p w14:paraId="5114E6AA" w14:textId="77777777" w:rsidR="0085421C" w:rsidRPr="00297DA6"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297DA6">
              <w:rPr>
                <w:rFonts w:cs="Myriad Pro"/>
                <w:sz w:val="20"/>
                <w:szCs w:val="20"/>
              </w:rPr>
              <w:t>-203,1</w:t>
            </w:r>
          </w:p>
        </w:tc>
      </w:tr>
      <w:tr w:rsidR="00655FFA" w:rsidRPr="005C6F98" w14:paraId="1460913E" w14:textId="77777777" w:rsidTr="005C6F98">
        <w:trPr>
          <w:gridAfter w:val="1"/>
          <w:wAfter w:w="15" w:type="dxa"/>
        </w:trPr>
        <w:tc>
          <w:tcPr>
            <w:cnfStyle w:val="001000000000" w:firstRow="0" w:lastRow="0" w:firstColumn="1" w:lastColumn="0" w:oddVBand="0" w:evenVBand="0" w:oddHBand="0" w:evenHBand="0" w:firstRowFirstColumn="0" w:firstRowLastColumn="0" w:lastRowFirstColumn="0" w:lastRowLastColumn="0"/>
            <w:tcW w:w="3913" w:type="dxa"/>
            <w:hideMark/>
          </w:tcPr>
          <w:p w14:paraId="5864EA17" w14:textId="77777777" w:rsidR="0085421C" w:rsidRPr="005C6F98" w:rsidRDefault="0085421C" w:rsidP="00363AC0">
            <w:pPr>
              <w:tabs>
                <w:tab w:val="left" w:pos="1134"/>
              </w:tabs>
              <w:rPr>
                <w:rFonts w:cs="Myriad Pro"/>
                <w:sz w:val="20"/>
                <w:szCs w:val="20"/>
              </w:rPr>
            </w:pPr>
            <w:r w:rsidRPr="005C6F98">
              <w:rPr>
                <w:rFonts w:cs="Myriad Pro"/>
                <w:sz w:val="20"/>
                <w:szCs w:val="20"/>
              </w:rPr>
              <w:t>Плата за землю</w:t>
            </w:r>
          </w:p>
        </w:tc>
        <w:tc>
          <w:tcPr>
            <w:tcW w:w="1437" w:type="dxa"/>
            <w:hideMark/>
          </w:tcPr>
          <w:p w14:paraId="327560B4"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15 166,4</w:t>
            </w:r>
          </w:p>
        </w:tc>
        <w:tc>
          <w:tcPr>
            <w:tcW w:w="1575" w:type="dxa"/>
            <w:hideMark/>
          </w:tcPr>
          <w:p w14:paraId="5C0BA5E4"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13 371,0</w:t>
            </w:r>
          </w:p>
        </w:tc>
        <w:tc>
          <w:tcPr>
            <w:tcW w:w="1550" w:type="dxa"/>
            <w:hideMark/>
          </w:tcPr>
          <w:p w14:paraId="45E80720"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13 371,0</w:t>
            </w:r>
          </w:p>
        </w:tc>
        <w:tc>
          <w:tcPr>
            <w:tcW w:w="1391" w:type="dxa"/>
            <w:noWrap/>
            <w:hideMark/>
          </w:tcPr>
          <w:p w14:paraId="716634A8" w14:textId="78AADE9D"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p>
        </w:tc>
        <w:tc>
          <w:tcPr>
            <w:tcW w:w="1470" w:type="dxa"/>
            <w:hideMark/>
          </w:tcPr>
          <w:p w14:paraId="78FF0FA8"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13 371,0</w:t>
            </w:r>
          </w:p>
        </w:tc>
        <w:tc>
          <w:tcPr>
            <w:tcW w:w="1559" w:type="dxa"/>
            <w:hideMark/>
          </w:tcPr>
          <w:p w14:paraId="6C089F55" w14:textId="4E2B28BE"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p>
        </w:tc>
        <w:tc>
          <w:tcPr>
            <w:tcW w:w="1470" w:type="dxa"/>
            <w:hideMark/>
          </w:tcPr>
          <w:p w14:paraId="21D57119" w14:textId="68C6D6AA" w:rsidR="0085421C" w:rsidRPr="00297DA6"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p>
        </w:tc>
      </w:tr>
      <w:tr w:rsidR="00655FFA" w:rsidRPr="005C6F98" w14:paraId="719AF4B8" w14:textId="77777777" w:rsidTr="005C6F98">
        <w:trPr>
          <w:gridAfter w:val="1"/>
          <w:wAfter w:w="15" w:type="dxa"/>
        </w:trPr>
        <w:tc>
          <w:tcPr>
            <w:cnfStyle w:val="001000000000" w:firstRow="0" w:lastRow="0" w:firstColumn="1" w:lastColumn="0" w:oddVBand="0" w:evenVBand="0" w:oddHBand="0" w:evenHBand="0" w:firstRowFirstColumn="0" w:firstRowLastColumn="0" w:lastRowFirstColumn="0" w:lastRowLastColumn="0"/>
            <w:tcW w:w="3913" w:type="dxa"/>
            <w:hideMark/>
          </w:tcPr>
          <w:p w14:paraId="57B0C419" w14:textId="77777777" w:rsidR="0085421C" w:rsidRPr="005C6F98" w:rsidRDefault="0085421C" w:rsidP="00363AC0">
            <w:pPr>
              <w:tabs>
                <w:tab w:val="left" w:pos="1134"/>
              </w:tabs>
              <w:rPr>
                <w:rFonts w:cs="Myriad Pro"/>
                <w:sz w:val="20"/>
                <w:szCs w:val="20"/>
              </w:rPr>
            </w:pPr>
            <w:r w:rsidRPr="005C6F98">
              <w:rPr>
                <w:rFonts w:cs="Myriad Pro"/>
                <w:sz w:val="20"/>
                <w:szCs w:val="20"/>
              </w:rPr>
              <w:t>Налог на имущество</w:t>
            </w:r>
          </w:p>
        </w:tc>
        <w:tc>
          <w:tcPr>
            <w:tcW w:w="1437" w:type="dxa"/>
            <w:hideMark/>
          </w:tcPr>
          <w:p w14:paraId="335FE559"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41 023,0</w:t>
            </w:r>
          </w:p>
        </w:tc>
        <w:tc>
          <w:tcPr>
            <w:tcW w:w="1575" w:type="dxa"/>
            <w:hideMark/>
          </w:tcPr>
          <w:p w14:paraId="00EE6140"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88 835,6</w:t>
            </w:r>
          </w:p>
        </w:tc>
        <w:tc>
          <w:tcPr>
            <w:tcW w:w="1550" w:type="dxa"/>
            <w:hideMark/>
          </w:tcPr>
          <w:p w14:paraId="54158687"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61 534,4</w:t>
            </w:r>
          </w:p>
        </w:tc>
        <w:tc>
          <w:tcPr>
            <w:tcW w:w="1391" w:type="dxa"/>
            <w:noWrap/>
            <w:hideMark/>
          </w:tcPr>
          <w:p w14:paraId="58D6BE50" w14:textId="2F262933"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p>
        </w:tc>
        <w:tc>
          <w:tcPr>
            <w:tcW w:w="1470" w:type="dxa"/>
            <w:hideMark/>
          </w:tcPr>
          <w:p w14:paraId="414FDD20"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31 953,4</w:t>
            </w:r>
          </w:p>
        </w:tc>
        <w:tc>
          <w:tcPr>
            <w:tcW w:w="1559" w:type="dxa"/>
            <w:hideMark/>
          </w:tcPr>
          <w:p w14:paraId="2FE2FB34" w14:textId="66076384"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p>
        </w:tc>
        <w:tc>
          <w:tcPr>
            <w:tcW w:w="1470" w:type="dxa"/>
            <w:hideMark/>
          </w:tcPr>
          <w:p w14:paraId="31CBC6EB" w14:textId="77777777" w:rsidR="0085421C" w:rsidRPr="00297DA6"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297DA6">
              <w:rPr>
                <w:rFonts w:cs="Myriad Pro"/>
                <w:sz w:val="20"/>
                <w:szCs w:val="20"/>
              </w:rPr>
              <w:t>-29 581,0</w:t>
            </w:r>
          </w:p>
        </w:tc>
      </w:tr>
      <w:tr w:rsidR="00655FFA" w:rsidRPr="005C6F98" w14:paraId="7C58F338" w14:textId="77777777" w:rsidTr="005C6F98">
        <w:trPr>
          <w:gridAfter w:val="1"/>
          <w:wAfter w:w="15" w:type="dxa"/>
        </w:trPr>
        <w:tc>
          <w:tcPr>
            <w:cnfStyle w:val="001000000000" w:firstRow="0" w:lastRow="0" w:firstColumn="1" w:lastColumn="0" w:oddVBand="0" w:evenVBand="0" w:oddHBand="0" w:evenHBand="0" w:firstRowFirstColumn="0" w:firstRowLastColumn="0" w:lastRowFirstColumn="0" w:lastRowLastColumn="0"/>
            <w:tcW w:w="3913" w:type="dxa"/>
            <w:hideMark/>
          </w:tcPr>
          <w:p w14:paraId="60AB1E65" w14:textId="77777777" w:rsidR="0085421C" w:rsidRPr="005C6F98" w:rsidRDefault="0085421C" w:rsidP="00363AC0">
            <w:pPr>
              <w:tabs>
                <w:tab w:val="left" w:pos="1134"/>
              </w:tabs>
              <w:rPr>
                <w:rFonts w:cs="Myriad Pro"/>
                <w:sz w:val="20"/>
                <w:szCs w:val="20"/>
              </w:rPr>
            </w:pPr>
            <w:r w:rsidRPr="005C6F98">
              <w:rPr>
                <w:rFonts w:cs="Myriad Pro"/>
                <w:sz w:val="20"/>
                <w:szCs w:val="20"/>
              </w:rPr>
              <w:t xml:space="preserve">Прочие налоги и сборы </w:t>
            </w:r>
          </w:p>
        </w:tc>
        <w:tc>
          <w:tcPr>
            <w:tcW w:w="1437" w:type="dxa"/>
            <w:hideMark/>
          </w:tcPr>
          <w:p w14:paraId="1FB9E3BB"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4 557,6</w:t>
            </w:r>
          </w:p>
        </w:tc>
        <w:tc>
          <w:tcPr>
            <w:tcW w:w="1575" w:type="dxa"/>
            <w:hideMark/>
          </w:tcPr>
          <w:p w14:paraId="39624B02"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5 431,5</w:t>
            </w:r>
          </w:p>
        </w:tc>
        <w:tc>
          <w:tcPr>
            <w:tcW w:w="1550" w:type="dxa"/>
            <w:hideMark/>
          </w:tcPr>
          <w:p w14:paraId="0AE46FE9"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5 280,2</w:t>
            </w:r>
          </w:p>
        </w:tc>
        <w:tc>
          <w:tcPr>
            <w:tcW w:w="1391" w:type="dxa"/>
            <w:noWrap/>
            <w:hideMark/>
          </w:tcPr>
          <w:p w14:paraId="78A5EB7F" w14:textId="44819E90"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p>
        </w:tc>
        <w:tc>
          <w:tcPr>
            <w:tcW w:w="1470" w:type="dxa"/>
            <w:hideMark/>
          </w:tcPr>
          <w:p w14:paraId="10486DA3"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5 280,2</w:t>
            </w:r>
          </w:p>
        </w:tc>
        <w:tc>
          <w:tcPr>
            <w:tcW w:w="1559" w:type="dxa"/>
            <w:hideMark/>
          </w:tcPr>
          <w:p w14:paraId="45A2BB7D" w14:textId="3BACCB76"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p>
        </w:tc>
        <w:tc>
          <w:tcPr>
            <w:tcW w:w="1470" w:type="dxa"/>
            <w:hideMark/>
          </w:tcPr>
          <w:p w14:paraId="0EFF89DF" w14:textId="6F063CD7" w:rsidR="0085421C" w:rsidRPr="00297DA6"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p>
        </w:tc>
      </w:tr>
      <w:tr w:rsidR="00655FFA" w:rsidRPr="005C6F98" w14:paraId="4B191CB4" w14:textId="77777777" w:rsidTr="005C6F98">
        <w:trPr>
          <w:gridAfter w:val="1"/>
          <w:wAfter w:w="15" w:type="dxa"/>
        </w:trPr>
        <w:tc>
          <w:tcPr>
            <w:cnfStyle w:val="001000000000" w:firstRow="0" w:lastRow="0" w:firstColumn="1" w:lastColumn="0" w:oddVBand="0" w:evenVBand="0" w:oddHBand="0" w:evenHBand="0" w:firstRowFirstColumn="0" w:firstRowLastColumn="0" w:lastRowFirstColumn="0" w:lastRowLastColumn="0"/>
            <w:tcW w:w="3913" w:type="dxa"/>
            <w:hideMark/>
          </w:tcPr>
          <w:p w14:paraId="7B77A8EC" w14:textId="77777777" w:rsidR="0085421C" w:rsidRPr="005C6F98" w:rsidRDefault="0085421C" w:rsidP="00363AC0">
            <w:pPr>
              <w:tabs>
                <w:tab w:val="left" w:pos="1134"/>
              </w:tabs>
              <w:rPr>
                <w:rFonts w:cs="Myriad Pro"/>
                <w:sz w:val="20"/>
                <w:szCs w:val="20"/>
              </w:rPr>
            </w:pPr>
            <w:r w:rsidRPr="005C6F98">
              <w:rPr>
                <w:rFonts w:cs="Myriad Pro"/>
                <w:sz w:val="20"/>
                <w:szCs w:val="20"/>
              </w:rPr>
              <w:t>Отчисления на социальные нужды</w:t>
            </w:r>
          </w:p>
        </w:tc>
        <w:tc>
          <w:tcPr>
            <w:tcW w:w="1437" w:type="dxa"/>
            <w:hideMark/>
          </w:tcPr>
          <w:p w14:paraId="3898500F"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252 948,5</w:t>
            </w:r>
          </w:p>
        </w:tc>
        <w:tc>
          <w:tcPr>
            <w:tcW w:w="1575" w:type="dxa"/>
            <w:hideMark/>
          </w:tcPr>
          <w:p w14:paraId="46441FB3"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354 029,6</w:t>
            </w:r>
          </w:p>
        </w:tc>
        <w:tc>
          <w:tcPr>
            <w:tcW w:w="1550" w:type="dxa"/>
            <w:hideMark/>
          </w:tcPr>
          <w:p w14:paraId="3E80DE1C"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294 297,2</w:t>
            </w:r>
          </w:p>
        </w:tc>
        <w:tc>
          <w:tcPr>
            <w:tcW w:w="1391" w:type="dxa"/>
            <w:noWrap/>
            <w:hideMark/>
          </w:tcPr>
          <w:p w14:paraId="70D5A7F8" w14:textId="5D58EF2D"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p>
        </w:tc>
        <w:tc>
          <w:tcPr>
            <w:tcW w:w="1470" w:type="dxa"/>
            <w:hideMark/>
          </w:tcPr>
          <w:p w14:paraId="4F99C017"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300 835,6</w:t>
            </w:r>
          </w:p>
        </w:tc>
        <w:tc>
          <w:tcPr>
            <w:tcW w:w="1559" w:type="dxa"/>
            <w:hideMark/>
          </w:tcPr>
          <w:p w14:paraId="586B1AE1"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6 538,4</w:t>
            </w:r>
          </w:p>
        </w:tc>
        <w:tc>
          <w:tcPr>
            <w:tcW w:w="1470" w:type="dxa"/>
            <w:hideMark/>
          </w:tcPr>
          <w:p w14:paraId="1FF3127E" w14:textId="37DC80EB" w:rsidR="0085421C" w:rsidRPr="00297DA6"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p>
        </w:tc>
      </w:tr>
      <w:tr w:rsidR="00655FFA" w:rsidRPr="005C6F98" w14:paraId="087F6EC4" w14:textId="77777777" w:rsidTr="005C6F98">
        <w:trPr>
          <w:gridAfter w:val="1"/>
          <w:wAfter w:w="15" w:type="dxa"/>
        </w:trPr>
        <w:tc>
          <w:tcPr>
            <w:cnfStyle w:val="001000000000" w:firstRow="0" w:lastRow="0" w:firstColumn="1" w:lastColumn="0" w:oddVBand="0" w:evenVBand="0" w:oddHBand="0" w:evenHBand="0" w:firstRowFirstColumn="0" w:firstRowLastColumn="0" w:lastRowFirstColumn="0" w:lastRowLastColumn="0"/>
            <w:tcW w:w="3913" w:type="dxa"/>
            <w:hideMark/>
          </w:tcPr>
          <w:p w14:paraId="1D6EF052" w14:textId="77777777" w:rsidR="0085421C" w:rsidRPr="005C6F98" w:rsidRDefault="0085421C" w:rsidP="00363AC0">
            <w:pPr>
              <w:tabs>
                <w:tab w:val="left" w:pos="1134"/>
              </w:tabs>
              <w:rPr>
                <w:rFonts w:cs="Myriad Pro"/>
                <w:sz w:val="20"/>
                <w:szCs w:val="20"/>
              </w:rPr>
            </w:pPr>
            <w:r w:rsidRPr="005C6F98">
              <w:rPr>
                <w:rFonts w:cs="Myriad Pro"/>
                <w:sz w:val="20"/>
                <w:szCs w:val="20"/>
              </w:rPr>
              <w:lastRenderedPageBreak/>
              <w:t>Налог на прибыль</w:t>
            </w:r>
          </w:p>
        </w:tc>
        <w:tc>
          <w:tcPr>
            <w:tcW w:w="1437" w:type="dxa"/>
            <w:hideMark/>
          </w:tcPr>
          <w:p w14:paraId="440645D7"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30 220,2</w:t>
            </w:r>
          </w:p>
        </w:tc>
        <w:tc>
          <w:tcPr>
            <w:tcW w:w="1575" w:type="dxa"/>
            <w:hideMark/>
          </w:tcPr>
          <w:p w14:paraId="3FB230F5"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37 038,7</w:t>
            </w:r>
          </w:p>
        </w:tc>
        <w:tc>
          <w:tcPr>
            <w:tcW w:w="1550" w:type="dxa"/>
            <w:hideMark/>
          </w:tcPr>
          <w:p w14:paraId="320CF767"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27 646,0</w:t>
            </w:r>
          </w:p>
        </w:tc>
        <w:tc>
          <w:tcPr>
            <w:tcW w:w="1391" w:type="dxa"/>
            <w:noWrap/>
            <w:hideMark/>
          </w:tcPr>
          <w:p w14:paraId="367C0070" w14:textId="214A7C9B"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p>
        </w:tc>
        <w:tc>
          <w:tcPr>
            <w:tcW w:w="1470" w:type="dxa"/>
            <w:hideMark/>
          </w:tcPr>
          <w:p w14:paraId="4E29903E"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32 572,3</w:t>
            </w:r>
          </w:p>
        </w:tc>
        <w:tc>
          <w:tcPr>
            <w:tcW w:w="1559" w:type="dxa"/>
            <w:hideMark/>
          </w:tcPr>
          <w:p w14:paraId="2B8F8646"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4 926,3</w:t>
            </w:r>
          </w:p>
        </w:tc>
        <w:tc>
          <w:tcPr>
            <w:tcW w:w="1470" w:type="dxa"/>
            <w:hideMark/>
          </w:tcPr>
          <w:p w14:paraId="3C1EE68C" w14:textId="419B19DB" w:rsidR="0085421C" w:rsidRPr="00297DA6"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p>
        </w:tc>
      </w:tr>
      <w:tr w:rsidR="00655FFA" w:rsidRPr="005C6F98" w14:paraId="2664B6D3" w14:textId="77777777" w:rsidTr="005C6F98">
        <w:trPr>
          <w:gridAfter w:val="1"/>
          <w:wAfter w:w="15" w:type="dxa"/>
        </w:trPr>
        <w:tc>
          <w:tcPr>
            <w:cnfStyle w:val="001000000000" w:firstRow="0" w:lastRow="0" w:firstColumn="1" w:lastColumn="0" w:oddVBand="0" w:evenVBand="0" w:oddHBand="0" w:evenHBand="0" w:firstRowFirstColumn="0" w:firstRowLastColumn="0" w:lastRowFirstColumn="0" w:lastRowLastColumn="0"/>
            <w:tcW w:w="3913" w:type="dxa"/>
            <w:hideMark/>
          </w:tcPr>
          <w:p w14:paraId="1BC909E1" w14:textId="77777777" w:rsidR="0085421C" w:rsidRPr="005C6F98" w:rsidRDefault="0085421C" w:rsidP="00363AC0">
            <w:pPr>
              <w:tabs>
                <w:tab w:val="left" w:pos="1134"/>
              </w:tabs>
              <w:rPr>
                <w:rFonts w:cs="Myriad Pro"/>
                <w:sz w:val="20"/>
                <w:szCs w:val="20"/>
              </w:rPr>
            </w:pPr>
            <w:r w:rsidRPr="005C6F98">
              <w:rPr>
                <w:rFonts w:cs="Myriad Pro"/>
                <w:sz w:val="20"/>
                <w:szCs w:val="20"/>
              </w:rPr>
              <w:t xml:space="preserve">Выпадающие доходы от льготного ТП </w:t>
            </w:r>
          </w:p>
        </w:tc>
        <w:tc>
          <w:tcPr>
            <w:tcW w:w="1437" w:type="dxa"/>
            <w:hideMark/>
          </w:tcPr>
          <w:p w14:paraId="0A8CCAD1"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0,0</w:t>
            </w:r>
          </w:p>
        </w:tc>
        <w:tc>
          <w:tcPr>
            <w:tcW w:w="1575" w:type="dxa"/>
            <w:hideMark/>
          </w:tcPr>
          <w:p w14:paraId="564D71BE"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51 730,8</w:t>
            </w:r>
          </w:p>
        </w:tc>
        <w:tc>
          <w:tcPr>
            <w:tcW w:w="1550" w:type="dxa"/>
            <w:hideMark/>
          </w:tcPr>
          <w:p w14:paraId="74115A3D"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175 249,2</w:t>
            </w:r>
          </w:p>
        </w:tc>
        <w:tc>
          <w:tcPr>
            <w:tcW w:w="1391" w:type="dxa"/>
            <w:noWrap/>
            <w:hideMark/>
          </w:tcPr>
          <w:p w14:paraId="58BFDCA8" w14:textId="763BAE56"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p>
        </w:tc>
        <w:tc>
          <w:tcPr>
            <w:tcW w:w="1470" w:type="dxa"/>
            <w:hideMark/>
          </w:tcPr>
          <w:p w14:paraId="5380F4AB"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111 495,0</w:t>
            </w:r>
          </w:p>
        </w:tc>
        <w:tc>
          <w:tcPr>
            <w:tcW w:w="1559" w:type="dxa"/>
            <w:hideMark/>
          </w:tcPr>
          <w:p w14:paraId="15372395" w14:textId="6A9C19E4"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p>
        </w:tc>
        <w:tc>
          <w:tcPr>
            <w:tcW w:w="1470" w:type="dxa"/>
            <w:hideMark/>
          </w:tcPr>
          <w:p w14:paraId="7F5CCE56" w14:textId="77777777" w:rsidR="0085421C" w:rsidRPr="00297DA6"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297DA6">
              <w:rPr>
                <w:rFonts w:cs="Myriad Pro"/>
                <w:sz w:val="20"/>
                <w:szCs w:val="20"/>
              </w:rPr>
              <w:t>-63 754,2</w:t>
            </w:r>
          </w:p>
        </w:tc>
      </w:tr>
      <w:tr w:rsidR="00655FFA" w:rsidRPr="005C6F98" w14:paraId="77260346" w14:textId="77777777" w:rsidTr="005C6F98">
        <w:trPr>
          <w:gridAfter w:val="1"/>
          <w:wAfter w:w="15" w:type="dxa"/>
        </w:trPr>
        <w:tc>
          <w:tcPr>
            <w:cnfStyle w:val="001000000000" w:firstRow="0" w:lastRow="0" w:firstColumn="1" w:lastColumn="0" w:oddVBand="0" w:evenVBand="0" w:oddHBand="0" w:evenHBand="0" w:firstRowFirstColumn="0" w:firstRowLastColumn="0" w:lastRowFirstColumn="0" w:lastRowLastColumn="0"/>
            <w:tcW w:w="3913" w:type="dxa"/>
            <w:hideMark/>
          </w:tcPr>
          <w:p w14:paraId="00C6809E" w14:textId="77777777" w:rsidR="0085421C" w:rsidRPr="005C6F98" w:rsidRDefault="0085421C" w:rsidP="00363AC0">
            <w:pPr>
              <w:tabs>
                <w:tab w:val="left" w:pos="1134"/>
              </w:tabs>
              <w:rPr>
                <w:rFonts w:cs="Myriad Pro"/>
                <w:sz w:val="20"/>
                <w:szCs w:val="20"/>
              </w:rPr>
            </w:pPr>
            <w:r w:rsidRPr="005C6F98">
              <w:rPr>
                <w:rFonts w:cs="Myriad Pro"/>
                <w:sz w:val="20"/>
                <w:szCs w:val="20"/>
              </w:rPr>
              <w:t>Амортизация ОС</w:t>
            </w:r>
          </w:p>
        </w:tc>
        <w:tc>
          <w:tcPr>
            <w:tcW w:w="1437" w:type="dxa"/>
            <w:hideMark/>
          </w:tcPr>
          <w:p w14:paraId="5A40D735"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351 200,2</w:t>
            </w:r>
          </w:p>
        </w:tc>
        <w:tc>
          <w:tcPr>
            <w:tcW w:w="1575" w:type="dxa"/>
            <w:hideMark/>
          </w:tcPr>
          <w:p w14:paraId="048CF3BC"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396 082,3</w:t>
            </w:r>
          </w:p>
        </w:tc>
        <w:tc>
          <w:tcPr>
            <w:tcW w:w="1550" w:type="dxa"/>
            <w:hideMark/>
          </w:tcPr>
          <w:p w14:paraId="2E6F2C52"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393 804,0</w:t>
            </w:r>
          </w:p>
        </w:tc>
        <w:tc>
          <w:tcPr>
            <w:tcW w:w="1391" w:type="dxa"/>
            <w:noWrap/>
            <w:hideMark/>
          </w:tcPr>
          <w:p w14:paraId="7A040207" w14:textId="019A3B64"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p>
        </w:tc>
        <w:tc>
          <w:tcPr>
            <w:tcW w:w="1470" w:type="dxa"/>
            <w:hideMark/>
          </w:tcPr>
          <w:p w14:paraId="06CEC83F"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384 748,2</w:t>
            </w:r>
          </w:p>
        </w:tc>
        <w:tc>
          <w:tcPr>
            <w:tcW w:w="1559" w:type="dxa"/>
            <w:hideMark/>
          </w:tcPr>
          <w:p w14:paraId="45E4DC8C" w14:textId="14E50C99"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p>
        </w:tc>
        <w:tc>
          <w:tcPr>
            <w:tcW w:w="1470" w:type="dxa"/>
            <w:hideMark/>
          </w:tcPr>
          <w:p w14:paraId="77EDC185" w14:textId="77777777" w:rsidR="0085421C" w:rsidRPr="00297DA6"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297DA6">
              <w:rPr>
                <w:rFonts w:cs="Myriad Pro"/>
                <w:sz w:val="20"/>
                <w:szCs w:val="20"/>
              </w:rPr>
              <w:t>-9 055,8</w:t>
            </w:r>
          </w:p>
        </w:tc>
      </w:tr>
      <w:tr w:rsidR="00655FFA" w:rsidRPr="005C6F98" w14:paraId="33934386" w14:textId="77777777" w:rsidTr="005C6F98">
        <w:trPr>
          <w:gridAfter w:val="1"/>
          <w:wAfter w:w="15" w:type="dxa"/>
        </w:trPr>
        <w:tc>
          <w:tcPr>
            <w:cnfStyle w:val="001000000000" w:firstRow="0" w:lastRow="0" w:firstColumn="1" w:lastColumn="0" w:oddVBand="0" w:evenVBand="0" w:oddHBand="0" w:evenHBand="0" w:firstRowFirstColumn="0" w:firstRowLastColumn="0" w:lastRowFirstColumn="0" w:lastRowLastColumn="0"/>
            <w:tcW w:w="3913" w:type="dxa"/>
            <w:hideMark/>
          </w:tcPr>
          <w:p w14:paraId="08588D4B" w14:textId="77777777" w:rsidR="0085421C" w:rsidRPr="005C6F98" w:rsidRDefault="0085421C" w:rsidP="00363AC0">
            <w:pPr>
              <w:tabs>
                <w:tab w:val="left" w:pos="1134"/>
              </w:tabs>
              <w:rPr>
                <w:rFonts w:cs="Myriad Pro"/>
                <w:sz w:val="20"/>
                <w:szCs w:val="20"/>
              </w:rPr>
            </w:pPr>
            <w:r w:rsidRPr="005C6F98">
              <w:rPr>
                <w:rFonts w:cs="Myriad Pro"/>
                <w:sz w:val="20"/>
                <w:szCs w:val="20"/>
              </w:rPr>
              <w:t>Проценты за кредит</w:t>
            </w:r>
          </w:p>
        </w:tc>
        <w:tc>
          <w:tcPr>
            <w:tcW w:w="1437" w:type="dxa"/>
            <w:hideMark/>
          </w:tcPr>
          <w:p w14:paraId="48312946"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170 624,4</w:t>
            </w:r>
          </w:p>
        </w:tc>
        <w:tc>
          <w:tcPr>
            <w:tcW w:w="1575" w:type="dxa"/>
            <w:hideMark/>
          </w:tcPr>
          <w:p w14:paraId="210930A8"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218 573,3</w:t>
            </w:r>
          </w:p>
        </w:tc>
        <w:tc>
          <w:tcPr>
            <w:tcW w:w="1550" w:type="dxa"/>
            <w:hideMark/>
          </w:tcPr>
          <w:p w14:paraId="789C68C8"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218 573,3</w:t>
            </w:r>
          </w:p>
        </w:tc>
        <w:tc>
          <w:tcPr>
            <w:tcW w:w="1391" w:type="dxa"/>
            <w:noWrap/>
            <w:hideMark/>
          </w:tcPr>
          <w:p w14:paraId="236CB300" w14:textId="322115F0"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p>
        </w:tc>
        <w:tc>
          <w:tcPr>
            <w:tcW w:w="1470" w:type="dxa"/>
            <w:hideMark/>
          </w:tcPr>
          <w:p w14:paraId="1C1BC1AC"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166 622,5</w:t>
            </w:r>
          </w:p>
        </w:tc>
        <w:tc>
          <w:tcPr>
            <w:tcW w:w="1559" w:type="dxa"/>
            <w:hideMark/>
          </w:tcPr>
          <w:p w14:paraId="6FE19F93" w14:textId="3A535AB0"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p>
        </w:tc>
        <w:tc>
          <w:tcPr>
            <w:tcW w:w="1470" w:type="dxa"/>
            <w:hideMark/>
          </w:tcPr>
          <w:p w14:paraId="3DB3BE2B" w14:textId="77777777" w:rsidR="0085421C" w:rsidRPr="00297DA6"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297DA6">
              <w:rPr>
                <w:rFonts w:cs="Myriad Pro"/>
                <w:sz w:val="20"/>
                <w:szCs w:val="20"/>
              </w:rPr>
              <w:t>-51 950,8</w:t>
            </w:r>
          </w:p>
        </w:tc>
      </w:tr>
      <w:tr w:rsidR="00655FFA" w:rsidRPr="005C6F98" w14:paraId="264A9ADE" w14:textId="77777777" w:rsidTr="005C6F98">
        <w:trPr>
          <w:gridAfter w:val="1"/>
          <w:wAfter w:w="15" w:type="dxa"/>
        </w:trPr>
        <w:tc>
          <w:tcPr>
            <w:cnfStyle w:val="001000000000" w:firstRow="0" w:lastRow="0" w:firstColumn="1" w:lastColumn="0" w:oddVBand="0" w:evenVBand="0" w:oddHBand="0" w:evenHBand="0" w:firstRowFirstColumn="0" w:firstRowLastColumn="0" w:lastRowFirstColumn="0" w:lastRowLastColumn="0"/>
            <w:tcW w:w="3913" w:type="dxa"/>
            <w:hideMark/>
          </w:tcPr>
          <w:p w14:paraId="33924598" w14:textId="77777777" w:rsidR="0085421C" w:rsidRPr="005C6F98" w:rsidRDefault="0085421C" w:rsidP="00363AC0">
            <w:pPr>
              <w:tabs>
                <w:tab w:val="left" w:pos="1134"/>
              </w:tabs>
              <w:rPr>
                <w:rFonts w:cs="Myriad Pro"/>
                <w:sz w:val="20"/>
                <w:szCs w:val="20"/>
              </w:rPr>
            </w:pPr>
            <w:r w:rsidRPr="005C6F98">
              <w:rPr>
                <w:rFonts w:cs="Myriad Pro"/>
                <w:sz w:val="20"/>
                <w:szCs w:val="20"/>
              </w:rPr>
              <w:t>Создание резерва по сомнительным долгам</w:t>
            </w:r>
          </w:p>
        </w:tc>
        <w:tc>
          <w:tcPr>
            <w:tcW w:w="1437" w:type="dxa"/>
            <w:hideMark/>
          </w:tcPr>
          <w:p w14:paraId="0D84B0DD"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92 722,4</w:t>
            </w:r>
          </w:p>
        </w:tc>
        <w:tc>
          <w:tcPr>
            <w:tcW w:w="1575" w:type="dxa"/>
            <w:hideMark/>
          </w:tcPr>
          <w:p w14:paraId="3681BD31"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1 318 122,3</w:t>
            </w:r>
          </w:p>
        </w:tc>
        <w:tc>
          <w:tcPr>
            <w:tcW w:w="1550" w:type="dxa"/>
            <w:hideMark/>
          </w:tcPr>
          <w:p w14:paraId="2A43CF67"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772 263,3</w:t>
            </w:r>
          </w:p>
        </w:tc>
        <w:tc>
          <w:tcPr>
            <w:tcW w:w="1391" w:type="dxa"/>
            <w:noWrap/>
            <w:hideMark/>
          </w:tcPr>
          <w:p w14:paraId="06786AA7" w14:textId="2ACAE080"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p>
        </w:tc>
        <w:tc>
          <w:tcPr>
            <w:tcW w:w="1470" w:type="dxa"/>
            <w:hideMark/>
          </w:tcPr>
          <w:p w14:paraId="54A0400A"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1 039 387,7</w:t>
            </w:r>
          </w:p>
        </w:tc>
        <w:tc>
          <w:tcPr>
            <w:tcW w:w="1559" w:type="dxa"/>
            <w:hideMark/>
          </w:tcPr>
          <w:p w14:paraId="22C5A264"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267 124,3</w:t>
            </w:r>
          </w:p>
        </w:tc>
        <w:tc>
          <w:tcPr>
            <w:tcW w:w="1470" w:type="dxa"/>
            <w:hideMark/>
          </w:tcPr>
          <w:p w14:paraId="12F3993E" w14:textId="44136677" w:rsidR="0085421C" w:rsidRPr="00297DA6"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p>
        </w:tc>
      </w:tr>
      <w:tr w:rsidR="00655FFA" w:rsidRPr="005C6F98" w14:paraId="714349CB" w14:textId="77777777" w:rsidTr="005C6F98">
        <w:trPr>
          <w:gridAfter w:val="1"/>
          <w:wAfter w:w="15" w:type="dxa"/>
        </w:trPr>
        <w:tc>
          <w:tcPr>
            <w:cnfStyle w:val="001000000000" w:firstRow="0" w:lastRow="0" w:firstColumn="1" w:lastColumn="0" w:oddVBand="0" w:evenVBand="0" w:oddHBand="0" w:evenHBand="0" w:firstRowFirstColumn="0" w:firstRowLastColumn="0" w:lastRowFirstColumn="0" w:lastRowLastColumn="0"/>
            <w:tcW w:w="3913" w:type="dxa"/>
            <w:hideMark/>
          </w:tcPr>
          <w:p w14:paraId="17240B18" w14:textId="77777777" w:rsidR="0085421C" w:rsidRPr="005C6F98" w:rsidRDefault="0085421C" w:rsidP="00363AC0">
            <w:pPr>
              <w:tabs>
                <w:tab w:val="left" w:pos="1134"/>
              </w:tabs>
              <w:rPr>
                <w:rFonts w:cs="Myriad Pro"/>
                <w:sz w:val="20"/>
                <w:szCs w:val="20"/>
              </w:rPr>
            </w:pPr>
            <w:r w:rsidRPr="005C6F98">
              <w:rPr>
                <w:rFonts w:cs="Myriad Pro"/>
                <w:sz w:val="20"/>
                <w:szCs w:val="20"/>
              </w:rPr>
              <w:t>Прибыль на капитальные вложения</w:t>
            </w:r>
          </w:p>
        </w:tc>
        <w:tc>
          <w:tcPr>
            <w:tcW w:w="1437" w:type="dxa"/>
            <w:hideMark/>
          </w:tcPr>
          <w:p w14:paraId="5CCA6664"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310 000,0</w:t>
            </w:r>
          </w:p>
        </w:tc>
        <w:tc>
          <w:tcPr>
            <w:tcW w:w="1575" w:type="dxa"/>
            <w:hideMark/>
          </w:tcPr>
          <w:p w14:paraId="5BC6FFE4"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0,0</w:t>
            </w:r>
          </w:p>
        </w:tc>
        <w:tc>
          <w:tcPr>
            <w:tcW w:w="1550" w:type="dxa"/>
            <w:hideMark/>
          </w:tcPr>
          <w:p w14:paraId="7C53A770"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0,0</w:t>
            </w:r>
          </w:p>
        </w:tc>
        <w:tc>
          <w:tcPr>
            <w:tcW w:w="1391" w:type="dxa"/>
            <w:noWrap/>
            <w:hideMark/>
          </w:tcPr>
          <w:p w14:paraId="304B7D2F" w14:textId="374EC683"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p>
        </w:tc>
        <w:tc>
          <w:tcPr>
            <w:tcW w:w="1470" w:type="dxa"/>
            <w:hideMark/>
          </w:tcPr>
          <w:p w14:paraId="5B0E338A"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0,0</w:t>
            </w:r>
          </w:p>
        </w:tc>
        <w:tc>
          <w:tcPr>
            <w:tcW w:w="1559" w:type="dxa"/>
            <w:hideMark/>
          </w:tcPr>
          <w:p w14:paraId="4ADC0934" w14:textId="64225CEA"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p>
        </w:tc>
        <w:tc>
          <w:tcPr>
            <w:tcW w:w="1470" w:type="dxa"/>
            <w:hideMark/>
          </w:tcPr>
          <w:p w14:paraId="7659E215" w14:textId="1553683C" w:rsidR="0085421C" w:rsidRPr="00297DA6"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p>
        </w:tc>
      </w:tr>
      <w:tr w:rsidR="00655FFA" w:rsidRPr="005C6F98" w14:paraId="71CF65A4" w14:textId="77777777" w:rsidTr="005C6F98">
        <w:trPr>
          <w:gridAfter w:val="1"/>
          <w:wAfter w:w="15" w:type="dxa"/>
        </w:trPr>
        <w:tc>
          <w:tcPr>
            <w:cnfStyle w:val="001000000000" w:firstRow="0" w:lastRow="0" w:firstColumn="1" w:lastColumn="0" w:oddVBand="0" w:evenVBand="0" w:oddHBand="0" w:evenHBand="0" w:firstRowFirstColumn="0" w:firstRowLastColumn="0" w:lastRowFirstColumn="0" w:lastRowLastColumn="0"/>
            <w:tcW w:w="3913" w:type="dxa"/>
            <w:hideMark/>
          </w:tcPr>
          <w:p w14:paraId="3D72EEDA" w14:textId="77777777" w:rsidR="0085421C" w:rsidRPr="005C6F98" w:rsidRDefault="0085421C" w:rsidP="00363AC0">
            <w:pPr>
              <w:tabs>
                <w:tab w:val="left" w:pos="1134"/>
              </w:tabs>
              <w:rPr>
                <w:rFonts w:cs="Myriad Pro"/>
                <w:sz w:val="20"/>
                <w:szCs w:val="20"/>
              </w:rPr>
            </w:pPr>
            <w:r w:rsidRPr="005C6F98">
              <w:rPr>
                <w:rFonts w:cs="Myriad Pro"/>
                <w:sz w:val="20"/>
                <w:szCs w:val="20"/>
              </w:rPr>
              <w:t>Финансовый результат и прочие доходы из прибыли</w:t>
            </w:r>
          </w:p>
        </w:tc>
        <w:tc>
          <w:tcPr>
            <w:tcW w:w="1437" w:type="dxa"/>
            <w:hideMark/>
          </w:tcPr>
          <w:p w14:paraId="7D41EFA4"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-39 736,1</w:t>
            </w:r>
          </w:p>
        </w:tc>
        <w:tc>
          <w:tcPr>
            <w:tcW w:w="1575" w:type="dxa"/>
            <w:hideMark/>
          </w:tcPr>
          <w:p w14:paraId="65936D99"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0,0</w:t>
            </w:r>
          </w:p>
        </w:tc>
        <w:tc>
          <w:tcPr>
            <w:tcW w:w="1550" w:type="dxa"/>
            <w:hideMark/>
          </w:tcPr>
          <w:p w14:paraId="63E06CB5"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0,0</w:t>
            </w:r>
          </w:p>
        </w:tc>
        <w:tc>
          <w:tcPr>
            <w:tcW w:w="1391" w:type="dxa"/>
            <w:noWrap/>
            <w:hideMark/>
          </w:tcPr>
          <w:p w14:paraId="33B74BB3" w14:textId="3BD27680"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p>
        </w:tc>
        <w:tc>
          <w:tcPr>
            <w:tcW w:w="1470" w:type="dxa"/>
            <w:hideMark/>
          </w:tcPr>
          <w:p w14:paraId="19DFD3BE"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5C6F98">
              <w:rPr>
                <w:rFonts w:cs="Myriad Pro"/>
                <w:sz w:val="20"/>
                <w:szCs w:val="20"/>
              </w:rPr>
              <w:t>0,0</w:t>
            </w:r>
          </w:p>
        </w:tc>
        <w:tc>
          <w:tcPr>
            <w:tcW w:w="1559" w:type="dxa"/>
            <w:hideMark/>
          </w:tcPr>
          <w:p w14:paraId="3ACADEF7" w14:textId="1418E8E4"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p>
        </w:tc>
        <w:tc>
          <w:tcPr>
            <w:tcW w:w="1470" w:type="dxa"/>
            <w:hideMark/>
          </w:tcPr>
          <w:p w14:paraId="13D87363" w14:textId="1AAB24E2" w:rsidR="0085421C" w:rsidRPr="00297DA6"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p>
        </w:tc>
      </w:tr>
      <w:tr w:rsidR="00655FFA" w:rsidRPr="005C6F98" w14:paraId="39C16B51" w14:textId="77777777" w:rsidTr="005C6F98">
        <w:trPr>
          <w:gridAfter w:val="1"/>
          <w:wAfter w:w="15" w:type="dxa"/>
        </w:trPr>
        <w:tc>
          <w:tcPr>
            <w:cnfStyle w:val="001000000000" w:firstRow="0" w:lastRow="0" w:firstColumn="1" w:lastColumn="0" w:oddVBand="0" w:evenVBand="0" w:oddHBand="0" w:evenHBand="0" w:firstRowFirstColumn="0" w:firstRowLastColumn="0" w:lastRowFirstColumn="0" w:lastRowLastColumn="0"/>
            <w:tcW w:w="3913" w:type="dxa"/>
            <w:hideMark/>
          </w:tcPr>
          <w:p w14:paraId="3C7B4C20" w14:textId="77777777" w:rsidR="0085421C" w:rsidRPr="005C6F98" w:rsidRDefault="0085421C" w:rsidP="00363AC0">
            <w:pPr>
              <w:tabs>
                <w:tab w:val="left" w:pos="1134"/>
              </w:tabs>
              <w:rPr>
                <w:rFonts w:cs="Myriad Pro"/>
                <w:b/>
                <w:sz w:val="20"/>
                <w:szCs w:val="20"/>
              </w:rPr>
            </w:pPr>
            <w:r w:rsidRPr="005C6F98">
              <w:rPr>
                <w:rFonts w:cs="Myriad Pro"/>
                <w:b/>
                <w:sz w:val="20"/>
                <w:szCs w:val="20"/>
              </w:rPr>
              <w:t>ИТОГО Неподконтрольные расходы</w:t>
            </w:r>
          </w:p>
        </w:tc>
        <w:tc>
          <w:tcPr>
            <w:tcW w:w="1437" w:type="dxa"/>
            <w:hideMark/>
          </w:tcPr>
          <w:p w14:paraId="612431BA"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b/>
                <w:sz w:val="20"/>
                <w:szCs w:val="20"/>
              </w:rPr>
            </w:pPr>
            <w:r w:rsidRPr="005C6F98">
              <w:rPr>
                <w:rFonts w:cs="Myriad Pro"/>
                <w:b/>
                <w:sz w:val="20"/>
                <w:szCs w:val="20"/>
              </w:rPr>
              <w:t>1 252 229,5</w:t>
            </w:r>
          </w:p>
        </w:tc>
        <w:tc>
          <w:tcPr>
            <w:tcW w:w="1575" w:type="dxa"/>
            <w:hideMark/>
          </w:tcPr>
          <w:p w14:paraId="44949F10"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b/>
                <w:sz w:val="20"/>
                <w:szCs w:val="20"/>
              </w:rPr>
            </w:pPr>
            <w:r w:rsidRPr="005C6F98">
              <w:rPr>
                <w:rFonts w:cs="Myriad Pro"/>
                <w:b/>
                <w:sz w:val="20"/>
                <w:szCs w:val="20"/>
              </w:rPr>
              <w:t>2 490 208,5</w:t>
            </w:r>
          </w:p>
        </w:tc>
        <w:tc>
          <w:tcPr>
            <w:tcW w:w="1550" w:type="dxa"/>
            <w:hideMark/>
          </w:tcPr>
          <w:p w14:paraId="14A6F145"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b/>
                <w:sz w:val="20"/>
                <w:szCs w:val="20"/>
              </w:rPr>
            </w:pPr>
            <w:r w:rsidRPr="005C6F98">
              <w:rPr>
                <w:rFonts w:cs="Myriad Pro"/>
                <w:b/>
                <w:sz w:val="20"/>
                <w:szCs w:val="20"/>
              </w:rPr>
              <w:t>1 983 350,2</w:t>
            </w:r>
          </w:p>
        </w:tc>
        <w:tc>
          <w:tcPr>
            <w:tcW w:w="1391" w:type="dxa"/>
            <w:noWrap/>
            <w:hideMark/>
          </w:tcPr>
          <w:p w14:paraId="6382B057" w14:textId="32B2B2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b/>
                <w:sz w:val="20"/>
                <w:szCs w:val="20"/>
              </w:rPr>
            </w:pPr>
          </w:p>
        </w:tc>
        <w:tc>
          <w:tcPr>
            <w:tcW w:w="1470" w:type="dxa"/>
            <w:hideMark/>
          </w:tcPr>
          <w:p w14:paraId="27B3F65D"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b/>
                <w:sz w:val="20"/>
                <w:szCs w:val="20"/>
              </w:rPr>
            </w:pPr>
            <w:r w:rsidRPr="005C6F98">
              <w:rPr>
                <w:rFonts w:cs="Myriad Pro"/>
                <w:b/>
                <w:sz w:val="20"/>
                <w:szCs w:val="20"/>
              </w:rPr>
              <w:t>2 107 227,8</w:t>
            </w:r>
          </w:p>
        </w:tc>
        <w:tc>
          <w:tcPr>
            <w:tcW w:w="1559" w:type="dxa"/>
            <w:hideMark/>
          </w:tcPr>
          <w:p w14:paraId="3DFF11D2"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b/>
                <w:sz w:val="20"/>
                <w:szCs w:val="20"/>
              </w:rPr>
            </w:pPr>
            <w:r w:rsidRPr="005C6F98">
              <w:rPr>
                <w:rFonts w:cs="Myriad Pro"/>
                <w:b/>
                <w:sz w:val="20"/>
                <w:szCs w:val="20"/>
              </w:rPr>
              <w:t>278 589,0</w:t>
            </w:r>
          </w:p>
        </w:tc>
        <w:tc>
          <w:tcPr>
            <w:tcW w:w="1470" w:type="dxa"/>
            <w:hideMark/>
          </w:tcPr>
          <w:p w14:paraId="7D5B7C6D" w14:textId="77777777" w:rsidR="0085421C" w:rsidRPr="00297DA6"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b/>
                <w:sz w:val="20"/>
                <w:szCs w:val="20"/>
              </w:rPr>
            </w:pPr>
            <w:r w:rsidRPr="00297DA6">
              <w:rPr>
                <w:rFonts w:cs="Myriad Pro"/>
                <w:b/>
                <w:sz w:val="20"/>
                <w:szCs w:val="20"/>
              </w:rPr>
              <w:t>-154 711,4</w:t>
            </w:r>
          </w:p>
        </w:tc>
      </w:tr>
      <w:tr w:rsidR="0085421C" w:rsidRPr="005C6F98" w14:paraId="60F009BF" w14:textId="77777777" w:rsidTr="005C6F98">
        <w:trPr>
          <w:gridAfter w:val="1"/>
          <w:wAfter w:w="15" w:type="dxa"/>
        </w:trPr>
        <w:tc>
          <w:tcPr>
            <w:cnfStyle w:val="001000000000" w:firstRow="0" w:lastRow="0" w:firstColumn="1" w:lastColumn="0" w:oddVBand="0" w:evenVBand="0" w:oddHBand="0" w:evenHBand="0" w:firstRowFirstColumn="0" w:firstRowLastColumn="0" w:lastRowFirstColumn="0" w:lastRowLastColumn="0"/>
            <w:tcW w:w="3913" w:type="dxa"/>
            <w:noWrap/>
            <w:hideMark/>
          </w:tcPr>
          <w:p w14:paraId="4C3ED6DF" w14:textId="77777777" w:rsidR="0085421C" w:rsidRPr="005C6F98" w:rsidRDefault="0085421C" w:rsidP="00363AC0">
            <w:pPr>
              <w:tabs>
                <w:tab w:val="left" w:pos="1134"/>
              </w:tabs>
              <w:rPr>
                <w:rFonts w:cs="Myriad Pro"/>
                <w:b/>
                <w:sz w:val="20"/>
                <w:szCs w:val="20"/>
              </w:rPr>
            </w:pPr>
            <w:r w:rsidRPr="005C6F98">
              <w:rPr>
                <w:rFonts w:cs="Myriad Pro"/>
                <w:b/>
                <w:sz w:val="20"/>
                <w:szCs w:val="20"/>
              </w:rPr>
              <w:t>ВСЕГО подконтрольные и неподконтрольные расходы (без учета корректировок)</w:t>
            </w:r>
          </w:p>
        </w:tc>
        <w:tc>
          <w:tcPr>
            <w:tcW w:w="1437" w:type="dxa"/>
            <w:noWrap/>
            <w:hideMark/>
          </w:tcPr>
          <w:p w14:paraId="21C5F7B0"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b/>
                <w:sz w:val="20"/>
                <w:szCs w:val="20"/>
              </w:rPr>
            </w:pPr>
            <w:r w:rsidRPr="005C6F98">
              <w:rPr>
                <w:rFonts w:cs="Myriad Pro"/>
                <w:b/>
                <w:sz w:val="20"/>
                <w:szCs w:val="20"/>
              </w:rPr>
              <w:t>3 061 066,77</w:t>
            </w:r>
          </w:p>
        </w:tc>
        <w:tc>
          <w:tcPr>
            <w:tcW w:w="1575" w:type="dxa"/>
            <w:noWrap/>
            <w:hideMark/>
          </w:tcPr>
          <w:p w14:paraId="42BBEA23"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b/>
                <w:sz w:val="20"/>
                <w:szCs w:val="20"/>
              </w:rPr>
            </w:pPr>
            <w:r w:rsidRPr="005C6F98">
              <w:rPr>
                <w:rFonts w:cs="Myriad Pro"/>
                <w:b/>
                <w:sz w:val="20"/>
                <w:szCs w:val="20"/>
              </w:rPr>
              <w:t>4 948 152,14</w:t>
            </w:r>
          </w:p>
        </w:tc>
        <w:tc>
          <w:tcPr>
            <w:tcW w:w="1550" w:type="dxa"/>
            <w:noWrap/>
            <w:hideMark/>
          </w:tcPr>
          <w:p w14:paraId="3E121A54"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b/>
                <w:sz w:val="20"/>
                <w:szCs w:val="20"/>
              </w:rPr>
            </w:pPr>
            <w:r w:rsidRPr="005C6F98">
              <w:rPr>
                <w:rFonts w:cs="Myriad Pro"/>
                <w:b/>
                <w:sz w:val="20"/>
                <w:szCs w:val="20"/>
              </w:rPr>
              <w:t>3 681 854,08</w:t>
            </w:r>
          </w:p>
        </w:tc>
        <w:tc>
          <w:tcPr>
            <w:tcW w:w="1391" w:type="dxa"/>
            <w:noWrap/>
            <w:hideMark/>
          </w:tcPr>
          <w:p w14:paraId="5788EBA5" w14:textId="0C755A32"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b/>
                <w:sz w:val="20"/>
                <w:szCs w:val="20"/>
              </w:rPr>
            </w:pPr>
          </w:p>
        </w:tc>
        <w:tc>
          <w:tcPr>
            <w:tcW w:w="1470" w:type="dxa"/>
            <w:noWrap/>
            <w:hideMark/>
          </w:tcPr>
          <w:p w14:paraId="3AC4FEB2"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b/>
                <w:sz w:val="20"/>
                <w:szCs w:val="20"/>
              </w:rPr>
            </w:pPr>
            <w:r w:rsidRPr="005C6F98">
              <w:rPr>
                <w:rFonts w:cs="Myriad Pro"/>
                <w:b/>
                <w:sz w:val="20"/>
                <w:szCs w:val="20"/>
              </w:rPr>
              <w:t>3 887 959,54</w:t>
            </w:r>
          </w:p>
        </w:tc>
        <w:tc>
          <w:tcPr>
            <w:tcW w:w="1559" w:type="dxa"/>
            <w:noWrap/>
            <w:hideMark/>
          </w:tcPr>
          <w:p w14:paraId="326BBFC4"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b/>
                <w:sz w:val="20"/>
                <w:szCs w:val="20"/>
              </w:rPr>
            </w:pPr>
            <w:r w:rsidRPr="005C6F98">
              <w:rPr>
                <w:rFonts w:cs="Myriad Pro"/>
                <w:b/>
                <w:sz w:val="20"/>
                <w:szCs w:val="20"/>
              </w:rPr>
              <w:t>415 629,84</w:t>
            </w:r>
          </w:p>
        </w:tc>
        <w:tc>
          <w:tcPr>
            <w:tcW w:w="1470" w:type="dxa"/>
            <w:noWrap/>
            <w:hideMark/>
          </w:tcPr>
          <w:p w14:paraId="6AA89885" w14:textId="77777777" w:rsidR="0085421C" w:rsidRPr="00297DA6"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b/>
                <w:sz w:val="20"/>
                <w:szCs w:val="20"/>
              </w:rPr>
            </w:pPr>
            <w:r w:rsidRPr="00297DA6">
              <w:rPr>
                <w:rFonts w:cs="Myriad Pro"/>
                <w:b/>
                <w:sz w:val="20"/>
                <w:szCs w:val="20"/>
              </w:rPr>
              <w:t>-209 524,38</w:t>
            </w:r>
          </w:p>
        </w:tc>
      </w:tr>
      <w:tr w:rsidR="00655FFA" w:rsidRPr="005C6F98" w14:paraId="7765756A" w14:textId="77777777" w:rsidTr="005C6F98">
        <w:trPr>
          <w:gridAfter w:val="1"/>
          <w:wAfter w:w="15" w:type="dxa"/>
        </w:trPr>
        <w:tc>
          <w:tcPr>
            <w:cnfStyle w:val="001000000000" w:firstRow="0" w:lastRow="0" w:firstColumn="1" w:lastColumn="0" w:oddVBand="0" w:evenVBand="0" w:oddHBand="0" w:evenHBand="0" w:firstRowFirstColumn="0" w:firstRowLastColumn="0" w:lastRowFirstColumn="0" w:lastRowLastColumn="0"/>
            <w:tcW w:w="3913" w:type="dxa"/>
            <w:hideMark/>
          </w:tcPr>
          <w:p w14:paraId="73B2BFA6" w14:textId="77777777" w:rsidR="0085421C" w:rsidRPr="005C6F98" w:rsidRDefault="0085421C" w:rsidP="00363AC0">
            <w:pPr>
              <w:tabs>
                <w:tab w:val="left" w:pos="1134"/>
              </w:tabs>
              <w:rPr>
                <w:rFonts w:cs="Myriad Pro"/>
                <w:b/>
                <w:sz w:val="20"/>
                <w:szCs w:val="20"/>
              </w:rPr>
            </w:pPr>
            <w:r w:rsidRPr="005C6F98">
              <w:rPr>
                <w:rFonts w:cs="Myriad Pro"/>
                <w:b/>
                <w:sz w:val="20"/>
                <w:szCs w:val="20"/>
              </w:rPr>
              <w:t>Расходы на оплату нормативных (технологических) потерь электрической энергии (мощности) РСК</w:t>
            </w:r>
          </w:p>
        </w:tc>
        <w:tc>
          <w:tcPr>
            <w:tcW w:w="1437" w:type="dxa"/>
            <w:hideMark/>
          </w:tcPr>
          <w:p w14:paraId="2B6F2649"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b/>
                <w:sz w:val="20"/>
                <w:szCs w:val="20"/>
              </w:rPr>
            </w:pPr>
            <w:r w:rsidRPr="005C6F98">
              <w:rPr>
                <w:rFonts w:cs="Myriad Pro"/>
                <w:b/>
                <w:sz w:val="20"/>
                <w:szCs w:val="20"/>
              </w:rPr>
              <w:t>654 172,04</w:t>
            </w:r>
          </w:p>
        </w:tc>
        <w:tc>
          <w:tcPr>
            <w:tcW w:w="1575" w:type="dxa"/>
            <w:hideMark/>
          </w:tcPr>
          <w:p w14:paraId="621C9669"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b/>
                <w:sz w:val="20"/>
                <w:szCs w:val="20"/>
              </w:rPr>
            </w:pPr>
            <w:r w:rsidRPr="005C6F98">
              <w:rPr>
                <w:rFonts w:cs="Myriad Pro"/>
                <w:b/>
                <w:sz w:val="20"/>
                <w:szCs w:val="20"/>
              </w:rPr>
              <w:t>853 084,29</w:t>
            </w:r>
          </w:p>
        </w:tc>
        <w:tc>
          <w:tcPr>
            <w:tcW w:w="1550" w:type="dxa"/>
            <w:hideMark/>
          </w:tcPr>
          <w:p w14:paraId="7DC31674"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b/>
                <w:sz w:val="20"/>
                <w:szCs w:val="20"/>
              </w:rPr>
            </w:pPr>
            <w:r w:rsidRPr="005C6F98">
              <w:rPr>
                <w:rFonts w:cs="Myriad Pro"/>
                <w:b/>
                <w:sz w:val="20"/>
                <w:szCs w:val="20"/>
              </w:rPr>
              <w:t>821 984,42</w:t>
            </w:r>
          </w:p>
        </w:tc>
        <w:tc>
          <w:tcPr>
            <w:tcW w:w="1391" w:type="dxa"/>
            <w:noWrap/>
            <w:hideMark/>
          </w:tcPr>
          <w:p w14:paraId="404157F4" w14:textId="0D11F746"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b/>
                <w:sz w:val="20"/>
                <w:szCs w:val="20"/>
              </w:rPr>
            </w:pPr>
          </w:p>
        </w:tc>
        <w:tc>
          <w:tcPr>
            <w:tcW w:w="1470" w:type="dxa"/>
            <w:hideMark/>
          </w:tcPr>
          <w:p w14:paraId="25D7F034"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b/>
                <w:sz w:val="20"/>
                <w:szCs w:val="20"/>
              </w:rPr>
            </w:pPr>
            <w:r w:rsidRPr="005C6F98">
              <w:rPr>
                <w:rFonts w:cs="Myriad Pro"/>
                <w:b/>
                <w:sz w:val="20"/>
                <w:szCs w:val="20"/>
              </w:rPr>
              <w:t>1 019 172,97</w:t>
            </w:r>
          </w:p>
        </w:tc>
        <w:tc>
          <w:tcPr>
            <w:tcW w:w="1559" w:type="dxa"/>
            <w:hideMark/>
          </w:tcPr>
          <w:p w14:paraId="6826B615" w14:textId="77777777" w:rsidR="0085421C" w:rsidRPr="005C6F98"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b/>
                <w:sz w:val="20"/>
                <w:szCs w:val="20"/>
              </w:rPr>
            </w:pPr>
            <w:r w:rsidRPr="005C6F98">
              <w:rPr>
                <w:rFonts w:cs="Myriad Pro"/>
                <w:b/>
                <w:sz w:val="20"/>
                <w:szCs w:val="20"/>
              </w:rPr>
              <w:t>197 188,6</w:t>
            </w:r>
          </w:p>
        </w:tc>
        <w:tc>
          <w:tcPr>
            <w:tcW w:w="1470" w:type="dxa"/>
            <w:hideMark/>
          </w:tcPr>
          <w:p w14:paraId="30243080" w14:textId="0547FA5F" w:rsidR="0085421C" w:rsidRPr="00BF51B9" w:rsidRDefault="0085421C" w:rsidP="00363AC0">
            <w:pPr>
              <w:tabs>
                <w:tab w:val="left" w:pos="1134"/>
              </w:tabs>
              <w:cnfStyle w:val="000000000000" w:firstRow="0" w:lastRow="0" w:firstColumn="0" w:lastColumn="0" w:oddVBand="0" w:evenVBand="0" w:oddHBand="0" w:evenHBand="0" w:firstRowFirstColumn="0" w:firstRowLastColumn="0" w:lastRowFirstColumn="0" w:lastRowLastColumn="0"/>
              <w:rPr>
                <w:rFonts w:cs="Myriad Pro"/>
                <w:b/>
                <w:sz w:val="20"/>
                <w:szCs w:val="20"/>
                <w:highlight w:val="yellow"/>
              </w:rPr>
            </w:pPr>
          </w:p>
        </w:tc>
      </w:tr>
    </w:tbl>
    <w:p w14:paraId="673426AF" w14:textId="77777777" w:rsidR="0085421C" w:rsidRPr="00FB0A3A" w:rsidRDefault="0085421C" w:rsidP="00A31747">
      <w:pPr>
        <w:tabs>
          <w:tab w:val="left" w:pos="1134"/>
        </w:tabs>
        <w:spacing w:after="0" w:line="360" w:lineRule="auto"/>
        <w:ind w:firstLine="567"/>
        <w:contextualSpacing/>
        <w:jc w:val="both"/>
        <w:rPr>
          <w:rFonts w:ascii="Myriad Pro" w:hAnsi="Myriad Pro" w:cs="Myriad Pro"/>
          <w:color w:val="548DD4" w:themeColor="text2" w:themeTint="99"/>
          <w:sz w:val="20"/>
          <w:szCs w:val="20"/>
        </w:rPr>
      </w:pPr>
    </w:p>
    <w:sectPr w:rsidR="0085421C" w:rsidRPr="00FB0A3A" w:rsidSect="001372A0">
      <w:pgSz w:w="16838" w:h="11906" w:orient="landscape"/>
      <w:pgMar w:top="1418"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0989C1" w14:textId="77777777" w:rsidR="00486403" w:rsidRDefault="00486403" w:rsidP="001335E3">
      <w:pPr>
        <w:spacing w:after="0" w:line="240" w:lineRule="auto"/>
      </w:pPr>
      <w:r>
        <w:separator/>
      </w:r>
    </w:p>
  </w:endnote>
  <w:endnote w:type="continuationSeparator" w:id="0">
    <w:p w14:paraId="5A9ADC41" w14:textId="77777777" w:rsidR="00486403" w:rsidRDefault="00486403" w:rsidP="00133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 Pro">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harterC">
    <w:altName w:val="Calibri"/>
    <w:panose1 w:val="00000000000000000000"/>
    <w:charset w:val="CC"/>
    <w:family w:val="modern"/>
    <w:notTrueType/>
    <w:pitch w:val="variable"/>
    <w:sig w:usb0="800002AF" w:usb1="1000004A" w:usb2="00000000" w:usb3="00000000" w:csb0="00000005" w:csb1="00000000"/>
  </w:font>
  <w:font w:name="Segoe UI">
    <w:panose1 w:val="020B0502040204020203"/>
    <w:charset w:val="CC"/>
    <w:family w:val="swiss"/>
    <w:pitch w:val="variable"/>
    <w:sig w:usb0="E4002EFF" w:usb1="C000E47F" w:usb2="00000009" w:usb3="00000000" w:csb0="000001FF" w:csb1="00000000"/>
  </w:font>
  <w:font w:name="Garamond">
    <w:panose1 w:val="02020404030301010803"/>
    <w:charset w:val="CC"/>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SimSun, 宋体">
    <w:charset w:val="00"/>
    <w:family w:val="auto"/>
    <w:pitch w:val="variable"/>
  </w:font>
  <w:font w:name="Trebuchet MS">
    <w:panose1 w:val="020B0603020202020204"/>
    <w:charset w:val="CC"/>
    <w:family w:val="swiss"/>
    <w:pitch w:val="variable"/>
    <w:sig w:usb0="00000687" w:usb1="00000000" w:usb2="00000000" w:usb3="00000000" w:csb0="0000009F" w:csb1="00000000"/>
  </w:font>
  <w:font w:name="TimesNewRoman">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Furore">
    <w:altName w:val="Microsoft YaHei"/>
    <w:panose1 w:val="02000503020000020004"/>
    <w:charset w:val="00"/>
    <w:family w:val="modern"/>
    <w:notTrueType/>
    <w:pitch w:val="variable"/>
    <w:sig w:usb0="80000283" w:usb1="0000000A"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7286212"/>
      <w:docPartObj>
        <w:docPartGallery w:val="Page Numbers (Bottom of Page)"/>
        <w:docPartUnique/>
      </w:docPartObj>
    </w:sdtPr>
    <w:sdtEndPr>
      <w:rPr>
        <w:rFonts w:ascii="Furore" w:hAnsi="Furore"/>
        <w:noProof/>
        <w:color w:val="4F6228"/>
      </w:rPr>
    </w:sdtEndPr>
    <w:sdtContent>
      <w:p w14:paraId="7E2D0576" w14:textId="3994B882" w:rsidR="00486403" w:rsidRPr="00FB0A3A" w:rsidRDefault="00486403" w:rsidP="0024312B">
        <w:pPr>
          <w:pStyle w:val="af6"/>
          <w:spacing w:before="120"/>
          <w:jc w:val="right"/>
          <w:rPr>
            <w:rFonts w:ascii="Furore" w:hAnsi="Furore"/>
            <w:noProof/>
            <w:color w:val="4F6228"/>
          </w:rPr>
        </w:pPr>
        <w:r w:rsidRPr="00FB0A3A">
          <w:rPr>
            <w:rFonts w:ascii="Furore" w:hAnsi="Furore"/>
            <w:noProof/>
            <w:color w:val="4F6228"/>
          </w:rPr>
          <w:fldChar w:fldCharType="begin"/>
        </w:r>
        <w:r w:rsidRPr="00FB0A3A">
          <w:rPr>
            <w:rFonts w:ascii="Furore" w:hAnsi="Furore"/>
            <w:noProof/>
            <w:color w:val="4F6228"/>
          </w:rPr>
          <w:instrText>PAGE   \* MERGEFORMAT</w:instrText>
        </w:r>
        <w:r w:rsidRPr="00FB0A3A">
          <w:rPr>
            <w:rFonts w:ascii="Furore" w:hAnsi="Furore"/>
            <w:noProof/>
            <w:color w:val="4F6228"/>
          </w:rPr>
          <w:fldChar w:fldCharType="separate"/>
        </w:r>
        <w:r>
          <w:rPr>
            <w:rFonts w:ascii="Furore" w:hAnsi="Furore"/>
            <w:noProof/>
            <w:color w:val="4F6228"/>
          </w:rPr>
          <w:t>3</w:t>
        </w:r>
        <w:r w:rsidRPr="00FB0A3A">
          <w:rPr>
            <w:rFonts w:ascii="Furore" w:hAnsi="Furore"/>
            <w:noProof/>
            <w:color w:val="4F6228"/>
          </w:rPr>
          <w:fldChar w:fldCharType="end"/>
        </w:r>
      </w:p>
    </w:sdtContent>
  </w:sdt>
  <w:p w14:paraId="20377163" w14:textId="77777777" w:rsidR="00486403" w:rsidRPr="00CE76BB" w:rsidRDefault="00486403">
    <w:pPr>
      <w:pStyle w:val="af6"/>
      <w:rPr>
        <w:rFonts w:ascii="Furore" w:hAnsi="Furore"/>
        <w:color w:val="4F6228" w:themeColor="accent3" w:themeShade="8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1831875"/>
      <w:docPartObj>
        <w:docPartGallery w:val="Page Numbers (Bottom of Page)"/>
        <w:docPartUnique/>
      </w:docPartObj>
    </w:sdtPr>
    <w:sdtEndPr>
      <w:rPr>
        <w:rFonts w:ascii="Furore" w:hAnsi="Furore"/>
        <w:color w:val="4F6228" w:themeColor="accent3" w:themeShade="80"/>
      </w:rPr>
    </w:sdtEndPr>
    <w:sdtContent>
      <w:p w14:paraId="7EB76374" w14:textId="3D5D45B2" w:rsidR="00486403" w:rsidRPr="00CE76BB" w:rsidRDefault="00486403">
        <w:pPr>
          <w:pStyle w:val="af6"/>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51</w:t>
        </w:r>
        <w:r w:rsidRPr="00CE76BB">
          <w:rPr>
            <w:rFonts w:ascii="Furore" w:hAnsi="Furore"/>
            <w:color w:val="4F6228" w:themeColor="accent3" w:themeShade="80"/>
          </w:rPr>
          <w:fldChar w:fldCharType="end"/>
        </w:r>
      </w:p>
    </w:sdtContent>
  </w:sdt>
  <w:p w14:paraId="5C6F5419" w14:textId="77777777" w:rsidR="00486403" w:rsidRPr="00CE76BB" w:rsidRDefault="00486403">
    <w:pPr>
      <w:pStyle w:val="af6"/>
      <w:rPr>
        <w:rFonts w:ascii="Furore" w:hAnsi="Furore"/>
        <w:color w:val="4F6228" w:themeColor="accent3" w:themeShade="8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A06424" w14:textId="77777777" w:rsidR="00486403" w:rsidRDefault="00486403" w:rsidP="001335E3">
      <w:pPr>
        <w:spacing w:after="0" w:line="240" w:lineRule="auto"/>
      </w:pPr>
      <w:r>
        <w:separator/>
      </w:r>
    </w:p>
  </w:footnote>
  <w:footnote w:type="continuationSeparator" w:id="0">
    <w:p w14:paraId="7F4E5879" w14:textId="77777777" w:rsidR="00486403" w:rsidRDefault="00486403" w:rsidP="001335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2C4CCD" w14:textId="66315696" w:rsidR="00486403" w:rsidRPr="00FB0A3A" w:rsidRDefault="00486403" w:rsidP="00FB0A3A">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sidRPr="0098341C">
      <w:rPr>
        <w:rFonts w:ascii="Furore" w:eastAsia="Calibri" w:hAnsi="Furore" w:cs="Times New Roman"/>
        <w:b/>
        <w:noProof/>
        <w:color w:val="4F6228"/>
        <w:spacing w:val="20"/>
      </w:rPr>
      <w:t>ООО «</w:t>
    </w:r>
    <w:r>
      <w:rPr>
        <w:rFonts w:ascii="Furore" w:eastAsia="Calibri" w:hAnsi="Furore" w:cs="Times New Roman"/>
        <w:b/>
        <w:noProof/>
        <w:color w:val="4F6228"/>
        <w:spacing w:val="20"/>
      </w:rPr>
      <w:t>экспертная компания эпар</w:t>
    </w:r>
    <w:r w:rsidRPr="0098341C">
      <w:rPr>
        <w:rFonts w:ascii="Furore" w:eastAsia="Calibri" w:hAnsi="Furore" w:cs="Times New Roman"/>
        <w:b/>
        <w:noProof/>
        <w:color w:val="4F6228"/>
        <w:spacing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38C0AF" w14:textId="77777777" w:rsidR="00486403" w:rsidRPr="0084482D" w:rsidRDefault="00486403" w:rsidP="006E0004">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sidRPr="0098341C">
      <w:rPr>
        <w:rFonts w:ascii="Furore" w:eastAsia="Calibri" w:hAnsi="Furore" w:cs="Times New Roman"/>
        <w:b/>
        <w:noProof/>
        <w:color w:val="4F6228"/>
        <w:spacing w:val="20"/>
      </w:rPr>
      <w:t>ООО «</w:t>
    </w:r>
    <w:r>
      <w:rPr>
        <w:rFonts w:ascii="Furore" w:eastAsia="Calibri" w:hAnsi="Furore" w:cs="Times New Roman"/>
        <w:b/>
        <w:noProof/>
        <w:color w:val="4F6228"/>
        <w:spacing w:val="20"/>
      </w:rPr>
      <w:t>экспертная компания эпар</w:t>
    </w:r>
    <w:r w:rsidRPr="0098341C">
      <w:rPr>
        <w:rFonts w:ascii="Furore" w:eastAsia="Calibri" w:hAnsi="Furore" w:cs="Times New Roman"/>
        <w:b/>
        <w:noProof/>
        <w:color w:val="4F6228"/>
        <w:spacing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5C33271"/>
    <w:multiLevelType w:val="hybridMultilevel"/>
    <w:tmpl w:val="1EECBF2E"/>
    <w:lvl w:ilvl="0" w:tplc="B9FCA774">
      <w:start w:val="1"/>
      <w:numFmt w:val="decimal"/>
      <w:lvlText w:val="%1)"/>
      <w:lvlJc w:val="left"/>
      <w:pPr>
        <w:ind w:left="720" w:hanging="360"/>
      </w:pPr>
      <w:rPr>
        <w:b w:val="0"/>
        <w:sz w:val="24"/>
        <w:szCs w:val="24"/>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6D0DA4"/>
    <w:multiLevelType w:val="multilevel"/>
    <w:tmpl w:val="B25E719A"/>
    <w:lvl w:ilvl="0">
      <w:start w:val="1"/>
      <w:numFmt w:val="bullet"/>
      <w:lvlText w:val=""/>
      <w:lvlJc w:val="left"/>
      <w:pPr>
        <w:ind w:left="1134" w:hanging="567"/>
      </w:pPr>
      <w:rPr>
        <w:rFonts w:ascii="Wingdings" w:hAnsi="Wingdings" w:hint="default"/>
        <w:color w:val="auto"/>
      </w:rPr>
    </w:lvl>
    <w:lvl w:ilvl="1">
      <w:start w:val="1"/>
      <w:numFmt w:val="bullet"/>
      <w:lvlText w:val="‒"/>
      <w:lvlJc w:val="left"/>
      <w:pPr>
        <w:ind w:left="1701" w:hanging="567"/>
      </w:pPr>
      <w:rPr>
        <w:rFonts w:ascii="Arial" w:hAnsi="Arial" w:hint="default"/>
      </w:rPr>
    </w:lvl>
    <w:lvl w:ilvl="2">
      <w:start w:val="1"/>
      <w:numFmt w:val="bullet"/>
      <w:lvlText w:val=""/>
      <w:lvlJc w:val="left"/>
      <w:pPr>
        <w:tabs>
          <w:tab w:val="num" w:pos="720"/>
        </w:tabs>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9BB0EF3"/>
    <w:multiLevelType w:val="multilevel"/>
    <w:tmpl w:val="B25E719A"/>
    <w:lvl w:ilvl="0">
      <w:start w:val="1"/>
      <w:numFmt w:val="bullet"/>
      <w:lvlText w:val=""/>
      <w:lvlJc w:val="left"/>
      <w:pPr>
        <w:ind w:left="1134" w:hanging="567"/>
      </w:pPr>
      <w:rPr>
        <w:rFonts w:ascii="Wingdings" w:hAnsi="Wingdings" w:hint="default"/>
        <w:color w:val="auto"/>
      </w:rPr>
    </w:lvl>
    <w:lvl w:ilvl="1">
      <w:start w:val="1"/>
      <w:numFmt w:val="bullet"/>
      <w:lvlText w:val="‒"/>
      <w:lvlJc w:val="left"/>
      <w:pPr>
        <w:ind w:left="1701" w:hanging="567"/>
      </w:pPr>
      <w:rPr>
        <w:rFonts w:ascii="Arial" w:hAnsi="Arial" w:hint="default"/>
      </w:rPr>
    </w:lvl>
    <w:lvl w:ilvl="2">
      <w:start w:val="1"/>
      <w:numFmt w:val="bullet"/>
      <w:lvlText w:val=""/>
      <w:lvlJc w:val="left"/>
      <w:pPr>
        <w:tabs>
          <w:tab w:val="num" w:pos="720"/>
        </w:tabs>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A7A09C1"/>
    <w:multiLevelType w:val="multilevel"/>
    <w:tmpl w:val="B25E719A"/>
    <w:lvl w:ilvl="0">
      <w:start w:val="1"/>
      <w:numFmt w:val="bullet"/>
      <w:lvlText w:val=""/>
      <w:lvlJc w:val="left"/>
      <w:pPr>
        <w:ind w:left="1134" w:hanging="567"/>
      </w:pPr>
      <w:rPr>
        <w:rFonts w:ascii="Wingdings" w:hAnsi="Wingdings" w:hint="default"/>
        <w:color w:val="auto"/>
      </w:rPr>
    </w:lvl>
    <w:lvl w:ilvl="1">
      <w:start w:val="1"/>
      <w:numFmt w:val="bullet"/>
      <w:lvlText w:val="‒"/>
      <w:lvlJc w:val="left"/>
      <w:pPr>
        <w:ind w:left="1701" w:hanging="567"/>
      </w:pPr>
      <w:rPr>
        <w:rFonts w:ascii="Arial" w:hAnsi="Arial" w:hint="default"/>
      </w:rPr>
    </w:lvl>
    <w:lvl w:ilvl="2">
      <w:start w:val="1"/>
      <w:numFmt w:val="bullet"/>
      <w:lvlText w:val=""/>
      <w:lvlJc w:val="left"/>
      <w:pPr>
        <w:tabs>
          <w:tab w:val="num" w:pos="720"/>
        </w:tabs>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C3C0EB7"/>
    <w:multiLevelType w:val="hybridMultilevel"/>
    <w:tmpl w:val="5E124AC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D5C27FA"/>
    <w:multiLevelType w:val="multilevel"/>
    <w:tmpl w:val="B25E719A"/>
    <w:lvl w:ilvl="0">
      <w:start w:val="1"/>
      <w:numFmt w:val="bullet"/>
      <w:lvlText w:val=""/>
      <w:lvlJc w:val="left"/>
      <w:pPr>
        <w:ind w:left="1134" w:hanging="567"/>
      </w:pPr>
      <w:rPr>
        <w:rFonts w:ascii="Wingdings" w:hAnsi="Wingdings" w:hint="default"/>
        <w:color w:val="auto"/>
      </w:rPr>
    </w:lvl>
    <w:lvl w:ilvl="1">
      <w:start w:val="1"/>
      <w:numFmt w:val="bullet"/>
      <w:lvlText w:val="‒"/>
      <w:lvlJc w:val="left"/>
      <w:pPr>
        <w:ind w:left="1701" w:hanging="567"/>
      </w:pPr>
      <w:rPr>
        <w:rFonts w:ascii="Arial" w:hAnsi="Arial" w:hint="default"/>
      </w:rPr>
    </w:lvl>
    <w:lvl w:ilvl="2">
      <w:start w:val="1"/>
      <w:numFmt w:val="bullet"/>
      <w:lvlText w:val=""/>
      <w:lvlJc w:val="left"/>
      <w:pPr>
        <w:tabs>
          <w:tab w:val="num" w:pos="720"/>
        </w:tabs>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DFC2FFA"/>
    <w:multiLevelType w:val="hybridMultilevel"/>
    <w:tmpl w:val="7F6E029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0E201A44"/>
    <w:multiLevelType w:val="hybridMultilevel"/>
    <w:tmpl w:val="C07246C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0EF4464C"/>
    <w:multiLevelType w:val="multilevel"/>
    <w:tmpl w:val="B25E719A"/>
    <w:lvl w:ilvl="0">
      <w:start w:val="1"/>
      <w:numFmt w:val="bullet"/>
      <w:lvlText w:val=""/>
      <w:lvlJc w:val="left"/>
      <w:pPr>
        <w:ind w:left="1134" w:hanging="567"/>
      </w:pPr>
      <w:rPr>
        <w:rFonts w:ascii="Wingdings" w:hAnsi="Wingdings" w:hint="default"/>
        <w:color w:val="auto"/>
      </w:rPr>
    </w:lvl>
    <w:lvl w:ilvl="1">
      <w:start w:val="1"/>
      <w:numFmt w:val="bullet"/>
      <w:lvlText w:val="‒"/>
      <w:lvlJc w:val="left"/>
      <w:pPr>
        <w:ind w:left="1701" w:hanging="567"/>
      </w:pPr>
      <w:rPr>
        <w:rFonts w:ascii="Arial" w:hAnsi="Arial" w:hint="default"/>
      </w:rPr>
    </w:lvl>
    <w:lvl w:ilvl="2">
      <w:start w:val="1"/>
      <w:numFmt w:val="bullet"/>
      <w:lvlText w:val=""/>
      <w:lvlJc w:val="left"/>
      <w:pPr>
        <w:tabs>
          <w:tab w:val="num" w:pos="720"/>
        </w:tabs>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0F2B19C5"/>
    <w:multiLevelType w:val="hybridMultilevel"/>
    <w:tmpl w:val="B2341F56"/>
    <w:lvl w:ilvl="0" w:tplc="0419000B">
      <w:start w:val="1"/>
      <w:numFmt w:val="bullet"/>
      <w:lvlText w:val=""/>
      <w:lvlJc w:val="left"/>
      <w:pPr>
        <w:ind w:left="795" w:hanging="360"/>
      </w:pPr>
      <w:rPr>
        <w:rFonts w:ascii="Wingdings" w:hAnsi="Wingdings"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1" w15:restartNumberingAfterBreak="0">
    <w:nsid w:val="10E561FB"/>
    <w:multiLevelType w:val="hybridMultilevel"/>
    <w:tmpl w:val="D904EE22"/>
    <w:lvl w:ilvl="0" w:tplc="FF7E28A6">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2" w15:restartNumberingAfterBreak="0">
    <w:nsid w:val="10E845FF"/>
    <w:multiLevelType w:val="hybridMultilevel"/>
    <w:tmpl w:val="170EE79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11867615"/>
    <w:multiLevelType w:val="multilevel"/>
    <w:tmpl w:val="B25E719A"/>
    <w:lvl w:ilvl="0">
      <w:start w:val="1"/>
      <w:numFmt w:val="bullet"/>
      <w:lvlText w:val=""/>
      <w:lvlJc w:val="left"/>
      <w:pPr>
        <w:ind w:left="1134" w:hanging="567"/>
      </w:pPr>
      <w:rPr>
        <w:rFonts w:ascii="Wingdings" w:hAnsi="Wingdings" w:hint="default"/>
        <w:color w:val="auto"/>
      </w:rPr>
    </w:lvl>
    <w:lvl w:ilvl="1">
      <w:start w:val="1"/>
      <w:numFmt w:val="bullet"/>
      <w:lvlText w:val="‒"/>
      <w:lvlJc w:val="left"/>
      <w:pPr>
        <w:ind w:left="1701" w:hanging="567"/>
      </w:pPr>
      <w:rPr>
        <w:rFonts w:ascii="Arial" w:hAnsi="Arial" w:hint="default"/>
      </w:rPr>
    </w:lvl>
    <w:lvl w:ilvl="2">
      <w:start w:val="1"/>
      <w:numFmt w:val="bullet"/>
      <w:lvlText w:val=""/>
      <w:lvlJc w:val="left"/>
      <w:pPr>
        <w:tabs>
          <w:tab w:val="num" w:pos="720"/>
        </w:tabs>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11F91F35"/>
    <w:multiLevelType w:val="hybridMultilevel"/>
    <w:tmpl w:val="216EFD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12C13884"/>
    <w:multiLevelType w:val="hybridMultilevel"/>
    <w:tmpl w:val="C10EA70C"/>
    <w:lvl w:ilvl="0" w:tplc="0419000B">
      <w:start w:val="1"/>
      <w:numFmt w:val="bullet"/>
      <w:lvlText w:val=""/>
      <w:lvlJc w:val="left"/>
      <w:pPr>
        <w:ind w:left="644" w:hanging="360"/>
      </w:pPr>
      <w:rPr>
        <w:rFonts w:ascii="Wingdings" w:hAnsi="Wingdings"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17" w15:restartNumberingAfterBreak="0">
    <w:nsid w:val="155A5966"/>
    <w:multiLevelType w:val="hybridMultilevel"/>
    <w:tmpl w:val="256624E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1B5E1DC3"/>
    <w:multiLevelType w:val="hybridMultilevel"/>
    <w:tmpl w:val="0F929B6E"/>
    <w:lvl w:ilvl="0" w:tplc="0419000B">
      <w:start w:val="1"/>
      <w:numFmt w:val="bullet"/>
      <w:lvlText w:val=""/>
      <w:lvlJc w:val="left"/>
      <w:pPr>
        <w:ind w:left="1288" w:hanging="360"/>
      </w:pPr>
      <w:rPr>
        <w:rFonts w:ascii="Wingdings" w:hAnsi="Wingdings" w:hint="default"/>
      </w:rPr>
    </w:lvl>
    <w:lvl w:ilvl="1" w:tplc="04190003" w:tentative="1">
      <w:start w:val="1"/>
      <w:numFmt w:val="bullet"/>
      <w:lvlText w:val="o"/>
      <w:lvlJc w:val="left"/>
      <w:pPr>
        <w:ind w:left="2008" w:hanging="360"/>
      </w:pPr>
      <w:rPr>
        <w:rFonts w:ascii="Courier New" w:hAnsi="Courier New" w:cs="Courier New" w:hint="default"/>
      </w:rPr>
    </w:lvl>
    <w:lvl w:ilvl="2" w:tplc="04190005" w:tentative="1">
      <w:start w:val="1"/>
      <w:numFmt w:val="bullet"/>
      <w:lvlText w:val=""/>
      <w:lvlJc w:val="left"/>
      <w:pPr>
        <w:ind w:left="2728" w:hanging="360"/>
      </w:pPr>
      <w:rPr>
        <w:rFonts w:ascii="Wingdings" w:hAnsi="Wingdings" w:hint="default"/>
      </w:rPr>
    </w:lvl>
    <w:lvl w:ilvl="3" w:tplc="04190001" w:tentative="1">
      <w:start w:val="1"/>
      <w:numFmt w:val="bullet"/>
      <w:lvlText w:val=""/>
      <w:lvlJc w:val="left"/>
      <w:pPr>
        <w:ind w:left="3448" w:hanging="360"/>
      </w:pPr>
      <w:rPr>
        <w:rFonts w:ascii="Symbol" w:hAnsi="Symbol" w:hint="default"/>
      </w:rPr>
    </w:lvl>
    <w:lvl w:ilvl="4" w:tplc="04190003" w:tentative="1">
      <w:start w:val="1"/>
      <w:numFmt w:val="bullet"/>
      <w:lvlText w:val="o"/>
      <w:lvlJc w:val="left"/>
      <w:pPr>
        <w:ind w:left="4168" w:hanging="360"/>
      </w:pPr>
      <w:rPr>
        <w:rFonts w:ascii="Courier New" w:hAnsi="Courier New" w:cs="Courier New" w:hint="default"/>
      </w:rPr>
    </w:lvl>
    <w:lvl w:ilvl="5" w:tplc="04190005" w:tentative="1">
      <w:start w:val="1"/>
      <w:numFmt w:val="bullet"/>
      <w:lvlText w:val=""/>
      <w:lvlJc w:val="left"/>
      <w:pPr>
        <w:ind w:left="4888" w:hanging="360"/>
      </w:pPr>
      <w:rPr>
        <w:rFonts w:ascii="Wingdings" w:hAnsi="Wingdings" w:hint="default"/>
      </w:rPr>
    </w:lvl>
    <w:lvl w:ilvl="6" w:tplc="04190001" w:tentative="1">
      <w:start w:val="1"/>
      <w:numFmt w:val="bullet"/>
      <w:lvlText w:val=""/>
      <w:lvlJc w:val="left"/>
      <w:pPr>
        <w:ind w:left="5608" w:hanging="360"/>
      </w:pPr>
      <w:rPr>
        <w:rFonts w:ascii="Symbol" w:hAnsi="Symbol" w:hint="default"/>
      </w:rPr>
    </w:lvl>
    <w:lvl w:ilvl="7" w:tplc="04190003" w:tentative="1">
      <w:start w:val="1"/>
      <w:numFmt w:val="bullet"/>
      <w:lvlText w:val="o"/>
      <w:lvlJc w:val="left"/>
      <w:pPr>
        <w:ind w:left="6328" w:hanging="360"/>
      </w:pPr>
      <w:rPr>
        <w:rFonts w:ascii="Courier New" w:hAnsi="Courier New" w:cs="Courier New" w:hint="default"/>
      </w:rPr>
    </w:lvl>
    <w:lvl w:ilvl="8" w:tplc="04190005" w:tentative="1">
      <w:start w:val="1"/>
      <w:numFmt w:val="bullet"/>
      <w:lvlText w:val=""/>
      <w:lvlJc w:val="left"/>
      <w:pPr>
        <w:ind w:left="7048" w:hanging="360"/>
      </w:pPr>
      <w:rPr>
        <w:rFonts w:ascii="Wingdings" w:hAnsi="Wingdings" w:hint="default"/>
      </w:rPr>
    </w:lvl>
  </w:abstractNum>
  <w:abstractNum w:abstractNumId="19" w15:restartNumberingAfterBreak="0">
    <w:nsid w:val="1DA20310"/>
    <w:multiLevelType w:val="multilevel"/>
    <w:tmpl w:val="AD5410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22474882"/>
    <w:multiLevelType w:val="multilevel"/>
    <w:tmpl w:val="B25E719A"/>
    <w:lvl w:ilvl="0">
      <w:start w:val="1"/>
      <w:numFmt w:val="bullet"/>
      <w:lvlText w:val=""/>
      <w:lvlJc w:val="left"/>
      <w:pPr>
        <w:ind w:left="1134" w:hanging="567"/>
      </w:pPr>
      <w:rPr>
        <w:rFonts w:ascii="Wingdings" w:hAnsi="Wingdings" w:hint="default"/>
        <w:color w:val="auto"/>
      </w:rPr>
    </w:lvl>
    <w:lvl w:ilvl="1">
      <w:start w:val="1"/>
      <w:numFmt w:val="bullet"/>
      <w:lvlText w:val="‒"/>
      <w:lvlJc w:val="left"/>
      <w:pPr>
        <w:ind w:left="1701" w:hanging="567"/>
      </w:pPr>
      <w:rPr>
        <w:rFonts w:ascii="Arial" w:hAnsi="Arial" w:hint="default"/>
      </w:rPr>
    </w:lvl>
    <w:lvl w:ilvl="2">
      <w:start w:val="1"/>
      <w:numFmt w:val="bullet"/>
      <w:lvlText w:val=""/>
      <w:lvlJc w:val="left"/>
      <w:pPr>
        <w:tabs>
          <w:tab w:val="num" w:pos="720"/>
        </w:tabs>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24E05278"/>
    <w:multiLevelType w:val="multilevel"/>
    <w:tmpl w:val="B25E719A"/>
    <w:lvl w:ilvl="0">
      <w:start w:val="1"/>
      <w:numFmt w:val="bullet"/>
      <w:lvlText w:val=""/>
      <w:lvlJc w:val="left"/>
      <w:pPr>
        <w:ind w:left="1134" w:hanging="567"/>
      </w:pPr>
      <w:rPr>
        <w:rFonts w:ascii="Wingdings" w:hAnsi="Wingdings" w:hint="default"/>
        <w:color w:val="auto"/>
      </w:rPr>
    </w:lvl>
    <w:lvl w:ilvl="1">
      <w:start w:val="1"/>
      <w:numFmt w:val="bullet"/>
      <w:lvlText w:val="‒"/>
      <w:lvlJc w:val="left"/>
      <w:pPr>
        <w:ind w:left="1701" w:hanging="567"/>
      </w:pPr>
      <w:rPr>
        <w:rFonts w:ascii="Arial" w:hAnsi="Arial" w:hint="default"/>
      </w:rPr>
    </w:lvl>
    <w:lvl w:ilvl="2">
      <w:start w:val="1"/>
      <w:numFmt w:val="bullet"/>
      <w:lvlText w:val=""/>
      <w:lvlJc w:val="left"/>
      <w:pPr>
        <w:tabs>
          <w:tab w:val="num" w:pos="720"/>
        </w:tabs>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274F4310"/>
    <w:multiLevelType w:val="multilevel"/>
    <w:tmpl w:val="0419001D"/>
    <w:numStyleLink w:val="-"/>
  </w:abstractNum>
  <w:abstractNum w:abstractNumId="23" w15:restartNumberingAfterBreak="0">
    <w:nsid w:val="27592853"/>
    <w:multiLevelType w:val="multilevel"/>
    <w:tmpl w:val="BB60D652"/>
    <w:lvl w:ilvl="0">
      <w:start w:val="1"/>
      <w:numFmt w:val="decimal"/>
      <w:lvlText w:val="%1."/>
      <w:lvlJc w:val="left"/>
      <w:pPr>
        <w:ind w:left="92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24" w15:restartNumberingAfterBreak="0">
    <w:nsid w:val="29E02DC8"/>
    <w:multiLevelType w:val="multilevel"/>
    <w:tmpl w:val="B25E719A"/>
    <w:lvl w:ilvl="0">
      <w:start w:val="1"/>
      <w:numFmt w:val="bullet"/>
      <w:lvlText w:val=""/>
      <w:lvlJc w:val="left"/>
      <w:pPr>
        <w:ind w:left="1134" w:hanging="567"/>
      </w:pPr>
      <w:rPr>
        <w:rFonts w:ascii="Wingdings" w:hAnsi="Wingdings" w:hint="default"/>
        <w:color w:val="auto"/>
      </w:rPr>
    </w:lvl>
    <w:lvl w:ilvl="1">
      <w:start w:val="1"/>
      <w:numFmt w:val="bullet"/>
      <w:lvlText w:val="‒"/>
      <w:lvlJc w:val="left"/>
      <w:pPr>
        <w:ind w:left="1701" w:hanging="567"/>
      </w:pPr>
      <w:rPr>
        <w:rFonts w:ascii="Arial" w:hAnsi="Arial" w:hint="default"/>
      </w:rPr>
    </w:lvl>
    <w:lvl w:ilvl="2">
      <w:start w:val="1"/>
      <w:numFmt w:val="bullet"/>
      <w:lvlText w:val=""/>
      <w:lvlJc w:val="left"/>
      <w:pPr>
        <w:tabs>
          <w:tab w:val="num" w:pos="720"/>
        </w:tabs>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2BAA574E"/>
    <w:multiLevelType w:val="hybridMultilevel"/>
    <w:tmpl w:val="1060707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2CD75F03"/>
    <w:multiLevelType w:val="multilevel"/>
    <w:tmpl w:val="0419001D"/>
    <w:numStyleLink w:val="-"/>
  </w:abstractNum>
  <w:abstractNum w:abstractNumId="27" w15:restartNumberingAfterBreak="0">
    <w:nsid w:val="2D9F6434"/>
    <w:multiLevelType w:val="hybridMultilevel"/>
    <w:tmpl w:val="B068F2E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15:restartNumberingAfterBreak="0">
    <w:nsid w:val="30AF75A0"/>
    <w:multiLevelType w:val="multilevel"/>
    <w:tmpl w:val="B25E719A"/>
    <w:lvl w:ilvl="0">
      <w:start w:val="1"/>
      <w:numFmt w:val="bullet"/>
      <w:lvlText w:val=""/>
      <w:lvlJc w:val="left"/>
      <w:pPr>
        <w:ind w:left="1134" w:hanging="567"/>
      </w:pPr>
      <w:rPr>
        <w:rFonts w:ascii="Wingdings" w:hAnsi="Wingdings" w:hint="default"/>
        <w:color w:val="auto"/>
      </w:rPr>
    </w:lvl>
    <w:lvl w:ilvl="1">
      <w:start w:val="1"/>
      <w:numFmt w:val="bullet"/>
      <w:lvlText w:val="‒"/>
      <w:lvlJc w:val="left"/>
      <w:pPr>
        <w:ind w:left="1701" w:hanging="567"/>
      </w:pPr>
      <w:rPr>
        <w:rFonts w:ascii="Arial" w:hAnsi="Arial" w:hint="default"/>
      </w:rPr>
    </w:lvl>
    <w:lvl w:ilvl="2">
      <w:start w:val="1"/>
      <w:numFmt w:val="bullet"/>
      <w:lvlText w:val=""/>
      <w:lvlJc w:val="left"/>
      <w:pPr>
        <w:tabs>
          <w:tab w:val="num" w:pos="720"/>
        </w:tabs>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30E453F3"/>
    <w:multiLevelType w:val="hybridMultilevel"/>
    <w:tmpl w:val="B0AEAFE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 w15:restartNumberingAfterBreak="0">
    <w:nsid w:val="3310275D"/>
    <w:multiLevelType w:val="multilevel"/>
    <w:tmpl w:val="B25E719A"/>
    <w:lvl w:ilvl="0">
      <w:start w:val="1"/>
      <w:numFmt w:val="bullet"/>
      <w:lvlText w:val=""/>
      <w:lvlJc w:val="left"/>
      <w:pPr>
        <w:ind w:left="1134" w:hanging="567"/>
      </w:pPr>
      <w:rPr>
        <w:rFonts w:ascii="Wingdings" w:hAnsi="Wingdings" w:hint="default"/>
        <w:color w:val="auto"/>
      </w:rPr>
    </w:lvl>
    <w:lvl w:ilvl="1">
      <w:start w:val="1"/>
      <w:numFmt w:val="bullet"/>
      <w:lvlText w:val="‒"/>
      <w:lvlJc w:val="left"/>
      <w:pPr>
        <w:ind w:left="1701" w:hanging="567"/>
      </w:pPr>
      <w:rPr>
        <w:rFonts w:ascii="Arial" w:hAnsi="Arial" w:hint="default"/>
      </w:rPr>
    </w:lvl>
    <w:lvl w:ilvl="2">
      <w:start w:val="1"/>
      <w:numFmt w:val="bullet"/>
      <w:lvlText w:val=""/>
      <w:lvlJc w:val="left"/>
      <w:pPr>
        <w:tabs>
          <w:tab w:val="num" w:pos="720"/>
        </w:tabs>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3ECA7E5E"/>
    <w:multiLevelType w:val="hybridMultilevel"/>
    <w:tmpl w:val="216EFD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40194B76"/>
    <w:multiLevelType w:val="hybridMultilevel"/>
    <w:tmpl w:val="576ADE1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15:restartNumberingAfterBreak="0">
    <w:nsid w:val="43B07DB5"/>
    <w:multiLevelType w:val="multilevel"/>
    <w:tmpl w:val="179878E0"/>
    <w:lvl w:ilvl="0">
      <w:start w:val="1"/>
      <w:numFmt w:val="bullet"/>
      <w:lvlText w:val=""/>
      <w:lvlJc w:val="left"/>
      <w:pPr>
        <w:ind w:left="0" w:firstLine="567"/>
      </w:pPr>
      <w:rPr>
        <w:rFonts w:ascii="Wingdings" w:hAnsi="Wingdings" w:hint="default"/>
        <w:color w:val="auto"/>
      </w:rPr>
    </w:lvl>
    <w:lvl w:ilvl="1">
      <w:start w:val="1"/>
      <w:numFmt w:val="bullet"/>
      <w:lvlText w:val="‒"/>
      <w:lvlJc w:val="left"/>
      <w:pPr>
        <w:ind w:left="567" w:firstLine="567"/>
      </w:pPr>
      <w:rPr>
        <w:rFonts w:ascii="Arial" w:hAnsi="Arial" w:hint="default"/>
      </w:rPr>
    </w:lvl>
    <w:lvl w:ilvl="2">
      <w:start w:val="1"/>
      <w:numFmt w:val="bullet"/>
      <w:lvlText w:val=""/>
      <w:lvlJc w:val="left"/>
      <w:pPr>
        <w:tabs>
          <w:tab w:val="num" w:pos="720"/>
        </w:tabs>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4603357B"/>
    <w:multiLevelType w:val="multilevel"/>
    <w:tmpl w:val="C12645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460C7647"/>
    <w:multiLevelType w:val="hybridMultilevel"/>
    <w:tmpl w:val="94C6EC2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 w15:restartNumberingAfterBreak="0">
    <w:nsid w:val="4793098B"/>
    <w:multiLevelType w:val="multilevel"/>
    <w:tmpl w:val="BBC403F2"/>
    <w:lvl w:ilvl="0">
      <w:start w:val="1"/>
      <w:numFmt w:val="bullet"/>
      <w:lvlText w:val=""/>
      <w:lvlJc w:val="left"/>
      <w:pPr>
        <w:ind w:left="0" w:firstLine="567"/>
      </w:pPr>
      <w:rPr>
        <w:rFonts w:ascii="Wingdings" w:hAnsi="Wingdings" w:hint="default"/>
        <w:color w:val="auto"/>
      </w:rPr>
    </w:lvl>
    <w:lvl w:ilvl="1">
      <w:start w:val="1"/>
      <w:numFmt w:val="bullet"/>
      <w:lvlText w:val="‒"/>
      <w:lvlJc w:val="left"/>
      <w:pPr>
        <w:ind w:left="567" w:firstLine="567"/>
      </w:pPr>
      <w:rPr>
        <w:rFonts w:ascii="Arial" w:hAnsi="Arial" w:hint="default"/>
      </w:rPr>
    </w:lvl>
    <w:lvl w:ilvl="2">
      <w:start w:val="1"/>
      <w:numFmt w:val="bullet"/>
      <w:lvlText w:val=""/>
      <w:lvlJc w:val="left"/>
      <w:pPr>
        <w:tabs>
          <w:tab w:val="num" w:pos="720"/>
        </w:tabs>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48C02711"/>
    <w:multiLevelType w:val="multilevel"/>
    <w:tmpl w:val="B25E719A"/>
    <w:lvl w:ilvl="0">
      <w:start w:val="1"/>
      <w:numFmt w:val="bullet"/>
      <w:lvlText w:val=""/>
      <w:lvlJc w:val="left"/>
      <w:pPr>
        <w:ind w:left="1134" w:hanging="567"/>
      </w:pPr>
      <w:rPr>
        <w:rFonts w:ascii="Wingdings" w:hAnsi="Wingdings" w:hint="default"/>
        <w:color w:val="auto"/>
      </w:rPr>
    </w:lvl>
    <w:lvl w:ilvl="1">
      <w:start w:val="1"/>
      <w:numFmt w:val="bullet"/>
      <w:lvlText w:val="‒"/>
      <w:lvlJc w:val="left"/>
      <w:pPr>
        <w:ind w:left="1701" w:hanging="567"/>
      </w:pPr>
      <w:rPr>
        <w:rFonts w:ascii="Arial" w:hAnsi="Arial" w:hint="default"/>
      </w:rPr>
    </w:lvl>
    <w:lvl w:ilvl="2">
      <w:start w:val="1"/>
      <w:numFmt w:val="bullet"/>
      <w:lvlText w:val=""/>
      <w:lvlJc w:val="left"/>
      <w:pPr>
        <w:tabs>
          <w:tab w:val="num" w:pos="720"/>
        </w:tabs>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4BE2608A"/>
    <w:multiLevelType w:val="multilevel"/>
    <w:tmpl w:val="0419001D"/>
    <w:styleLink w:val="-"/>
    <w:lvl w:ilvl="0">
      <w:start w:val="1"/>
      <w:numFmt w:val="bullet"/>
      <w:lvlText w:val=""/>
      <w:lvlJc w:val="left"/>
      <w:pPr>
        <w:ind w:left="360" w:hanging="360"/>
      </w:pPr>
      <w:rPr>
        <w:rFonts w:ascii="Wingdings" w:hAnsi="Wingdings" w:hint="default"/>
        <w:color w:val="auto"/>
      </w:rPr>
    </w:lvl>
    <w:lvl w:ilvl="1">
      <w:start w:val="1"/>
      <w:numFmt w:val="bullet"/>
      <w:lvlText w:val="‒"/>
      <w:lvlJc w:val="left"/>
      <w:pPr>
        <w:ind w:left="720" w:hanging="360"/>
      </w:pPr>
      <w:rPr>
        <w:rFonts w:ascii="Arial" w:hAnsi="Aria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4D353167"/>
    <w:multiLevelType w:val="multilevel"/>
    <w:tmpl w:val="B25E719A"/>
    <w:lvl w:ilvl="0">
      <w:start w:val="1"/>
      <w:numFmt w:val="bullet"/>
      <w:lvlText w:val=""/>
      <w:lvlJc w:val="left"/>
      <w:pPr>
        <w:ind w:left="1134" w:hanging="567"/>
      </w:pPr>
      <w:rPr>
        <w:rFonts w:ascii="Wingdings" w:hAnsi="Wingdings" w:hint="default"/>
        <w:color w:val="auto"/>
      </w:rPr>
    </w:lvl>
    <w:lvl w:ilvl="1">
      <w:start w:val="1"/>
      <w:numFmt w:val="bullet"/>
      <w:lvlText w:val="‒"/>
      <w:lvlJc w:val="left"/>
      <w:pPr>
        <w:ind w:left="1701" w:hanging="567"/>
      </w:pPr>
      <w:rPr>
        <w:rFonts w:ascii="Arial" w:hAnsi="Arial" w:hint="default"/>
      </w:rPr>
    </w:lvl>
    <w:lvl w:ilvl="2">
      <w:start w:val="1"/>
      <w:numFmt w:val="bullet"/>
      <w:lvlText w:val=""/>
      <w:lvlJc w:val="left"/>
      <w:pPr>
        <w:tabs>
          <w:tab w:val="num" w:pos="720"/>
        </w:tabs>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53D31DF1"/>
    <w:multiLevelType w:val="hybridMultilevel"/>
    <w:tmpl w:val="D22C974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1" w15:restartNumberingAfterBreak="0">
    <w:nsid w:val="54434CD8"/>
    <w:multiLevelType w:val="hybridMultilevel"/>
    <w:tmpl w:val="C0D64276"/>
    <w:lvl w:ilvl="0" w:tplc="0419000B">
      <w:start w:val="1"/>
      <w:numFmt w:val="bullet"/>
      <w:lvlText w:val=""/>
      <w:lvlJc w:val="left"/>
      <w:pPr>
        <w:ind w:left="578" w:hanging="360"/>
      </w:pPr>
      <w:rPr>
        <w:rFonts w:ascii="Wingdings" w:hAnsi="Wingdings" w:hint="default"/>
      </w:rPr>
    </w:lvl>
    <w:lvl w:ilvl="1" w:tplc="04190003" w:tentative="1">
      <w:start w:val="1"/>
      <w:numFmt w:val="bullet"/>
      <w:lvlText w:val="o"/>
      <w:lvlJc w:val="left"/>
      <w:pPr>
        <w:ind w:left="1298" w:hanging="360"/>
      </w:pPr>
      <w:rPr>
        <w:rFonts w:ascii="Courier New" w:hAnsi="Courier New" w:cs="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hAnsi="Courier New" w:cs="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hAnsi="Courier New" w:cs="Courier New" w:hint="default"/>
      </w:rPr>
    </w:lvl>
    <w:lvl w:ilvl="8" w:tplc="04190005" w:tentative="1">
      <w:start w:val="1"/>
      <w:numFmt w:val="bullet"/>
      <w:lvlText w:val=""/>
      <w:lvlJc w:val="left"/>
      <w:pPr>
        <w:ind w:left="6338" w:hanging="360"/>
      </w:pPr>
      <w:rPr>
        <w:rFonts w:ascii="Wingdings" w:hAnsi="Wingdings" w:hint="default"/>
      </w:rPr>
    </w:lvl>
  </w:abstractNum>
  <w:abstractNum w:abstractNumId="42" w15:restartNumberingAfterBreak="0">
    <w:nsid w:val="561D62EB"/>
    <w:multiLevelType w:val="hybridMultilevel"/>
    <w:tmpl w:val="2E2CBB9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580A3BF0"/>
    <w:multiLevelType w:val="multilevel"/>
    <w:tmpl w:val="B25E719A"/>
    <w:lvl w:ilvl="0">
      <w:start w:val="1"/>
      <w:numFmt w:val="bullet"/>
      <w:lvlText w:val=""/>
      <w:lvlJc w:val="left"/>
      <w:pPr>
        <w:ind w:left="1134" w:hanging="567"/>
      </w:pPr>
      <w:rPr>
        <w:rFonts w:ascii="Wingdings" w:hAnsi="Wingdings" w:hint="default"/>
        <w:color w:val="auto"/>
      </w:rPr>
    </w:lvl>
    <w:lvl w:ilvl="1">
      <w:start w:val="1"/>
      <w:numFmt w:val="bullet"/>
      <w:lvlText w:val="‒"/>
      <w:lvlJc w:val="left"/>
      <w:pPr>
        <w:ind w:left="1701" w:hanging="567"/>
      </w:pPr>
      <w:rPr>
        <w:rFonts w:ascii="Arial" w:hAnsi="Arial" w:hint="default"/>
      </w:rPr>
    </w:lvl>
    <w:lvl w:ilvl="2">
      <w:start w:val="1"/>
      <w:numFmt w:val="bullet"/>
      <w:lvlText w:val=""/>
      <w:lvlJc w:val="left"/>
      <w:pPr>
        <w:tabs>
          <w:tab w:val="num" w:pos="720"/>
        </w:tabs>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4" w15:restartNumberingAfterBreak="0">
    <w:nsid w:val="583C36AC"/>
    <w:multiLevelType w:val="multilevel"/>
    <w:tmpl w:val="B25E719A"/>
    <w:lvl w:ilvl="0">
      <w:start w:val="1"/>
      <w:numFmt w:val="bullet"/>
      <w:lvlText w:val=""/>
      <w:lvlJc w:val="left"/>
      <w:pPr>
        <w:ind w:left="1134" w:hanging="567"/>
      </w:pPr>
      <w:rPr>
        <w:rFonts w:ascii="Wingdings" w:hAnsi="Wingdings" w:hint="default"/>
        <w:color w:val="auto"/>
      </w:rPr>
    </w:lvl>
    <w:lvl w:ilvl="1">
      <w:start w:val="1"/>
      <w:numFmt w:val="bullet"/>
      <w:lvlText w:val="‒"/>
      <w:lvlJc w:val="left"/>
      <w:pPr>
        <w:ind w:left="1701" w:hanging="567"/>
      </w:pPr>
      <w:rPr>
        <w:rFonts w:ascii="Arial" w:hAnsi="Arial" w:hint="default"/>
      </w:rPr>
    </w:lvl>
    <w:lvl w:ilvl="2">
      <w:start w:val="1"/>
      <w:numFmt w:val="bullet"/>
      <w:lvlText w:val=""/>
      <w:lvlJc w:val="left"/>
      <w:pPr>
        <w:tabs>
          <w:tab w:val="num" w:pos="720"/>
        </w:tabs>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5" w15:restartNumberingAfterBreak="0">
    <w:nsid w:val="5A7A4123"/>
    <w:multiLevelType w:val="multilevel"/>
    <w:tmpl w:val="B25E719A"/>
    <w:lvl w:ilvl="0">
      <w:start w:val="1"/>
      <w:numFmt w:val="bullet"/>
      <w:lvlText w:val=""/>
      <w:lvlJc w:val="left"/>
      <w:pPr>
        <w:ind w:left="1134" w:hanging="567"/>
      </w:pPr>
      <w:rPr>
        <w:rFonts w:ascii="Wingdings" w:hAnsi="Wingdings" w:hint="default"/>
        <w:color w:val="auto"/>
      </w:rPr>
    </w:lvl>
    <w:lvl w:ilvl="1">
      <w:start w:val="1"/>
      <w:numFmt w:val="bullet"/>
      <w:lvlText w:val="‒"/>
      <w:lvlJc w:val="left"/>
      <w:pPr>
        <w:ind w:left="1701" w:hanging="567"/>
      </w:pPr>
      <w:rPr>
        <w:rFonts w:ascii="Arial" w:hAnsi="Arial" w:hint="default"/>
      </w:rPr>
    </w:lvl>
    <w:lvl w:ilvl="2">
      <w:start w:val="1"/>
      <w:numFmt w:val="bullet"/>
      <w:lvlText w:val=""/>
      <w:lvlJc w:val="left"/>
      <w:pPr>
        <w:tabs>
          <w:tab w:val="num" w:pos="720"/>
        </w:tabs>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6"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47" w15:restartNumberingAfterBreak="0">
    <w:nsid w:val="5DAA10E4"/>
    <w:multiLevelType w:val="hybridMultilevel"/>
    <w:tmpl w:val="8168EAE2"/>
    <w:lvl w:ilvl="0" w:tplc="66646E80">
      <w:start w:val="1"/>
      <w:numFmt w:val="decimal"/>
      <w:lvlText w:val="%1)"/>
      <w:lvlJc w:val="left"/>
      <w:pPr>
        <w:ind w:left="1367" w:hanging="828"/>
      </w:pPr>
      <w:rPr>
        <w:rFonts w:ascii="Myriad Pro" w:eastAsiaTheme="minorHAnsi" w:hAnsi="Myriad Pro" w:cs="Myriad Pro"/>
      </w:rPr>
    </w:lvl>
    <w:lvl w:ilvl="1" w:tplc="04190019">
      <w:start w:val="1"/>
      <w:numFmt w:val="lowerLetter"/>
      <w:lvlText w:val="%2."/>
      <w:lvlJc w:val="left"/>
      <w:pPr>
        <w:ind w:left="1619" w:hanging="360"/>
      </w:pPr>
    </w:lvl>
    <w:lvl w:ilvl="2" w:tplc="0419001B">
      <w:start w:val="1"/>
      <w:numFmt w:val="lowerRoman"/>
      <w:lvlText w:val="%3."/>
      <w:lvlJc w:val="right"/>
      <w:pPr>
        <w:ind w:left="2339" w:hanging="180"/>
      </w:pPr>
    </w:lvl>
    <w:lvl w:ilvl="3" w:tplc="0419000F">
      <w:start w:val="1"/>
      <w:numFmt w:val="decimal"/>
      <w:lvlText w:val="%4."/>
      <w:lvlJc w:val="left"/>
      <w:pPr>
        <w:ind w:left="3059" w:hanging="360"/>
      </w:pPr>
    </w:lvl>
    <w:lvl w:ilvl="4" w:tplc="04190019">
      <w:start w:val="1"/>
      <w:numFmt w:val="lowerLetter"/>
      <w:lvlText w:val="%5."/>
      <w:lvlJc w:val="left"/>
      <w:pPr>
        <w:ind w:left="3779" w:hanging="360"/>
      </w:pPr>
    </w:lvl>
    <w:lvl w:ilvl="5" w:tplc="0419001B">
      <w:start w:val="1"/>
      <w:numFmt w:val="lowerRoman"/>
      <w:lvlText w:val="%6."/>
      <w:lvlJc w:val="right"/>
      <w:pPr>
        <w:ind w:left="4499" w:hanging="180"/>
      </w:pPr>
    </w:lvl>
    <w:lvl w:ilvl="6" w:tplc="0419000F">
      <w:start w:val="1"/>
      <w:numFmt w:val="decimal"/>
      <w:lvlText w:val="%7."/>
      <w:lvlJc w:val="left"/>
      <w:pPr>
        <w:ind w:left="5219" w:hanging="360"/>
      </w:pPr>
    </w:lvl>
    <w:lvl w:ilvl="7" w:tplc="04190019">
      <w:start w:val="1"/>
      <w:numFmt w:val="lowerLetter"/>
      <w:lvlText w:val="%8."/>
      <w:lvlJc w:val="left"/>
      <w:pPr>
        <w:ind w:left="5939" w:hanging="360"/>
      </w:pPr>
    </w:lvl>
    <w:lvl w:ilvl="8" w:tplc="0419001B">
      <w:start w:val="1"/>
      <w:numFmt w:val="lowerRoman"/>
      <w:lvlText w:val="%9."/>
      <w:lvlJc w:val="right"/>
      <w:pPr>
        <w:ind w:left="6659" w:hanging="180"/>
      </w:pPr>
    </w:lvl>
  </w:abstractNum>
  <w:abstractNum w:abstractNumId="48"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1288"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9" w15:restartNumberingAfterBreak="0">
    <w:nsid w:val="62D31610"/>
    <w:multiLevelType w:val="multilevel"/>
    <w:tmpl w:val="B25E719A"/>
    <w:lvl w:ilvl="0">
      <w:start w:val="1"/>
      <w:numFmt w:val="bullet"/>
      <w:lvlText w:val=""/>
      <w:lvlJc w:val="left"/>
      <w:pPr>
        <w:ind w:left="1134" w:hanging="567"/>
      </w:pPr>
      <w:rPr>
        <w:rFonts w:ascii="Wingdings" w:hAnsi="Wingdings" w:hint="default"/>
        <w:color w:val="auto"/>
      </w:rPr>
    </w:lvl>
    <w:lvl w:ilvl="1">
      <w:start w:val="1"/>
      <w:numFmt w:val="bullet"/>
      <w:lvlText w:val="‒"/>
      <w:lvlJc w:val="left"/>
      <w:pPr>
        <w:ind w:left="1701" w:hanging="567"/>
      </w:pPr>
      <w:rPr>
        <w:rFonts w:ascii="Arial" w:hAnsi="Arial" w:hint="default"/>
      </w:rPr>
    </w:lvl>
    <w:lvl w:ilvl="2">
      <w:start w:val="1"/>
      <w:numFmt w:val="bullet"/>
      <w:lvlText w:val=""/>
      <w:lvlJc w:val="left"/>
      <w:pPr>
        <w:tabs>
          <w:tab w:val="num" w:pos="720"/>
        </w:tabs>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0" w15:restartNumberingAfterBreak="0">
    <w:nsid w:val="64AF4B1F"/>
    <w:multiLevelType w:val="multilevel"/>
    <w:tmpl w:val="B25E719A"/>
    <w:lvl w:ilvl="0">
      <w:start w:val="1"/>
      <w:numFmt w:val="bullet"/>
      <w:lvlText w:val=""/>
      <w:lvlJc w:val="left"/>
      <w:pPr>
        <w:ind w:left="1134" w:hanging="567"/>
      </w:pPr>
      <w:rPr>
        <w:rFonts w:ascii="Wingdings" w:hAnsi="Wingdings" w:hint="default"/>
        <w:color w:val="auto"/>
      </w:rPr>
    </w:lvl>
    <w:lvl w:ilvl="1">
      <w:start w:val="1"/>
      <w:numFmt w:val="bullet"/>
      <w:lvlText w:val="‒"/>
      <w:lvlJc w:val="left"/>
      <w:pPr>
        <w:ind w:left="1701" w:hanging="567"/>
      </w:pPr>
      <w:rPr>
        <w:rFonts w:ascii="Arial" w:hAnsi="Arial" w:hint="default"/>
      </w:rPr>
    </w:lvl>
    <w:lvl w:ilvl="2">
      <w:start w:val="1"/>
      <w:numFmt w:val="bullet"/>
      <w:lvlText w:val=""/>
      <w:lvlJc w:val="left"/>
      <w:pPr>
        <w:tabs>
          <w:tab w:val="num" w:pos="720"/>
        </w:tabs>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1" w15:restartNumberingAfterBreak="0">
    <w:nsid w:val="67283495"/>
    <w:multiLevelType w:val="multilevel"/>
    <w:tmpl w:val="3E7697DC"/>
    <w:lvl w:ilvl="0">
      <w:start w:val="1"/>
      <w:numFmt w:val="bullet"/>
      <w:lvlText w:val=""/>
      <w:lvlJc w:val="left"/>
      <w:pPr>
        <w:ind w:left="0" w:firstLine="567"/>
      </w:pPr>
      <w:rPr>
        <w:rFonts w:ascii="Wingdings" w:hAnsi="Wingdings" w:hint="default"/>
        <w:color w:val="auto"/>
      </w:rPr>
    </w:lvl>
    <w:lvl w:ilvl="1">
      <w:start w:val="1"/>
      <w:numFmt w:val="bullet"/>
      <w:lvlText w:val="‒"/>
      <w:lvlJc w:val="left"/>
      <w:pPr>
        <w:ind w:left="1701" w:hanging="567"/>
      </w:pPr>
      <w:rPr>
        <w:rFonts w:ascii="Arial" w:hAnsi="Arial" w:hint="default"/>
      </w:rPr>
    </w:lvl>
    <w:lvl w:ilvl="2">
      <w:start w:val="1"/>
      <w:numFmt w:val="bullet"/>
      <w:lvlText w:val=""/>
      <w:lvlJc w:val="left"/>
      <w:pPr>
        <w:tabs>
          <w:tab w:val="num" w:pos="720"/>
        </w:tabs>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2" w15:restartNumberingAfterBreak="0">
    <w:nsid w:val="679B6BFB"/>
    <w:multiLevelType w:val="multilevel"/>
    <w:tmpl w:val="391AE57A"/>
    <w:lvl w:ilvl="0">
      <w:start w:val="1"/>
      <w:numFmt w:val="bullet"/>
      <w:lvlText w:val=""/>
      <w:lvlJc w:val="left"/>
      <w:pPr>
        <w:ind w:left="0" w:firstLine="567"/>
      </w:pPr>
      <w:rPr>
        <w:rFonts w:ascii="Wingdings" w:hAnsi="Wingdings" w:hint="default"/>
        <w:color w:val="auto"/>
      </w:rPr>
    </w:lvl>
    <w:lvl w:ilvl="1">
      <w:start w:val="1"/>
      <w:numFmt w:val="bullet"/>
      <w:lvlText w:val="‒"/>
      <w:lvlJc w:val="left"/>
      <w:pPr>
        <w:ind w:left="567" w:firstLine="567"/>
      </w:pPr>
      <w:rPr>
        <w:rFonts w:ascii="Arial" w:hAnsi="Arial" w:hint="default"/>
      </w:rPr>
    </w:lvl>
    <w:lvl w:ilvl="2">
      <w:start w:val="1"/>
      <w:numFmt w:val="bullet"/>
      <w:lvlText w:val=""/>
      <w:lvlJc w:val="left"/>
      <w:pPr>
        <w:tabs>
          <w:tab w:val="num" w:pos="720"/>
        </w:tabs>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3" w15:restartNumberingAfterBreak="0">
    <w:nsid w:val="6985632A"/>
    <w:multiLevelType w:val="multilevel"/>
    <w:tmpl w:val="B25E719A"/>
    <w:lvl w:ilvl="0">
      <w:start w:val="1"/>
      <w:numFmt w:val="bullet"/>
      <w:lvlText w:val=""/>
      <w:lvlJc w:val="left"/>
      <w:pPr>
        <w:ind w:left="1134" w:hanging="567"/>
      </w:pPr>
      <w:rPr>
        <w:rFonts w:ascii="Wingdings" w:hAnsi="Wingdings" w:hint="default"/>
        <w:color w:val="auto"/>
      </w:rPr>
    </w:lvl>
    <w:lvl w:ilvl="1">
      <w:start w:val="1"/>
      <w:numFmt w:val="bullet"/>
      <w:lvlText w:val="‒"/>
      <w:lvlJc w:val="left"/>
      <w:pPr>
        <w:ind w:left="1701" w:hanging="567"/>
      </w:pPr>
      <w:rPr>
        <w:rFonts w:ascii="Arial" w:hAnsi="Arial" w:hint="default"/>
      </w:rPr>
    </w:lvl>
    <w:lvl w:ilvl="2">
      <w:start w:val="1"/>
      <w:numFmt w:val="bullet"/>
      <w:lvlText w:val=""/>
      <w:lvlJc w:val="left"/>
      <w:pPr>
        <w:tabs>
          <w:tab w:val="num" w:pos="720"/>
        </w:tabs>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4" w15:restartNumberingAfterBreak="0">
    <w:nsid w:val="6AC4277B"/>
    <w:multiLevelType w:val="hybridMultilevel"/>
    <w:tmpl w:val="8F7A9F82"/>
    <w:lvl w:ilvl="0" w:tplc="BD2CE688">
      <w:start w:val="1"/>
      <w:numFmt w:val="bullet"/>
      <w:pStyle w:val="a"/>
      <w:lvlText w:val=""/>
      <w:lvlJc w:val="left"/>
      <w:pPr>
        <w:ind w:left="1070"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5" w15:restartNumberingAfterBreak="0">
    <w:nsid w:val="6AD11C81"/>
    <w:multiLevelType w:val="multilevel"/>
    <w:tmpl w:val="4C8E4C28"/>
    <w:lvl w:ilvl="0">
      <w:start w:val="1"/>
      <w:numFmt w:val="decimal"/>
      <w:lvlText w:val="%1."/>
      <w:lvlJc w:val="left"/>
      <w:pPr>
        <w:ind w:left="927" w:hanging="360"/>
      </w:pPr>
      <w:rPr>
        <w:rFonts w:hint="default"/>
      </w:rPr>
    </w:lvl>
    <w:lvl w:ilvl="1">
      <w:start w:val="4"/>
      <w:numFmt w:val="decimal"/>
      <w:isLgl/>
      <w:lvlText w:val="%1.%2."/>
      <w:lvlJc w:val="left"/>
      <w:pPr>
        <w:ind w:left="1287" w:hanging="720"/>
      </w:pPr>
      <w:rPr>
        <w:rFonts w:hint="default"/>
        <w:color w:val="auto"/>
      </w:rPr>
    </w:lvl>
    <w:lvl w:ilvl="2">
      <w:start w:val="1"/>
      <w:numFmt w:val="decimal"/>
      <w:isLgl/>
      <w:lvlText w:val="%1.%2.%3."/>
      <w:lvlJc w:val="left"/>
      <w:pPr>
        <w:ind w:left="1287" w:hanging="720"/>
      </w:pPr>
      <w:rPr>
        <w:rFonts w:hint="default"/>
        <w:color w:val="auto"/>
      </w:rPr>
    </w:lvl>
    <w:lvl w:ilvl="3">
      <w:start w:val="1"/>
      <w:numFmt w:val="decimal"/>
      <w:isLgl/>
      <w:lvlText w:val="%1.%2.%3.%4."/>
      <w:lvlJc w:val="left"/>
      <w:pPr>
        <w:ind w:left="1647" w:hanging="1080"/>
      </w:pPr>
      <w:rPr>
        <w:rFonts w:hint="default"/>
        <w:color w:val="auto"/>
      </w:rPr>
    </w:lvl>
    <w:lvl w:ilvl="4">
      <w:start w:val="1"/>
      <w:numFmt w:val="decimal"/>
      <w:isLgl/>
      <w:lvlText w:val="%1.%2.%3.%4.%5."/>
      <w:lvlJc w:val="left"/>
      <w:pPr>
        <w:ind w:left="2007" w:hanging="1440"/>
      </w:pPr>
      <w:rPr>
        <w:rFonts w:hint="default"/>
        <w:color w:val="auto"/>
      </w:rPr>
    </w:lvl>
    <w:lvl w:ilvl="5">
      <w:start w:val="1"/>
      <w:numFmt w:val="decimal"/>
      <w:isLgl/>
      <w:lvlText w:val="%1.%2.%3.%4.%5.%6."/>
      <w:lvlJc w:val="left"/>
      <w:pPr>
        <w:ind w:left="2007" w:hanging="1440"/>
      </w:pPr>
      <w:rPr>
        <w:rFonts w:hint="default"/>
        <w:color w:val="auto"/>
      </w:rPr>
    </w:lvl>
    <w:lvl w:ilvl="6">
      <w:start w:val="1"/>
      <w:numFmt w:val="decimal"/>
      <w:isLgl/>
      <w:lvlText w:val="%1.%2.%3.%4.%5.%6.%7."/>
      <w:lvlJc w:val="left"/>
      <w:pPr>
        <w:ind w:left="2367" w:hanging="1800"/>
      </w:pPr>
      <w:rPr>
        <w:rFonts w:hint="default"/>
        <w:color w:val="auto"/>
      </w:rPr>
    </w:lvl>
    <w:lvl w:ilvl="7">
      <w:start w:val="1"/>
      <w:numFmt w:val="decimal"/>
      <w:isLgl/>
      <w:lvlText w:val="%1.%2.%3.%4.%5.%6.%7.%8."/>
      <w:lvlJc w:val="left"/>
      <w:pPr>
        <w:ind w:left="2727" w:hanging="2160"/>
      </w:pPr>
      <w:rPr>
        <w:rFonts w:hint="default"/>
        <w:color w:val="auto"/>
      </w:rPr>
    </w:lvl>
    <w:lvl w:ilvl="8">
      <w:start w:val="1"/>
      <w:numFmt w:val="decimal"/>
      <w:isLgl/>
      <w:lvlText w:val="%1.%2.%3.%4.%5.%6.%7.%8.%9."/>
      <w:lvlJc w:val="left"/>
      <w:pPr>
        <w:ind w:left="2727" w:hanging="2160"/>
      </w:pPr>
      <w:rPr>
        <w:rFonts w:hint="default"/>
        <w:color w:val="auto"/>
      </w:rPr>
    </w:lvl>
  </w:abstractNum>
  <w:abstractNum w:abstractNumId="56" w15:restartNumberingAfterBreak="0">
    <w:nsid w:val="6B987CF0"/>
    <w:multiLevelType w:val="multilevel"/>
    <w:tmpl w:val="B25E719A"/>
    <w:lvl w:ilvl="0">
      <w:start w:val="1"/>
      <w:numFmt w:val="bullet"/>
      <w:lvlText w:val=""/>
      <w:lvlJc w:val="left"/>
      <w:pPr>
        <w:ind w:left="1134" w:hanging="567"/>
      </w:pPr>
      <w:rPr>
        <w:rFonts w:ascii="Wingdings" w:hAnsi="Wingdings" w:hint="default"/>
        <w:color w:val="auto"/>
      </w:rPr>
    </w:lvl>
    <w:lvl w:ilvl="1">
      <w:start w:val="1"/>
      <w:numFmt w:val="bullet"/>
      <w:lvlText w:val="‒"/>
      <w:lvlJc w:val="left"/>
      <w:pPr>
        <w:ind w:left="1701" w:hanging="567"/>
      </w:pPr>
      <w:rPr>
        <w:rFonts w:ascii="Arial" w:hAnsi="Arial" w:hint="default"/>
      </w:rPr>
    </w:lvl>
    <w:lvl w:ilvl="2">
      <w:start w:val="1"/>
      <w:numFmt w:val="bullet"/>
      <w:lvlText w:val=""/>
      <w:lvlJc w:val="left"/>
      <w:pPr>
        <w:tabs>
          <w:tab w:val="num" w:pos="720"/>
        </w:tabs>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7" w15:restartNumberingAfterBreak="0">
    <w:nsid w:val="6F3D340D"/>
    <w:multiLevelType w:val="multilevel"/>
    <w:tmpl w:val="B25E719A"/>
    <w:lvl w:ilvl="0">
      <w:start w:val="1"/>
      <w:numFmt w:val="bullet"/>
      <w:lvlText w:val=""/>
      <w:lvlJc w:val="left"/>
      <w:pPr>
        <w:ind w:left="1134" w:hanging="567"/>
      </w:pPr>
      <w:rPr>
        <w:rFonts w:ascii="Wingdings" w:hAnsi="Wingdings" w:hint="default"/>
        <w:color w:val="auto"/>
      </w:rPr>
    </w:lvl>
    <w:lvl w:ilvl="1">
      <w:start w:val="1"/>
      <w:numFmt w:val="bullet"/>
      <w:lvlText w:val="‒"/>
      <w:lvlJc w:val="left"/>
      <w:pPr>
        <w:ind w:left="1701" w:hanging="567"/>
      </w:pPr>
      <w:rPr>
        <w:rFonts w:ascii="Arial" w:hAnsi="Arial" w:hint="default"/>
      </w:rPr>
    </w:lvl>
    <w:lvl w:ilvl="2">
      <w:start w:val="1"/>
      <w:numFmt w:val="bullet"/>
      <w:lvlText w:val=""/>
      <w:lvlJc w:val="left"/>
      <w:pPr>
        <w:tabs>
          <w:tab w:val="num" w:pos="720"/>
        </w:tabs>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8" w15:restartNumberingAfterBreak="0">
    <w:nsid w:val="704E1FB8"/>
    <w:multiLevelType w:val="multilevel"/>
    <w:tmpl w:val="B25E719A"/>
    <w:lvl w:ilvl="0">
      <w:start w:val="1"/>
      <w:numFmt w:val="bullet"/>
      <w:lvlText w:val=""/>
      <w:lvlJc w:val="left"/>
      <w:pPr>
        <w:ind w:left="1134" w:hanging="567"/>
      </w:pPr>
      <w:rPr>
        <w:rFonts w:ascii="Wingdings" w:hAnsi="Wingdings" w:hint="default"/>
        <w:color w:val="auto"/>
      </w:rPr>
    </w:lvl>
    <w:lvl w:ilvl="1">
      <w:start w:val="1"/>
      <w:numFmt w:val="bullet"/>
      <w:lvlText w:val="‒"/>
      <w:lvlJc w:val="left"/>
      <w:pPr>
        <w:ind w:left="1701" w:hanging="567"/>
      </w:pPr>
      <w:rPr>
        <w:rFonts w:ascii="Arial" w:hAnsi="Arial" w:hint="default"/>
      </w:rPr>
    </w:lvl>
    <w:lvl w:ilvl="2">
      <w:start w:val="1"/>
      <w:numFmt w:val="bullet"/>
      <w:lvlText w:val=""/>
      <w:lvlJc w:val="left"/>
      <w:pPr>
        <w:tabs>
          <w:tab w:val="num" w:pos="720"/>
        </w:tabs>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9" w15:restartNumberingAfterBreak="0">
    <w:nsid w:val="70FA7DCE"/>
    <w:multiLevelType w:val="hybridMultilevel"/>
    <w:tmpl w:val="41ACF04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0" w15:restartNumberingAfterBreak="0">
    <w:nsid w:val="71FB6E1B"/>
    <w:multiLevelType w:val="hybridMultilevel"/>
    <w:tmpl w:val="9ECC67C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1" w15:restartNumberingAfterBreak="0">
    <w:nsid w:val="73443B8A"/>
    <w:multiLevelType w:val="multilevel"/>
    <w:tmpl w:val="B25E719A"/>
    <w:lvl w:ilvl="0">
      <w:start w:val="1"/>
      <w:numFmt w:val="bullet"/>
      <w:lvlText w:val=""/>
      <w:lvlJc w:val="left"/>
      <w:pPr>
        <w:ind w:left="1134" w:hanging="567"/>
      </w:pPr>
      <w:rPr>
        <w:rFonts w:ascii="Wingdings" w:hAnsi="Wingdings" w:hint="default"/>
        <w:color w:val="auto"/>
      </w:rPr>
    </w:lvl>
    <w:lvl w:ilvl="1">
      <w:start w:val="1"/>
      <w:numFmt w:val="bullet"/>
      <w:lvlText w:val="‒"/>
      <w:lvlJc w:val="left"/>
      <w:pPr>
        <w:ind w:left="1701" w:hanging="567"/>
      </w:pPr>
      <w:rPr>
        <w:rFonts w:ascii="Arial" w:hAnsi="Arial" w:hint="default"/>
      </w:rPr>
    </w:lvl>
    <w:lvl w:ilvl="2">
      <w:start w:val="1"/>
      <w:numFmt w:val="bullet"/>
      <w:lvlText w:val=""/>
      <w:lvlJc w:val="left"/>
      <w:pPr>
        <w:tabs>
          <w:tab w:val="num" w:pos="720"/>
        </w:tabs>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2" w15:restartNumberingAfterBreak="0">
    <w:nsid w:val="73AD1678"/>
    <w:multiLevelType w:val="hybridMultilevel"/>
    <w:tmpl w:val="4D04F85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3" w15:restartNumberingAfterBreak="0">
    <w:nsid w:val="74BC24F7"/>
    <w:multiLevelType w:val="hybridMultilevel"/>
    <w:tmpl w:val="81C605C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4" w15:restartNumberingAfterBreak="0">
    <w:nsid w:val="74E6613B"/>
    <w:multiLevelType w:val="hybridMultilevel"/>
    <w:tmpl w:val="06D0937A"/>
    <w:lvl w:ilvl="0" w:tplc="B55ADB2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5" w15:restartNumberingAfterBreak="0">
    <w:nsid w:val="75C3192C"/>
    <w:multiLevelType w:val="hybridMultilevel"/>
    <w:tmpl w:val="DA0C984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6" w15:restartNumberingAfterBreak="0">
    <w:nsid w:val="78BE59E9"/>
    <w:multiLevelType w:val="hybridMultilevel"/>
    <w:tmpl w:val="4B52E28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7" w15:restartNumberingAfterBreak="0">
    <w:nsid w:val="79CE1C56"/>
    <w:multiLevelType w:val="hybridMultilevel"/>
    <w:tmpl w:val="9D2C2F50"/>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46"/>
  </w:num>
  <w:num w:numId="2">
    <w:abstractNumId w:val="0"/>
  </w:num>
  <w:num w:numId="3">
    <w:abstractNumId w:val="14"/>
  </w:num>
  <w:num w:numId="4">
    <w:abstractNumId w:val="40"/>
  </w:num>
  <w:num w:numId="5">
    <w:abstractNumId w:val="64"/>
  </w:num>
  <w:num w:numId="6">
    <w:abstractNumId w:val="32"/>
  </w:num>
  <w:num w:numId="7">
    <w:abstractNumId w:val="5"/>
  </w:num>
  <w:num w:numId="8">
    <w:abstractNumId w:val="8"/>
  </w:num>
  <w:num w:numId="9">
    <w:abstractNumId w:val="7"/>
  </w:num>
  <w:num w:numId="10">
    <w:abstractNumId w:val="65"/>
  </w:num>
  <w:num w:numId="11">
    <w:abstractNumId w:val="35"/>
  </w:num>
  <w:num w:numId="12">
    <w:abstractNumId w:val="29"/>
  </w:num>
  <w:num w:numId="13">
    <w:abstractNumId w:val="63"/>
  </w:num>
  <w:num w:numId="14">
    <w:abstractNumId w:val="60"/>
  </w:num>
  <w:num w:numId="15">
    <w:abstractNumId w:val="59"/>
  </w:num>
  <w:num w:numId="16">
    <w:abstractNumId w:val="55"/>
  </w:num>
  <w:num w:numId="17">
    <w:abstractNumId w:val="27"/>
  </w:num>
  <w:num w:numId="18">
    <w:abstractNumId w:val="10"/>
  </w:num>
  <w:num w:numId="19">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2"/>
  </w:num>
  <w:num w:numId="21">
    <w:abstractNumId w:val="1"/>
  </w:num>
  <w:num w:numId="22">
    <w:abstractNumId w:val="54"/>
  </w:num>
  <w:num w:numId="23">
    <w:abstractNumId w:val="66"/>
  </w:num>
  <w:num w:numId="24">
    <w:abstractNumId w:val="41"/>
  </w:num>
  <w:num w:numId="25">
    <w:abstractNumId w:val="15"/>
  </w:num>
  <w:num w:numId="26">
    <w:abstractNumId w:val="67"/>
  </w:num>
  <w:num w:numId="27">
    <w:abstractNumId w:val="18"/>
  </w:num>
  <w:num w:numId="28">
    <w:abstractNumId w:val="42"/>
  </w:num>
  <w:num w:numId="29">
    <w:abstractNumId w:val="17"/>
  </w:num>
  <w:num w:numId="30">
    <w:abstractNumId w:val="12"/>
  </w:num>
  <w:num w:numId="31">
    <w:abstractNumId w:val="31"/>
  </w:num>
  <w:num w:numId="32">
    <w:abstractNumId w:val="25"/>
  </w:num>
  <w:num w:numId="33">
    <w:abstractNumId w:val="16"/>
  </w:num>
  <w:num w:numId="34">
    <w:abstractNumId w:val="11"/>
  </w:num>
  <w:num w:numId="35">
    <w:abstractNumId w:val="19"/>
  </w:num>
  <w:num w:numId="36">
    <w:abstractNumId w:val="38"/>
  </w:num>
  <w:num w:numId="37">
    <w:abstractNumId w:val="50"/>
  </w:num>
  <w:num w:numId="38">
    <w:abstractNumId w:val="22"/>
  </w:num>
  <w:num w:numId="39">
    <w:abstractNumId w:val="36"/>
  </w:num>
  <w:num w:numId="40">
    <w:abstractNumId w:val="33"/>
  </w:num>
  <w:num w:numId="41">
    <w:abstractNumId w:val="39"/>
  </w:num>
  <w:num w:numId="42">
    <w:abstractNumId w:val="52"/>
  </w:num>
  <w:num w:numId="43">
    <w:abstractNumId w:val="51"/>
  </w:num>
  <w:num w:numId="44">
    <w:abstractNumId w:val="45"/>
  </w:num>
  <w:num w:numId="45">
    <w:abstractNumId w:val="21"/>
  </w:num>
  <w:num w:numId="46">
    <w:abstractNumId w:val="9"/>
  </w:num>
  <w:num w:numId="47">
    <w:abstractNumId w:val="28"/>
  </w:num>
  <w:num w:numId="48">
    <w:abstractNumId w:val="2"/>
  </w:num>
  <w:num w:numId="49">
    <w:abstractNumId w:val="6"/>
  </w:num>
  <w:num w:numId="50">
    <w:abstractNumId w:val="53"/>
  </w:num>
  <w:num w:numId="51">
    <w:abstractNumId w:val="24"/>
  </w:num>
  <w:num w:numId="52">
    <w:abstractNumId w:val="61"/>
  </w:num>
  <w:num w:numId="53">
    <w:abstractNumId w:val="49"/>
  </w:num>
  <w:num w:numId="54">
    <w:abstractNumId w:val="26"/>
  </w:num>
  <w:num w:numId="55">
    <w:abstractNumId w:val="13"/>
  </w:num>
  <w:num w:numId="56">
    <w:abstractNumId w:val="30"/>
  </w:num>
  <w:num w:numId="57">
    <w:abstractNumId w:val="58"/>
  </w:num>
  <w:num w:numId="58">
    <w:abstractNumId w:val="43"/>
  </w:num>
  <w:num w:numId="59">
    <w:abstractNumId w:val="3"/>
  </w:num>
  <w:num w:numId="60">
    <w:abstractNumId w:val="4"/>
  </w:num>
  <w:num w:numId="61">
    <w:abstractNumId w:val="56"/>
  </w:num>
  <w:num w:numId="62">
    <w:abstractNumId w:val="37"/>
  </w:num>
  <w:num w:numId="63">
    <w:abstractNumId w:val="44"/>
  </w:num>
  <w:num w:numId="64">
    <w:abstractNumId w:val="57"/>
  </w:num>
  <w:num w:numId="65">
    <w:abstractNumId w:val="20"/>
  </w:num>
  <w:num w:numId="66">
    <w:abstractNumId w:val="23"/>
  </w:num>
  <w:num w:numId="67">
    <w:abstractNumId w:val="34"/>
  </w:num>
  <w:num w:numId="68">
    <w:abstractNumId w:val="48"/>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removePersonalInformation/>
  <w:removeDateAndTime/>
  <w:defaultTabStop w:val="709"/>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D13"/>
    <w:rsid w:val="00000018"/>
    <w:rsid w:val="00000712"/>
    <w:rsid w:val="00001E4D"/>
    <w:rsid w:val="00002273"/>
    <w:rsid w:val="000030E2"/>
    <w:rsid w:val="00003598"/>
    <w:rsid w:val="000035E0"/>
    <w:rsid w:val="0000411A"/>
    <w:rsid w:val="00004477"/>
    <w:rsid w:val="00005636"/>
    <w:rsid w:val="0000686B"/>
    <w:rsid w:val="00007445"/>
    <w:rsid w:val="0000785D"/>
    <w:rsid w:val="0000797F"/>
    <w:rsid w:val="00010D1C"/>
    <w:rsid w:val="00012CA2"/>
    <w:rsid w:val="00013088"/>
    <w:rsid w:val="0001310F"/>
    <w:rsid w:val="000132CA"/>
    <w:rsid w:val="00013F79"/>
    <w:rsid w:val="00014F2F"/>
    <w:rsid w:val="00015144"/>
    <w:rsid w:val="00015159"/>
    <w:rsid w:val="000155C0"/>
    <w:rsid w:val="00015F8B"/>
    <w:rsid w:val="00016634"/>
    <w:rsid w:val="00016645"/>
    <w:rsid w:val="0001670E"/>
    <w:rsid w:val="0001719F"/>
    <w:rsid w:val="000174B5"/>
    <w:rsid w:val="00020D85"/>
    <w:rsid w:val="00021F80"/>
    <w:rsid w:val="00021FF7"/>
    <w:rsid w:val="000222FB"/>
    <w:rsid w:val="00022A5F"/>
    <w:rsid w:val="00022E94"/>
    <w:rsid w:val="0002320C"/>
    <w:rsid w:val="000232FE"/>
    <w:rsid w:val="00023932"/>
    <w:rsid w:val="000239A9"/>
    <w:rsid w:val="00024E98"/>
    <w:rsid w:val="0002542A"/>
    <w:rsid w:val="000259A8"/>
    <w:rsid w:val="00026371"/>
    <w:rsid w:val="000274C3"/>
    <w:rsid w:val="0002786A"/>
    <w:rsid w:val="00027871"/>
    <w:rsid w:val="000279B5"/>
    <w:rsid w:val="00027FD6"/>
    <w:rsid w:val="000302C7"/>
    <w:rsid w:val="0003146A"/>
    <w:rsid w:val="00031A6E"/>
    <w:rsid w:val="00033475"/>
    <w:rsid w:val="000335FD"/>
    <w:rsid w:val="0003361A"/>
    <w:rsid w:val="000337EE"/>
    <w:rsid w:val="00034056"/>
    <w:rsid w:val="00034D6D"/>
    <w:rsid w:val="000352DF"/>
    <w:rsid w:val="0003544F"/>
    <w:rsid w:val="00035CF9"/>
    <w:rsid w:val="00035E95"/>
    <w:rsid w:val="000360CA"/>
    <w:rsid w:val="0003655D"/>
    <w:rsid w:val="000368F8"/>
    <w:rsid w:val="00037249"/>
    <w:rsid w:val="000375FB"/>
    <w:rsid w:val="0003782D"/>
    <w:rsid w:val="00037FC8"/>
    <w:rsid w:val="0004017F"/>
    <w:rsid w:val="00040596"/>
    <w:rsid w:val="00041AA3"/>
    <w:rsid w:val="00041EFC"/>
    <w:rsid w:val="00042363"/>
    <w:rsid w:val="00042806"/>
    <w:rsid w:val="00043FBA"/>
    <w:rsid w:val="000440C8"/>
    <w:rsid w:val="00044169"/>
    <w:rsid w:val="000448B7"/>
    <w:rsid w:val="000449B1"/>
    <w:rsid w:val="0004518F"/>
    <w:rsid w:val="00045B71"/>
    <w:rsid w:val="00045FD7"/>
    <w:rsid w:val="000463BE"/>
    <w:rsid w:val="00046479"/>
    <w:rsid w:val="00046656"/>
    <w:rsid w:val="00046915"/>
    <w:rsid w:val="00046BF8"/>
    <w:rsid w:val="0004715F"/>
    <w:rsid w:val="0004752F"/>
    <w:rsid w:val="00047590"/>
    <w:rsid w:val="00047C15"/>
    <w:rsid w:val="00047EE0"/>
    <w:rsid w:val="00050292"/>
    <w:rsid w:val="0005046A"/>
    <w:rsid w:val="00051406"/>
    <w:rsid w:val="000514C1"/>
    <w:rsid w:val="000523D1"/>
    <w:rsid w:val="00053456"/>
    <w:rsid w:val="0005507F"/>
    <w:rsid w:val="00055E38"/>
    <w:rsid w:val="00057572"/>
    <w:rsid w:val="00057F2F"/>
    <w:rsid w:val="00060AD6"/>
    <w:rsid w:val="00060B3B"/>
    <w:rsid w:val="00060D3E"/>
    <w:rsid w:val="00061953"/>
    <w:rsid w:val="00061D1F"/>
    <w:rsid w:val="000632C0"/>
    <w:rsid w:val="000638AF"/>
    <w:rsid w:val="00063B5E"/>
    <w:rsid w:val="00063E9D"/>
    <w:rsid w:val="00064CD0"/>
    <w:rsid w:val="000650DD"/>
    <w:rsid w:val="000652C8"/>
    <w:rsid w:val="000654EC"/>
    <w:rsid w:val="0006564F"/>
    <w:rsid w:val="0006653F"/>
    <w:rsid w:val="000703AE"/>
    <w:rsid w:val="000704C0"/>
    <w:rsid w:val="000709C4"/>
    <w:rsid w:val="000710FB"/>
    <w:rsid w:val="0007134D"/>
    <w:rsid w:val="00071537"/>
    <w:rsid w:val="00072B55"/>
    <w:rsid w:val="00073188"/>
    <w:rsid w:val="00073E9E"/>
    <w:rsid w:val="00073EA4"/>
    <w:rsid w:val="0007439C"/>
    <w:rsid w:val="00075631"/>
    <w:rsid w:val="0007613D"/>
    <w:rsid w:val="000761AD"/>
    <w:rsid w:val="00076A43"/>
    <w:rsid w:val="0007709B"/>
    <w:rsid w:val="00077B23"/>
    <w:rsid w:val="00077EA0"/>
    <w:rsid w:val="00080346"/>
    <w:rsid w:val="0008043F"/>
    <w:rsid w:val="0008051C"/>
    <w:rsid w:val="000805A6"/>
    <w:rsid w:val="00080D24"/>
    <w:rsid w:val="000810B4"/>
    <w:rsid w:val="00081C16"/>
    <w:rsid w:val="00082DA1"/>
    <w:rsid w:val="0008300C"/>
    <w:rsid w:val="00083F47"/>
    <w:rsid w:val="00083F72"/>
    <w:rsid w:val="0008471F"/>
    <w:rsid w:val="00084C90"/>
    <w:rsid w:val="00084CD8"/>
    <w:rsid w:val="00085680"/>
    <w:rsid w:val="0008587F"/>
    <w:rsid w:val="00085CAB"/>
    <w:rsid w:val="00085D7B"/>
    <w:rsid w:val="00085F5E"/>
    <w:rsid w:val="000860E3"/>
    <w:rsid w:val="0008617E"/>
    <w:rsid w:val="000861D8"/>
    <w:rsid w:val="000863DC"/>
    <w:rsid w:val="00087C19"/>
    <w:rsid w:val="00087CCA"/>
    <w:rsid w:val="00087DA1"/>
    <w:rsid w:val="00090D25"/>
    <w:rsid w:val="00091583"/>
    <w:rsid w:val="00091877"/>
    <w:rsid w:val="000922E6"/>
    <w:rsid w:val="00092F37"/>
    <w:rsid w:val="0009478E"/>
    <w:rsid w:val="00094DBF"/>
    <w:rsid w:val="00094E5D"/>
    <w:rsid w:val="0009556D"/>
    <w:rsid w:val="000959CA"/>
    <w:rsid w:val="00095CD6"/>
    <w:rsid w:val="00095FC4"/>
    <w:rsid w:val="000977E7"/>
    <w:rsid w:val="00097DAF"/>
    <w:rsid w:val="000A0C59"/>
    <w:rsid w:val="000A1147"/>
    <w:rsid w:val="000A1465"/>
    <w:rsid w:val="000A1714"/>
    <w:rsid w:val="000A18C9"/>
    <w:rsid w:val="000A200C"/>
    <w:rsid w:val="000A2541"/>
    <w:rsid w:val="000A2714"/>
    <w:rsid w:val="000A273A"/>
    <w:rsid w:val="000A2B72"/>
    <w:rsid w:val="000A3D03"/>
    <w:rsid w:val="000A3D6A"/>
    <w:rsid w:val="000A40DF"/>
    <w:rsid w:val="000A4334"/>
    <w:rsid w:val="000A559F"/>
    <w:rsid w:val="000A5B47"/>
    <w:rsid w:val="000A60DF"/>
    <w:rsid w:val="000A62F6"/>
    <w:rsid w:val="000A6374"/>
    <w:rsid w:val="000A7009"/>
    <w:rsid w:val="000A76E7"/>
    <w:rsid w:val="000A7C24"/>
    <w:rsid w:val="000B006E"/>
    <w:rsid w:val="000B00E2"/>
    <w:rsid w:val="000B0205"/>
    <w:rsid w:val="000B033E"/>
    <w:rsid w:val="000B067A"/>
    <w:rsid w:val="000B0771"/>
    <w:rsid w:val="000B0FD3"/>
    <w:rsid w:val="000B1215"/>
    <w:rsid w:val="000B17AB"/>
    <w:rsid w:val="000B1887"/>
    <w:rsid w:val="000B1985"/>
    <w:rsid w:val="000B506C"/>
    <w:rsid w:val="000B523E"/>
    <w:rsid w:val="000B543D"/>
    <w:rsid w:val="000B5560"/>
    <w:rsid w:val="000B5C80"/>
    <w:rsid w:val="000B5CE2"/>
    <w:rsid w:val="000B6677"/>
    <w:rsid w:val="000B70BA"/>
    <w:rsid w:val="000C084E"/>
    <w:rsid w:val="000C0A28"/>
    <w:rsid w:val="000C15F0"/>
    <w:rsid w:val="000C1AA1"/>
    <w:rsid w:val="000C1DD9"/>
    <w:rsid w:val="000C21F5"/>
    <w:rsid w:val="000C23A0"/>
    <w:rsid w:val="000C264C"/>
    <w:rsid w:val="000C2926"/>
    <w:rsid w:val="000C394E"/>
    <w:rsid w:val="000C3C27"/>
    <w:rsid w:val="000C3C47"/>
    <w:rsid w:val="000C4D6F"/>
    <w:rsid w:val="000C4EFD"/>
    <w:rsid w:val="000C5606"/>
    <w:rsid w:val="000C5C65"/>
    <w:rsid w:val="000C5E73"/>
    <w:rsid w:val="000C5EB1"/>
    <w:rsid w:val="000C68F3"/>
    <w:rsid w:val="000C6D77"/>
    <w:rsid w:val="000C7C7B"/>
    <w:rsid w:val="000C7CE0"/>
    <w:rsid w:val="000D059E"/>
    <w:rsid w:val="000D0888"/>
    <w:rsid w:val="000D0AD2"/>
    <w:rsid w:val="000D132C"/>
    <w:rsid w:val="000D1849"/>
    <w:rsid w:val="000D1DCF"/>
    <w:rsid w:val="000D1E16"/>
    <w:rsid w:val="000D1E88"/>
    <w:rsid w:val="000D1EE7"/>
    <w:rsid w:val="000D1EEE"/>
    <w:rsid w:val="000D26D3"/>
    <w:rsid w:val="000D3650"/>
    <w:rsid w:val="000D4147"/>
    <w:rsid w:val="000D451A"/>
    <w:rsid w:val="000D4964"/>
    <w:rsid w:val="000D4EB1"/>
    <w:rsid w:val="000D5A41"/>
    <w:rsid w:val="000D6259"/>
    <w:rsid w:val="000D6D8B"/>
    <w:rsid w:val="000D71CE"/>
    <w:rsid w:val="000D7688"/>
    <w:rsid w:val="000E108D"/>
    <w:rsid w:val="000E1118"/>
    <w:rsid w:val="000E1217"/>
    <w:rsid w:val="000E1EF2"/>
    <w:rsid w:val="000E21B9"/>
    <w:rsid w:val="000E24C0"/>
    <w:rsid w:val="000E3006"/>
    <w:rsid w:val="000E3DDA"/>
    <w:rsid w:val="000E41EE"/>
    <w:rsid w:val="000E446E"/>
    <w:rsid w:val="000E4D3A"/>
    <w:rsid w:val="000E6F7D"/>
    <w:rsid w:val="000E7378"/>
    <w:rsid w:val="000F0C1A"/>
    <w:rsid w:val="000F31CC"/>
    <w:rsid w:val="000F373E"/>
    <w:rsid w:val="000F3B95"/>
    <w:rsid w:val="000F3BAC"/>
    <w:rsid w:val="000F3EF5"/>
    <w:rsid w:val="000F3FE2"/>
    <w:rsid w:val="000F4272"/>
    <w:rsid w:val="000F4A8E"/>
    <w:rsid w:val="000F606B"/>
    <w:rsid w:val="000F67E2"/>
    <w:rsid w:val="000F6B99"/>
    <w:rsid w:val="000F71AE"/>
    <w:rsid w:val="000F7341"/>
    <w:rsid w:val="000F7C21"/>
    <w:rsid w:val="001004EC"/>
    <w:rsid w:val="00101610"/>
    <w:rsid w:val="00101A4A"/>
    <w:rsid w:val="00101ADD"/>
    <w:rsid w:val="001023D2"/>
    <w:rsid w:val="00102A86"/>
    <w:rsid w:val="00102D1F"/>
    <w:rsid w:val="00103600"/>
    <w:rsid w:val="001037F6"/>
    <w:rsid w:val="00103B2E"/>
    <w:rsid w:val="00103EDD"/>
    <w:rsid w:val="00104D97"/>
    <w:rsid w:val="00105524"/>
    <w:rsid w:val="00105888"/>
    <w:rsid w:val="00106960"/>
    <w:rsid w:val="00106B68"/>
    <w:rsid w:val="00106FEF"/>
    <w:rsid w:val="001074B8"/>
    <w:rsid w:val="00107AD6"/>
    <w:rsid w:val="00107EE7"/>
    <w:rsid w:val="001101BD"/>
    <w:rsid w:val="00110B55"/>
    <w:rsid w:val="0011142E"/>
    <w:rsid w:val="0011172C"/>
    <w:rsid w:val="00112397"/>
    <w:rsid w:val="00112410"/>
    <w:rsid w:val="00112DA7"/>
    <w:rsid w:val="001130E9"/>
    <w:rsid w:val="00113126"/>
    <w:rsid w:val="001156A5"/>
    <w:rsid w:val="00116FB4"/>
    <w:rsid w:val="00120403"/>
    <w:rsid w:val="00121A80"/>
    <w:rsid w:val="00122743"/>
    <w:rsid w:val="001230C1"/>
    <w:rsid w:val="00123C9C"/>
    <w:rsid w:val="00123FB4"/>
    <w:rsid w:val="00124054"/>
    <w:rsid w:val="00124684"/>
    <w:rsid w:val="0012483C"/>
    <w:rsid w:val="00125291"/>
    <w:rsid w:val="00125725"/>
    <w:rsid w:val="00125ED5"/>
    <w:rsid w:val="0012672E"/>
    <w:rsid w:val="001274AA"/>
    <w:rsid w:val="00127DB7"/>
    <w:rsid w:val="0013006C"/>
    <w:rsid w:val="001300B5"/>
    <w:rsid w:val="00131084"/>
    <w:rsid w:val="00132313"/>
    <w:rsid w:val="001329C0"/>
    <w:rsid w:val="00132FE0"/>
    <w:rsid w:val="001333E8"/>
    <w:rsid w:val="001335E3"/>
    <w:rsid w:val="001339E3"/>
    <w:rsid w:val="00133E2F"/>
    <w:rsid w:val="00134EA1"/>
    <w:rsid w:val="0013634C"/>
    <w:rsid w:val="0013639D"/>
    <w:rsid w:val="001363AE"/>
    <w:rsid w:val="00136584"/>
    <w:rsid w:val="001368A5"/>
    <w:rsid w:val="00136E70"/>
    <w:rsid w:val="001372A0"/>
    <w:rsid w:val="0013730C"/>
    <w:rsid w:val="00137662"/>
    <w:rsid w:val="0014022B"/>
    <w:rsid w:val="00141E05"/>
    <w:rsid w:val="001432C5"/>
    <w:rsid w:val="0014381E"/>
    <w:rsid w:val="00143888"/>
    <w:rsid w:val="001442FF"/>
    <w:rsid w:val="00144B00"/>
    <w:rsid w:val="00146182"/>
    <w:rsid w:val="0014633C"/>
    <w:rsid w:val="00147DFB"/>
    <w:rsid w:val="0015006A"/>
    <w:rsid w:val="0015051B"/>
    <w:rsid w:val="00150E4E"/>
    <w:rsid w:val="001511E3"/>
    <w:rsid w:val="00151546"/>
    <w:rsid w:val="00151656"/>
    <w:rsid w:val="00152F7A"/>
    <w:rsid w:val="00153860"/>
    <w:rsid w:val="001538BD"/>
    <w:rsid w:val="0015398B"/>
    <w:rsid w:val="00154550"/>
    <w:rsid w:val="001553B1"/>
    <w:rsid w:val="001553D7"/>
    <w:rsid w:val="0015567A"/>
    <w:rsid w:val="0015594C"/>
    <w:rsid w:val="00155F65"/>
    <w:rsid w:val="00156125"/>
    <w:rsid w:val="00156EBF"/>
    <w:rsid w:val="00157158"/>
    <w:rsid w:val="001572BF"/>
    <w:rsid w:val="00157A05"/>
    <w:rsid w:val="0016018F"/>
    <w:rsid w:val="00160414"/>
    <w:rsid w:val="001605B3"/>
    <w:rsid w:val="00160FA4"/>
    <w:rsid w:val="001613F5"/>
    <w:rsid w:val="0016254D"/>
    <w:rsid w:val="001627C5"/>
    <w:rsid w:val="00162FA0"/>
    <w:rsid w:val="00163065"/>
    <w:rsid w:val="001639E7"/>
    <w:rsid w:val="001640EA"/>
    <w:rsid w:val="00164398"/>
    <w:rsid w:val="001645AA"/>
    <w:rsid w:val="00164915"/>
    <w:rsid w:val="00165B50"/>
    <w:rsid w:val="00165C62"/>
    <w:rsid w:val="00165E7C"/>
    <w:rsid w:val="001665F6"/>
    <w:rsid w:val="001669CA"/>
    <w:rsid w:val="00166B30"/>
    <w:rsid w:val="00166C15"/>
    <w:rsid w:val="00167D46"/>
    <w:rsid w:val="001700B3"/>
    <w:rsid w:val="001707ED"/>
    <w:rsid w:val="00170BB5"/>
    <w:rsid w:val="001727C6"/>
    <w:rsid w:val="00172C7E"/>
    <w:rsid w:val="00173634"/>
    <w:rsid w:val="00173FF4"/>
    <w:rsid w:val="001748B0"/>
    <w:rsid w:val="00175C67"/>
    <w:rsid w:val="00175DBD"/>
    <w:rsid w:val="00175DE7"/>
    <w:rsid w:val="001761D1"/>
    <w:rsid w:val="0017667C"/>
    <w:rsid w:val="00176BF3"/>
    <w:rsid w:val="00177EDD"/>
    <w:rsid w:val="00177FFD"/>
    <w:rsid w:val="00180265"/>
    <w:rsid w:val="00180786"/>
    <w:rsid w:val="00181780"/>
    <w:rsid w:val="00181C14"/>
    <w:rsid w:val="00181D98"/>
    <w:rsid w:val="00182B11"/>
    <w:rsid w:val="0018347F"/>
    <w:rsid w:val="001835E4"/>
    <w:rsid w:val="00183937"/>
    <w:rsid w:val="001849C9"/>
    <w:rsid w:val="00184A3C"/>
    <w:rsid w:val="0018522B"/>
    <w:rsid w:val="0018555C"/>
    <w:rsid w:val="0018594D"/>
    <w:rsid w:val="00185D03"/>
    <w:rsid w:val="00186075"/>
    <w:rsid w:val="00186657"/>
    <w:rsid w:val="001873E3"/>
    <w:rsid w:val="0018760D"/>
    <w:rsid w:val="00187D35"/>
    <w:rsid w:val="0019046A"/>
    <w:rsid w:val="00190493"/>
    <w:rsid w:val="00190AB4"/>
    <w:rsid w:val="00190E61"/>
    <w:rsid w:val="001919DF"/>
    <w:rsid w:val="0019239F"/>
    <w:rsid w:val="001929CB"/>
    <w:rsid w:val="0019338E"/>
    <w:rsid w:val="00193ACF"/>
    <w:rsid w:val="00194667"/>
    <w:rsid w:val="00194D2A"/>
    <w:rsid w:val="00195BD6"/>
    <w:rsid w:val="0019614B"/>
    <w:rsid w:val="001961EA"/>
    <w:rsid w:val="0019642D"/>
    <w:rsid w:val="00196A46"/>
    <w:rsid w:val="00196DAF"/>
    <w:rsid w:val="001A0239"/>
    <w:rsid w:val="001A046C"/>
    <w:rsid w:val="001A085B"/>
    <w:rsid w:val="001A08EA"/>
    <w:rsid w:val="001A1284"/>
    <w:rsid w:val="001A1561"/>
    <w:rsid w:val="001A1636"/>
    <w:rsid w:val="001A1FCF"/>
    <w:rsid w:val="001A1FD9"/>
    <w:rsid w:val="001A2037"/>
    <w:rsid w:val="001A23F4"/>
    <w:rsid w:val="001A2D69"/>
    <w:rsid w:val="001A3149"/>
    <w:rsid w:val="001A3559"/>
    <w:rsid w:val="001A367B"/>
    <w:rsid w:val="001A396F"/>
    <w:rsid w:val="001A3D17"/>
    <w:rsid w:val="001A4835"/>
    <w:rsid w:val="001A49C2"/>
    <w:rsid w:val="001A4CE3"/>
    <w:rsid w:val="001A5287"/>
    <w:rsid w:val="001A59A4"/>
    <w:rsid w:val="001A6E9A"/>
    <w:rsid w:val="001A7A68"/>
    <w:rsid w:val="001A7E28"/>
    <w:rsid w:val="001B0161"/>
    <w:rsid w:val="001B1016"/>
    <w:rsid w:val="001B1ADB"/>
    <w:rsid w:val="001B2104"/>
    <w:rsid w:val="001B239D"/>
    <w:rsid w:val="001B23B5"/>
    <w:rsid w:val="001B25A8"/>
    <w:rsid w:val="001B371A"/>
    <w:rsid w:val="001B3D0B"/>
    <w:rsid w:val="001B3E20"/>
    <w:rsid w:val="001B44F6"/>
    <w:rsid w:val="001B4662"/>
    <w:rsid w:val="001B4783"/>
    <w:rsid w:val="001B5220"/>
    <w:rsid w:val="001B5FB7"/>
    <w:rsid w:val="001B614A"/>
    <w:rsid w:val="001B6661"/>
    <w:rsid w:val="001B6B2D"/>
    <w:rsid w:val="001B6D2C"/>
    <w:rsid w:val="001B730A"/>
    <w:rsid w:val="001B78A7"/>
    <w:rsid w:val="001B7D56"/>
    <w:rsid w:val="001C033D"/>
    <w:rsid w:val="001C18C9"/>
    <w:rsid w:val="001C2981"/>
    <w:rsid w:val="001C2EFE"/>
    <w:rsid w:val="001C3693"/>
    <w:rsid w:val="001C4327"/>
    <w:rsid w:val="001C436F"/>
    <w:rsid w:val="001C4DFB"/>
    <w:rsid w:val="001C5409"/>
    <w:rsid w:val="001C61FA"/>
    <w:rsid w:val="001C64AE"/>
    <w:rsid w:val="001C69AD"/>
    <w:rsid w:val="001C6E7D"/>
    <w:rsid w:val="001C720F"/>
    <w:rsid w:val="001C721C"/>
    <w:rsid w:val="001C750D"/>
    <w:rsid w:val="001C7944"/>
    <w:rsid w:val="001C7C18"/>
    <w:rsid w:val="001D00BC"/>
    <w:rsid w:val="001D0317"/>
    <w:rsid w:val="001D0596"/>
    <w:rsid w:val="001D0F89"/>
    <w:rsid w:val="001D1448"/>
    <w:rsid w:val="001D2DE9"/>
    <w:rsid w:val="001D395E"/>
    <w:rsid w:val="001D3CBB"/>
    <w:rsid w:val="001D4443"/>
    <w:rsid w:val="001D4D13"/>
    <w:rsid w:val="001D4FFA"/>
    <w:rsid w:val="001D5399"/>
    <w:rsid w:val="001D5912"/>
    <w:rsid w:val="001D5A14"/>
    <w:rsid w:val="001D657E"/>
    <w:rsid w:val="001D6729"/>
    <w:rsid w:val="001D703C"/>
    <w:rsid w:val="001D7821"/>
    <w:rsid w:val="001D7C14"/>
    <w:rsid w:val="001E0736"/>
    <w:rsid w:val="001E10F0"/>
    <w:rsid w:val="001E1556"/>
    <w:rsid w:val="001E1607"/>
    <w:rsid w:val="001E1AB4"/>
    <w:rsid w:val="001E1CDC"/>
    <w:rsid w:val="001E1D63"/>
    <w:rsid w:val="001E2200"/>
    <w:rsid w:val="001E265A"/>
    <w:rsid w:val="001E2B4E"/>
    <w:rsid w:val="001E35C9"/>
    <w:rsid w:val="001E41C8"/>
    <w:rsid w:val="001E4810"/>
    <w:rsid w:val="001E4A56"/>
    <w:rsid w:val="001E54A0"/>
    <w:rsid w:val="001E7376"/>
    <w:rsid w:val="001E7DCE"/>
    <w:rsid w:val="001F0C6E"/>
    <w:rsid w:val="001F0D9F"/>
    <w:rsid w:val="001F17A9"/>
    <w:rsid w:val="001F2B55"/>
    <w:rsid w:val="001F2DC8"/>
    <w:rsid w:val="001F2F4C"/>
    <w:rsid w:val="001F30D5"/>
    <w:rsid w:val="001F350D"/>
    <w:rsid w:val="001F3556"/>
    <w:rsid w:val="001F35C5"/>
    <w:rsid w:val="001F3875"/>
    <w:rsid w:val="001F48D0"/>
    <w:rsid w:val="001F4FBD"/>
    <w:rsid w:val="001F518E"/>
    <w:rsid w:val="001F5673"/>
    <w:rsid w:val="001F598F"/>
    <w:rsid w:val="001F6139"/>
    <w:rsid w:val="001F763E"/>
    <w:rsid w:val="001F7773"/>
    <w:rsid w:val="00200042"/>
    <w:rsid w:val="002004B4"/>
    <w:rsid w:val="00200F4C"/>
    <w:rsid w:val="002017D5"/>
    <w:rsid w:val="00201841"/>
    <w:rsid w:val="0020292A"/>
    <w:rsid w:val="00202C5B"/>
    <w:rsid w:val="00203BAA"/>
    <w:rsid w:val="002041CA"/>
    <w:rsid w:val="002058B7"/>
    <w:rsid w:val="00205B35"/>
    <w:rsid w:val="00205B53"/>
    <w:rsid w:val="0020634A"/>
    <w:rsid w:val="0020716E"/>
    <w:rsid w:val="00207806"/>
    <w:rsid w:val="0020788D"/>
    <w:rsid w:val="0020795B"/>
    <w:rsid w:val="00207B8B"/>
    <w:rsid w:val="00207C7D"/>
    <w:rsid w:val="00210444"/>
    <w:rsid w:val="00211159"/>
    <w:rsid w:val="002115AC"/>
    <w:rsid w:val="002119AC"/>
    <w:rsid w:val="00211E4F"/>
    <w:rsid w:val="002127FB"/>
    <w:rsid w:val="00212999"/>
    <w:rsid w:val="00212C74"/>
    <w:rsid w:val="00212D65"/>
    <w:rsid w:val="00212EAC"/>
    <w:rsid w:val="002139B1"/>
    <w:rsid w:val="002149F1"/>
    <w:rsid w:val="002151CE"/>
    <w:rsid w:val="0021535A"/>
    <w:rsid w:val="00215BF8"/>
    <w:rsid w:val="00215C39"/>
    <w:rsid w:val="00215D3A"/>
    <w:rsid w:val="00215D42"/>
    <w:rsid w:val="00216623"/>
    <w:rsid w:val="00217A35"/>
    <w:rsid w:val="00220081"/>
    <w:rsid w:val="002205EA"/>
    <w:rsid w:val="00220B2B"/>
    <w:rsid w:val="00220B48"/>
    <w:rsid w:val="00220E41"/>
    <w:rsid w:val="00220F8E"/>
    <w:rsid w:val="002215F7"/>
    <w:rsid w:val="002228D3"/>
    <w:rsid w:val="0022333E"/>
    <w:rsid w:val="00223573"/>
    <w:rsid w:val="00223E78"/>
    <w:rsid w:val="00224EB6"/>
    <w:rsid w:val="002252CE"/>
    <w:rsid w:val="0022562D"/>
    <w:rsid w:val="002267B9"/>
    <w:rsid w:val="002267D7"/>
    <w:rsid w:val="00226EBC"/>
    <w:rsid w:val="002273FA"/>
    <w:rsid w:val="0023202E"/>
    <w:rsid w:val="002320A3"/>
    <w:rsid w:val="002322B9"/>
    <w:rsid w:val="002323C8"/>
    <w:rsid w:val="00232E99"/>
    <w:rsid w:val="0023316A"/>
    <w:rsid w:val="00233825"/>
    <w:rsid w:val="00233F16"/>
    <w:rsid w:val="0023422A"/>
    <w:rsid w:val="002343D2"/>
    <w:rsid w:val="002346E9"/>
    <w:rsid w:val="002353FC"/>
    <w:rsid w:val="00235497"/>
    <w:rsid w:val="00235B07"/>
    <w:rsid w:val="00235E11"/>
    <w:rsid w:val="00236173"/>
    <w:rsid w:val="002361DE"/>
    <w:rsid w:val="00236C1A"/>
    <w:rsid w:val="002378DA"/>
    <w:rsid w:val="00237AC4"/>
    <w:rsid w:val="00237CB4"/>
    <w:rsid w:val="00240807"/>
    <w:rsid w:val="0024134B"/>
    <w:rsid w:val="00241898"/>
    <w:rsid w:val="002418C4"/>
    <w:rsid w:val="00241B4D"/>
    <w:rsid w:val="00241DD7"/>
    <w:rsid w:val="00241E5D"/>
    <w:rsid w:val="00241E5E"/>
    <w:rsid w:val="002420B3"/>
    <w:rsid w:val="002422CD"/>
    <w:rsid w:val="00242E50"/>
    <w:rsid w:val="0024312B"/>
    <w:rsid w:val="0024367F"/>
    <w:rsid w:val="002440D2"/>
    <w:rsid w:val="00244B0E"/>
    <w:rsid w:val="00244D36"/>
    <w:rsid w:val="0024506A"/>
    <w:rsid w:val="00245589"/>
    <w:rsid w:val="00245648"/>
    <w:rsid w:val="0024610E"/>
    <w:rsid w:val="00247194"/>
    <w:rsid w:val="00247471"/>
    <w:rsid w:val="002503E3"/>
    <w:rsid w:val="00250711"/>
    <w:rsid w:val="00250995"/>
    <w:rsid w:val="002509B6"/>
    <w:rsid w:val="00251E66"/>
    <w:rsid w:val="00252C81"/>
    <w:rsid w:val="00252ED9"/>
    <w:rsid w:val="00252F5A"/>
    <w:rsid w:val="00253E47"/>
    <w:rsid w:val="0025487E"/>
    <w:rsid w:val="00254C21"/>
    <w:rsid w:val="00254F6A"/>
    <w:rsid w:val="00255596"/>
    <w:rsid w:val="00255746"/>
    <w:rsid w:val="00256761"/>
    <w:rsid w:val="00256CF6"/>
    <w:rsid w:val="002572B3"/>
    <w:rsid w:val="0025782C"/>
    <w:rsid w:val="00260870"/>
    <w:rsid w:val="00261293"/>
    <w:rsid w:val="0026154B"/>
    <w:rsid w:val="0026199A"/>
    <w:rsid w:val="002619C9"/>
    <w:rsid w:val="00261A6B"/>
    <w:rsid w:val="00261A8A"/>
    <w:rsid w:val="00261E33"/>
    <w:rsid w:val="00262759"/>
    <w:rsid w:val="00263C36"/>
    <w:rsid w:val="0026448D"/>
    <w:rsid w:val="00264ACD"/>
    <w:rsid w:val="0026554F"/>
    <w:rsid w:val="002658C2"/>
    <w:rsid w:val="00265E89"/>
    <w:rsid w:val="0026655A"/>
    <w:rsid w:val="0026786D"/>
    <w:rsid w:val="00270145"/>
    <w:rsid w:val="002701A2"/>
    <w:rsid w:val="002703F2"/>
    <w:rsid w:val="0027067A"/>
    <w:rsid w:val="00271037"/>
    <w:rsid w:val="0027115B"/>
    <w:rsid w:val="00271217"/>
    <w:rsid w:val="00271501"/>
    <w:rsid w:val="00271630"/>
    <w:rsid w:val="00272055"/>
    <w:rsid w:val="00272C1C"/>
    <w:rsid w:val="00273B2C"/>
    <w:rsid w:val="00274415"/>
    <w:rsid w:val="00274AEE"/>
    <w:rsid w:val="002756CC"/>
    <w:rsid w:val="00276ADF"/>
    <w:rsid w:val="0027735B"/>
    <w:rsid w:val="002776EC"/>
    <w:rsid w:val="00277780"/>
    <w:rsid w:val="0027792E"/>
    <w:rsid w:val="00277E25"/>
    <w:rsid w:val="002809EC"/>
    <w:rsid w:val="00280BC3"/>
    <w:rsid w:val="00280FF3"/>
    <w:rsid w:val="00281720"/>
    <w:rsid w:val="00281FF0"/>
    <w:rsid w:val="00282300"/>
    <w:rsid w:val="002827C5"/>
    <w:rsid w:val="002828E9"/>
    <w:rsid w:val="00282B4C"/>
    <w:rsid w:val="00282C7E"/>
    <w:rsid w:val="00282D2F"/>
    <w:rsid w:val="002833B2"/>
    <w:rsid w:val="00283B92"/>
    <w:rsid w:val="00283C59"/>
    <w:rsid w:val="00283E45"/>
    <w:rsid w:val="002848C7"/>
    <w:rsid w:val="00284D00"/>
    <w:rsid w:val="00285160"/>
    <w:rsid w:val="002854F7"/>
    <w:rsid w:val="00285A17"/>
    <w:rsid w:val="00285CB4"/>
    <w:rsid w:val="002865D9"/>
    <w:rsid w:val="0028752C"/>
    <w:rsid w:val="00287609"/>
    <w:rsid w:val="00287B49"/>
    <w:rsid w:val="00287CA4"/>
    <w:rsid w:val="00290266"/>
    <w:rsid w:val="002910D2"/>
    <w:rsid w:val="00291812"/>
    <w:rsid w:val="00292A32"/>
    <w:rsid w:val="0029355D"/>
    <w:rsid w:val="00293A9E"/>
    <w:rsid w:val="00293DF5"/>
    <w:rsid w:val="00294631"/>
    <w:rsid w:val="00294703"/>
    <w:rsid w:val="00295155"/>
    <w:rsid w:val="0029548F"/>
    <w:rsid w:val="002957B5"/>
    <w:rsid w:val="00296080"/>
    <w:rsid w:val="002960CB"/>
    <w:rsid w:val="00296829"/>
    <w:rsid w:val="00296C71"/>
    <w:rsid w:val="0029734F"/>
    <w:rsid w:val="00297DA6"/>
    <w:rsid w:val="002A0772"/>
    <w:rsid w:val="002A1193"/>
    <w:rsid w:val="002A123A"/>
    <w:rsid w:val="002A198F"/>
    <w:rsid w:val="002A199D"/>
    <w:rsid w:val="002A26E3"/>
    <w:rsid w:val="002A27EA"/>
    <w:rsid w:val="002A368D"/>
    <w:rsid w:val="002A3A2A"/>
    <w:rsid w:val="002A5310"/>
    <w:rsid w:val="002A6100"/>
    <w:rsid w:val="002A75EA"/>
    <w:rsid w:val="002A7AE4"/>
    <w:rsid w:val="002B02F9"/>
    <w:rsid w:val="002B0559"/>
    <w:rsid w:val="002B0C93"/>
    <w:rsid w:val="002B194B"/>
    <w:rsid w:val="002B2E59"/>
    <w:rsid w:val="002B3D6B"/>
    <w:rsid w:val="002B40CD"/>
    <w:rsid w:val="002B40E6"/>
    <w:rsid w:val="002B44C1"/>
    <w:rsid w:val="002B4CCF"/>
    <w:rsid w:val="002B4D4A"/>
    <w:rsid w:val="002B5BBA"/>
    <w:rsid w:val="002B6124"/>
    <w:rsid w:val="002B62BD"/>
    <w:rsid w:val="002B638A"/>
    <w:rsid w:val="002B7B8E"/>
    <w:rsid w:val="002B7E57"/>
    <w:rsid w:val="002C0EB7"/>
    <w:rsid w:val="002C1880"/>
    <w:rsid w:val="002C1B03"/>
    <w:rsid w:val="002C2650"/>
    <w:rsid w:val="002C2D1A"/>
    <w:rsid w:val="002C2E40"/>
    <w:rsid w:val="002C360F"/>
    <w:rsid w:val="002C3EBB"/>
    <w:rsid w:val="002C41AC"/>
    <w:rsid w:val="002C47E8"/>
    <w:rsid w:val="002C4AC2"/>
    <w:rsid w:val="002C54F6"/>
    <w:rsid w:val="002C56E9"/>
    <w:rsid w:val="002C5C9A"/>
    <w:rsid w:val="002C5DF5"/>
    <w:rsid w:val="002C6831"/>
    <w:rsid w:val="002C6911"/>
    <w:rsid w:val="002C7CEC"/>
    <w:rsid w:val="002C7E77"/>
    <w:rsid w:val="002D0218"/>
    <w:rsid w:val="002D1F40"/>
    <w:rsid w:val="002D2011"/>
    <w:rsid w:val="002D3266"/>
    <w:rsid w:val="002D345C"/>
    <w:rsid w:val="002D34A0"/>
    <w:rsid w:val="002D3BA0"/>
    <w:rsid w:val="002D3EB1"/>
    <w:rsid w:val="002D418A"/>
    <w:rsid w:val="002D4200"/>
    <w:rsid w:val="002D4A32"/>
    <w:rsid w:val="002D56E1"/>
    <w:rsid w:val="002D57D9"/>
    <w:rsid w:val="002D66A2"/>
    <w:rsid w:val="002D6C17"/>
    <w:rsid w:val="002D6F57"/>
    <w:rsid w:val="002D7664"/>
    <w:rsid w:val="002E072E"/>
    <w:rsid w:val="002E186E"/>
    <w:rsid w:val="002E201F"/>
    <w:rsid w:val="002E205B"/>
    <w:rsid w:val="002E2176"/>
    <w:rsid w:val="002E2508"/>
    <w:rsid w:val="002E320E"/>
    <w:rsid w:val="002E3C17"/>
    <w:rsid w:val="002E42D7"/>
    <w:rsid w:val="002E4582"/>
    <w:rsid w:val="002E5EB6"/>
    <w:rsid w:val="002E5FF8"/>
    <w:rsid w:val="002E6268"/>
    <w:rsid w:val="002E6599"/>
    <w:rsid w:val="002E6F3B"/>
    <w:rsid w:val="002E7397"/>
    <w:rsid w:val="002E76A8"/>
    <w:rsid w:val="002E7C85"/>
    <w:rsid w:val="002E7EAB"/>
    <w:rsid w:val="002F0024"/>
    <w:rsid w:val="002F03F4"/>
    <w:rsid w:val="002F115E"/>
    <w:rsid w:val="002F11B5"/>
    <w:rsid w:val="002F1DD3"/>
    <w:rsid w:val="002F26D5"/>
    <w:rsid w:val="002F2753"/>
    <w:rsid w:val="002F2FA0"/>
    <w:rsid w:val="002F4B8B"/>
    <w:rsid w:val="002F54DB"/>
    <w:rsid w:val="002F5C55"/>
    <w:rsid w:val="002F6109"/>
    <w:rsid w:val="002F627C"/>
    <w:rsid w:val="002F632E"/>
    <w:rsid w:val="002F7157"/>
    <w:rsid w:val="002F7291"/>
    <w:rsid w:val="002F7767"/>
    <w:rsid w:val="002F7B3B"/>
    <w:rsid w:val="002F7B79"/>
    <w:rsid w:val="002F7E8E"/>
    <w:rsid w:val="00300432"/>
    <w:rsid w:val="00301837"/>
    <w:rsid w:val="00301AC0"/>
    <w:rsid w:val="00301EDF"/>
    <w:rsid w:val="003021ED"/>
    <w:rsid w:val="00302759"/>
    <w:rsid w:val="00302824"/>
    <w:rsid w:val="003033E3"/>
    <w:rsid w:val="00304A73"/>
    <w:rsid w:val="003050F6"/>
    <w:rsid w:val="003057AA"/>
    <w:rsid w:val="003061AB"/>
    <w:rsid w:val="00306FE7"/>
    <w:rsid w:val="0030754D"/>
    <w:rsid w:val="00310B82"/>
    <w:rsid w:val="00311D4E"/>
    <w:rsid w:val="0031229E"/>
    <w:rsid w:val="00312532"/>
    <w:rsid w:val="00313027"/>
    <w:rsid w:val="0031391F"/>
    <w:rsid w:val="00313E72"/>
    <w:rsid w:val="00313F2A"/>
    <w:rsid w:val="003141E2"/>
    <w:rsid w:val="00315386"/>
    <w:rsid w:val="003156EA"/>
    <w:rsid w:val="00315ECC"/>
    <w:rsid w:val="00316127"/>
    <w:rsid w:val="00316419"/>
    <w:rsid w:val="00316AAD"/>
    <w:rsid w:val="00316C7F"/>
    <w:rsid w:val="003200E4"/>
    <w:rsid w:val="00320644"/>
    <w:rsid w:val="003216A1"/>
    <w:rsid w:val="00321874"/>
    <w:rsid w:val="00321A07"/>
    <w:rsid w:val="00321A69"/>
    <w:rsid w:val="0032232D"/>
    <w:rsid w:val="0032269E"/>
    <w:rsid w:val="00322A54"/>
    <w:rsid w:val="00322EC0"/>
    <w:rsid w:val="00323E64"/>
    <w:rsid w:val="003245C3"/>
    <w:rsid w:val="0032497E"/>
    <w:rsid w:val="00324E93"/>
    <w:rsid w:val="00324EA3"/>
    <w:rsid w:val="0032574D"/>
    <w:rsid w:val="003269F4"/>
    <w:rsid w:val="003270CD"/>
    <w:rsid w:val="00327B75"/>
    <w:rsid w:val="003307CF"/>
    <w:rsid w:val="00331960"/>
    <w:rsid w:val="0033245C"/>
    <w:rsid w:val="003326D4"/>
    <w:rsid w:val="00332B5C"/>
    <w:rsid w:val="00332D29"/>
    <w:rsid w:val="00333362"/>
    <w:rsid w:val="0033360B"/>
    <w:rsid w:val="0033375F"/>
    <w:rsid w:val="00334772"/>
    <w:rsid w:val="00335709"/>
    <w:rsid w:val="00335BD8"/>
    <w:rsid w:val="00336074"/>
    <w:rsid w:val="00336421"/>
    <w:rsid w:val="00336B9F"/>
    <w:rsid w:val="00336BFF"/>
    <w:rsid w:val="00336CCA"/>
    <w:rsid w:val="00337551"/>
    <w:rsid w:val="003375F7"/>
    <w:rsid w:val="00337EFA"/>
    <w:rsid w:val="003401EF"/>
    <w:rsid w:val="00340381"/>
    <w:rsid w:val="00340756"/>
    <w:rsid w:val="00340A00"/>
    <w:rsid w:val="00340C71"/>
    <w:rsid w:val="00342015"/>
    <w:rsid w:val="00342128"/>
    <w:rsid w:val="003427B5"/>
    <w:rsid w:val="00342951"/>
    <w:rsid w:val="00342F60"/>
    <w:rsid w:val="00343BF4"/>
    <w:rsid w:val="003442B5"/>
    <w:rsid w:val="00344F46"/>
    <w:rsid w:val="00345217"/>
    <w:rsid w:val="003453B0"/>
    <w:rsid w:val="00345A01"/>
    <w:rsid w:val="00346CDB"/>
    <w:rsid w:val="00350B0A"/>
    <w:rsid w:val="00351243"/>
    <w:rsid w:val="00351D44"/>
    <w:rsid w:val="00351E1F"/>
    <w:rsid w:val="003522F9"/>
    <w:rsid w:val="003525DF"/>
    <w:rsid w:val="00352A1F"/>
    <w:rsid w:val="00352E7C"/>
    <w:rsid w:val="0035352F"/>
    <w:rsid w:val="0035377D"/>
    <w:rsid w:val="003538EC"/>
    <w:rsid w:val="0035393A"/>
    <w:rsid w:val="003549D9"/>
    <w:rsid w:val="003556E4"/>
    <w:rsid w:val="00355A71"/>
    <w:rsid w:val="00355A8D"/>
    <w:rsid w:val="00355A8F"/>
    <w:rsid w:val="00355E1C"/>
    <w:rsid w:val="00356B8D"/>
    <w:rsid w:val="00356E83"/>
    <w:rsid w:val="00357925"/>
    <w:rsid w:val="00357D1D"/>
    <w:rsid w:val="00360F4C"/>
    <w:rsid w:val="00361231"/>
    <w:rsid w:val="00361264"/>
    <w:rsid w:val="00362687"/>
    <w:rsid w:val="00362992"/>
    <w:rsid w:val="003639EC"/>
    <w:rsid w:val="00363AC0"/>
    <w:rsid w:val="00364213"/>
    <w:rsid w:val="003644C8"/>
    <w:rsid w:val="00364B4B"/>
    <w:rsid w:val="00364EC3"/>
    <w:rsid w:val="003661E1"/>
    <w:rsid w:val="003668EA"/>
    <w:rsid w:val="00366C29"/>
    <w:rsid w:val="00367088"/>
    <w:rsid w:val="00367C30"/>
    <w:rsid w:val="003705B9"/>
    <w:rsid w:val="0037244D"/>
    <w:rsid w:val="0037291F"/>
    <w:rsid w:val="00373186"/>
    <w:rsid w:val="00373595"/>
    <w:rsid w:val="003736C4"/>
    <w:rsid w:val="00373FF1"/>
    <w:rsid w:val="00374283"/>
    <w:rsid w:val="0037476F"/>
    <w:rsid w:val="0037492F"/>
    <w:rsid w:val="00374B26"/>
    <w:rsid w:val="00375FAD"/>
    <w:rsid w:val="0037634E"/>
    <w:rsid w:val="003764AC"/>
    <w:rsid w:val="003767C5"/>
    <w:rsid w:val="003767FA"/>
    <w:rsid w:val="00376A9A"/>
    <w:rsid w:val="00376CB9"/>
    <w:rsid w:val="00376D63"/>
    <w:rsid w:val="00376DFF"/>
    <w:rsid w:val="00377041"/>
    <w:rsid w:val="00377778"/>
    <w:rsid w:val="003803F3"/>
    <w:rsid w:val="00380D4B"/>
    <w:rsid w:val="00380FB2"/>
    <w:rsid w:val="00381A50"/>
    <w:rsid w:val="00382495"/>
    <w:rsid w:val="003826D8"/>
    <w:rsid w:val="00382BC8"/>
    <w:rsid w:val="00383A3E"/>
    <w:rsid w:val="00383BF7"/>
    <w:rsid w:val="00383F37"/>
    <w:rsid w:val="003843AD"/>
    <w:rsid w:val="003847BB"/>
    <w:rsid w:val="003847C3"/>
    <w:rsid w:val="003848D1"/>
    <w:rsid w:val="003854E4"/>
    <w:rsid w:val="00385E46"/>
    <w:rsid w:val="003866C1"/>
    <w:rsid w:val="00386960"/>
    <w:rsid w:val="00387854"/>
    <w:rsid w:val="00387EBA"/>
    <w:rsid w:val="00392343"/>
    <w:rsid w:val="0039286A"/>
    <w:rsid w:val="00392C06"/>
    <w:rsid w:val="003933F7"/>
    <w:rsid w:val="0039393A"/>
    <w:rsid w:val="00393AD2"/>
    <w:rsid w:val="00394039"/>
    <w:rsid w:val="003953DD"/>
    <w:rsid w:val="003957EB"/>
    <w:rsid w:val="003958F5"/>
    <w:rsid w:val="0039599F"/>
    <w:rsid w:val="00395E04"/>
    <w:rsid w:val="00396872"/>
    <w:rsid w:val="00397356"/>
    <w:rsid w:val="00397C5E"/>
    <w:rsid w:val="003A0264"/>
    <w:rsid w:val="003A0972"/>
    <w:rsid w:val="003A0C1F"/>
    <w:rsid w:val="003A0F56"/>
    <w:rsid w:val="003A1026"/>
    <w:rsid w:val="003A15A0"/>
    <w:rsid w:val="003A1639"/>
    <w:rsid w:val="003A1EEF"/>
    <w:rsid w:val="003A222B"/>
    <w:rsid w:val="003A2414"/>
    <w:rsid w:val="003A3D44"/>
    <w:rsid w:val="003A485B"/>
    <w:rsid w:val="003A506A"/>
    <w:rsid w:val="003A5279"/>
    <w:rsid w:val="003A531C"/>
    <w:rsid w:val="003A59DD"/>
    <w:rsid w:val="003A5DFD"/>
    <w:rsid w:val="003A68ED"/>
    <w:rsid w:val="003A698B"/>
    <w:rsid w:val="003A770A"/>
    <w:rsid w:val="003A7C78"/>
    <w:rsid w:val="003B0516"/>
    <w:rsid w:val="003B1FD2"/>
    <w:rsid w:val="003B21A7"/>
    <w:rsid w:val="003B2407"/>
    <w:rsid w:val="003B25B1"/>
    <w:rsid w:val="003B26F9"/>
    <w:rsid w:val="003B34CC"/>
    <w:rsid w:val="003B37DF"/>
    <w:rsid w:val="003B3DD4"/>
    <w:rsid w:val="003B3E02"/>
    <w:rsid w:val="003B4F84"/>
    <w:rsid w:val="003B56CE"/>
    <w:rsid w:val="003B5E4E"/>
    <w:rsid w:val="003B5EB3"/>
    <w:rsid w:val="003B5F0D"/>
    <w:rsid w:val="003B5FA7"/>
    <w:rsid w:val="003B65CE"/>
    <w:rsid w:val="003B6758"/>
    <w:rsid w:val="003B76E1"/>
    <w:rsid w:val="003B7796"/>
    <w:rsid w:val="003B78FD"/>
    <w:rsid w:val="003B7A99"/>
    <w:rsid w:val="003C01A5"/>
    <w:rsid w:val="003C1AA5"/>
    <w:rsid w:val="003C1E36"/>
    <w:rsid w:val="003C210A"/>
    <w:rsid w:val="003C3007"/>
    <w:rsid w:val="003C3044"/>
    <w:rsid w:val="003C3306"/>
    <w:rsid w:val="003C364D"/>
    <w:rsid w:val="003C38E3"/>
    <w:rsid w:val="003C3A8F"/>
    <w:rsid w:val="003C4191"/>
    <w:rsid w:val="003C4E6D"/>
    <w:rsid w:val="003C525D"/>
    <w:rsid w:val="003C56CC"/>
    <w:rsid w:val="003C5DB7"/>
    <w:rsid w:val="003C6194"/>
    <w:rsid w:val="003C6439"/>
    <w:rsid w:val="003C6AF0"/>
    <w:rsid w:val="003C6B7D"/>
    <w:rsid w:val="003C6C43"/>
    <w:rsid w:val="003C73E8"/>
    <w:rsid w:val="003C7A4A"/>
    <w:rsid w:val="003D07F1"/>
    <w:rsid w:val="003D22D0"/>
    <w:rsid w:val="003D2436"/>
    <w:rsid w:val="003D2902"/>
    <w:rsid w:val="003D331C"/>
    <w:rsid w:val="003D35CB"/>
    <w:rsid w:val="003D3CBF"/>
    <w:rsid w:val="003D3F7C"/>
    <w:rsid w:val="003D4D27"/>
    <w:rsid w:val="003D4F9E"/>
    <w:rsid w:val="003D5051"/>
    <w:rsid w:val="003D524A"/>
    <w:rsid w:val="003D6A97"/>
    <w:rsid w:val="003D6FE8"/>
    <w:rsid w:val="003D79AF"/>
    <w:rsid w:val="003E0E81"/>
    <w:rsid w:val="003E1672"/>
    <w:rsid w:val="003E1AEA"/>
    <w:rsid w:val="003E325A"/>
    <w:rsid w:val="003E3309"/>
    <w:rsid w:val="003E35B3"/>
    <w:rsid w:val="003E4247"/>
    <w:rsid w:val="003E5182"/>
    <w:rsid w:val="003E5247"/>
    <w:rsid w:val="003E56DD"/>
    <w:rsid w:val="003E60E3"/>
    <w:rsid w:val="003E62C4"/>
    <w:rsid w:val="003E677F"/>
    <w:rsid w:val="003E6BE4"/>
    <w:rsid w:val="003E7312"/>
    <w:rsid w:val="003E7C3D"/>
    <w:rsid w:val="003F002A"/>
    <w:rsid w:val="003F03B3"/>
    <w:rsid w:val="003F0D8B"/>
    <w:rsid w:val="003F1A90"/>
    <w:rsid w:val="003F227E"/>
    <w:rsid w:val="003F2756"/>
    <w:rsid w:val="003F27DE"/>
    <w:rsid w:val="003F27F0"/>
    <w:rsid w:val="003F367D"/>
    <w:rsid w:val="003F37AF"/>
    <w:rsid w:val="003F410C"/>
    <w:rsid w:val="003F4944"/>
    <w:rsid w:val="003F4F12"/>
    <w:rsid w:val="003F5237"/>
    <w:rsid w:val="003F58C0"/>
    <w:rsid w:val="003F5E82"/>
    <w:rsid w:val="003F5F84"/>
    <w:rsid w:val="003F67F5"/>
    <w:rsid w:val="003F750D"/>
    <w:rsid w:val="003F7739"/>
    <w:rsid w:val="003F7C67"/>
    <w:rsid w:val="00400179"/>
    <w:rsid w:val="0040080B"/>
    <w:rsid w:val="00401C96"/>
    <w:rsid w:val="00403583"/>
    <w:rsid w:val="00403713"/>
    <w:rsid w:val="00403941"/>
    <w:rsid w:val="00403C2C"/>
    <w:rsid w:val="00403E93"/>
    <w:rsid w:val="00403EC0"/>
    <w:rsid w:val="004042E9"/>
    <w:rsid w:val="00405766"/>
    <w:rsid w:val="0040662D"/>
    <w:rsid w:val="0040741E"/>
    <w:rsid w:val="00407547"/>
    <w:rsid w:val="00407CB0"/>
    <w:rsid w:val="00410259"/>
    <w:rsid w:val="00411453"/>
    <w:rsid w:val="00411EB4"/>
    <w:rsid w:val="00412FF7"/>
    <w:rsid w:val="00413465"/>
    <w:rsid w:val="0041434C"/>
    <w:rsid w:val="004145C0"/>
    <w:rsid w:val="0041481F"/>
    <w:rsid w:val="00415862"/>
    <w:rsid w:val="00415BB3"/>
    <w:rsid w:val="00416955"/>
    <w:rsid w:val="00417376"/>
    <w:rsid w:val="00417415"/>
    <w:rsid w:val="00420036"/>
    <w:rsid w:val="004200FC"/>
    <w:rsid w:val="004202EB"/>
    <w:rsid w:val="00420879"/>
    <w:rsid w:val="00420C46"/>
    <w:rsid w:val="00420ECF"/>
    <w:rsid w:val="004212F1"/>
    <w:rsid w:val="00421EE3"/>
    <w:rsid w:val="00422282"/>
    <w:rsid w:val="004227A9"/>
    <w:rsid w:val="00422A84"/>
    <w:rsid w:val="00422C03"/>
    <w:rsid w:val="00423BA7"/>
    <w:rsid w:val="00424074"/>
    <w:rsid w:val="00424CA8"/>
    <w:rsid w:val="00424DB3"/>
    <w:rsid w:val="00425122"/>
    <w:rsid w:val="00425147"/>
    <w:rsid w:val="0042556B"/>
    <w:rsid w:val="004256F5"/>
    <w:rsid w:val="00425B45"/>
    <w:rsid w:val="00426A6C"/>
    <w:rsid w:val="00426E1C"/>
    <w:rsid w:val="00426E1D"/>
    <w:rsid w:val="0042783A"/>
    <w:rsid w:val="00427DEB"/>
    <w:rsid w:val="00430F0A"/>
    <w:rsid w:val="00431820"/>
    <w:rsid w:val="004319DC"/>
    <w:rsid w:val="00431B49"/>
    <w:rsid w:val="00431D3D"/>
    <w:rsid w:val="00432442"/>
    <w:rsid w:val="00432679"/>
    <w:rsid w:val="004327CA"/>
    <w:rsid w:val="004338C0"/>
    <w:rsid w:val="00433AA1"/>
    <w:rsid w:val="0043450E"/>
    <w:rsid w:val="004347CA"/>
    <w:rsid w:val="00434E2D"/>
    <w:rsid w:val="004351E1"/>
    <w:rsid w:val="00435FD7"/>
    <w:rsid w:val="004366E5"/>
    <w:rsid w:val="00436BC1"/>
    <w:rsid w:val="0043772E"/>
    <w:rsid w:val="00437883"/>
    <w:rsid w:val="00437BD0"/>
    <w:rsid w:val="00437D96"/>
    <w:rsid w:val="00437E8A"/>
    <w:rsid w:val="00440478"/>
    <w:rsid w:val="00440858"/>
    <w:rsid w:val="00440AB5"/>
    <w:rsid w:val="00441B66"/>
    <w:rsid w:val="00441C5B"/>
    <w:rsid w:val="00441E20"/>
    <w:rsid w:val="0044293C"/>
    <w:rsid w:val="00442AF4"/>
    <w:rsid w:val="004447CA"/>
    <w:rsid w:val="00444A33"/>
    <w:rsid w:val="00444AA9"/>
    <w:rsid w:val="00444BA0"/>
    <w:rsid w:val="0044519D"/>
    <w:rsid w:val="00445DD1"/>
    <w:rsid w:val="0044602D"/>
    <w:rsid w:val="00446192"/>
    <w:rsid w:val="0044660E"/>
    <w:rsid w:val="00446AEB"/>
    <w:rsid w:val="00446DD4"/>
    <w:rsid w:val="00447AFF"/>
    <w:rsid w:val="004505AB"/>
    <w:rsid w:val="00450684"/>
    <w:rsid w:val="004507F7"/>
    <w:rsid w:val="00450A37"/>
    <w:rsid w:val="00450B66"/>
    <w:rsid w:val="00451FF5"/>
    <w:rsid w:val="00452BAD"/>
    <w:rsid w:val="0045315B"/>
    <w:rsid w:val="00453183"/>
    <w:rsid w:val="004531D7"/>
    <w:rsid w:val="0045324B"/>
    <w:rsid w:val="0045333E"/>
    <w:rsid w:val="004541A8"/>
    <w:rsid w:val="00454FE7"/>
    <w:rsid w:val="00455777"/>
    <w:rsid w:val="00455C81"/>
    <w:rsid w:val="00455EB7"/>
    <w:rsid w:val="00456976"/>
    <w:rsid w:val="00456E0D"/>
    <w:rsid w:val="00457902"/>
    <w:rsid w:val="00457952"/>
    <w:rsid w:val="00457C4F"/>
    <w:rsid w:val="00457D12"/>
    <w:rsid w:val="00460570"/>
    <w:rsid w:val="00460EB2"/>
    <w:rsid w:val="004619F8"/>
    <w:rsid w:val="00461B63"/>
    <w:rsid w:val="00462012"/>
    <w:rsid w:val="00462D33"/>
    <w:rsid w:val="00463085"/>
    <w:rsid w:val="00463289"/>
    <w:rsid w:val="0046486E"/>
    <w:rsid w:val="00465488"/>
    <w:rsid w:val="00465CC5"/>
    <w:rsid w:val="00467CA9"/>
    <w:rsid w:val="00470314"/>
    <w:rsid w:val="004707B7"/>
    <w:rsid w:val="00471352"/>
    <w:rsid w:val="00471B8C"/>
    <w:rsid w:val="00471D79"/>
    <w:rsid w:val="004721C0"/>
    <w:rsid w:val="00473FA0"/>
    <w:rsid w:val="00474C4E"/>
    <w:rsid w:val="0047544F"/>
    <w:rsid w:val="00476098"/>
    <w:rsid w:val="00476BED"/>
    <w:rsid w:val="004770AD"/>
    <w:rsid w:val="0047773A"/>
    <w:rsid w:val="0047797E"/>
    <w:rsid w:val="00477E61"/>
    <w:rsid w:val="00480127"/>
    <w:rsid w:val="0048023B"/>
    <w:rsid w:val="00481A09"/>
    <w:rsid w:val="00481CD6"/>
    <w:rsid w:val="0048234A"/>
    <w:rsid w:val="00482FE4"/>
    <w:rsid w:val="00483E28"/>
    <w:rsid w:val="004842C4"/>
    <w:rsid w:val="0048484D"/>
    <w:rsid w:val="00484969"/>
    <w:rsid w:val="004855ED"/>
    <w:rsid w:val="00485B4B"/>
    <w:rsid w:val="00486403"/>
    <w:rsid w:val="00487088"/>
    <w:rsid w:val="00487608"/>
    <w:rsid w:val="00487B5D"/>
    <w:rsid w:val="004902C3"/>
    <w:rsid w:val="0049085D"/>
    <w:rsid w:val="0049096B"/>
    <w:rsid w:val="00490AE8"/>
    <w:rsid w:val="0049107C"/>
    <w:rsid w:val="004927D7"/>
    <w:rsid w:val="00492B0F"/>
    <w:rsid w:val="00493DFE"/>
    <w:rsid w:val="00494476"/>
    <w:rsid w:val="004945A3"/>
    <w:rsid w:val="004948DD"/>
    <w:rsid w:val="00494C4D"/>
    <w:rsid w:val="00494C8D"/>
    <w:rsid w:val="00495004"/>
    <w:rsid w:val="00495374"/>
    <w:rsid w:val="00496800"/>
    <w:rsid w:val="00496B76"/>
    <w:rsid w:val="0049772C"/>
    <w:rsid w:val="0049779A"/>
    <w:rsid w:val="0049797E"/>
    <w:rsid w:val="00497D82"/>
    <w:rsid w:val="004A0963"/>
    <w:rsid w:val="004A09D6"/>
    <w:rsid w:val="004A0DF2"/>
    <w:rsid w:val="004A160E"/>
    <w:rsid w:val="004A1B80"/>
    <w:rsid w:val="004A1E04"/>
    <w:rsid w:val="004A23D6"/>
    <w:rsid w:val="004A319E"/>
    <w:rsid w:val="004A4122"/>
    <w:rsid w:val="004A5078"/>
    <w:rsid w:val="004A5136"/>
    <w:rsid w:val="004A5B03"/>
    <w:rsid w:val="004A5CF6"/>
    <w:rsid w:val="004A69C5"/>
    <w:rsid w:val="004A6C88"/>
    <w:rsid w:val="004A715A"/>
    <w:rsid w:val="004B013D"/>
    <w:rsid w:val="004B020D"/>
    <w:rsid w:val="004B0476"/>
    <w:rsid w:val="004B0514"/>
    <w:rsid w:val="004B1088"/>
    <w:rsid w:val="004B18B5"/>
    <w:rsid w:val="004B1982"/>
    <w:rsid w:val="004B3489"/>
    <w:rsid w:val="004B372E"/>
    <w:rsid w:val="004B3A9D"/>
    <w:rsid w:val="004B4001"/>
    <w:rsid w:val="004B4193"/>
    <w:rsid w:val="004B46A9"/>
    <w:rsid w:val="004B4A3B"/>
    <w:rsid w:val="004B54AF"/>
    <w:rsid w:val="004B617B"/>
    <w:rsid w:val="004B65BF"/>
    <w:rsid w:val="004B65DD"/>
    <w:rsid w:val="004B7911"/>
    <w:rsid w:val="004C0622"/>
    <w:rsid w:val="004C1258"/>
    <w:rsid w:val="004C1389"/>
    <w:rsid w:val="004C16DC"/>
    <w:rsid w:val="004C1836"/>
    <w:rsid w:val="004C1B57"/>
    <w:rsid w:val="004C22DA"/>
    <w:rsid w:val="004C232B"/>
    <w:rsid w:val="004C24BE"/>
    <w:rsid w:val="004C277A"/>
    <w:rsid w:val="004C2D0D"/>
    <w:rsid w:val="004C3029"/>
    <w:rsid w:val="004C304B"/>
    <w:rsid w:val="004C398F"/>
    <w:rsid w:val="004C446E"/>
    <w:rsid w:val="004C4DAD"/>
    <w:rsid w:val="004C546C"/>
    <w:rsid w:val="004C54FA"/>
    <w:rsid w:val="004C56E4"/>
    <w:rsid w:val="004C57B8"/>
    <w:rsid w:val="004C5A6D"/>
    <w:rsid w:val="004C5F6F"/>
    <w:rsid w:val="004C6343"/>
    <w:rsid w:val="004D02A5"/>
    <w:rsid w:val="004D0532"/>
    <w:rsid w:val="004D13A0"/>
    <w:rsid w:val="004D17AE"/>
    <w:rsid w:val="004D19F5"/>
    <w:rsid w:val="004D1DC8"/>
    <w:rsid w:val="004D2C54"/>
    <w:rsid w:val="004D2FFF"/>
    <w:rsid w:val="004D31C4"/>
    <w:rsid w:val="004D5A32"/>
    <w:rsid w:val="004D5F2D"/>
    <w:rsid w:val="004D61AA"/>
    <w:rsid w:val="004D634D"/>
    <w:rsid w:val="004D6BDF"/>
    <w:rsid w:val="004D7648"/>
    <w:rsid w:val="004D7D17"/>
    <w:rsid w:val="004E0489"/>
    <w:rsid w:val="004E0492"/>
    <w:rsid w:val="004E24EB"/>
    <w:rsid w:val="004E29AF"/>
    <w:rsid w:val="004E2D96"/>
    <w:rsid w:val="004E3021"/>
    <w:rsid w:val="004E35A3"/>
    <w:rsid w:val="004E4733"/>
    <w:rsid w:val="004E54DA"/>
    <w:rsid w:val="004E59DD"/>
    <w:rsid w:val="004E65D5"/>
    <w:rsid w:val="004E6A11"/>
    <w:rsid w:val="004F1F9B"/>
    <w:rsid w:val="004F268A"/>
    <w:rsid w:val="004F2C91"/>
    <w:rsid w:val="004F2E14"/>
    <w:rsid w:val="004F375B"/>
    <w:rsid w:val="004F48F4"/>
    <w:rsid w:val="004F4C9F"/>
    <w:rsid w:val="004F4CBF"/>
    <w:rsid w:val="004F5630"/>
    <w:rsid w:val="004F5848"/>
    <w:rsid w:val="004F6032"/>
    <w:rsid w:val="004F6496"/>
    <w:rsid w:val="004F6C81"/>
    <w:rsid w:val="004F746D"/>
    <w:rsid w:val="004F78EB"/>
    <w:rsid w:val="0050020C"/>
    <w:rsid w:val="0050054B"/>
    <w:rsid w:val="00500636"/>
    <w:rsid w:val="00500972"/>
    <w:rsid w:val="00500F20"/>
    <w:rsid w:val="005013AA"/>
    <w:rsid w:val="005016AB"/>
    <w:rsid w:val="0050171A"/>
    <w:rsid w:val="00501E86"/>
    <w:rsid w:val="00502032"/>
    <w:rsid w:val="00502A56"/>
    <w:rsid w:val="00502A5A"/>
    <w:rsid w:val="00503136"/>
    <w:rsid w:val="0050328F"/>
    <w:rsid w:val="0050332D"/>
    <w:rsid w:val="005036CA"/>
    <w:rsid w:val="00503A29"/>
    <w:rsid w:val="00503C6C"/>
    <w:rsid w:val="00503C7A"/>
    <w:rsid w:val="00504E90"/>
    <w:rsid w:val="00504F65"/>
    <w:rsid w:val="00505A53"/>
    <w:rsid w:val="0050651C"/>
    <w:rsid w:val="00506814"/>
    <w:rsid w:val="00506EE1"/>
    <w:rsid w:val="0050761E"/>
    <w:rsid w:val="00507677"/>
    <w:rsid w:val="00507BAA"/>
    <w:rsid w:val="005108C4"/>
    <w:rsid w:val="00511044"/>
    <w:rsid w:val="005125E2"/>
    <w:rsid w:val="00514547"/>
    <w:rsid w:val="00514BB2"/>
    <w:rsid w:val="0051518A"/>
    <w:rsid w:val="0051538D"/>
    <w:rsid w:val="005159E3"/>
    <w:rsid w:val="005160FE"/>
    <w:rsid w:val="00516334"/>
    <w:rsid w:val="00516932"/>
    <w:rsid w:val="00516C1E"/>
    <w:rsid w:val="005170EA"/>
    <w:rsid w:val="005174E0"/>
    <w:rsid w:val="00520301"/>
    <w:rsid w:val="005205F9"/>
    <w:rsid w:val="00520711"/>
    <w:rsid w:val="005213ED"/>
    <w:rsid w:val="00521D6E"/>
    <w:rsid w:val="00521F5C"/>
    <w:rsid w:val="0052216A"/>
    <w:rsid w:val="005245EF"/>
    <w:rsid w:val="005247DB"/>
    <w:rsid w:val="00524812"/>
    <w:rsid w:val="00524983"/>
    <w:rsid w:val="00524BDE"/>
    <w:rsid w:val="00525170"/>
    <w:rsid w:val="00525C47"/>
    <w:rsid w:val="005266B7"/>
    <w:rsid w:val="005268E7"/>
    <w:rsid w:val="005269EF"/>
    <w:rsid w:val="00526A81"/>
    <w:rsid w:val="00526F65"/>
    <w:rsid w:val="00527713"/>
    <w:rsid w:val="00527CDF"/>
    <w:rsid w:val="00530664"/>
    <w:rsid w:val="005306B5"/>
    <w:rsid w:val="00530A52"/>
    <w:rsid w:val="005317D2"/>
    <w:rsid w:val="00532192"/>
    <w:rsid w:val="005321ED"/>
    <w:rsid w:val="005322E7"/>
    <w:rsid w:val="0053258B"/>
    <w:rsid w:val="00532687"/>
    <w:rsid w:val="00532C27"/>
    <w:rsid w:val="005333DE"/>
    <w:rsid w:val="00533B88"/>
    <w:rsid w:val="00533DB8"/>
    <w:rsid w:val="00534317"/>
    <w:rsid w:val="00534572"/>
    <w:rsid w:val="005345E8"/>
    <w:rsid w:val="00535358"/>
    <w:rsid w:val="00535470"/>
    <w:rsid w:val="0053576C"/>
    <w:rsid w:val="00535C81"/>
    <w:rsid w:val="00536497"/>
    <w:rsid w:val="0053677C"/>
    <w:rsid w:val="00536FA6"/>
    <w:rsid w:val="005370BF"/>
    <w:rsid w:val="0053785C"/>
    <w:rsid w:val="00537970"/>
    <w:rsid w:val="005379E4"/>
    <w:rsid w:val="00537BE5"/>
    <w:rsid w:val="00540E7C"/>
    <w:rsid w:val="00540F52"/>
    <w:rsid w:val="0054109E"/>
    <w:rsid w:val="0054140B"/>
    <w:rsid w:val="005416D7"/>
    <w:rsid w:val="00541E8A"/>
    <w:rsid w:val="0054216F"/>
    <w:rsid w:val="00542463"/>
    <w:rsid w:val="005437A0"/>
    <w:rsid w:val="00545051"/>
    <w:rsid w:val="005454FB"/>
    <w:rsid w:val="00545DC9"/>
    <w:rsid w:val="00545F67"/>
    <w:rsid w:val="005463C9"/>
    <w:rsid w:val="005466D2"/>
    <w:rsid w:val="00546C17"/>
    <w:rsid w:val="00550EBC"/>
    <w:rsid w:val="00550F6E"/>
    <w:rsid w:val="005512AD"/>
    <w:rsid w:val="0055147C"/>
    <w:rsid w:val="0055188E"/>
    <w:rsid w:val="0055198C"/>
    <w:rsid w:val="005519C5"/>
    <w:rsid w:val="00551B40"/>
    <w:rsid w:val="0055234B"/>
    <w:rsid w:val="005524C9"/>
    <w:rsid w:val="00553487"/>
    <w:rsid w:val="005535E2"/>
    <w:rsid w:val="005536E9"/>
    <w:rsid w:val="00554E5A"/>
    <w:rsid w:val="0055525D"/>
    <w:rsid w:val="005559DB"/>
    <w:rsid w:val="005559EA"/>
    <w:rsid w:val="00555E7B"/>
    <w:rsid w:val="005560A3"/>
    <w:rsid w:val="00556B3B"/>
    <w:rsid w:val="00556C8A"/>
    <w:rsid w:val="00556EDD"/>
    <w:rsid w:val="005572D4"/>
    <w:rsid w:val="00557E37"/>
    <w:rsid w:val="00560855"/>
    <w:rsid w:val="0056089D"/>
    <w:rsid w:val="005613DF"/>
    <w:rsid w:val="0056177A"/>
    <w:rsid w:val="00561985"/>
    <w:rsid w:val="005623AC"/>
    <w:rsid w:val="0056269A"/>
    <w:rsid w:val="005630C6"/>
    <w:rsid w:val="00563EF1"/>
    <w:rsid w:val="005643A5"/>
    <w:rsid w:val="005646D2"/>
    <w:rsid w:val="005648DF"/>
    <w:rsid w:val="00564935"/>
    <w:rsid w:val="005656F2"/>
    <w:rsid w:val="0056641A"/>
    <w:rsid w:val="00566608"/>
    <w:rsid w:val="0056669C"/>
    <w:rsid w:val="00566CC5"/>
    <w:rsid w:val="005675B7"/>
    <w:rsid w:val="0056793C"/>
    <w:rsid w:val="00567BAA"/>
    <w:rsid w:val="00567D32"/>
    <w:rsid w:val="005700FB"/>
    <w:rsid w:val="005702F7"/>
    <w:rsid w:val="00570A10"/>
    <w:rsid w:val="00570AD6"/>
    <w:rsid w:val="00570F1C"/>
    <w:rsid w:val="00571768"/>
    <w:rsid w:val="00572961"/>
    <w:rsid w:val="00572D73"/>
    <w:rsid w:val="005732AF"/>
    <w:rsid w:val="00574879"/>
    <w:rsid w:val="00574C01"/>
    <w:rsid w:val="00575155"/>
    <w:rsid w:val="00575CED"/>
    <w:rsid w:val="00576412"/>
    <w:rsid w:val="00577263"/>
    <w:rsid w:val="00577595"/>
    <w:rsid w:val="00577C18"/>
    <w:rsid w:val="00577D76"/>
    <w:rsid w:val="00577F0A"/>
    <w:rsid w:val="005803D1"/>
    <w:rsid w:val="005807CB"/>
    <w:rsid w:val="00581004"/>
    <w:rsid w:val="005812A0"/>
    <w:rsid w:val="0058189B"/>
    <w:rsid w:val="005818D5"/>
    <w:rsid w:val="005837EC"/>
    <w:rsid w:val="00583E0B"/>
    <w:rsid w:val="005847B7"/>
    <w:rsid w:val="00584CF1"/>
    <w:rsid w:val="005866D2"/>
    <w:rsid w:val="00586A75"/>
    <w:rsid w:val="00586CD0"/>
    <w:rsid w:val="00586EA8"/>
    <w:rsid w:val="00586F7D"/>
    <w:rsid w:val="005872C7"/>
    <w:rsid w:val="005875CE"/>
    <w:rsid w:val="0059048E"/>
    <w:rsid w:val="00590DB4"/>
    <w:rsid w:val="005920FF"/>
    <w:rsid w:val="005922B0"/>
    <w:rsid w:val="0059393F"/>
    <w:rsid w:val="00594486"/>
    <w:rsid w:val="0059521B"/>
    <w:rsid w:val="00595533"/>
    <w:rsid w:val="00595FF3"/>
    <w:rsid w:val="005965DC"/>
    <w:rsid w:val="00596693"/>
    <w:rsid w:val="00597716"/>
    <w:rsid w:val="0059786B"/>
    <w:rsid w:val="00597FD5"/>
    <w:rsid w:val="005A10B6"/>
    <w:rsid w:val="005A15D1"/>
    <w:rsid w:val="005A19D4"/>
    <w:rsid w:val="005A210D"/>
    <w:rsid w:val="005A3EA6"/>
    <w:rsid w:val="005A3F65"/>
    <w:rsid w:val="005A4014"/>
    <w:rsid w:val="005A5505"/>
    <w:rsid w:val="005A56B3"/>
    <w:rsid w:val="005A75A1"/>
    <w:rsid w:val="005A7B4F"/>
    <w:rsid w:val="005B0BF7"/>
    <w:rsid w:val="005B0E4F"/>
    <w:rsid w:val="005B1A8A"/>
    <w:rsid w:val="005B1D4E"/>
    <w:rsid w:val="005B21B0"/>
    <w:rsid w:val="005B3379"/>
    <w:rsid w:val="005B3C8F"/>
    <w:rsid w:val="005B4960"/>
    <w:rsid w:val="005B5486"/>
    <w:rsid w:val="005B5BC4"/>
    <w:rsid w:val="005B5F99"/>
    <w:rsid w:val="005B6755"/>
    <w:rsid w:val="005B748C"/>
    <w:rsid w:val="005C0230"/>
    <w:rsid w:val="005C0646"/>
    <w:rsid w:val="005C1267"/>
    <w:rsid w:val="005C1D10"/>
    <w:rsid w:val="005C2835"/>
    <w:rsid w:val="005C2F25"/>
    <w:rsid w:val="005C30DC"/>
    <w:rsid w:val="005C368E"/>
    <w:rsid w:val="005C4AA6"/>
    <w:rsid w:val="005C617C"/>
    <w:rsid w:val="005C628E"/>
    <w:rsid w:val="005C634F"/>
    <w:rsid w:val="005C6F98"/>
    <w:rsid w:val="005C7530"/>
    <w:rsid w:val="005C77E8"/>
    <w:rsid w:val="005D0CD0"/>
    <w:rsid w:val="005D160C"/>
    <w:rsid w:val="005D1F38"/>
    <w:rsid w:val="005D29BE"/>
    <w:rsid w:val="005D3470"/>
    <w:rsid w:val="005D35A9"/>
    <w:rsid w:val="005D6333"/>
    <w:rsid w:val="005D6513"/>
    <w:rsid w:val="005D6669"/>
    <w:rsid w:val="005E0835"/>
    <w:rsid w:val="005E0E9D"/>
    <w:rsid w:val="005E1234"/>
    <w:rsid w:val="005E1A6A"/>
    <w:rsid w:val="005E1B07"/>
    <w:rsid w:val="005E2D21"/>
    <w:rsid w:val="005E2FDB"/>
    <w:rsid w:val="005E410E"/>
    <w:rsid w:val="005E45C6"/>
    <w:rsid w:val="005E4CFA"/>
    <w:rsid w:val="005E5088"/>
    <w:rsid w:val="005E563B"/>
    <w:rsid w:val="005E5821"/>
    <w:rsid w:val="005E61DF"/>
    <w:rsid w:val="005E659D"/>
    <w:rsid w:val="005E69CD"/>
    <w:rsid w:val="005E74EA"/>
    <w:rsid w:val="005E7952"/>
    <w:rsid w:val="005E7A7F"/>
    <w:rsid w:val="005F0334"/>
    <w:rsid w:val="005F177B"/>
    <w:rsid w:val="005F1A76"/>
    <w:rsid w:val="005F3224"/>
    <w:rsid w:val="005F340A"/>
    <w:rsid w:val="005F344E"/>
    <w:rsid w:val="005F3A3F"/>
    <w:rsid w:val="005F3E18"/>
    <w:rsid w:val="005F4510"/>
    <w:rsid w:val="005F4E48"/>
    <w:rsid w:val="005F6A4F"/>
    <w:rsid w:val="005F7515"/>
    <w:rsid w:val="006009C5"/>
    <w:rsid w:val="00600BFA"/>
    <w:rsid w:val="00600F63"/>
    <w:rsid w:val="0060170E"/>
    <w:rsid w:val="00601715"/>
    <w:rsid w:val="00601B36"/>
    <w:rsid w:val="00601D67"/>
    <w:rsid w:val="00602621"/>
    <w:rsid w:val="006029E8"/>
    <w:rsid w:val="00602D98"/>
    <w:rsid w:val="0060368B"/>
    <w:rsid w:val="006037F0"/>
    <w:rsid w:val="00604219"/>
    <w:rsid w:val="006050DD"/>
    <w:rsid w:val="0060534A"/>
    <w:rsid w:val="006056BB"/>
    <w:rsid w:val="0060599C"/>
    <w:rsid w:val="00605DDF"/>
    <w:rsid w:val="0060627B"/>
    <w:rsid w:val="00606639"/>
    <w:rsid w:val="00607456"/>
    <w:rsid w:val="0060754A"/>
    <w:rsid w:val="0060768F"/>
    <w:rsid w:val="00607D11"/>
    <w:rsid w:val="00607D24"/>
    <w:rsid w:val="00607D9C"/>
    <w:rsid w:val="0061074F"/>
    <w:rsid w:val="00610AAB"/>
    <w:rsid w:val="006114EF"/>
    <w:rsid w:val="006116C9"/>
    <w:rsid w:val="00611AA7"/>
    <w:rsid w:val="00612729"/>
    <w:rsid w:val="00612A95"/>
    <w:rsid w:val="006130EE"/>
    <w:rsid w:val="00613E49"/>
    <w:rsid w:val="00615808"/>
    <w:rsid w:val="00616ECE"/>
    <w:rsid w:val="00617B65"/>
    <w:rsid w:val="006206BA"/>
    <w:rsid w:val="00620CA0"/>
    <w:rsid w:val="00622072"/>
    <w:rsid w:val="00623A54"/>
    <w:rsid w:val="00623BC5"/>
    <w:rsid w:val="00623F20"/>
    <w:rsid w:val="00624525"/>
    <w:rsid w:val="00624EDA"/>
    <w:rsid w:val="00625340"/>
    <w:rsid w:val="00625571"/>
    <w:rsid w:val="00625C33"/>
    <w:rsid w:val="00625CEA"/>
    <w:rsid w:val="0062620D"/>
    <w:rsid w:val="006262E1"/>
    <w:rsid w:val="00626597"/>
    <w:rsid w:val="006276B7"/>
    <w:rsid w:val="00630254"/>
    <w:rsid w:val="00630D59"/>
    <w:rsid w:val="00630E5F"/>
    <w:rsid w:val="00632B0E"/>
    <w:rsid w:val="00632DFC"/>
    <w:rsid w:val="00634516"/>
    <w:rsid w:val="00634658"/>
    <w:rsid w:val="0063475D"/>
    <w:rsid w:val="006353CF"/>
    <w:rsid w:val="00636C3D"/>
    <w:rsid w:val="00637C61"/>
    <w:rsid w:val="00640214"/>
    <w:rsid w:val="00640FB7"/>
    <w:rsid w:val="00641507"/>
    <w:rsid w:val="006415BC"/>
    <w:rsid w:val="0064189C"/>
    <w:rsid w:val="00642125"/>
    <w:rsid w:val="00642183"/>
    <w:rsid w:val="0064286C"/>
    <w:rsid w:val="0064298D"/>
    <w:rsid w:val="00642D60"/>
    <w:rsid w:val="00642EB3"/>
    <w:rsid w:val="00643FE6"/>
    <w:rsid w:val="0064402B"/>
    <w:rsid w:val="00645463"/>
    <w:rsid w:val="00645A47"/>
    <w:rsid w:val="00645F92"/>
    <w:rsid w:val="006460BB"/>
    <w:rsid w:val="0064621C"/>
    <w:rsid w:val="00646641"/>
    <w:rsid w:val="00646B4C"/>
    <w:rsid w:val="00646F39"/>
    <w:rsid w:val="006472B7"/>
    <w:rsid w:val="0064764A"/>
    <w:rsid w:val="00647C20"/>
    <w:rsid w:val="00647DC8"/>
    <w:rsid w:val="00647E6F"/>
    <w:rsid w:val="006510DF"/>
    <w:rsid w:val="00651396"/>
    <w:rsid w:val="00651FE2"/>
    <w:rsid w:val="0065200E"/>
    <w:rsid w:val="006529A3"/>
    <w:rsid w:val="00652DFE"/>
    <w:rsid w:val="006531CD"/>
    <w:rsid w:val="00653B10"/>
    <w:rsid w:val="00653CAD"/>
    <w:rsid w:val="00653D22"/>
    <w:rsid w:val="006552E7"/>
    <w:rsid w:val="0065551B"/>
    <w:rsid w:val="00655DBE"/>
    <w:rsid w:val="00655FFA"/>
    <w:rsid w:val="00656214"/>
    <w:rsid w:val="0065664A"/>
    <w:rsid w:val="0065728A"/>
    <w:rsid w:val="006573DD"/>
    <w:rsid w:val="0065756C"/>
    <w:rsid w:val="00657871"/>
    <w:rsid w:val="00657CA7"/>
    <w:rsid w:val="00661A54"/>
    <w:rsid w:val="00662296"/>
    <w:rsid w:val="0066343A"/>
    <w:rsid w:val="0066534B"/>
    <w:rsid w:val="00665BA2"/>
    <w:rsid w:val="006660F3"/>
    <w:rsid w:val="00666A75"/>
    <w:rsid w:val="00666E8F"/>
    <w:rsid w:val="0066716D"/>
    <w:rsid w:val="0066767D"/>
    <w:rsid w:val="00667F64"/>
    <w:rsid w:val="00670810"/>
    <w:rsid w:val="0067146B"/>
    <w:rsid w:val="00671CEF"/>
    <w:rsid w:val="00671D4C"/>
    <w:rsid w:val="006720EC"/>
    <w:rsid w:val="006724D8"/>
    <w:rsid w:val="00672CF4"/>
    <w:rsid w:val="00672FA2"/>
    <w:rsid w:val="00673D12"/>
    <w:rsid w:val="00673F01"/>
    <w:rsid w:val="006745FC"/>
    <w:rsid w:val="006746ED"/>
    <w:rsid w:val="006747B8"/>
    <w:rsid w:val="00674999"/>
    <w:rsid w:val="0067514F"/>
    <w:rsid w:val="006762A0"/>
    <w:rsid w:val="006768A7"/>
    <w:rsid w:val="006776F5"/>
    <w:rsid w:val="006777EA"/>
    <w:rsid w:val="0068040F"/>
    <w:rsid w:val="0068074E"/>
    <w:rsid w:val="00680BE2"/>
    <w:rsid w:val="00680C0D"/>
    <w:rsid w:val="006813C6"/>
    <w:rsid w:val="006817B9"/>
    <w:rsid w:val="006828DF"/>
    <w:rsid w:val="00682E0B"/>
    <w:rsid w:val="00683221"/>
    <w:rsid w:val="0068372A"/>
    <w:rsid w:val="006839DC"/>
    <w:rsid w:val="00684618"/>
    <w:rsid w:val="0068495F"/>
    <w:rsid w:val="00686956"/>
    <w:rsid w:val="00686C94"/>
    <w:rsid w:val="00687775"/>
    <w:rsid w:val="00691541"/>
    <w:rsid w:val="00691B6F"/>
    <w:rsid w:val="00691BEE"/>
    <w:rsid w:val="006927A5"/>
    <w:rsid w:val="00692C64"/>
    <w:rsid w:val="00692DE5"/>
    <w:rsid w:val="0069327B"/>
    <w:rsid w:val="00693B89"/>
    <w:rsid w:val="0069400B"/>
    <w:rsid w:val="006946E4"/>
    <w:rsid w:val="00694749"/>
    <w:rsid w:val="00695114"/>
    <w:rsid w:val="006957D6"/>
    <w:rsid w:val="0069747A"/>
    <w:rsid w:val="0069768D"/>
    <w:rsid w:val="00697B94"/>
    <w:rsid w:val="006A02A3"/>
    <w:rsid w:val="006A0B07"/>
    <w:rsid w:val="006A0B6D"/>
    <w:rsid w:val="006A1036"/>
    <w:rsid w:val="006A1052"/>
    <w:rsid w:val="006A2002"/>
    <w:rsid w:val="006A21F2"/>
    <w:rsid w:val="006A298F"/>
    <w:rsid w:val="006A2D38"/>
    <w:rsid w:val="006A2E4F"/>
    <w:rsid w:val="006A4293"/>
    <w:rsid w:val="006A4578"/>
    <w:rsid w:val="006A490E"/>
    <w:rsid w:val="006A4973"/>
    <w:rsid w:val="006A4C9F"/>
    <w:rsid w:val="006A4F96"/>
    <w:rsid w:val="006A5326"/>
    <w:rsid w:val="006A568D"/>
    <w:rsid w:val="006A61BC"/>
    <w:rsid w:val="006A6578"/>
    <w:rsid w:val="006A68F5"/>
    <w:rsid w:val="006A7F48"/>
    <w:rsid w:val="006B0381"/>
    <w:rsid w:val="006B0BA1"/>
    <w:rsid w:val="006B18DB"/>
    <w:rsid w:val="006B29C4"/>
    <w:rsid w:val="006B2EC5"/>
    <w:rsid w:val="006B2F12"/>
    <w:rsid w:val="006B343D"/>
    <w:rsid w:val="006B35FE"/>
    <w:rsid w:val="006B39AD"/>
    <w:rsid w:val="006B402B"/>
    <w:rsid w:val="006B4594"/>
    <w:rsid w:val="006B5515"/>
    <w:rsid w:val="006B5E1C"/>
    <w:rsid w:val="006B664C"/>
    <w:rsid w:val="006B7175"/>
    <w:rsid w:val="006B77C1"/>
    <w:rsid w:val="006B7AB8"/>
    <w:rsid w:val="006B7E5C"/>
    <w:rsid w:val="006C175F"/>
    <w:rsid w:val="006C1CB0"/>
    <w:rsid w:val="006C26E6"/>
    <w:rsid w:val="006C275A"/>
    <w:rsid w:val="006C2B63"/>
    <w:rsid w:val="006C313D"/>
    <w:rsid w:val="006C38C8"/>
    <w:rsid w:val="006C4235"/>
    <w:rsid w:val="006C44AA"/>
    <w:rsid w:val="006C4B11"/>
    <w:rsid w:val="006C56B4"/>
    <w:rsid w:val="006C69D6"/>
    <w:rsid w:val="006C6B0D"/>
    <w:rsid w:val="006C7696"/>
    <w:rsid w:val="006C79CB"/>
    <w:rsid w:val="006C79D5"/>
    <w:rsid w:val="006C7AFF"/>
    <w:rsid w:val="006D021F"/>
    <w:rsid w:val="006D055F"/>
    <w:rsid w:val="006D07F6"/>
    <w:rsid w:val="006D1B76"/>
    <w:rsid w:val="006D2037"/>
    <w:rsid w:val="006D20A6"/>
    <w:rsid w:val="006D22D3"/>
    <w:rsid w:val="006D234A"/>
    <w:rsid w:val="006D244F"/>
    <w:rsid w:val="006D2FAE"/>
    <w:rsid w:val="006D324C"/>
    <w:rsid w:val="006D395E"/>
    <w:rsid w:val="006D401F"/>
    <w:rsid w:val="006D4294"/>
    <w:rsid w:val="006D4323"/>
    <w:rsid w:val="006D4555"/>
    <w:rsid w:val="006D471B"/>
    <w:rsid w:val="006D4878"/>
    <w:rsid w:val="006D4A80"/>
    <w:rsid w:val="006D4E18"/>
    <w:rsid w:val="006D4E95"/>
    <w:rsid w:val="006D5EC5"/>
    <w:rsid w:val="006D6215"/>
    <w:rsid w:val="006D6E69"/>
    <w:rsid w:val="006D70A3"/>
    <w:rsid w:val="006D73C2"/>
    <w:rsid w:val="006D7F69"/>
    <w:rsid w:val="006E0004"/>
    <w:rsid w:val="006E030A"/>
    <w:rsid w:val="006E0AD7"/>
    <w:rsid w:val="006E0D40"/>
    <w:rsid w:val="006E0EFC"/>
    <w:rsid w:val="006E0F12"/>
    <w:rsid w:val="006E2321"/>
    <w:rsid w:val="006E2529"/>
    <w:rsid w:val="006E2CE2"/>
    <w:rsid w:val="006E34E1"/>
    <w:rsid w:val="006E46EA"/>
    <w:rsid w:val="006E48DD"/>
    <w:rsid w:val="006E4AAD"/>
    <w:rsid w:val="006E4AB8"/>
    <w:rsid w:val="006E4AC1"/>
    <w:rsid w:val="006E5E1A"/>
    <w:rsid w:val="006E5E2B"/>
    <w:rsid w:val="006E6ED9"/>
    <w:rsid w:val="006E7273"/>
    <w:rsid w:val="006E7328"/>
    <w:rsid w:val="006F0536"/>
    <w:rsid w:val="006F0CB0"/>
    <w:rsid w:val="006F11F8"/>
    <w:rsid w:val="006F12DD"/>
    <w:rsid w:val="006F17E2"/>
    <w:rsid w:val="006F1973"/>
    <w:rsid w:val="006F1DFE"/>
    <w:rsid w:val="006F28C3"/>
    <w:rsid w:val="006F33ED"/>
    <w:rsid w:val="006F3926"/>
    <w:rsid w:val="006F42AE"/>
    <w:rsid w:val="006F4BFA"/>
    <w:rsid w:val="006F52C3"/>
    <w:rsid w:val="006F5E52"/>
    <w:rsid w:val="006F6322"/>
    <w:rsid w:val="006F7C92"/>
    <w:rsid w:val="00700007"/>
    <w:rsid w:val="0070064F"/>
    <w:rsid w:val="0070108B"/>
    <w:rsid w:val="00703258"/>
    <w:rsid w:val="00703C89"/>
    <w:rsid w:val="00703E37"/>
    <w:rsid w:val="007040B8"/>
    <w:rsid w:val="007050F7"/>
    <w:rsid w:val="00705170"/>
    <w:rsid w:val="007051E2"/>
    <w:rsid w:val="00705604"/>
    <w:rsid w:val="00705D3B"/>
    <w:rsid w:val="00706DFB"/>
    <w:rsid w:val="00707235"/>
    <w:rsid w:val="007073BF"/>
    <w:rsid w:val="00707BC4"/>
    <w:rsid w:val="00707EB2"/>
    <w:rsid w:val="0071080C"/>
    <w:rsid w:val="007109E2"/>
    <w:rsid w:val="007110B7"/>
    <w:rsid w:val="00711741"/>
    <w:rsid w:val="00711D09"/>
    <w:rsid w:val="007124EC"/>
    <w:rsid w:val="00712E80"/>
    <w:rsid w:val="0071347D"/>
    <w:rsid w:val="007137CB"/>
    <w:rsid w:val="00713971"/>
    <w:rsid w:val="00713FAC"/>
    <w:rsid w:val="00713FF8"/>
    <w:rsid w:val="00714106"/>
    <w:rsid w:val="007156A5"/>
    <w:rsid w:val="00715CC9"/>
    <w:rsid w:val="00715DE5"/>
    <w:rsid w:val="00716FBB"/>
    <w:rsid w:val="00717C85"/>
    <w:rsid w:val="0072021C"/>
    <w:rsid w:val="00720402"/>
    <w:rsid w:val="00720D84"/>
    <w:rsid w:val="00720DD2"/>
    <w:rsid w:val="00720F1D"/>
    <w:rsid w:val="007218A6"/>
    <w:rsid w:val="00721FB7"/>
    <w:rsid w:val="00722381"/>
    <w:rsid w:val="007240D9"/>
    <w:rsid w:val="00724E64"/>
    <w:rsid w:val="00724FEB"/>
    <w:rsid w:val="00725132"/>
    <w:rsid w:val="007261D7"/>
    <w:rsid w:val="00726F36"/>
    <w:rsid w:val="00727B99"/>
    <w:rsid w:val="00727CD5"/>
    <w:rsid w:val="00727D47"/>
    <w:rsid w:val="00731370"/>
    <w:rsid w:val="0073164A"/>
    <w:rsid w:val="00732134"/>
    <w:rsid w:val="0073294A"/>
    <w:rsid w:val="00732B1E"/>
    <w:rsid w:val="00732F08"/>
    <w:rsid w:val="00733BD5"/>
    <w:rsid w:val="00733DF0"/>
    <w:rsid w:val="00734029"/>
    <w:rsid w:val="00734A64"/>
    <w:rsid w:val="00734FC7"/>
    <w:rsid w:val="00735693"/>
    <w:rsid w:val="00736287"/>
    <w:rsid w:val="00736304"/>
    <w:rsid w:val="00736F35"/>
    <w:rsid w:val="00737C4C"/>
    <w:rsid w:val="00740269"/>
    <w:rsid w:val="00740778"/>
    <w:rsid w:val="007411B3"/>
    <w:rsid w:val="00743BEF"/>
    <w:rsid w:val="00743F8B"/>
    <w:rsid w:val="00744107"/>
    <w:rsid w:val="00744116"/>
    <w:rsid w:val="007450A7"/>
    <w:rsid w:val="00745E51"/>
    <w:rsid w:val="00746EB4"/>
    <w:rsid w:val="00747079"/>
    <w:rsid w:val="0075024F"/>
    <w:rsid w:val="00750539"/>
    <w:rsid w:val="007532BD"/>
    <w:rsid w:val="00753783"/>
    <w:rsid w:val="007543AC"/>
    <w:rsid w:val="007549C0"/>
    <w:rsid w:val="00754A92"/>
    <w:rsid w:val="007550D1"/>
    <w:rsid w:val="007550E2"/>
    <w:rsid w:val="00755B66"/>
    <w:rsid w:val="00755DA7"/>
    <w:rsid w:val="00755FF8"/>
    <w:rsid w:val="0075732F"/>
    <w:rsid w:val="00760943"/>
    <w:rsid w:val="00762160"/>
    <w:rsid w:val="00762F8E"/>
    <w:rsid w:val="0076323F"/>
    <w:rsid w:val="007635DA"/>
    <w:rsid w:val="00765846"/>
    <w:rsid w:val="0076586D"/>
    <w:rsid w:val="0076613B"/>
    <w:rsid w:val="00766E64"/>
    <w:rsid w:val="0076700C"/>
    <w:rsid w:val="0076763E"/>
    <w:rsid w:val="00767699"/>
    <w:rsid w:val="007679F1"/>
    <w:rsid w:val="00770014"/>
    <w:rsid w:val="00770716"/>
    <w:rsid w:val="007708FC"/>
    <w:rsid w:val="007709F2"/>
    <w:rsid w:val="00771301"/>
    <w:rsid w:val="00771D03"/>
    <w:rsid w:val="00771E36"/>
    <w:rsid w:val="007727D3"/>
    <w:rsid w:val="007728C5"/>
    <w:rsid w:val="00772D34"/>
    <w:rsid w:val="00773489"/>
    <w:rsid w:val="007737D0"/>
    <w:rsid w:val="007737FF"/>
    <w:rsid w:val="00773A2C"/>
    <w:rsid w:val="00773BAF"/>
    <w:rsid w:val="00774C42"/>
    <w:rsid w:val="00775279"/>
    <w:rsid w:val="00775517"/>
    <w:rsid w:val="00775B63"/>
    <w:rsid w:val="00775B9C"/>
    <w:rsid w:val="00775F99"/>
    <w:rsid w:val="007761E1"/>
    <w:rsid w:val="007764CB"/>
    <w:rsid w:val="00776B4F"/>
    <w:rsid w:val="0078040A"/>
    <w:rsid w:val="00780569"/>
    <w:rsid w:val="00780EDC"/>
    <w:rsid w:val="00782AFE"/>
    <w:rsid w:val="007832CD"/>
    <w:rsid w:val="00783946"/>
    <w:rsid w:val="00783EB2"/>
    <w:rsid w:val="007841B2"/>
    <w:rsid w:val="007857BD"/>
    <w:rsid w:val="007859A7"/>
    <w:rsid w:val="0078615E"/>
    <w:rsid w:val="00786AD3"/>
    <w:rsid w:val="00786ED1"/>
    <w:rsid w:val="00787828"/>
    <w:rsid w:val="00787968"/>
    <w:rsid w:val="007901ED"/>
    <w:rsid w:val="007904E5"/>
    <w:rsid w:val="007908F4"/>
    <w:rsid w:val="00791006"/>
    <w:rsid w:val="00791BE8"/>
    <w:rsid w:val="00792104"/>
    <w:rsid w:val="0079384D"/>
    <w:rsid w:val="00793B2A"/>
    <w:rsid w:val="00793E4E"/>
    <w:rsid w:val="00793EFF"/>
    <w:rsid w:val="00793F9D"/>
    <w:rsid w:val="00794754"/>
    <w:rsid w:val="007949D5"/>
    <w:rsid w:val="0079515E"/>
    <w:rsid w:val="007951A4"/>
    <w:rsid w:val="0079555B"/>
    <w:rsid w:val="00795B15"/>
    <w:rsid w:val="00795B23"/>
    <w:rsid w:val="00795BB4"/>
    <w:rsid w:val="00795C52"/>
    <w:rsid w:val="00796C69"/>
    <w:rsid w:val="00796CBA"/>
    <w:rsid w:val="00796DC4"/>
    <w:rsid w:val="00797471"/>
    <w:rsid w:val="007A0625"/>
    <w:rsid w:val="007A08FE"/>
    <w:rsid w:val="007A0ABA"/>
    <w:rsid w:val="007A15C6"/>
    <w:rsid w:val="007A1AF6"/>
    <w:rsid w:val="007A234B"/>
    <w:rsid w:val="007A2400"/>
    <w:rsid w:val="007A2B91"/>
    <w:rsid w:val="007A30C5"/>
    <w:rsid w:val="007A3836"/>
    <w:rsid w:val="007A3AC0"/>
    <w:rsid w:val="007A4016"/>
    <w:rsid w:val="007A4C55"/>
    <w:rsid w:val="007A4E19"/>
    <w:rsid w:val="007A5301"/>
    <w:rsid w:val="007A58B8"/>
    <w:rsid w:val="007A6016"/>
    <w:rsid w:val="007A6D4F"/>
    <w:rsid w:val="007A721F"/>
    <w:rsid w:val="007A7C61"/>
    <w:rsid w:val="007B0465"/>
    <w:rsid w:val="007B0BA0"/>
    <w:rsid w:val="007B1103"/>
    <w:rsid w:val="007B210B"/>
    <w:rsid w:val="007B28C1"/>
    <w:rsid w:val="007B2B71"/>
    <w:rsid w:val="007B33A0"/>
    <w:rsid w:val="007B347B"/>
    <w:rsid w:val="007B3C78"/>
    <w:rsid w:val="007B3E68"/>
    <w:rsid w:val="007B3FBB"/>
    <w:rsid w:val="007B4F24"/>
    <w:rsid w:val="007B5087"/>
    <w:rsid w:val="007B513E"/>
    <w:rsid w:val="007B52D2"/>
    <w:rsid w:val="007B747B"/>
    <w:rsid w:val="007B76D1"/>
    <w:rsid w:val="007C1292"/>
    <w:rsid w:val="007C1444"/>
    <w:rsid w:val="007C1698"/>
    <w:rsid w:val="007C182C"/>
    <w:rsid w:val="007C19A7"/>
    <w:rsid w:val="007C2924"/>
    <w:rsid w:val="007C2B67"/>
    <w:rsid w:val="007C302A"/>
    <w:rsid w:val="007C3060"/>
    <w:rsid w:val="007C352F"/>
    <w:rsid w:val="007C3611"/>
    <w:rsid w:val="007C45CA"/>
    <w:rsid w:val="007C4BDA"/>
    <w:rsid w:val="007C4E29"/>
    <w:rsid w:val="007C5A6E"/>
    <w:rsid w:val="007C5C50"/>
    <w:rsid w:val="007C5D9C"/>
    <w:rsid w:val="007C5DD0"/>
    <w:rsid w:val="007C65E3"/>
    <w:rsid w:val="007C6F96"/>
    <w:rsid w:val="007C7491"/>
    <w:rsid w:val="007C74CB"/>
    <w:rsid w:val="007C7684"/>
    <w:rsid w:val="007C78B0"/>
    <w:rsid w:val="007C7928"/>
    <w:rsid w:val="007C7FFD"/>
    <w:rsid w:val="007D0057"/>
    <w:rsid w:val="007D0376"/>
    <w:rsid w:val="007D0918"/>
    <w:rsid w:val="007D0D1F"/>
    <w:rsid w:val="007D11CA"/>
    <w:rsid w:val="007D192B"/>
    <w:rsid w:val="007D25ED"/>
    <w:rsid w:val="007D2735"/>
    <w:rsid w:val="007D2781"/>
    <w:rsid w:val="007D28E3"/>
    <w:rsid w:val="007D443B"/>
    <w:rsid w:val="007D4993"/>
    <w:rsid w:val="007D4FB9"/>
    <w:rsid w:val="007D5F0D"/>
    <w:rsid w:val="007D679F"/>
    <w:rsid w:val="007D6E12"/>
    <w:rsid w:val="007D77D4"/>
    <w:rsid w:val="007E05E1"/>
    <w:rsid w:val="007E07E0"/>
    <w:rsid w:val="007E098D"/>
    <w:rsid w:val="007E09DB"/>
    <w:rsid w:val="007E0AC5"/>
    <w:rsid w:val="007E10C5"/>
    <w:rsid w:val="007E16A8"/>
    <w:rsid w:val="007E1876"/>
    <w:rsid w:val="007E1D4E"/>
    <w:rsid w:val="007E296A"/>
    <w:rsid w:val="007E2D9E"/>
    <w:rsid w:val="007E344B"/>
    <w:rsid w:val="007E5263"/>
    <w:rsid w:val="007E5C28"/>
    <w:rsid w:val="007E6734"/>
    <w:rsid w:val="007E6C72"/>
    <w:rsid w:val="007E7214"/>
    <w:rsid w:val="007E7490"/>
    <w:rsid w:val="007E75AE"/>
    <w:rsid w:val="007F01B1"/>
    <w:rsid w:val="007F03B5"/>
    <w:rsid w:val="007F09B1"/>
    <w:rsid w:val="007F0C0E"/>
    <w:rsid w:val="007F109D"/>
    <w:rsid w:val="007F119E"/>
    <w:rsid w:val="007F20AA"/>
    <w:rsid w:val="007F22A0"/>
    <w:rsid w:val="007F3288"/>
    <w:rsid w:val="007F433F"/>
    <w:rsid w:val="007F48DB"/>
    <w:rsid w:val="007F5323"/>
    <w:rsid w:val="007F54CF"/>
    <w:rsid w:val="007F6697"/>
    <w:rsid w:val="007F6BD4"/>
    <w:rsid w:val="007F7308"/>
    <w:rsid w:val="00801A85"/>
    <w:rsid w:val="00802431"/>
    <w:rsid w:val="008024B0"/>
    <w:rsid w:val="008031D5"/>
    <w:rsid w:val="00803962"/>
    <w:rsid w:val="00803C9B"/>
    <w:rsid w:val="008045B6"/>
    <w:rsid w:val="00804937"/>
    <w:rsid w:val="00804A3C"/>
    <w:rsid w:val="00805E4B"/>
    <w:rsid w:val="00806E8F"/>
    <w:rsid w:val="0080781D"/>
    <w:rsid w:val="0081024F"/>
    <w:rsid w:val="008104F4"/>
    <w:rsid w:val="0081093E"/>
    <w:rsid w:val="00811038"/>
    <w:rsid w:val="0081127D"/>
    <w:rsid w:val="008116C0"/>
    <w:rsid w:val="00811A8A"/>
    <w:rsid w:val="00811EDF"/>
    <w:rsid w:val="00812716"/>
    <w:rsid w:val="00812AEF"/>
    <w:rsid w:val="00813131"/>
    <w:rsid w:val="00813297"/>
    <w:rsid w:val="00813339"/>
    <w:rsid w:val="00813CBC"/>
    <w:rsid w:val="00813E35"/>
    <w:rsid w:val="008140EA"/>
    <w:rsid w:val="00814197"/>
    <w:rsid w:val="0081441F"/>
    <w:rsid w:val="00814728"/>
    <w:rsid w:val="00814EBC"/>
    <w:rsid w:val="008153D3"/>
    <w:rsid w:val="00815C2E"/>
    <w:rsid w:val="00815F20"/>
    <w:rsid w:val="008162A7"/>
    <w:rsid w:val="008164F1"/>
    <w:rsid w:val="008167B3"/>
    <w:rsid w:val="00817188"/>
    <w:rsid w:val="0081767D"/>
    <w:rsid w:val="00817867"/>
    <w:rsid w:val="008178BB"/>
    <w:rsid w:val="00817FF9"/>
    <w:rsid w:val="00821033"/>
    <w:rsid w:val="00821079"/>
    <w:rsid w:val="008218D9"/>
    <w:rsid w:val="00821CD2"/>
    <w:rsid w:val="00821D12"/>
    <w:rsid w:val="00822E54"/>
    <w:rsid w:val="00822FF9"/>
    <w:rsid w:val="00823151"/>
    <w:rsid w:val="00823D71"/>
    <w:rsid w:val="00824C0B"/>
    <w:rsid w:val="00825412"/>
    <w:rsid w:val="00825977"/>
    <w:rsid w:val="008263CA"/>
    <w:rsid w:val="008264E6"/>
    <w:rsid w:val="008268F0"/>
    <w:rsid w:val="0082735B"/>
    <w:rsid w:val="008273A1"/>
    <w:rsid w:val="00827468"/>
    <w:rsid w:val="00827DCC"/>
    <w:rsid w:val="00830355"/>
    <w:rsid w:val="00830D79"/>
    <w:rsid w:val="00831006"/>
    <w:rsid w:val="00831164"/>
    <w:rsid w:val="00831463"/>
    <w:rsid w:val="00831A8B"/>
    <w:rsid w:val="00831C41"/>
    <w:rsid w:val="00831E9B"/>
    <w:rsid w:val="00832C5A"/>
    <w:rsid w:val="0083306E"/>
    <w:rsid w:val="00833411"/>
    <w:rsid w:val="00833900"/>
    <w:rsid w:val="00834338"/>
    <w:rsid w:val="00834474"/>
    <w:rsid w:val="008347FD"/>
    <w:rsid w:val="00834C23"/>
    <w:rsid w:val="00835463"/>
    <w:rsid w:val="00835726"/>
    <w:rsid w:val="008362D0"/>
    <w:rsid w:val="008365B1"/>
    <w:rsid w:val="00836F67"/>
    <w:rsid w:val="008373AA"/>
    <w:rsid w:val="00837432"/>
    <w:rsid w:val="008375FD"/>
    <w:rsid w:val="00837FAD"/>
    <w:rsid w:val="008408CB"/>
    <w:rsid w:val="008416E5"/>
    <w:rsid w:val="00841811"/>
    <w:rsid w:val="008419C6"/>
    <w:rsid w:val="008428AC"/>
    <w:rsid w:val="0084294B"/>
    <w:rsid w:val="00842D7A"/>
    <w:rsid w:val="00843197"/>
    <w:rsid w:val="008433E7"/>
    <w:rsid w:val="00843CF1"/>
    <w:rsid w:val="00844047"/>
    <w:rsid w:val="00845009"/>
    <w:rsid w:val="00846423"/>
    <w:rsid w:val="00846CD0"/>
    <w:rsid w:val="00847B7C"/>
    <w:rsid w:val="00847C1C"/>
    <w:rsid w:val="008501A7"/>
    <w:rsid w:val="00850262"/>
    <w:rsid w:val="0085253F"/>
    <w:rsid w:val="00852673"/>
    <w:rsid w:val="00852C43"/>
    <w:rsid w:val="00852C8F"/>
    <w:rsid w:val="00853213"/>
    <w:rsid w:val="0085421C"/>
    <w:rsid w:val="00854A22"/>
    <w:rsid w:val="00854ED4"/>
    <w:rsid w:val="00855706"/>
    <w:rsid w:val="008560CD"/>
    <w:rsid w:val="00856489"/>
    <w:rsid w:val="00856BC8"/>
    <w:rsid w:val="00856BF7"/>
    <w:rsid w:val="00857DFB"/>
    <w:rsid w:val="008606D4"/>
    <w:rsid w:val="008608F6"/>
    <w:rsid w:val="00860ACD"/>
    <w:rsid w:val="00860C00"/>
    <w:rsid w:val="00860CCB"/>
    <w:rsid w:val="008610CF"/>
    <w:rsid w:val="008610EC"/>
    <w:rsid w:val="008612BE"/>
    <w:rsid w:val="00861459"/>
    <w:rsid w:val="00862224"/>
    <w:rsid w:val="00862565"/>
    <w:rsid w:val="0086269D"/>
    <w:rsid w:val="00863139"/>
    <w:rsid w:val="0086334F"/>
    <w:rsid w:val="00863E00"/>
    <w:rsid w:val="0086459C"/>
    <w:rsid w:val="00864AA2"/>
    <w:rsid w:val="008651B6"/>
    <w:rsid w:val="008658FC"/>
    <w:rsid w:val="00865B40"/>
    <w:rsid w:val="00866092"/>
    <w:rsid w:val="008660DE"/>
    <w:rsid w:val="0086614E"/>
    <w:rsid w:val="008671A7"/>
    <w:rsid w:val="00867417"/>
    <w:rsid w:val="0086799B"/>
    <w:rsid w:val="0087017F"/>
    <w:rsid w:val="00870572"/>
    <w:rsid w:val="008708EC"/>
    <w:rsid w:val="00871D73"/>
    <w:rsid w:val="008724DF"/>
    <w:rsid w:val="008725CF"/>
    <w:rsid w:val="00873F77"/>
    <w:rsid w:val="00874928"/>
    <w:rsid w:val="00874B0E"/>
    <w:rsid w:val="00875219"/>
    <w:rsid w:val="00875698"/>
    <w:rsid w:val="00875CA9"/>
    <w:rsid w:val="00875CAE"/>
    <w:rsid w:val="00876359"/>
    <w:rsid w:val="008776BE"/>
    <w:rsid w:val="00877ACA"/>
    <w:rsid w:val="008802CF"/>
    <w:rsid w:val="008813B1"/>
    <w:rsid w:val="00881CAC"/>
    <w:rsid w:val="008826A4"/>
    <w:rsid w:val="00882929"/>
    <w:rsid w:val="00882B49"/>
    <w:rsid w:val="00883585"/>
    <w:rsid w:val="00883917"/>
    <w:rsid w:val="008839A6"/>
    <w:rsid w:val="00884029"/>
    <w:rsid w:val="00884151"/>
    <w:rsid w:val="00885052"/>
    <w:rsid w:val="008850DF"/>
    <w:rsid w:val="0088521E"/>
    <w:rsid w:val="00885243"/>
    <w:rsid w:val="00885483"/>
    <w:rsid w:val="008862A0"/>
    <w:rsid w:val="00886937"/>
    <w:rsid w:val="00886BD8"/>
    <w:rsid w:val="008875B2"/>
    <w:rsid w:val="00887FCF"/>
    <w:rsid w:val="008902C4"/>
    <w:rsid w:val="00890C98"/>
    <w:rsid w:val="00890ED8"/>
    <w:rsid w:val="0089184D"/>
    <w:rsid w:val="008919F1"/>
    <w:rsid w:val="00891A85"/>
    <w:rsid w:val="00891B38"/>
    <w:rsid w:val="0089245D"/>
    <w:rsid w:val="00892896"/>
    <w:rsid w:val="00892A3F"/>
    <w:rsid w:val="00893AD3"/>
    <w:rsid w:val="00893D08"/>
    <w:rsid w:val="00895249"/>
    <w:rsid w:val="00895742"/>
    <w:rsid w:val="0089593E"/>
    <w:rsid w:val="00895CDF"/>
    <w:rsid w:val="00895E69"/>
    <w:rsid w:val="00896EB6"/>
    <w:rsid w:val="008A00CA"/>
    <w:rsid w:val="008A0DDF"/>
    <w:rsid w:val="008A0FB5"/>
    <w:rsid w:val="008A1FE3"/>
    <w:rsid w:val="008A26DD"/>
    <w:rsid w:val="008A2848"/>
    <w:rsid w:val="008A2867"/>
    <w:rsid w:val="008A431A"/>
    <w:rsid w:val="008A43A2"/>
    <w:rsid w:val="008A4AE3"/>
    <w:rsid w:val="008A4B65"/>
    <w:rsid w:val="008A4CE6"/>
    <w:rsid w:val="008A5453"/>
    <w:rsid w:val="008A61F1"/>
    <w:rsid w:val="008A7C9D"/>
    <w:rsid w:val="008A7E63"/>
    <w:rsid w:val="008A7F9E"/>
    <w:rsid w:val="008B028A"/>
    <w:rsid w:val="008B0532"/>
    <w:rsid w:val="008B0B2C"/>
    <w:rsid w:val="008B1242"/>
    <w:rsid w:val="008B14E3"/>
    <w:rsid w:val="008B15B9"/>
    <w:rsid w:val="008B194B"/>
    <w:rsid w:val="008B223A"/>
    <w:rsid w:val="008B3939"/>
    <w:rsid w:val="008B3ED9"/>
    <w:rsid w:val="008B40DF"/>
    <w:rsid w:val="008B45F3"/>
    <w:rsid w:val="008B492E"/>
    <w:rsid w:val="008B4B16"/>
    <w:rsid w:val="008B4E5A"/>
    <w:rsid w:val="008B57C2"/>
    <w:rsid w:val="008B651D"/>
    <w:rsid w:val="008B6BF0"/>
    <w:rsid w:val="008B6E4E"/>
    <w:rsid w:val="008B76C3"/>
    <w:rsid w:val="008B78FF"/>
    <w:rsid w:val="008B7F0A"/>
    <w:rsid w:val="008C00E1"/>
    <w:rsid w:val="008C068E"/>
    <w:rsid w:val="008C0ACF"/>
    <w:rsid w:val="008C1315"/>
    <w:rsid w:val="008C131A"/>
    <w:rsid w:val="008C1669"/>
    <w:rsid w:val="008C23EF"/>
    <w:rsid w:val="008C3B57"/>
    <w:rsid w:val="008C3FED"/>
    <w:rsid w:val="008C4307"/>
    <w:rsid w:val="008C48D1"/>
    <w:rsid w:val="008C5BBF"/>
    <w:rsid w:val="008C6321"/>
    <w:rsid w:val="008C7212"/>
    <w:rsid w:val="008C778E"/>
    <w:rsid w:val="008C77F7"/>
    <w:rsid w:val="008C7EA4"/>
    <w:rsid w:val="008D006A"/>
    <w:rsid w:val="008D1488"/>
    <w:rsid w:val="008D1A2A"/>
    <w:rsid w:val="008D1A52"/>
    <w:rsid w:val="008D1B88"/>
    <w:rsid w:val="008D21A9"/>
    <w:rsid w:val="008D24A1"/>
    <w:rsid w:val="008D2898"/>
    <w:rsid w:val="008D294C"/>
    <w:rsid w:val="008D3530"/>
    <w:rsid w:val="008D41B7"/>
    <w:rsid w:val="008D4696"/>
    <w:rsid w:val="008D4F9E"/>
    <w:rsid w:val="008D5007"/>
    <w:rsid w:val="008D5307"/>
    <w:rsid w:val="008D5584"/>
    <w:rsid w:val="008D6E6E"/>
    <w:rsid w:val="008D7C38"/>
    <w:rsid w:val="008D7D10"/>
    <w:rsid w:val="008E0073"/>
    <w:rsid w:val="008E0A75"/>
    <w:rsid w:val="008E1440"/>
    <w:rsid w:val="008E15A7"/>
    <w:rsid w:val="008E18FE"/>
    <w:rsid w:val="008E267E"/>
    <w:rsid w:val="008E29EB"/>
    <w:rsid w:val="008E2D02"/>
    <w:rsid w:val="008E3E61"/>
    <w:rsid w:val="008E42C0"/>
    <w:rsid w:val="008E446E"/>
    <w:rsid w:val="008E4F26"/>
    <w:rsid w:val="008E4F53"/>
    <w:rsid w:val="008E738D"/>
    <w:rsid w:val="008E7F2E"/>
    <w:rsid w:val="008F01C2"/>
    <w:rsid w:val="008F08EA"/>
    <w:rsid w:val="008F1920"/>
    <w:rsid w:val="008F2E17"/>
    <w:rsid w:val="008F326E"/>
    <w:rsid w:val="008F335D"/>
    <w:rsid w:val="008F439F"/>
    <w:rsid w:val="008F4F68"/>
    <w:rsid w:val="008F5160"/>
    <w:rsid w:val="008F622C"/>
    <w:rsid w:val="008F6361"/>
    <w:rsid w:val="008F64AE"/>
    <w:rsid w:val="008F7345"/>
    <w:rsid w:val="008F7D41"/>
    <w:rsid w:val="00900361"/>
    <w:rsid w:val="00900C1E"/>
    <w:rsid w:val="00900E02"/>
    <w:rsid w:val="00901103"/>
    <w:rsid w:val="00901627"/>
    <w:rsid w:val="00901F0C"/>
    <w:rsid w:val="00902559"/>
    <w:rsid w:val="00902A69"/>
    <w:rsid w:val="00902FE6"/>
    <w:rsid w:val="00903059"/>
    <w:rsid w:val="0090435E"/>
    <w:rsid w:val="009048BF"/>
    <w:rsid w:val="00904E17"/>
    <w:rsid w:val="009051BF"/>
    <w:rsid w:val="00905638"/>
    <w:rsid w:val="00905B65"/>
    <w:rsid w:val="0090623F"/>
    <w:rsid w:val="00906ADF"/>
    <w:rsid w:val="009070FA"/>
    <w:rsid w:val="00907125"/>
    <w:rsid w:val="009075A1"/>
    <w:rsid w:val="00907AB4"/>
    <w:rsid w:val="00910825"/>
    <w:rsid w:val="00910D4F"/>
    <w:rsid w:val="0091162D"/>
    <w:rsid w:val="00911ED4"/>
    <w:rsid w:val="0091226C"/>
    <w:rsid w:val="0091285A"/>
    <w:rsid w:val="00912EAB"/>
    <w:rsid w:val="00913684"/>
    <w:rsid w:val="00913CA7"/>
    <w:rsid w:val="00913D6C"/>
    <w:rsid w:val="00914080"/>
    <w:rsid w:val="00914199"/>
    <w:rsid w:val="00914DBF"/>
    <w:rsid w:val="009158D6"/>
    <w:rsid w:val="00915C98"/>
    <w:rsid w:val="00915CE8"/>
    <w:rsid w:val="00917701"/>
    <w:rsid w:val="00917AD3"/>
    <w:rsid w:val="00917AF6"/>
    <w:rsid w:val="00917D34"/>
    <w:rsid w:val="00917EF5"/>
    <w:rsid w:val="00921793"/>
    <w:rsid w:val="00921BAC"/>
    <w:rsid w:val="00921CAF"/>
    <w:rsid w:val="009222D9"/>
    <w:rsid w:val="00922AC9"/>
    <w:rsid w:val="00923E53"/>
    <w:rsid w:val="00923FF8"/>
    <w:rsid w:val="00925B36"/>
    <w:rsid w:val="00926B25"/>
    <w:rsid w:val="00926DD0"/>
    <w:rsid w:val="00927E4E"/>
    <w:rsid w:val="00927FEA"/>
    <w:rsid w:val="009301CC"/>
    <w:rsid w:val="0093167B"/>
    <w:rsid w:val="00932DDA"/>
    <w:rsid w:val="009331F5"/>
    <w:rsid w:val="00933BE4"/>
    <w:rsid w:val="00933EAB"/>
    <w:rsid w:val="00934D98"/>
    <w:rsid w:val="00934EF7"/>
    <w:rsid w:val="009354BD"/>
    <w:rsid w:val="00935D78"/>
    <w:rsid w:val="0093613D"/>
    <w:rsid w:val="00937558"/>
    <w:rsid w:val="009377DA"/>
    <w:rsid w:val="00940238"/>
    <w:rsid w:val="00940A3D"/>
    <w:rsid w:val="009413B5"/>
    <w:rsid w:val="00941C3A"/>
    <w:rsid w:val="009429C3"/>
    <w:rsid w:val="00942E55"/>
    <w:rsid w:val="00943ADC"/>
    <w:rsid w:val="00943BCB"/>
    <w:rsid w:val="00943C10"/>
    <w:rsid w:val="0094555D"/>
    <w:rsid w:val="0094580F"/>
    <w:rsid w:val="00945B4B"/>
    <w:rsid w:val="009466FE"/>
    <w:rsid w:val="00946A94"/>
    <w:rsid w:val="00947CF5"/>
    <w:rsid w:val="0095010F"/>
    <w:rsid w:val="009502C3"/>
    <w:rsid w:val="00950755"/>
    <w:rsid w:val="00951067"/>
    <w:rsid w:val="0095212F"/>
    <w:rsid w:val="00953273"/>
    <w:rsid w:val="00953808"/>
    <w:rsid w:val="00953E83"/>
    <w:rsid w:val="009543C5"/>
    <w:rsid w:val="009545C4"/>
    <w:rsid w:val="00954B61"/>
    <w:rsid w:val="009550E8"/>
    <w:rsid w:val="0095614A"/>
    <w:rsid w:val="009567D1"/>
    <w:rsid w:val="00956DA9"/>
    <w:rsid w:val="00956FC8"/>
    <w:rsid w:val="00957B9D"/>
    <w:rsid w:val="00957C71"/>
    <w:rsid w:val="00957DE3"/>
    <w:rsid w:val="009604D3"/>
    <w:rsid w:val="0096051E"/>
    <w:rsid w:val="00960AE9"/>
    <w:rsid w:val="00960F00"/>
    <w:rsid w:val="00961380"/>
    <w:rsid w:val="0096255B"/>
    <w:rsid w:val="009629FC"/>
    <w:rsid w:val="00962BD1"/>
    <w:rsid w:val="00962CF1"/>
    <w:rsid w:val="0096310B"/>
    <w:rsid w:val="00963C82"/>
    <w:rsid w:val="00963F76"/>
    <w:rsid w:val="0096415A"/>
    <w:rsid w:val="009646E0"/>
    <w:rsid w:val="00965962"/>
    <w:rsid w:val="00965CC4"/>
    <w:rsid w:val="009666C8"/>
    <w:rsid w:val="00967031"/>
    <w:rsid w:val="00967DB6"/>
    <w:rsid w:val="00971AD5"/>
    <w:rsid w:val="0097200A"/>
    <w:rsid w:val="009720D8"/>
    <w:rsid w:val="009747C6"/>
    <w:rsid w:val="00974BB1"/>
    <w:rsid w:val="00975BA7"/>
    <w:rsid w:val="00975E21"/>
    <w:rsid w:val="00976645"/>
    <w:rsid w:val="0097672C"/>
    <w:rsid w:val="00976908"/>
    <w:rsid w:val="00976B4B"/>
    <w:rsid w:val="009805A7"/>
    <w:rsid w:val="00980837"/>
    <w:rsid w:val="00980845"/>
    <w:rsid w:val="009808E8"/>
    <w:rsid w:val="00980DF0"/>
    <w:rsid w:val="00981D89"/>
    <w:rsid w:val="00981F0E"/>
    <w:rsid w:val="00982AB4"/>
    <w:rsid w:val="00982CDE"/>
    <w:rsid w:val="00982D48"/>
    <w:rsid w:val="009830A7"/>
    <w:rsid w:val="0098324C"/>
    <w:rsid w:val="00983507"/>
    <w:rsid w:val="00983742"/>
    <w:rsid w:val="00984641"/>
    <w:rsid w:val="0098488A"/>
    <w:rsid w:val="00984BC9"/>
    <w:rsid w:val="009859A6"/>
    <w:rsid w:val="00985DDA"/>
    <w:rsid w:val="0098681A"/>
    <w:rsid w:val="0098739C"/>
    <w:rsid w:val="00987BAD"/>
    <w:rsid w:val="00987FDF"/>
    <w:rsid w:val="00987FE9"/>
    <w:rsid w:val="009900CA"/>
    <w:rsid w:val="00990E81"/>
    <w:rsid w:val="009918EA"/>
    <w:rsid w:val="009927D1"/>
    <w:rsid w:val="0099305C"/>
    <w:rsid w:val="0099344D"/>
    <w:rsid w:val="00993D9C"/>
    <w:rsid w:val="009942AE"/>
    <w:rsid w:val="00994DAE"/>
    <w:rsid w:val="00995B0A"/>
    <w:rsid w:val="00996030"/>
    <w:rsid w:val="009962FE"/>
    <w:rsid w:val="009963AC"/>
    <w:rsid w:val="0099657D"/>
    <w:rsid w:val="0099671C"/>
    <w:rsid w:val="0099685C"/>
    <w:rsid w:val="009969B1"/>
    <w:rsid w:val="009969EE"/>
    <w:rsid w:val="0099706E"/>
    <w:rsid w:val="009972EB"/>
    <w:rsid w:val="00997701"/>
    <w:rsid w:val="0099786E"/>
    <w:rsid w:val="00997B93"/>
    <w:rsid w:val="00997C98"/>
    <w:rsid w:val="009A025F"/>
    <w:rsid w:val="009A072C"/>
    <w:rsid w:val="009A08A3"/>
    <w:rsid w:val="009A0DBB"/>
    <w:rsid w:val="009A1095"/>
    <w:rsid w:val="009A126B"/>
    <w:rsid w:val="009A1D4C"/>
    <w:rsid w:val="009A1D9C"/>
    <w:rsid w:val="009A1DB1"/>
    <w:rsid w:val="009A244E"/>
    <w:rsid w:val="009A28F8"/>
    <w:rsid w:val="009A2BEB"/>
    <w:rsid w:val="009A3277"/>
    <w:rsid w:val="009A3394"/>
    <w:rsid w:val="009A33C7"/>
    <w:rsid w:val="009A4114"/>
    <w:rsid w:val="009A4737"/>
    <w:rsid w:val="009A4AD4"/>
    <w:rsid w:val="009A4B8B"/>
    <w:rsid w:val="009A5626"/>
    <w:rsid w:val="009A5D7B"/>
    <w:rsid w:val="009A628A"/>
    <w:rsid w:val="009A6734"/>
    <w:rsid w:val="009A70A8"/>
    <w:rsid w:val="009A7199"/>
    <w:rsid w:val="009A7587"/>
    <w:rsid w:val="009A7B2F"/>
    <w:rsid w:val="009B019C"/>
    <w:rsid w:val="009B0450"/>
    <w:rsid w:val="009B0BC1"/>
    <w:rsid w:val="009B0D1B"/>
    <w:rsid w:val="009B120B"/>
    <w:rsid w:val="009B13DB"/>
    <w:rsid w:val="009B2D78"/>
    <w:rsid w:val="009B41BD"/>
    <w:rsid w:val="009B54DF"/>
    <w:rsid w:val="009B55F2"/>
    <w:rsid w:val="009B5E2C"/>
    <w:rsid w:val="009B665E"/>
    <w:rsid w:val="009B6A49"/>
    <w:rsid w:val="009B6EE4"/>
    <w:rsid w:val="009B6F7D"/>
    <w:rsid w:val="009B7531"/>
    <w:rsid w:val="009B7537"/>
    <w:rsid w:val="009B78FC"/>
    <w:rsid w:val="009B7F8A"/>
    <w:rsid w:val="009C023D"/>
    <w:rsid w:val="009C0526"/>
    <w:rsid w:val="009C0895"/>
    <w:rsid w:val="009C09D3"/>
    <w:rsid w:val="009C14F0"/>
    <w:rsid w:val="009C1AB9"/>
    <w:rsid w:val="009C1BFB"/>
    <w:rsid w:val="009C2003"/>
    <w:rsid w:val="009C22B0"/>
    <w:rsid w:val="009C2643"/>
    <w:rsid w:val="009C26C3"/>
    <w:rsid w:val="009C2B6D"/>
    <w:rsid w:val="009C2BA6"/>
    <w:rsid w:val="009C3079"/>
    <w:rsid w:val="009C3405"/>
    <w:rsid w:val="009C3AEA"/>
    <w:rsid w:val="009C4129"/>
    <w:rsid w:val="009C42D0"/>
    <w:rsid w:val="009C44E4"/>
    <w:rsid w:val="009C4524"/>
    <w:rsid w:val="009C566A"/>
    <w:rsid w:val="009C65EC"/>
    <w:rsid w:val="009C672A"/>
    <w:rsid w:val="009C6C73"/>
    <w:rsid w:val="009C724B"/>
    <w:rsid w:val="009C7480"/>
    <w:rsid w:val="009C762E"/>
    <w:rsid w:val="009C764A"/>
    <w:rsid w:val="009C7A35"/>
    <w:rsid w:val="009D071A"/>
    <w:rsid w:val="009D072B"/>
    <w:rsid w:val="009D11E4"/>
    <w:rsid w:val="009D1869"/>
    <w:rsid w:val="009D1954"/>
    <w:rsid w:val="009D1CC9"/>
    <w:rsid w:val="009D21F3"/>
    <w:rsid w:val="009D311D"/>
    <w:rsid w:val="009D38F7"/>
    <w:rsid w:val="009D39AC"/>
    <w:rsid w:val="009D4192"/>
    <w:rsid w:val="009D4784"/>
    <w:rsid w:val="009D52C2"/>
    <w:rsid w:val="009D5328"/>
    <w:rsid w:val="009D647C"/>
    <w:rsid w:val="009D67D5"/>
    <w:rsid w:val="009D6F4F"/>
    <w:rsid w:val="009D7262"/>
    <w:rsid w:val="009E05D3"/>
    <w:rsid w:val="009E08A1"/>
    <w:rsid w:val="009E0939"/>
    <w:rsid w:val="009E11D7"/>
    <w:rsid w:val="009E1A45"/>
    <w:rsid w:val="009E2B5B"/>
    <w:rsid w:val="009E2FE6"/>
    <w:rsid w:val="009E303F"/>
    <w:rsid w:val="009E3048"/>
    <w:rsid w:val="009E42FE"/>
    <w:rsid w:val="009E497E"/>
    <w:rsid w:val="009E5212"/>
    <w:rsid w:val="009E60C8"/>
    <w:rsid w:val="009E6E55"/>
    <w:rsid w:val="009E79B1"/>
    <w:rsid w:val="009F01F3"/>
    <w:rsid w:val="009F032F"/>
    <w:rsid w:val="009F0627"/>
    <w:rsid w:val="009F1219"/>
    <w:rsid w:val="009F193E"/>
    <w:rsid w:val="009F3699"/>
    <w:rsid w:val="009F38AF"/>
    <w:rsid w:val="009F3B4F"/>
    <w:rsid w:val="009F42C7"/>
    <w:rsid w:val="009F4357"/>
    <w:rsid w:val="009F4662"/>
    <w:rsid w:val="009F474A"/>
    <w:rsid w:val="009F4FF6"/>
    <w:rsid w:val="009F54D6"/>
    <w:rsid w:val="009F60A5"/>
    <w:rsid w:val="009F6AF5"/>
    <w:rsid w:val="009F6ECC"/>
    <w:rsid w:val="009F741E"/>
    <w:rsid w:val="009F7736"/>
    <w:rsid w:val="00A00BA8"/>
    <w:rsid w:val="00A01971"/>
    <w:rsid w:val="00A02834"/>
    <w:rsid w:val="00A0366B"/>
    <w:rsid w:val="00A04931"/>
    <w:rsid w:val="00A0531C"/>
    <w:rsid w:val="00A05948"/>
    <w:rsid w:val="00A05B91"/>
    <w:rsid w:val="00A05D9E"/>
    <w:rsid w:val="00A071C1"/>
    <w:rsid w:val="00A07BDC"/>
    <w:rsid w:val="00A109EF"/>
    <w:rsid w:val="00A10C6B"/>
    <w:rsid w:val="00A10D97"/>
    <w:rsid w:val="00A11333"/>
    <w:rsid w:val="00A11637"/>
    <w:rsid w:val="00A12A57"/>
    <w:rsid w:val="00A12F93"/>
    <w:rsid w:val="00A1330C"/>
    <w:rsid w:val="00A134A4"/>
    <w:rsid w:val="00A14C17"/>
    <w:rsid w:val="00A14CA8"/>
    <w:rsid w:val="00A1509F"/>
    <w:rsid w:val="00A15120"/>
    <w:rsid w:val="00A15B60"/>
    <w:rsid w:val="00A15ED5"/>
    <w:rsid w:val="00A16D5C"/>
    <w:rsid w:val="00A176A5"/>
    <w:rsid w:val="00A20651"/>
    <w:rsid w:val="00A212B6"/>
    <w:rsid w:val="00A2153F"/>
    <w:rsid w:val="00A21554"/>
    <w:rsid w:val="00A219AF"/>
    <w:rsid w:val="00A22752"/>
    <w:rsid w:val="00A2320D"/>
    <w:rsid w:val="00A23D3F"/>
    <w:rsid w:val="00A23DB8"/>
    <w:rsid w:val="00A24035"/>
    <w:rsid w:val="00A248AA"/>
    <w:rsid w:val="00A251B9"/>
    <w:rsid w:val="00A257A9"/>
    <w:rsid w:val="00A25D55"/>
    <w:rsid w:val="00A25D73"/>
    <w:rsid w:val="00A266A8"/>
    <w:rsid w:val="00A26F85"/>
    <w:rsid w:val="00A279F7"/>
    <w:rsid w:val="00A27BE0"/>
    <w:rsid w:val="00A3040C"/>
    <w:rsid w:val="00A308AB"/>
    <w:rsid w:val="00A313B3"/>
    <w:rsid w:val="00A31747"/>
    <w:rsid w:val="00A31EC6"/>
    <w:rsid w:val="00A31F26"/>
    <w:rsid w:val="00A3205F"/>
    <w:rsid w:val="00A321FF"/>
    <w:rsid w:val="00A324F1"/>
    <w:rsid w:val="00A32518"/>
    <w:rsid w:val="00A327A9"/>
    <w:rsid w:val="00A32A55"/>
    <w:rsid w:val="00A32A6D"/>
    <w:rsid w:val="00A3327A"/>
    <w:rsid w:val="00A333D7"/>
    <w:rsid w:val="00A3350D"/>
    <w:rsid w:val="00A342B6"/>
    <w:rsid w:val="00A34375"/>
    <w:rsid w:val="00A3443D"/>
    <w:rsid w:val="00A34CB9"/>
    <w:rsid w:val="00A34F15"/>
    <w:rsid w:val="00A3524D"/>
    <w:rsid w:val="00A3527A"/>
    <w:rsid w:val="00A359BF"/>
    <w:rsid w:val="00A35C85"/>
    <w:rsid w:val="00A36BED"/>
    <w:rsid w:val="00A37448"/>
    <w:rsid w:val="00A37716"/>
    <w:rsid w:val="00A37A8B"/>
    <w:rsid w:val="00A37EA9"/>
    <w:rsid w:val="00A40421"/>
    <w:rsid w:val="00A404A8"/>
    <w:rsid w:val="00A4070E"/>
    <w:rsid w:val="00A409F8"/>
    <w:rsid w:val="00A40B9D"/>
    <w:rsid w:val="00A40ED7"/>
    <w:rsid w:val="00A4189B"/>
    <w:rsid w:val="00A41F9D"/>
    <w:rsid w:val="00A41FCC"/>
    <w:rsid w:val="00A4278E"/>
    <w:rsid w:val="00A42B3E"/>
    <w:rsid w:val="00A42D65"/>
    <w:rsid w:val="00A43204"/>
    <w:rsid w:val="00A43386"/>
    <w:rsid w:val="00A43A00"/>
    <w:rsid w:val="00A43B71"/>
    <w:rsid w:val="00A440FB"/>
    <w:rsid w:val="00A44C53"/>
    <w:rsid w:val="00A44D9B"/>
    <w:rsid w:val="00A452BC"/>
    <w:rsid w:val="00A4560C"/>
    <w:rsid w:val="00A458AF"/>
    <w:rsid w:val="00A45ECE"/>
    <w:rsid w:val="00A46456"/>
    <w:rsid w:val="00A46AB8"/>
    <w:rsid w:val="00A46F5D"/>
    <w:rsid w:val="00A4763B"/>
    <w:rsid w:val="00A4785D"/>
    <w:rsid w:val="00A47A51"/>
    <w:rsid w:val="00A5028B"/>
    <w:rsid w:val="00A50813"/>
    <w:rsid w:val="00A515E6"/>
    <w:rsid w:val="00A51612"/>
    <w:rsid w:val="00A51703"/>
    <w:rsid w:val="00A517A9"/>
    <w:rsid w:val="00A51E10"/>
    <w:rsid w:val="00A522DF"/>
    <w:rsid w:val="00A52B09"/>
    <w:rsid w:val="00A52BF9"/>
    <w:rsid w:val="00A52CA5"/>
    <w:rsid w:val="00A52DC4"/>
    <w:rsid w:val="00A52FAA"/>
    <w:rsid w:val="00A534ED"/>
    <w:rsid w:val="00A53515"/>
    <w:rsid w:val="00A540C2"/>
    <w:rsid w:val="00A54224"/>
    <w:rsid w:val="00A54C03"/>
    <w:rsid w:val="00A54F87"/>
    <w:rsid w:val="00A55268"/>
    <w:rsid w:val="00A569C6"/>
    <w:rsid w:val="00A56CF1"/>
    <w:rsid w:val="00A5766E"/>
    <w:rsid w:val="00A5779D"/>
    <w:rsid w:val="00A57A39"/>
    <w:rsid w:val="00A57D09"/>
    <w:rsid w:val="00A60A01"/>
    <w:rsid w:val="00A622B3"/>
    <w:rsid w:val="00A62A12"/>
    <w:rsid w:val="00A62BAB"/>
    <w:rsid w:val="00A62FBF"/>
    <w:rsid w:val="00A633AB"/>
    <w:rsid w:val="00A6347C"/>
    <w:rsid w:val="00A63C02"/>
    <w:rsid w:val="00A64ABC"/>
    <w:rsid w:val="00A64EA2"/>
    <w:rsid w:val="00A65AA2"/>
    <w:rsid w:val="00A65BCE"/>
    <w:rsid w:val="00A66072"/>
    <w:rsid w:val="00A66081"/>
    <w:rsid w:val="00A663D1"/>
    <w:rsid w:val="00A6641C"/>
    <w:rsid w:val="00A66646"/>
    <w:rsid w:val="00A67004"/>
    <w:rsid w:val="00A67B3D"/>
    <w:rsid w:val="00A67D87"/>
    <w:rsid w:val="00A67DB0"/>
    <w:rsid w:val="00A67DE2"/>
    <w:rsid w:val="00A702D3"/>
    <w:rsid w:val="00A712CF"/>
    <w:rsid w:val="00A7146A"/>
    <w:rsid w:val="00A717DD"/>
    <w:rsid w:val="00A71D34"/>
    <w:rsid w:val="00A72A59"/>
    <w:rsid w:val="00A72B9A"/>
    <w:rsid w:val="00A72F26"/>
    <w:rsid w:val="00A72FC7"/>
    <w:rsid w:val="00A7372B"/>
    <w:rsid w:val="00A73F74"/>
    <w:rsid w:val="00A74077"/>
    <w:rsid w:val="00A74AB3"/>
    <w:rsid w:val="00A75759"/>
    <w:rsid w:val="00A75928"/>
    <w:rsid w:val="00A7608B"/>
    <w:rsid w:val="00A767CF"/>
    <w:rsid w:val="00A76CAA"/>
    <w:rsid w:val="00A77BA9"/>
    <w:rsid w:val="00A80784"/>
    <w:rsid w:val="00A80AFF"/>
    <w:rsid w:val="00A80E7C"/>
    <w:rsid w:val="00A817B2"/>
    <w:rsid w:val="00A826D8"/>
    <w:rsid w:val="00A8289D"/>
    <w:rsid w:val="00A828C3"/>
    <w:rsid w:val="00A839F2"/>
    <w:rsid w:val="00A84CEA"/>
    <w:rsid w:val="00A850A8"/>
    <w:rsid w:val="00A8660E"/>
    <w:rsid w:val="00A86973"/>
    <w:rsid w:val="00A86BBB"/>
    <w:rsid w:val="00A8717C"/>
    <w:rsid w:val="00A877A5"/>
    <w:rsid w:val="00A87A57"/>
    <w:rsid w:val="00A87AF0"/>
    <w:rsid w:val="00A87BCB"/>
    <w:rsid w:val="00A87FC7"/>
    <w:rsid w:val="00A9059A"/>
    <w:rsid w:val="00A90893"/>
    <w:rsid w:val="00A9112C"/>
    <w:rsid w:val="00A91CB3"/>
    <w:rsid w:val="00A91D33"/>
    <w:rsid w:val="00A92DCF"/>
    <w:rsid w:val="00A92F81"/>
    <w:rsid w:val="00A933E1"/>
    <w:rsid w:val="00A9374A"/>
    <w:rsid w:val="00A93D3D"/>
    <w:rsid w:val="00A93FCD"/>
    <w:rsid w:val="00A9457E"/>
    <w:rsid w:val="00A94F79"/>
    <w:rsid w:val="00A94F7B"/>
    <w:rsid w:val="00A959DA"/>
    <w:rsid w:val="00A9617A"/>
    <w:rsid w:val="00A97019"/>
    <w:rsid w:val="00A9757D"/>
    <w:rsid w:val="00AA059A"/>
    <w:rsid w:val="00AA0AF3"/>
    <w:rsid w:val="00AA1545"/>
    <w:rsid w:val="00AA1E0A"/>
    <w:rsid w:val="00AA1E35"/>
    <w:rsid w:val="00AA2FE5"/>
    <w:rsid w:val="00AA33CE"/>
    <w:rsid w:val="00AA393E"/>
    <w:rsid w:val="00AA3C9C"/>
    <w:rsid w:val="00AA3E57"/>
    <w:rsid w:val="00AA4C7A"/>
    <w:rsid w:val="00AA513C"/>
    <w:rsid w:val="00AA5B27"/>
    <w:rsid w:val="00AA5F19"/>
    <w:rsid w:val="00AA6A4E"/>
    <w:rsid w:val="00AA6FB5"/>
    <w:rsid w:val="00AA7851"/>
    <w:rsid w:val="00AA7967"/>
    <w:rsid w:val="00AA7CB9"/>
    <w:rsid w:val="00AA7D3D"/>
    <w:rsid w:val="00AA7D6E"/>
    <w:rsid w:val="00AA7F97"/>
    <w:rsid w:val="00AB0919"/>
    <w:rsid w:val="00AB20D8"/>
    <w:rsid w:val="00AB3CB2"/>
    <w:rsid w:val="00AB3D11"/>
    <w:rsid w:val="00AB3DAA"/>
    <w:rsid w:val="00AB41AD"/>
    <w:rsid w:val="00AB4D75"/>
    <w:rsid w:val="00AB5238"/>
    <w:rsid w:val="00AB5393"/>
    <w:rsid w:val="00AB58B9"/>
    <w:rsid w:val="00AB58F1"/>
    <w:rsid w:val="00AB5C4F"/>
    <w:rsid w:val="00AB5CA7"/>
    <w:rsid w:val="00AB6A3F"/>
    <w:rsid w:val="00AC0088"/>
    <w:rsid w:val="00AC00D0"/>
    <w:rsid w:val="00AC0EC8"/>
    <w:rsid w:val="00AC162C"/>
    <w:rsid w:val="00AC1B1E"/>
    <w:rsid w:val="00AC382F"/>
    <w:rsid w:val="00AC3B53"/>
    <w:rsid w:val="00AC3D8D"/>
    <w:rsid w:val="00AC4D8D"/>
    <w:rsid w:val="00AC5256"/>
    <w:rsid w:val="00AC5356"/>
    <w:rsid w:val="00AC7318"/>
    <w:rsid w:val="00AC7868"/>
    <w:rsid w:val="00AD261A"/>
    <w:rsid w:val="00AD299F"/>
    <w:rsid w:val="00AD2B4A"/>
    <w:rsid w:val="00AD2D47"/>
    <w:rsid w:val="00AD3087"/>
    <w:rsid w:val="00AD3135"/>
    <w:rsid w:val="00AD3514"/>
    <w:rsid w:val="00AD3804"/>
    <w:rsid w:val="00AD4BD0"/>
    <w:rsid w:val="00AD6EFD"/>
    <w:rsid w:val="00AE0074"/>
    <w:rsid w:val="00AE0102"/>
    <w:rsid w:val="00AE119C"/>
    <w:rsid w:val="00AE259F"/>
    <w:rsid w:val="00AE2693"/>
    <w:rsid w:val="00AE2F8F"/>
    <w:rsid w:val="00AE31F9"/>
    <w:rsid w:val="00AE325F"/>
    <w:rsid w:val="00AE34A4"/>
    <w:rsid w:val="00AE37A7"/>
    <w:rsid w:val="00AE395B"/>
    <w:rsid w:val="00AE43B1"/>
    <w:rsid w:val="00AE4473"/>
    <w:rsid w:val="00AE62EF"/>
    <w:rsid w:val="00AE6481"/>
    <w:rsid w:val="00AE6591"/>
    <w:rsid w:val="00AE660E"/>
    <w:rsid w:val="00AE70B6"/>
    <w:rsid w:val="00AE73E3"/>
    <w:rsid w:val="00AE749F"/>
    <w:rsid w:val="00AE7B8B"/>
    <w:rsid w:val="00AE7EC4"/>
    <w:rsid w:val="00AF0433"/>
    <w:rsid w:val="00AF0844"/>
    <w:rsid w:val="00AF0B12"/>
    <w:rsid w:val="00AF0F7C"/>
    <w:rsid w:val="00AF12D8"/>
    <w:rsid w:val="00AF20F4"/>
    <w:rsid w:val="00AF21AC"/>
    <w:rsid w:val="00AF23A4"/>
    <w:rsid w:val="00AF3283"/>
    <w:rsid w:val="00AF341A"/>
    <w:rsid w:val="00AF375D"/>
    <w:rsid w:val="00AF4574"/>
    <w:rsid w:val="00AF4D8B"/>
    <w:rsid w:val="00AF5061"/>
    <w:rsid w:val="00AF5157"/>
    <w:rsid w:val="00AF5C95"/>
    <w:rsid w:val="00AF5CEF"/>
    <w:rsid w:val="00AF5E51"/>
    <w:rsid w:val="00AF63B0"/>
    <w:rsid w:val="00AF64C0"/>
    <w:rsid w:val="00AF6882"/>
    <w:rsid w:val="00AF7232"/>
    <w:rsid w:val="00AF72D8"/>
    <w:rsid w:val="00AF75E6"/>
    <w:rsid w:val="00AF7832"/>
    <w:rsid w:val="00AF7E81"/>
    <w:rsid w:val="00B00BA0"/>
    <w:rsid w:val="00B00C69"/>
    <w:rsid w:val="00B014F0"/>
    <w:rsid w:val="00B01759"/>
    <w:rsid w:val="00B019B6"/>
    <w:rsid w:val="00B02543"/>
    <w:rsid w:val="00B02593"/>
    <w:rsid w:val="00B028D8"/>
    <w:rsid w:val="00B02D84"/>
    <w:rsid w:val="00B04B8C"/>
    <w:rsid w:val="00B059B4"/>
    <w:rsid w:val="00B06329"/>
    <w:rsid w:val="00B06534"/>
    <w:rsid w:val="00B06546"/>
    <w:rsid w:val="00B06732"/>
    <w:rsid w:val="00B06C76"/>
    <w:rsid w:val="00B1094A"/>
    <w:rsid w:val="00B11C26"/>
    <w:rsid w:val="00B12124"/>
    <w:rsid w:val="00B12BCC"/>
    <w:rsid w:val="00B130B1"/>
    <w:rsid w:val="00B13DFA"/>
    <w:rsid w:val="00B141F5"/>
    <w:rsid w:val="00B14BEB"/>
    <w:rsid w:val="00B15D5F"/>
    <w:rsid w:val="00B1621A"/>
    <w:rsid w:val="00B163EF"/>
    <w:rsid w:val="00B178CE"/>
    <w:rsid w:val="00B214CF"/>
    <w:rsid w:val="00B232A6"/>
    <w:rsid w:val="00B2333D"/>
    <w:rsid w:val="00B234DF"/>
    <w:rsid w:val="00B23AC4"/>
    <w:rsid w:val="00B24AA3"/>
    <w:rsid w:val="00B25696"/>
    <w:rsid w:val="00B25941"/>
    <w:rsid w:val="00B25CA6"/>
    <w:rsid w:val="00B25D63"/>
    <w:rsid w:val="00B2617B"/>
    <w:rsid w:val="00B262B4"/>
    <w:rsid w:val="00B265B8"/>
    <w:rsid w:val="00B2682B"/>
    <w:rsid w:val="00B26ADA"/>
    <w:rsid w:val="00B26E99"/>
    <w:rsid w:val="00B26F05"/>
    <w:rsid w:val="00B27C13"/>
    <w:rsid w:val="00B27E54"/>
    <w:rsid w:val="00B27FB4"/>
    <w:rsid w:val="00B3219E"/>
    <w:rsid w:val="00B325C6"/>
    <w:rsid w:val="00B33134"/>
    <w:rsid w:val="00B33CC7"/>
    <w:rsid w:val="00B34F49"/>
    <w:rsid w:val="00B3613B"/>
    <w:rsid w:val="00B36468"/>
    <w:rsid w:val="00B3700C"/>
    <w:rsid w:val="00B376BC"/>
    <w:rsid w:val="00B404D4"/>
    <w:rsid w:val="00B41283"/>
    <w:rsid w:val="00B41693"/>
    <w:rsid w:val="00B4192C"/>
    <w:rsid w:val="00B41C16"/>
    <w:rsid w:val="00B420F4"/>
    <w:rsid w:val="00B43459"/>
    <w:rsid w:val="00B4428F"/>
    <w:rsid w:val="00B442E5"/>
    <w:rsid w:val="00B443FF"/>
    <w:rsid w:val="00B44E9A"/>
    <w:rsid w:val="00B45239"/>
    <w:rsid w:val="00B465A6"/>
    <w:rsid w:val="00B469A9"/>
    <w:rsid w:val="00B46B71"/>
    <w:rsid w:val="00B472CF"/>
    <w:rsid w:val="00B47CD9"/>
    <w:rsid w:val="00B47FCF"/>
    <w:rsid w:val="00B5030C"/>
    <w:rsid w:val="00B5040F"/>
    <w:rsid w:val="00B508D8"/>
    <w:rsid w:val="00B509B9"/>
    <w:rsid w:val="00B50CF2"/>
    <w:rsid w:val="00B525AA"/>
    <w:rsid w:val="00B52C3A"/>
    <w:rsid w:val="00B54160"/>
    <w:rsid w:val="00B54468"/>
    <w:rsid w:val="00B56323"/>
    <w:rsid w:val="00B5683B"/>
    <w:rsid w:val="00B5723D"/>
    <w:rsid w:val="00B574A4"/>
    <w:rsid w:val="00B608B8"/>
    <w:rsid w:val="00B60A5E"/>
    <w:rsid w:val="00B60B4B"/>
    <w:rsid w:val="00B60BD0"/>
    <w:rsid w:val="00B62516"/>
    <w:rsid w:val="00B638EE"/>
    <w:rsid w:val="00B63F59"/>
    <w:rsid w:val="00B64535"/>
    <w:rsid w:val="00B64D8F"/>
    <w:rsid w:val="00B65B2C"/>
    <w:rsid w:val="00B66052"/>
    <w:rsid w:val="00B66D5D"/>
    <w:rsid w:val="00B71EAA"/>
    <w:rsid w:val="00B740FF"/>
    <w:rsid w:val="00B7516F"/>
    <w:rsid w:val="00B75236"/>
    <w:rsid w:val="00B75877"/>
    <w:rsid w:val="00B75D70"/>
    <w:rsid w:val="00B762DF"/>
    <w:rsid w:val="00B765A5"/>
    <w:rsid w:val="00B7727C"/>
    <w:rsid w:val="00B773C6"/>
    <w:rsid w:val="00B776DA"/>
    <w:rsid w:val="00B77FFD"/>
    <w:rsid w:val="00B800EC"/>
    <w:rsid w:val="00B80342"/>
    <w:rsid w:val="00B80880"/>
    <w:rsid w:val="00B8178C"/>
    <w:rsid w:val="00B81C09"/>
    <w:rsid w:val="00B821B9"/>
    <w:rsid w:val="00B82542"/>
    <w:rsid w:val="00B82EA0"/>
    <w:rsid w:val="00B82ECE"/>
    <w:rsid w:val="00B83050"/>
    <w:rsid w:val="00B831FC"/>
    <w:rsid w:val="00B83CEC"/>
    <w:rsid w:val="00B844EA"/>
    <w:rsid w:val="00B84C1B"/>
    <w:rsid w:val="00B84C6B"/>
    <w:rsid w:val="00B85351"/>
    <w:rsid w:val="00B853D7"/>
    <w:rsid w:val="00B8543C"/>
    <w:rsid w:val="00B85499"/>
    <w:rsid w:val="00B85809"/>
    <w:rsid w:val="00B85A2B"/>
    <w:rsid w:val="00B860F1"/>
    <w:rsid w:val="00B90324"/>
    <w:rsid w:val="00B90509"/>
    <w:rsid w:val="00B9055C"/>
    <w:rsid w:val="00B90E30"/>
    <w:rsid w:val="00B90EC0"/>
    <w:rsid w:val="00B93958"/>
    <w:rsid w:val="00B9418B"/>
    <w:rsid w:val="00B94243"/>
    <w:rsid w:val="00B94252"/>
    <w:rsid w:val="00B94253"/>
    <w:rsid w:val="00B944E8"/>
    <w:rsid w:val="00B94929"/>
    <w:rsid w:val="00B9588B"/>
    <w:rsid w:val="00B95EDD"/>
    <w:rsid w:val="00B95FAF"/>
    <w:rsid w:val="00B96B2D"/>
    <w:rsid w:val="00B96E22"/>
    <w:rsid w:val="00B96E51"/>
    <w:rsid w:val="00B9706B"/>
    <w:rsid w:val="00BA2D94"/>
    <w:rsid w:val="00BA30AF"/>
    <w:rsid w:val="00BA3217"/>
    <w:rsid w:val="00BA3747"/>
    <w:rsid w:val="00BA4040"/>
    <w:rsid w:val="00BA4165"/>
    <w:rsid w:val="00BA445E"/>
    <w:rsid w:val="00BA45C8"/>
    <w:rsid w:val="00BA4985"/>
    <w:rsid w:val="00BA4A3C"/>
    <w:rsid w:val="00BA55AB"/>
    <w:rsid w:val="00BA6128"/>
    <w:rsid w:val="00BA67BF"/>
    <w:rsid w:val="00BA68B2"/>
    <w:rsid w:val="00BA6ED3"/>
    <w:rsid w:val="00BA72FC"/>
    <w:rsid w:val="00BA7E38"/>
    <w:rsid w:val="00BA7E53"/>
    <w:rsid w:val="00BB0113"/>
    <w:rsid w:val="00BB0D76"/>
    <w:rsid w:val="00BB1620"/>
    <w:rsid w:val="00BB1A7F"/>
    <w:rsid w:val="00BB1E91"/>
    <w:rsid w:val="00BB231F"/>
    <w:rsid w:val="00BB2C99"/>
    <w:rsid w:val="00BB350A"/>
    <w:rsid w:val="00BB360A"/>
    <w:rsid w:val="00BB3906"/>
    <w:rsid w:val="00BB4413"/>
    <w:rsid w:val="00BB4647"/>
    <w:rsid w:val="00BB4A82"/>
    <w:rsid w:val="00BB4C3C"/>
    <w:rsid w:val="00BB57BB"/>
    <w:rsid w:val="00BB5839"/>
    <w:rsid w:val="00BB6AC2"/>
    <w:rsid w:val="00BB72C7"/>
    <w:rsid w:val="00BB7705"/>
    <w:rsid w:val="00BB7751"/>
    <w:rsid w:val="00BB7D19"/>
    <w:rsid w:val="00BB7F83"/>
    <w:rsid w:val="00BC00B3"/>
    <w:rsid w:val="00BC00B8"/>
    <w:rsid w:val="00BC16FD"/>
    <w:rsid w:val="00BC17A0"/>
    <w:rsid w:val="00BC1C3F"/>
    <w:rsid w:val="00BC1D1C"/>
    <w:rsid w:val="00BC1E78"/>
    <w:rsid w:val="00BC2DEA"/>
    <w:rsid w:val="00BC3229"/>
    <w:rsid w:val="00BC35AF"/>
    <w:rsid w:val="00BC384E"/>
    <w:rsid w:val="00BC3BC4"/>
    <w:rsid w:val="00BC3CF6"/>
    <w:rsid w:val="00BC3FBE"/>
    <w:rsid w:val="00BC45B1"/>
    <w:rsid w:val="00BC49C5"/>
    <w:rsid w:val="00BC550F"/>
    <w:rsid w:val="00BC574A"/>
    <w:rsid w:val="00BC5E0F"/>
    <w:rsid w:val="00BC5FB5"/>
    <w:rsid w:val="00BC61BF"/>
    <w:rsid w:val="00BC627D"/>
    <w:rsid w:val="00BC6DC5"/>
    <w:rsid w:val="00BC6F06"/>
    <w:rsid w:val="00BC75E8"/>
    <w:rsid w:val="00BC7E3A"/>
    <w:rsid w:val="00BD02B9"/>
    <w:rsid w:val="00BD0C6A"/>
    <w:rsid w:val="00BD12D5"/>
    <w:rsid w:val="00BD1BA4"/>
    <w:rsid w:val="00BD1F4D"/>
    <w:rsid w:val="00BD1F85"/>
    <w:rsid w:val="00BD25B4"/>
    <w:rsid w:val="00BD2DF5"/>
    <w:rsid w:val="00BD349C"/>
    <w:rsid w:val="00BD363E"/>
    <w:rsid w:val="00BD3E05"/>
    <w:rsid w:val="00BD4429"/>
    <w:rsid w:val="00BD4A62"/>
    <w:rsid w:val="00BD5670"/>
    <w:rsid w:val="00BD5CAB"/>
    <w:rsid w:val="00BD6D3B"/>
    <w:rsid w:val="00BE1393"/>
    <w:rsid w:val="00BE1DCF"/>
    <w:rsid w:val="00BE255D"/>
    <w:rsid w:val="00BE2560"/>
    <w:rsid w:val="00BE2D10"/>
    <w:rsid w:val="00BE31D3"/>
    <w:rsid w:val="00BE3C79"/>
    <w:rsid w:val="00BE402B"/>
    <w:rsid w:val="00BE4393"/>
    <w:rsid w:val="00BE4B6B"/>
    <w:rsid w:val="00BE5B98"/>
    <w:rsid w:val="00BE5BD9"/>
    <w:rsid w:val="00BE5EC2"/>
    <w:rsid w:val="00BE6AC9"/>
    <w:rsid w:val="00BE7040"/>
    <w:rsid w:val="00BE706B"/>
    <w:rsid w:val="00BF010E"/>
    <w:rsid w:val="00BF052B"/>
    <w:rsid w:val="00BF0CFF"/>
    <w:rsid w:val="00BF0E02"/>
    <w:rsid w:val="00BF1073"/>
    <w:rsid w:val="00BF11B0"/>
    <w:rsid w:val="00BF15E5"/>
    <w:rsid w:val="00BF2C87"/>
    <w:rsid w:val="00BF347E"/>
    <w:rsid w:val="00BF3B08"/>
    <w:rsid w:val="00BF428B"/>
    <w:rsid w:val="00BF51B9"/>
    <w:rsid w:val="00BF5784"/>
    <w:rsid w:val="00BF596E"/>
    <w:rsid w:val="00BF65A0"/>
    <w:rsid w:val="00BF7653"/>
    <w:rsid w:val="00BF783C"/>
    <w:rsid w:val="00BF7B93"/>
    <w:rsid w:val="00BF7C4F"/>
    <w:rsid w:val="00C0132B"/>
    <w:rsid w:val="00C013C5"/>
    <w:rsid w:val="00C014F7"/>
    <w:rsid w:val="00C0237C"/>
    <w:rsid w:val="00C0246B"/>
    <w:rsid w:val="00C028F2"/>
    <w:rsid w:val="00C02BCC"/>
    <w:rsid w:val="00C0333D"/>
    <w:rsid w:val="00C03358"/>
    <w:rsid w:val="00C038E1"/>
    <w:rsid w:val="00C03DB7"/>
    <w:rsid w:val="00C04A00"/>
    <w:rsid w:val="00C04ABD"/>
    <w:rsid w:val="00C04B18"/>
    <w:rsid w:val="00C05697"/>
    <w:rsid w:val="00C05CD7"/>
    <w:rsid w:val="00C06A72"/>
    <w:rsid w:val="00C06FEE"/>
    <w:rsid w:val="00C0799E"/>
    <w:rsid w:val="00C07B46"/>
    <w:rsid w:val="00C102D4"/>
    <w:rsid w:val="00C104E6"/>
    <w:rsid w:val="00C105C3"/>
    <w:rsid w:val="00C11051"/>
    <w:rsid w:val="00C110D3"/>
    <w:rsid w:val="00C11B3F"/>
    <w:rsid w:val="00C11BC1"/>
    <w:rsid w:val="00C1251F"/>
    <w:rsid w:val="00C1279F"/>
    <w:rsid w:val="00C13462"/>
    <w:rsid w:val="00C135F4"/>
    <w:rsid w:val="00C1363B"/>
    <w:rsid w:val="00C13D91"/>
    <w:rsid w:val="00C1407C"/>
    <w:rsid w:val="00C14306"/>
    <w:rsid w:val="00C14547"/>
    <w:rsid w:val="00C156D2"/>
    <w:rsid w:val="00C1582A"/>
    <w:rsid w:val="00C160EB"/>
    <w:rsid w:val="00C16D20"/>
    <w:rsid w:val="00C16EAC"/>
    <w:rsid w:val="00C171E8"/>
    <w:rsid w:val="00C171F6"/>
    <w:rsid w:val="00C17A70"/>
    <w:rsid w:val="00C17EE4"/>
    <w:rsid w:val="00C202D2"/>
    <w:rsid w:val="00C20BD5"/>
    <w:rsid w:val="00C20C47"/>
    <w:rsid w:val="00C20E72"/>
    <w:rsid w:val="00C212AD"/>
    <w:rsid w:val="00C217E6"/>
    <w:rsid w:val="00C22A40"/>
    <w:rsid w:val="00C22F1A"/>
    <w:rsid w:val="00C234A7"/>
    <w:rsid w:val="00C238D9"/>
    <w:rsid w:val="00C240B3"/>
    <w:rsid w:val="00C24DA3"/>
    <w:rsid w:val="00C25B72"/>
    <w:rsid w:val="00C263AD"/>
    <w:rsid w:val="00C263B5"/>
    <w:rsid w:val="00C265F2"/>
    <w:rsid w:val="00C27526"/>
    <w:rsid w:val="00C2776B"/>
    <w:rsid w:val="00C27839"/>
    <w:rsid w:val="00C27968"/>
    <w:rsid w:val="00C313D4"/>
    <w:rsid w:val="00C3188D"/>
    <w:rsid w:val="00C321CC"/>
    <w:rsid w:val="00C326E6"/>
    <w:rsid w:val="00C3304B"/>
    <w:rsid w:val="00C335CA"/>
    <w:rsid w:val="00C3457A"/>
    <w:rsid w:val="00C34B4A"/>
    <w:rsid w:val="00C366CA"/>
    <w:rsid w:val="00C369B3"/>
    <w:rsid w:val="00C36EE7"/>
    <w:rsid w:val="00C379D8"/>
    <w:rsid w:val="00C41090"/>
    <w:rsid w:val="00C414D7"/>
    <w:rsid w:val="00C4194F"/>
    <w:rsid w:val="00C42F1A"/>
    <w:rsid w:val="00C4377F"/>
    <w:rsid w:val="00C4423A"/>
    <w:rsid w:val="00C4473E"/>
    <w:rsid w:val="00C4537A"/>
    <w:rsid w:val="00C45CEB"/>
    <w:rsid w:val="00C45F7A"/>
    <w:rsid w:val="00C46324"/>
    <w:rsid w:val="00C46A6F"/>
    <w:rsid w:val="00C470BF"/>
    <w:rsid w:val="00C471ED"/>
    <w:rsid w:val="00C47656"/>
    <w:rsid w:val="00C4769D"/>
    <w:rsid w:val="00C47776"/>
    <w:rsid w:val="00C5044C"/>
    <w:rsid w:val="00C50944"/>
    <w:rsid w:val="00C509C2"/>
    <w:rsid w:val="00C50EA7"/>
    <w:rsid w:val="00C51113"/>
    <w:rsid w:val="00C511A3"/>
    <w:rsid w:val="00C516AA"/>
    <w:rsid w:val="00C51887"/>
    <w:rsid w:val="00C51CF5"/>
    <w:rsid w:val="00C52447"/>
    <w:rsid w:val="00C529CE"/>
    <w:rsid w:val="00C52B91"/>
    <w:rsid w:val="00C52BD4"/>
    <w:rsid w:val="00C52EED"/>
    <w:rsid w:val="00C533D1"/>
    <w:rsid w:val="00C538D4"/>
    <w:rsid w:val="00C54EC4"/>
    <w:rsid w:val="00C54F27"/>
    <w:rsid w:val="00C55726"/>
    <w:rsid w:val="00C5593A"/>
    <w:rsid w:val="00C55DFA"/>
    <w:rsid w:val="00C566F9"/>
    <w:rsid w:val="00C576F5"/>
    <w:rsid w:val="00C578F9"/>
    <w:rsid w:val="00C609F0"/>
    <w:rsid w:val="00C60C8C"/>
    <w:rsid w:val="00C610B4"/>
    <w:rsid w:val="00C61289"/>
    <w:rsid w:val="00C62A87"/>
    <w:rsid w:val="00C62EB8"/>
    <w:rsid w:val="00C63121"/>
    <w:rsid w:val="00C6333A"/>
    <w:rsid w:val="00C6443D"/>
    <w:rsid w:val="00C6510D"/>
    <w:rsid w:val="00C65120"/>
    <w:rsid w:val="00C65E73"/>
    <w:rsid w:val="00C661E0"/>
    <w:rsid w:val="00C666AB"/>
    <w:rsid w:val="00C66DCB"/>
    <w:rsid w:val="00C66F37"/>
    <w:rsid w:val="00C67A2A"/>
    <w:rsid w:val="00C7020B"/>
    <w:rsid w:val="00C70247"/>
    <w:rsid w:val="00C703CB"/>
    <w:rsid w:val="00C70406"/>
    <w:rsid w:val="00C70CF9"/>
    <w:rsid w:val="00C71017"/>
    <w:rsid w:val="00C712FF"/>
    <w:rsid w:val="00C7211D"/>
    <w:rsid w:val="00C726ED"/>
    <w:rsid w:val="00C72E0E"/>
    <w:rsid w:val="00C72E23"/>
    <w:rsid w:val="00C72F72"/>
    <w:rsid w:val="00C7354B"/>
    <w:rsid w:val="00C7390E"/>
    <w:rsid w:val="00C749D5"/>
    <w:rsid w:val="00C7588A"/>
    <w:rsid w:val="00C76343"/>
    <w:rsid w:val="00C76A7A"/>
    <w:rsid w:val="00C76E17"/>
    <w:rsid w:val="00C76F15"/>
    <w:rsid w:val="00C77760"/>
    <w:rsid w:val="00C7788D"/>
    <w:rsid w:val="00C77CAB"/>
    <w:rsid w:val="00C8094C"/>
    <w:rsid w:val="00C80AA9"/>
    <w:rsid w:val="00C8112F"/>
    <w:rsid w:val="00C813B6"/>
    <w:rsid w:val="00C818F0"/>
    <w:rsid w:val="00C821C7"/>
    <w:rsid w:val="00C82B4C"/>
    <w:rsid w:val="00C839D6"/>
    <w:rsid w:val="00C84C7F"/>
    <w:rsid w:val="00C85FF2"/>
    <w:rsid w:val="00C86215"/>
    <w:rsid w:val="00C876D1"/>
    <w:rsid w:val="00C87CA3"/>
    <w:rsid w:val="00C90538"/>
    <w:rsid w:val="00C914A5"/>
    <w:rsid w:val="00C91ACB"/>
    <w:rsid w:val="00C91D41"/>
    <w:rsid w:val="00C921D2"/>
    <w:rsid w:val="00C92B47"/>
    <w:rsid w:val="00C95166"/>
    <w:rsid w:val="00C951A1"/>
    <w:rsid w:val="00C951BF"/>
    <w:rsid w:val="00C95201"/>
    <w:rsid w:val="00C95375"/>
    <w:rsid w:val="00C958BA"/>
    <w:rsid w:val="00C95926"/>
    <w:rsid w:val="00C965ED"/>
    <w:rsid w:val="00C96A2B"/>
    <w:rsid w:val="00C96AC9"/>
    <w:rsid w:val="00C9721F"/>
    <w:rsid w:val="00C97F35"/>
    <w:rsid w:val="00CA0184"/>
    <w:rsid w:val="00CA0CE5"/>
    <w:rsid w:val="00CA1741"/>
    <w:rsid w:val="00CA18F9"/>
    <w:rsid w:val="00CA243C"/>
    <w:rsid w:val="00CA2B21"/>
    <w:rsid w:val="00CA3B98"/>
    <w:rsid w:val="00CA3F33"/>
    <w:rsid w:val="00CA4757"/>
    <w:rsid w:val="00CA55A8"/>
    <w:rsid w:val="00CA5B97"/>
    <w:rsid w:val="00CA645B"/>
    <w:rsid w:val="00CA7866"/>
    <w:rsid w:val="00CA7C4B"/>
    <w:rsid w:val="00CA7CB4"/>
    <w:rsid w:val="00CA7FF1"/>
    <w:rsid w:val="00CB03E9"/>
    <w:rsid w:val="00CB081B"/>
    <w:rsid w:val="00CB0CB5"/>
    <w:rsid w:val="00CB0EA0"/>
    <w:rsid w:val="00CB0F4F"/>
    <w:rsid w:val="00CB1211"/>
    <w:rsid w:val="00CB1625"/>
    <w:rsid w:val="00CB26F1"/>
    <w:rsid w:val="00CB3B02"/>
    <w:rsid w:val="00CB57A8"/>
    <w:rsid w:val="00CB5EBA"/>
    <w:rsid w:val="00CB6347"/>
    <w:rsid w:val="00CB6554"/>
    <w:rsid w:val="00CB7088"/>
    <w:rsid w:val="00CB7D82"/>
    <w:rsid w:val="00CB7DF6"/>
    <w:rsid w:val="00CC0329"/>
    <w:rsid w:val="00CC0686"/>
    <w:rsid w:val="00CC09D4"/>
    <w:rsid w:val="00CC0EE2"/>
    <w:rsid w:val="00CC109A"/>
    <w:rsid w:val="00CC11C0"/>
    <w:rsid w:val="00CC16CA"/>
    <w:rsid w:val="00CC16E2"/>
    <w:rsid w:val="00CC16E6"/>
    <w:rsid w:val="00CC197E"/>
    <w:rsid w:val="00CC3747"/>
    <w:rsid w:val="00CC4F94"/>
    <w:rsid w:val="00CC576C"/>
    <w:rsid w:val="00CC5860"/>
    <w:rsid w:val="00CC64AA"/>
    <w:rsid w:val="00CC677D"/>
    <w:rsid w:val="00CC74A6"/>
    <w:rsid w:val="00CC7C21"/>
    <w:rsid w:val="00CC7CDB"/>
    <w:rsid w:val="00CD1031"/>
    <w:rsid w:val="00CD11FE"/>
    <w:rsid w:val="00CD1574"/>
    <w:rsid w:val="00CD2315"/>
    <w:rsid w:val="00CD259F"/>
    <w:rsid w:val="00CD32CD"/>
    <w:rsid w:val="00CD3F38"/>
    <w:rsid w:val="00CD4078"/>
    <w:rsid w:val="00CD457E"/>
    <w:rsid w:val="00CD4E63"/>
    <w:rsid w:val="00CD51C9"/>
    <w:rsid w:val="00CD525C"/>
    <w:rsid w:val="00CD5B36"/>
    <w:rsid w:val="00CD5B39"/>
    <w:rsid w:val="00CD5C58"/>
    <w:rsid w:val="00CD6EC7"/>
    <w:rsid w:val="00CE0139"/>
    <w:rsid w:val="00CE08A8"/>
    <w:rsid w:val="00CE1188"/>
    <w:rsid w:val="00CE1229"/>
    <w:rsid w:val="00CE1515"/>
    <w:rsid w:val="00CE1E5E"/>
    <w:rsid w:val="00CE2507"/>
    <w:rsid w:val="00CE360B"/>
    <w:rsid w:val="00CE3758"/>
    <w:rsid w:val="00CE447A"/>
    <w:rsid w:val="00CE4579"/>
    <w:rsid w:val="00CE5347"/>
    <w:rsid w:val="00CE5FFF"/>
    <w:rsid w:val="00CE61CA"/>
    <w:rsid w:val="00CE6417"/>
    <w:rsid w:val="00CE6E3B"/>
    <w:rsid w:val="00CF087C"/>
    <w:rsid w:val="00CF11AD"/>
    <w:rsid w:val="00CF26BC"/>
    <w:rsid w:val="00CF2897"/>
    <w:rsid w:val="00CF3099"/>
    <w:rsid w:val="00CF3B1B"/>
    <w:rsid w:val="00CF3BB1"/>
    <w:rsid w:val="00CF506C"/>
    <w:rsid w:val="00CF54D5"/>
    <w:rsid w:val="00CF5556"/>
    <w:rsid w:val="00CF57CD"/>
    <w:rsid w:val="00CF58AA"/>
    <w:rsid w:val="00CF5DC5"/>
    <w:rsid w:val="00CF6085"/>
    <w:rsid w:val="00CF71E3"/>
    <w:rsid w:val="00D006ED"/>
    <w:rsid w:val="00D00A0C"/>
    <w:rsid w:val="00D01114"/>
    <w:rsid w:val="00D02F8F"/>
    <w:rsid w:val="00D02FC7"/>
    <w:rsid w:val="00D03237"/>
    <w:rsid w:val="00D034E7"/>
    <w:rsid w:val="00D03FD7"/>
    <w:rsid w:val="00D046C1"/>
    <w:rsid w:val="00D05349"/>
    <w:rsid w:val="00D059B1"/>
    <w:rsid w:val="00D05C99"/>
    <w:rsid w:val="00D05E54"/>
    <w:rsid w:val="00D06853"/>
    <w:rsid w:val="00D0691D"/>
    <w:rsid w:val="00D06F5B"/>
    <w:rsid w:val="00D076DA"/>
    <w:rsid w:val="00D07704"/>
    <w:rsid w:val="00D07A4A"/>
    <w:rsid w:val="00D117B6"/>
    <w:rsid w:val="00D11A4B"/>
    <w:rsid w:val="00D11FB9"/>
    <w:rsid w:val="00D128BB"/>
    <w:rsid w:val="00D14857"/>
    <w:rsid w:val="00D1490F"/>
    <w:rsid w:val="00D14AC4"/>
    <w:rsid w:val="00D14FBB"/>
    <w:rsid w:val="00D16341"/>
    <w:rsid w:val="00D163EA"/>
    <w:rsid w:val="00D1795A"/>
    <w:rsid w:val="00D17A5F"/>
    <w:rsid w:val="00D20107"/>
    <w:rsid w:val="00D203A5"/>
    <w:rsid w:val="00D20ED8"/>
    <w:rsid w:val="00D21BE2"/>
    <w:rsid w:val="00D225A0"/>
    <w:rsid w:val="00D22927"/>
    <w:rsid w:val="00D22998"/>
    <w:rsid w:val="00D22DF3"/>
    <w:rsid w:val="00D2380C"/>
    <w:rsid w:val="00D2386E"/>
    <w:rsid w:val="00D23DAE"/>
    <w:rsid w:val="00D241B1"/>
    <w:rsid w:val="00D249DD"/>
    <w:rsid w:val="00D25A46"/>
    <w:rsid w:val="00D263E4"/>
    <w:rsid w:val="00D2669D"/>
    <w:rsid w:val="00D30242"/>
    <w:rsid w:val="00D3061C"/>
    <w:rsid w:val="00D30EB5"/>
    <w:rsid w:val="00D30EF3"/>
    <w:rsid w:val="00D311E7"/>
    <w:rsid w:val="00D31F3F"/>
    <w:rsid w:val="00D31FB3"/>
    <w:rsid w:val="00D32174"/>
    <w:rsid w:val="00D3278D"/>
    <w:rsid w:val="00D32F8C"/>
    <w:rsid w:val="00D3333D"/>
    <w:rsid w:val="00D33724"/>
    <w:rsid w:val="00D343DB"/>
    <w:rsid w:val="00D3470A"/>
    <w:rsid w:val="00D34DB9"/>
    <w:rsid w:val="00D3568B"/>
    <w:rsid w:val="00D36109"/>
    <w:rsid w:val="00D366A2"/>
    <w:rsid w:val="00D3777C"/>
    <w:rsid w:val="00D37A94"/>
    <w:rsid w:val="00D37B59"/>
    <w:rsid w:val="00D37C3D"/>
    <w:rsid w:val="00D37CBA"/>
    <w:rsid w:val="00D37F1D"/>
    <w:rsid w:val="00D37F78"/>
    <w:rsid w:val="00D40239"/>
    <w:rsid w:val="00D40514"/>
    <w:rsid w:val="00D40610"/>
    <w:rsid w:val="00D40BC6"/>
    <w:rsid w:val="00D424A4"/>
    <w:rsid w:val="00D42976"/>
    <w:rsid w:val="00D44526"/>
    <w:rsid w:val="00D445C7"/>
    <w:rsid w:val="00D44A1F"/>
    <w:rsid w:val="00D44B71"/>
    <w:rsid w:val="00D44C1E"/>
    <w:rsid w:val="00D450AD"/>
    <w:rsid w:val="00D453E2"/>
    <w:rsid w:val="00D45B0E"/>
    <w:rsid w:val="00D45F52"/>
    <w:rsid w:val="00D45F91"/>
    <w:rsid w:val="00D463F6"/>
    <w:rsid w:val="00D4657F"/>
    <w:rsid w:val="00D4736D"/>
    <w:rsid w:val="00D47559"/>
    <w:rsid w:val="00D47606"/>
    <w:rsid w:val="00D50033"/>
    <w:rsid w:val="00D5027E"/>
    <w:rsid w:val="00D51ADF"/>
    <w:rsid w:val="00D51B24"/>
    <w:rsid w:val="00D51D3D"/>
    <w:rsid w:val="00D523AA"/>
    <w:rsid w:val="00D5253B"/>
    <w:rsid w:val="00D532A8"/>
    <w:rsid w:val="00D5352F"/>
    <w:rsid w:val="00D53849"/>
    <w:rsid w:val="00D53C23"/>
    <w:rsid w:val="00D55928"/>
    <w:rsid w:val="00D55EB1"/>
    <w:rsid w:val="00D57036"/>
    <w:rsid w:val="00D5750F"/>
    <w:rsid w:val="00D57548"/>
    <w:rsid w:val="00D578FA"/>
    <w:rsid w:val="00D57B12"/>
    <w:rsid w:val="00D57FA3"/>
    <w:rsid w:val="00D601EB"/>
    <w:rsid w:val="00D60999"/>
    <w:rsid w:val="00D60ED2"/>
    <w:rsid w:val="00D628D8"/>
    <w:rsid w:val="00D6334E"/>
    <w:rsid w:val="00D63421"/>
    <w:rsid w:val="00D63673"/>
    <w:rsid w:val="00D638DC"/>
    <w:rsid w:val="00D643D6"/>
    <w:rsid w:val="00D64E65"/>
    <w:rsid w:val="00D6566A"/>
    <w:rsid w:val="00D67C29"/>
    <w:rsid w:val="00D67EC8"/>
    <w:rsid w:val="00D707BF"/>
    <w:rsid w:val="00D708E4"/>
    <w:rsid w:val="00D70C9A"/>
    <w:rsid w:val="00D71714"/>
    <w:rsid w:val="00D72938"/>
    <w:rsid w:val="00D72AAE"/>
    <w:rsid w:val="00D72AB6"/>
    <w:rsid w:val="00D72CB7"/>
    <w:rsid w:val="00D72F8F"/>
    <w:rsid w:val="00D73164"/>
    <w:rsid w:val="00D73264"/>
    <w:rsid w:val="00D733FF"/>
    <w:rsid w:val="00D73D3D"/>
    <w:rsid w:val="00D74254"/>
    <w:rsid w:val="00D75762"/>
    <w:rsid w:val="00D7672B"/>
    <w:rsid w:val="00D77008"/>
    <w:rsid w:val="00D772A9"/>
    <w:rsid w:val="00D7737A"/>
    <w:rsid w:val="00D777AF"/>
    <w:rsid w:val="00D779E0"/>
    <w:rsid w:val="00D77C44"/>
    <w:rsid w:val="00D80468"/>
    <w:rsid w:val="00D804F7"/>
    <w:rsid w:val="00D809F5"/>
    <w:rsid w:val="00D80F2C"/>
    <w:rsid w:val="00D81531"/>
    <w:rsid w:val="00D81AF7"/>
    <w:rsid w:val="00D81D90"/>
    <w:rsid w:val="00D81DA7"/>
    <w:rsid w:val="00D82524"/>
    <w:rsid w:val="00D82BB3"/>
    <w:rsid w:val="00D831BE"/>
    <w:rsid w:val="00D836BD"/>
    <w:rsid w:val="00D83AEB"/>
    <w:rsid w:val="00D83D73"/>
    <w:rsid w:val="00D84072"/>
    <w:rsid w:val="00D843FC"/>
    <w:rsid w:val="00D84A95"/>
    <w:rsid w:val="00D84C85"/>
    <w:rsid w:val="00D859B0"/>
    <w:rsid w:val="00D859FD"/>
    <w:rsid w:val="00D85BE3"/>
    <w:rsid w:val="00D85D67"/>
    <w:rsid w:val="00D85F0B"/>
    <w:rsid w:val="00D86746"/>
    <w:rsid w:val="00D8704D"/>
    <w:rsid w:val="00D870B9"/>
    <w:rsid w:val="00D87FB1"/>
    <w:rsid w:val="00D900D8"/>
    <w:rsid w:val="00D9027B"/>
    <w:rsid w:val="00D9049E"/>
    <w:rsid w:val="00D90EC5"/>
    <w:rsid w:val="00D90EFC"/>
    <w:rsid w:val="00D91C93"/>
    <w:rsid w:val="00D91E27"/>
    <w:rsid w:val="00D9216E"/>
    <w:rsid w:val="00D92B08"/>
    <w:rsid w:val="00D92F97"/>
    <w:rsid w:val="00D930FB"/>
    <w:rsid w:val="00D9378D"/>
    <w:rsid w:val="00D95698"/>
    <w:rsid w:val="00D956ED"/>
    <w:rsid w:val="00D959DA"/>
    <w:rsid w:val="00D969C2"/>
    <w:rsid w:val="00D97B50"/>
    <w:rsid w:val="00DA00E7"/>
    <w:rsid w:val="00DA0156"/>
    <w:rsid w:val="00DA0509"/>
    <w:rsid w:val="00DA06E0"/>
    <w:rsid w:val="00DA0A46"/>
    <w:rsid w:val="00DA138D"/>
    <w:rsid w:val="00DA17A5"/>
    <w:rsid w:val="00DA2106"/>
    <w:rsid w:val="00DA26BE"/>
    <w:rsid w:val="00DA343B"/>
    <w:rsid w:val="00DA465A"/>
    <w:rsid w:val="00DA5463"/>
    <w:rsid w:val="00DA5C63"/>
    <w:rsid w:val="00DA5C8F"/>
    <w:rsid w:val="00DA631F"/>
    <w:rsid w:val="00DA6520"/>
    <w:rsid w:val="00DA660E"/>
    <w:rsid w:val="00DA6717"/>
    <w:rsid w:val="00DA6FFB"/>
    <w:rsid w:val="00DA79C0"/>
    <w:rsid w:val="00DB01F8"/>
    <w:rsid w:val="00DB0C85"/>
    <w:rsid w:val="00DB0E2E"/>
    <w:rsid w:val="00DB13E0"/>
    <w:rsid w:val="00DB18D3"/>
    <w:rsid w:val="00DB268E"/>
    <w:rsid w:val="00DB3248"/>
    <w:rsid w:val="00DB3612"/>
    <w:rsid w:val="00DB43C9"/>
    <w:rsid w:val="00DB4D79"/>
    <w:rsid w:val="00DB4E31"/>
    <w:rsid w:val="00DB6B11"/>
    <w:rsid w:val="00DB6F06"/>
    <w:rsid w:val="00DB7128"/>
    <w:rsid w:val="00DB7441"/>
    <w:rsid w:val="00DB7558"/>
    <w:rsid w:val="00DC01F1"/>
    <w:rsid w:val="00DC0FD9"/>
    <w:rsid w:val="00DC1AD1"/>
    <w:rsid w:val="00DC2CC1"/>
    <w:rsid w:val="00DC493F"/>
    <w:rsid w:val="00DC4B47"/>
    <w:rsid w:val="00DC4F91"/>
    <w:rsid w:val="00DC6437"/>
    <w:rsid w:val="00DC66F6"/>
    <w:rsid w:val="00DC7153"/>
    <w:rsid w:val="00DC72A5"/>
    <w:rsid w:val="00DC761D"/>
    <w:rsid w:val="00DD0654"/>
    <w:rsid w:val="00DD0884"/>
    <w:rsid w:val="00DD0AAA"/>
    <w:rsid w:val="00DD14C3"/>
    <w:rsid w:val="00DD1A1D"/>
    <w:rsid w:val="00DD1DDB"/>
    <w:rsid w:val="00DD1E39"/>
    <w:rsid w:val="00DD269B"/>
    <w:rsid w:val="00DD2A8E"/>
    <w:rsid w:val="00DD2DA6"/>
    <w:rsid w:val="00DD3358"/>
    <w:rsid w:val="00DD3498"/>
    <w:rsid w:val="00DD3D56"/>
    <w:rsid w:val="00DD3E2C"/>
    <w:rsid w:val="00DD489C"/>
    <w:rsid w:val="00DD52AD"/>
    <w:rsid w:val="00DD5473"/>
    <w:rsid w:val="00DD5E67"/>
    <w:rsid w:val="00DD7590"/>
    <w:rsid w:val="00DD77C7"/>
    <w:rsid w:val="00DD7BE3"/>
    <w:rsid w:val="00DD7D19"/>
    <w:rsid w:val="00DD7DD4"/>
    <w:rsid w:val="00DE02E5"/>
    <w:rsid w:val="00DE0771"/>
    <w:rsid w:val="00DE07AD"/>
    <w:rsid w:val="00DE0A5A"/>
    <w:rsid w:val="00DE0BBA"/>
    <w:rsid w:val="00DE18EC"/>
    <w:rsid w:val="00DE1C0B"/>
    <w:rsid w:val="00DE1CB8"/>
    <w:rsid w:val="00DE249C"/>
    <w:rsid w:val="00DE2B6A"/>
    <w:rsid w:val="00DE313F"/>
    <w:rsid w:val="00DE340E"/>
    <w:rsid w:val="00DE3741"/>
    <w:rsid w:val="00DE37A4"/>
    <w:rsid w:val="00DE3D46"/>
    <w:rsid w:val="00DE44B3"/>
    <w:rsid w:val="00DE49E3"/>
    <w:rsid w:val="00DE4B85"/>
    <w:rsid w:val="00DE4C2A"/>
    <w:rsid w:val="00DE6757"/>
    <w:rsid w:val="00DE6822"/>
    <w:rsid w:val="00DE786F"/>
    <w:rsid w:val="00DE7C55"/>
    <w:rsid w:val="00DF05EB"/>
    <w:rsid w:val="00DF089F"/>
    <w:rsid w:val="00DF0B06"/>
    <w:rsid w:val="00DF13C0"/>
    <w:rsid w:val="00DF1426"/>
    <w:rsid w:val="00DF15F8"/>
    <w:rsid w:val="00DF1929"/>
    <w:rsid w:val="00DF1B98"/>
    <w:rsid w:val="00DF2339"/>
    <w:rsid w:val="00DF2538"/>
    <w:rsid w:val="00DF3566"/>
    <w:rsid w:val="00DF3A36"/>
    <w:rsid w:val="00DF479E"/>
    <w:rsid w:val="00DF4A32"/>
    <w:rsid w:val="00DF4E96"/>
    <w:rsid w:val="00DF542A"/>
    <w:rsid w:val="00DF6496"/>
    <w:rsid w:val="00DF6603"/>
    <w:rsid w:val="00DF66C3"/>
    <w:rsid w:val="00DF66CE"/>
    <w:rsid w:val="00DF6E6A"/>
    <w:rsid w:val="00DF6ED2"/>
    <w:rsid w:val="00DF7678"/>
    <w:rsid w:val="00DF790F"/>
    <w:rsid w:val="00DF7988"/>
    <w:rsid w:val="00E005E9"/>
    <w:rsid w:val="00E013E5"/>
    <w:rsid w:val="00E015FA"/>
    <w:rsid w:val="00E01781"/>
    <w:rsid w:val="00E0250B"/>
    <w:rsid w:val="00E02EB6"/>
    <w:rsid w:val="00E037B3"/>
    <w:rsid w:val="00E03911"/>
    <w:rsid w:val="00E043A0"/>
    <w:rsid w:val="00E04440"/>
    <w:rsid w:val="00E04818"/>
    <w:rsid w:val="00E04D86"/>
    <w:rsid w:val="00E04FB3"/>
    <w:rsid w:val="00E053FD"/>
    <w:rsid w:val="00E063CA"/>
    <w:rsid w:val="00E06DF4"/>
    <w:rsid w:val="00E07605"/>
    <w:rsid w:val="00E1060D"/>
    <w:rsid w:val="00E111DC"/>
    <w:rsid w:val="00E121E3"/>
    <w:rsid w:val="00E12F62"/>
    <w:rsid w:val="00E132B3"/>
    <w:rsid w:val="00E1334F"/>
    <w:rsid w:val="00E1336A"/>
    <w:rsid w:val="00E13D44"/>
    <w:rsid w:val="00E13EC5"/>
    <w:rsid w:val="00E141F4"/>
    <w:rsid w:val="00E14420"/>
    <w:rsid w:val="00E1448A"/>
    <w:rsid w:val="00E14591"/>
    <w:rsid w:val="00E14D06"/>
    <w:rsid w:val="00E14E4F"/>
    <w:rsid w:val="00E14F22"/>
    <w:rsid w:val="00E15608"/>
    <w:rsid w:val="00E15C2F"/>
    <w:rsid w:val="00E15DF3"/>
    <w:rsid w:val="00E171D3"/>
    <w:rsid w:val="00E17C5D"/>
    <w:rsid w:val="00E205DE"/>
    <w:rsid w:val="00E20F37"/>
    <w:rsid w:val="00E21226"/>
    <w:rsid w:val="00E214CD"/>
    <w:rsid w:val="00E21A1A"/>
    <w:rsid w:val="00E222F9"/>
    <w:rsid w:val="00E22DB9"/>
    <w:rsid w:val="00E23490"/>
    <w:rsid w:val="00E237FA"/>
    <w:rsid w:val="00E23832"/>
    <w:rsid w:val="00E23D74"/>
    <w:rsid w:val="00E24336"/>
    <w:rsid w:val="00E24442"/>
    <w:rsid w:val="00E24446"/>
    <w:rsid w:val="00E25038"/>
    <w:rsid w:val="00E26818"/>
    <w:rsid w:val="00E26A89"/>
    <w:rsid w:val="00E3121D"/>
    <w:rsid w:val="00E3125C"/>
    <w:rsid w:val="00E31702"/>
    <w:rsid w:val="00E31A3C"/>
    <w:rsid w:val="00E32AF8"/>
    <w:rsid w:val="00E32F66"/>
    <w:rsid w:val="00E32F95"/>
    <w:rsid w:val="00E333E6"/>
    <w:rsid w:val="00E33712"/>
    <w:rsid w:val="00E33789"/>
    <w:rsid w:val="00E3475B"/>
    <w:rsid w:val="00E34B69"/>
    <w:rsid w:val="00E3528F"/>
    <w:rsid w:val="00E35C81"/>
    <w:rsid w:val="00E35D52"/>
    <w:rsid w:val="00E36458"/>
    <w:rsid w:val="00E365AD"/>
    <w:rsid w:val="00E36689"/>
    <w:rsid w:val="00E373FC"/>
    <w:rsid w:val="00E4014D"/>
    <w:rsid w:val="00E402D5"/>
    <w:rsid w:val="00E408E9"/>
    <w:rsid w:val="00E4140B"/>
    <w:rsid w:val="00E433D7"/>
    <w:rsid w:val="00E45AAD"/>
    <w:rsid w:val="00E45E86"/>
    <w:rsid w:val="00E46158"/>
    <w:rsid w:val="00E467C3"/>
    <w:rsid w:val="00E46F83"/>
    <w:rsid w:val="00E47745"/>
    <w:rsid w:val="00E47F09"/>
    <w:rsid w:val="00E50C42"/>
    <w:rsid w:val="00E50CFC"/>
    <w:rsid w:val="00E50E9C"/>
    <w:rsid w:val="00E51633"/>
    <w:rsid w:val="00E51B45"/>
    <w:rsid w:val="00E530CC"/>
    <w:rsid w:val="00E540C8"/>
    <w:rsid w:val="00E54F11"/>
    <w:rsid w:val="00E556F8"/>
    <w:rsid w:val="00E561B5"/>
    <w:rsid w:val="00E576FD"/>
    <w:rsid w:val="00E579FD"/>
    <w:rsid w:val="00E6015D"/>
    <w:rsid w:val="00E6070B"/>
    <w:rsid w:val="00E60900"/>
    <w:rsid w:val="00E60A40"/>
    <w:rsid w:val="00E63A14"/>
    <w:rsid w:val="00E63E3C"/>
    <w:rsid w:val="00E64549"/>
    <w:rsid w:val="00E64AE9"/>
    <w:rsid w:val="00E6562E"/>
    <w:rsid w:val="00E657CB"/>
    <w:rsid w:val="00E65967"/>
    <w:rsid w:val="00E65C0D"/>
    <w:rsid w:val="00E661BD"/>
    <w:rsid w:val="00E663D3"/>
    <w:rsid w:val="00E66920"/>
    <w:rsid w:val="00E66B9D"/>
    <w:rsid w:val="00E66E6C"/>
    <w:rsid w:val="00E67107"/>
    <w:rsid w:val="00E67980"/>
    <w:rsid w:val="00E70C01"/>
    <w:rsid w:val="00E70D39"/>
    <w:rsid w:val="00E70FFA"/>
    <w:rsid w:val="00E71056"/>
    <w:rsid w:val="00E71656"/>
    <w:rsid w:val="00E71E6C"/>
    <w:rsid w:val="00E721E7"/>
    <w:rsid w:val="00E724A1"/>
    <w:rsid w:val="00E72CF1"/>
    <w:rsid w:val="00E72F32"/>
    <w:rsid w:val="00E74C1A"/>
    <w:rsid w:val="00E75D47"/>
    <w:rsid w:val="00E76C03"/>
    <w:rsid w:val="00E77195"/>
    <w:rsid w:val="00E773D8"/>
    <w:rsid w:val="00E77DEE"/>
    <w:rsid w:val="00E808C7"/>
    <w:rsid w:val="00E8121D"/>
    <w:rsid w:val="00E8141B"/>
    <w:rsid w:val="00E81F80"/>
    <w:rsid w:val="00E8223B"/>
    <w:rsid w:val="00E83F99"/>
    <w:rsid w:val="00E84609"/>
    <w:rsid w:val="00E84B21"/>
    <w:rsid w:val="00E84DB5"/>
    <w:rsid w:val="00E84F15"/>
    <w:rsid w:val="00E85307"/>
    <w:rsid w:val="00E85AA4"/>
    <w:rsid w:val="00E862EB"/>
    <w:rsid w:val="00E86652"/>
    <w:rsid w:val="00E86788"/>
    <w:rsid w:val="00E86F28"/>
    <w:rsid w:val="00E874D0"/>
    <w:rsid w:val="00E87613"/>
    <w:rsid w:val="00E8789E"/>
    <w:rsid w:val="00E878E4"/>
    <w:rsid w:val="00E900FE"/>
    <w:rsid w:val="00E907A9"/>
    <w:rsid w:val="00E91122"/>
    <w:rsid w:val="00E91545"/>
    <w:rsid w:val="00E91D25"/>
    <w:rsid w:val="00E92293"/>
    <w:rsid w:val="00E9293D"/>
    <w:rsid w:val="00E93252"/>
    <w:rsid w:val="00E93491"/>
    <w:rsid w:val="00E93AF4"/>
    <w:rsid w:val="00E93D5B"/>
    <w:rsid w:val="00E93DD6"/>
    <w:rsid w:val="00E9498C"/>
    <w:rsid w:val="00E94E66"/>
    <w:rsid w:val="00E9529E"/>
    <w:rsid w:val="00E95723"/>
    <w:rsid w:val="00E95C1D"/>
    <w:rsid w:val="00E965DC"/>
    <w:rsid w:val="00E97A24"/>
    <w:rsid w:val="00EA0BA0"/>
    <w:rsid w:val="00EA0C84"/>
    <w:rsid w:val="00EA1764"/>
    <w:rsid w:val="00EA19C6"/>
    <w:rsid w:val="00EA1CA5"/>
    <w:rsid w:val="00EA1FA3"/>
    <w:rsid w:val="00EA29F2"/>
    <w:rsid w:val="00EA2BE6"/>
    <w:rsid w:val="00EA3DFD"/>
    <w:rsid w:val="00EA5429"/>
    <w:rsid w:val="00EA5522"/>
    <w:rsid w:val="00EA6432"/>
    <w:rsid w:val="00EA71C8"/>
    <w:rsid w:val="00EB0CCB"/>
    <w:rsid w:val="00EB1207"/>
    <w:rsid w:val="00EB13D0"/>
    <w:rsid w:val="00EB15C8"/>
    <w:rsid w:val="00EB1D40"/>
    <w:rsid w:val="00EB21CA"/>
    <w:rsid w:val="00EB2242"/>
    <w:rsid w:val="00EB23A3"/>
    <w:rsid w:val="00EB2CE2"/>
    <w:rsid w:val="00EB2DDC"/>
    <w:rsid w:val="00EB306E"/>
    <w:rsid w:val="00EB3481"/>
    <w:rsid w:val="00EB3A53"/>
    <w:rsid w:val="00EB3F6D"/>
    <w:rsid w:val="00EB44C0"/>
    <w:rsid w:val="00EB4B64"/>
    <w:rsid w:val="00EB501A"/>
    <w:rsid w:val="00EB54FC"/>
    <w:rsid w:val="00EB5AC0"/>
    <w:rsid w:val="00EB5AC9"/>
    <w:rsid w:val="00EB5B4C"/>
    <w:rsid w:val="00EB5C48"/>
    <w:rsid w:val="00EB6022"/>
    <w:rsid w:val="00EB63BB"/>
    <w:rsid w:val="00EB67A2"/>
    <w:rsid w:val="00EB7C9F"/>
    <w:rsid w:val="00EB7F44"/>
    <w:rsid w:val="00EB7FF9"/>
    <w:rsid w:val="00EC03E6"/>
    <w:rsid w:val="00EC1701"/>
    <w:rsid w:val="00EC1C01"/>
    <w:rsid w:val="00EC1EB4"/>
    <w:rsid w:val="00EC2025"/>
    <w:rsid w:val="00EC2139"/>
    <w:rsid w:val="00EC23B8"/>
    <w:rsid w:val="00EC2B6E"/>
    <w:rsid w:val="00EC377C"/>
    <w:rsid w:val="00EC3A57"/>
    <w:rsid w:val="00EC3E02"/>
    <w:rsid w:val="00EC3FAB"/>
    <w:rsid w:val="00EC4580"/>
    <w:rsid w:val="00EC4A9C"/>
    <w:rsid w:val="00EC5B7F"/>
    <w:rsid w:val="00EC6161"/>
    <w:rsid w:val="00EC72F3"/>
    <w:rsid w:val="00EC76E2"/>
    <w:rsid w:val="00EC77BD"/>
    <w:rsid w:val="00EC7DDF"/>
    <w:rsid w:val="00ED0BB0"/>
    <w:rsid w:val="00ED10D0"/>
    <w:rsid w:val="00ED128C"/>
    <w:rsid w:val="00ED17ED"/>
    <w:rsid w:val="00ED185D"/>
    <w:rsid w:val="00ED2037"/>
    <w:rsid w:val="00ED2064"/>
    <w:rsid w:val="00ED2943"/>
    <w:rsid w:val="00ED29ED"/>
    <w:rsid w:val="00ED2B39"/>
    <w:rsid w:val="00ED2EA8"/>
    <w:rsid w:val="00ED38CE"/>
    <w:rsid w:val="00ED4285"/>
    <w:rsid w:val="00ED4820"/>
    <w:rsid w:val="00ED657E"/>
    <w:rsid w:val="00ED7A8D"/>
    <w:rsid w:val="00ED7BAF"/>
    <w:rsid w:val="00ED7C8F"/>
    <w:rsid w:val="00EE0805"/>
    <w:rsid w:val="00EE36B0"/>
    <w:rsid w:val="00EE3B02"/>
    <w:rsid w:val="00EE3BA2"/>
    <w:rsid w:val="00EE3E30"/>
    <w:rsid w:val="00EE4B62"/>
    <w:rsid w:val="00EE5C23"/>
    <w:rsid w:val="00EE684B"/>
    <w:rsid w:val="00EE6E78"/>
    <w:rsid w:val="00EE7475"/>
    <w:rsid w:val="00EE7EC7"/>
    <w:rsid w:val="00EF037C"/>
    <w:rsid w:val="00EF1053"/>
    <w:rsid w:val="00EF1C58"/>
    <w:rsid w:val="00EF279D"/>
    <w:rsid w:val="00EF29EB"/>
    <w:rsid w:val="00EF2A2E"/>
    <w:rsid w:val="00EF2EA2"/>
    <w:rsid w:val="00EF3560"/>
    <w:rsid w:val="00EF3DF0"/>
    <w:rsid w:val="00EF43EF"/>
    <w:rsid w:val="00EF4639"/>
    <w:rsid w:val="00EF47AF"/>
    <w:rsid w:val="00EF47C6"/>
    <w:rsid w:val="00EF4D69"/>
    <w:rsid w:val="00EF5337"/>
    <w:rsid w:val="00EF5B5E"/>
    <w:rsid w:val="00EF5FC5"/>
    <w:rsid w:val="00EF6850"/>
    <w:rsid w:val="00EF6886"/>
    <w:rsid w:val="00EF6EEF"/>
    <w:rsid w:val="00EF70D0"/>
    <w:rsid w:val="00EF7468"/>
    <w:rsid w:val="00EF749B"/>
    <w:rsid w:val="00EF7AF3"/>
    <w:rsid w:val="00F0031E"/>
    <w:rsid w:val="00F006DB"/>
    <w:rsid w:val="00F0088B"/>
    <w:rsid w:val="00F018B2"/>
    <w:rsid w:val="00F01F81"/>
    <w:rsid w:val="00F02354"/>
    <w:rsid w:val="00F02415"/>
    <w:rsid w:val="00F0289E"/>
    <w:rsid w:val="00F03617"/>
    <w:rsid w:val="00F03845"/>
    <w:rsid w:val="00F03895"/>
    <w:rsid w:val="00F049F4"/>
    <w:rsid w:val="00F058B9"/>
    <w:rsid w:val="00F05B70"/>
    <w:rsid w:val="00F06136"/>
    <w:rsid w:val="00F06ADF"/>
    <w:rsid w:val="00F06B59"/>
    <w:rsid w:val="00F07616"/>
    <w:rsid w:val="00F07A41"/>
    <w:rsid w:val="00F07E0F"/>
    <w:rsid w:val="00F1060A"/>
    <w:rsid w:val="00F109BD"/>
    <w:rsid w:val="00F110E1"/>
    <w:rsid w:val="00F11238"/>
    <w:rsid w:val="00F115B7"/>
    <w:rsid w:val="00F11646"/>
    <w:rsid w:val="00F12105"/>
    <w:rsid w:val="00F12274"/>
    <w:rsid w:val="00F1270E"/>
    <w:rsid w:val="00F12EBA"/>
    <w:rsid w:val="00F12F06"/>
    <w:rsid w:val="00F139C6"/>
    <w:rsid w:val="00F13C45"/>
    <w:rsid w:val="00F1403E"/>
    <w:rsid w:val="00F14642"/>
    <w:rsid w:val="00F14F93"/>
    <w:rsid w:val="00F15D2B"/>
    <w:rsid w:val="00F16979"/>
    <w:rsid w:val="00F16A9D"/>
    <w:rsid w:val="00F16E23"/>
    <w:rsid w:val="00F17650"/>
    <w:rsid w:val="00F202F6"/>
    <w:rsid w:val="00F20D5A"/>
    <w:rsid w:val="00F218AE"/>
    <w:rsid w:val="00F2305A"/>
    <w:rsid w:val="00F23246"/>
    <w:rsid w:val="00F24297"/>
    <w:rsid w:val="00F24902"/>
    <w:rsid w:val="00F2499B"/>
    <w:rsid w:val="00F24D5D"/>
    <w:rsid w:val="00F25239"/>
    <w:rsid w:val="00F25890"/>
    <w:rsid w:val="00F25FD4"/>
    <w:rsid w:val="00F30062"/>
    <w:rsid w:val="00F30102"/>
    <w:rsid w:val="00F30463"/>
    <w:rsid w:val="00F305DC"/>
    <w:rsid w:val="00F30DC7"/>
    <w:rsid w:val="00F31B51"/>
    <w:rsid w:val="00F32C8B"/>
    <w:rsid w:val="00F32FBF"/>
    <w:rsid w:val="00F33599"/>
    <w:rsid w:val="00F33B25"/>
    <w:rsid w:val="00F3479E"/>
    <w:rsid w:val="00F35034"/>
    <w:rsid w:val="00F35796"/>
    <w:rsid w:val="00F361ED"/>
    <w:rsid w:val="00F36550"/>
    <w:rsid w:val="00F36B4E"/>
    <w:rsid w:val="00F36E1D"/>
    <w:rsid w:val="00F37216"/>
    <w:rsid w:val="00F372A1"/>
    <w:rsid w:val="00F378DE"/>
    <w:rsid w:val="00F37BCC"/>
    <w:rsid w:val="00F402EF"/>
    <w:rsid w:val="00F41369"/>
    <w:rsid w:val="00F4169F"/>
    <w:rsid w:val="00F41F95"/>
    <w:rsid w:val="00F423A2"/>
    <w:rsid w:val="00F43557"/>
    <w:rsid w:val="00F4359B"/>
    <w:rsid w:val="00F43C1E"/>
    <w:rsid w:val="00F43D7D"/>
    <w:rsid w:val="00F44578"/>
    <w:rsid w:val="00F4464D"/>
    <w:rsid w:val="00F44BEF"/>
    <w:rsid w:val="00F45236"/>
    <w:rsid w:val="00F45D05"/>
    <w:rsid w:val="00F4633B"/>
    <w:rsid w:val="00F4637B"/>
    <w:rsid w:val="00F46787"/>
    <w:rsid w:val="00F46A32"/>
    <w:rsid w:val="00F47120"/>
    <w:rsid w:val="00F471AD"/>
    <w:rsid w:val="00F4722B"/>
    <w:rsid w:val="00F47231"/>
    <w:rsid w:val="00F474BA"/>
    <w:rsid w:val="00F4793F"/>
    <w:rsid w:val="00F47967"/>
    <w:rsid w:val="00F50BAF"/>
    <w:rsid w:val="00F5181A"/>
    <w:rsid w:val="00F51BD5"/>
    <w:rsid w:val="00F51EB3"/>
    <w:rsid w:val="00F521C6"/>
    <w:rsid w:val="00F52E7D"/>
    <w:rsid w:val="00F531CF"/>
    <w:rsid w:val="00F5323C"/>
    <w:rsid w:val="00F53902"/>
    <w:rsid w:val="00F53A70"/>
    <w:rsid w:val="00F53D79"/>
    <w:rsid w:val="00F540F1"/>
    <w:rsid w:val="00F55D5F"/>
    <w:rsid w:val="00F56543"/>
    <w:rsid w:val="00F5700C"/>
    <w:rsid w:val="00F57653"/>
    <w:rsid w:val="00F6004E"/>
    <w:rsid w:val="00F6027A"/>
    <w:rsid w:val="00F60699"/>
    <w:rsid w:val="00F60C87"/>
    <w:rsid w:val="00F60CA9"/>
    <w:rsid w:val="00F619B6"/>
    <w:rsid w:val="00F6258A"/>
    <w:rsid w:val="00F62B26"/>
    <w:rsid w:val="00F62BFD"/>
    <w:rsid w:val="00F63827"/>
    <w:rsid w:val="00F643ED"/>
    <w:rsid w:val="00F64773"/>
    <w:rsid w:val="00F64FA7"/>
    <w:rsid w:val="00F674D3"/>
    <w:rsid w:val="00F675DF"/>
    <w:rsid w:val="00F678A1"/>
    <w:rsid w:val="00F67B4F"/>
    <w:rsid w:val="00F67F79"/>
    <w:rsid w:val="00F70240"/>
    <w:rsid w:val="00F702E6"/>
    <w:rsid w:val="00F7205C"/>
    <w:rsid w:val="00F752EC"/>
    <w:rsid w:val="00F75652"/>
    <w:rsid w:val="00F75CF4"/>
    <w:rsid w:val="00F75DB3"/>
    <w:rsid w:val="00F76A77"/>
    <w:rsid w:val="00F77282"/>
    <w:rsid w:val="00F77EC4"/>
    <w:rsid w:val="00F82197"/>
    <w:rsid w:val="00F82875"/>
    <w:rsid w:val="00F837EF"/>
    <w:rsid w:val="00F844BF"/>
    <w:rsid w:val="00F84668"/>
    <w:rsid w:val="00F8490E"/>
    <w:rsid w:val="00F84B59"/>
    <w:rsid w:val="00F84F16"/>
    <w:rsid w:val="00F8535E"/>
    <w:rsid w:val="00F8554A"/>
    <w:rsid w:val="00F86070"/>
    <w:rsid w:val="00F8656F"/>
    <w:rsid w:val="00F86BD0"/>
    <w:rsid w:val="00F86E7A"/>
    <w:rsid w:val="00F87019"/>
    <w:rsid w:val="00F87530"/>
    <w:rsid w:val="00F876A0"/>
    <w:rsid w:val="00F876ED"/>
    <w:rsid w:val="00F87935"/>
    <w:rsid w:val="00F87D0F"/>
    <w:rsid w:val="00F87E63"/>
    <w:rsid w:val="00F9072D"/>
    <w:rsid w:val="00F90B24"/>
    <w:rsid w:val="00F90FA4"/>
    <w:rsid w:val="00F90FA5"/>
    <w:rsid w:val="00F912D9"/>
    <w:rsid w:val="00F913B6"/>
    <w:rsid w:val="00F920BE"/>
    <w:rsid w:val="00F92181"/>
    <w:rsid w:val="00F9296A"/>
    <w:rsid w:val="00F943A1"/>
    <w:rsid w:val="00F95E71"/>
    <w:rsid w:val="00F96EB3"/>
    <w:rsid w:val="00F97244"/>
    <w:rsid w:val="00F97A06"/>
    <w:rsid w:val="00F97D7F"/>
    <w:rsid w:val="00F97DEA"/>
    <w:rsid w:val="00FA0A53"/>
    <w:rsid w:val="00FA1383"/>
    <w:rsid w:val="00FA1694"/>
    <w:rsid w:val="00FA276F"/>
    <w:rsid w:val="00FA434C"/>
    <w:rsid w:val="00FA4604"/>
    <w:rsid w:val="00FA49B5"/>
    <w:rsid w:val="00FA4A41"/>
    <w:rsid w:val="00FA4DF7"/>
    <w:rsid w:val="00FA560B"/>
    <w:rsid w:val="00FA5ADB"/>
    <w:rsid w:val="00FA60B6"/>
    <w:rsid w:val="00FA629D"/>
    <w:rsid w:val="00FA6630"/>
    <w:rsid w:val="00FA7650"/>
    <w:rsid w:val="00FB03F1"/>
    <w:rsid w:val="00FB0A3A"/>
    <w:rsid w:val="00FB1625"/>
    <w:rsid w:val="00FB16D1"/>
    <w:rsid w:val="00FB27E9"/>
    <w:rsid w:val="00FB2957"/>
    <w:rsid w:val="00FB3191"/>
    <w:rsid w:val="00FB335D"/>
    <w:rsid w:val="00FB3738"/>
    <w:rsid w:val="00FB41C9"/>
    <w:rsid w:val="00FB4E4C"/>
    <w:rsid w:val="00FB4F15"/>
    <w:rsid w:val="00FB67CE"/>
    <w:rsid w:val="00FB68BA"/>
    <w:rsid w:val="00FB6F95"/>
    <w:rsid w:val="00FB7191"/>
    <w:rsid w:val="00FB75CC"/>
    <w:rsid w:val="00FB7A8C"/>
    <w:rsid w:val="00FB7BE9"/>
    <w:rsid w:val="00FC0068"/>
    <w:rsid w:val="00FC0471"/>
    <w:rsid w:val="00FC047F"/>
    <w:rsid w:val="00FC09DB"/>
    <w:rsid w:val="00FC0BFF"/>
    <w:rsid w:val="00FC2016"/>
    <w:rsid w:val="00FC2454"/>
    <w:rsid w:val="00FC2917"/>
    <w:rsid w:val="00FC37A6"/>
    <w:rsid w:val="00FC4A2A"/>
    <w:rsid w:val="00FC4BD3"/>
    <w:rsid w:val="00FC4CEC"/>
    <w:rsid w:val="00FC52F7"/>
    <w:rsid w:val="00FC59F6"/>
    <w:rsid w:val="00FC5A70"/>
    <w:rsid w:val="00FC5D8E"/>
    <w:rsid w:val="00FC61C6"/>
    <w:rsid w:val="00FC628C"/>
    <w:rsid w:val="00FC703D"/>
    <w:rsid w:val="00FC72AB"/>
    <w:rsid w:val="00FD09F4"/>
    <w:rsid w:val="00FD0CFE"/>
    <w:rsid w:val="00FD0FF5"/>
    <w:rsid w:val="00FD2958"/>
    <w:rsid w:val="00FD29B3"/>
    <w:rsid w:val="00FD2B92"/>
    <w:rsid w:val="00FD2C10"/>
    <w:rsid w:val="00FD4048"/>
    <w:rsid w:val="00FD4709"/>
    <w:rsid w:val="00FD52D6"/>
    <w:rsid w:val="00FD52F6"/>
    <w:rsid w:val="00FD5990"/>
    <w:rsid w:val="00FD5B63"/>
    <w:rsid w:val="00FD5D14"/>
    <w:rsid w:val="00FD5F5A"/>
    <w:rsid w:val="00FD67F0"/>
    <w:rsid w:val="00FD6EBC"/>
    <w:rsid w:val="00FD75EB"/>
    <w:rsid w:val="00FD7993"/>
    <w:rsid w:val="00FD7AF8"/>
    <w:rsid w:val="00FE0479"/>
    <w:rsid w:val="00FE0CC8"/>
    <w:rsid w:val="00FE0DDE"/>
    <w:rsid w:val="00FE0FC3"/>
    <w:rsid w:val="00FE11F3"/>
    <w:rsid w:val="00FE12C5"/>
    <w:rsid w:val="00FE1ED3"/>
    <w:rsid w:val="00FE27F0"/>
    <w:rsid w:val="00FE318A"/>
    <w:rsid w:val="00FE3538"/>
    <w:rsid w:val="00FE3780"/>
    <w:rsid w:val="00FE43AB"/>
    <w:rsid w:val="00FE61B0"/>
    <w:rsid w:val="00FE647F"/>
    <w:rsid w:val="00FE6D0B"/>
    <w:rsid w:val="00FF02C1"/>
    <w:rsid w:val="00FF0580"/>
    <w:rsid w:val="00FF08D9"/>
    <w:rsid w:val="00FF1223"/>
    <w:rsid w:val="00FF1FF2"/>
    <w:rsid w:val="00FF2912"/>
    <w:rsid w:val="00FF2F5E"/>
    <w:rsid w:val="00FF3091"/>
    <w:rsid w:val="00FF30F5"/>
    <w:rsid w:val="00FF339A"/>
    <w:rsid w:val="00FF3402"/>
    <w:rsid w:val="00FF3805"/>
    <w:rsid w:val="00FF3A4A"/>
    <w:rsid w:val="00FF4851"/>
    <w:rsid w:val="00FF5170"/>
    <w:rsid w:val="00FF5DB2"/>
    <w:rsid w:val="00FF662A"/>
    <w:rsid w:val="00FF6D9C"/>
    <w:rsid w:val="00FF7583"/>
    <w:rsid w:val="00FF76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DF9E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D37F78"/>
  </w:style>
  <w:style w:type="paragraph" w:styleId="1">
    <w:name w:val="heading 1"/>
    <w:aliases w:val="Заголовок1,Заголовок параграфа (1.),Section,Section Heading,level2 hdg,111"/>
    <w:basedOn w:val="a0"/>
    <w:next w:val="a0"/>
    <w:link w:val="10"/>
    <w:uiPriority w:val="9"/>
    <w:qFormat/>
    <w:rsid w:val="001F2DC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0">
    <w:name w:val="heading 2"/>
    <w:aliases w:val="Reset numbering,h2,h21,Заголовок пункта (1.1),5,222"/>
    <w:basedOn w:val="a0"/>
    <w:next w:val="a0"/>
    <w:link w:val="21"/>
    <w:uiPriority w:val="99"/>
    <w:unhideWhenUsed/>
    <w:qFormat/>
    <w:rsid w:val="001D4D1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aliases w:val="Level 1 - 1,Заголовок подпукта (1.1.1),H3"/>
    <w:basedOn w:val="a0"/>
    <w:next w:val="a0"/>
    <w:link w:val="30"/>
    <w:uiPriority w:val="9"/>
    <w:unhideWhenUsed/>
    <w:qFormat/>
    <w:rsid w:val="001D4D1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40">
    <w:name w:val="heading 4"/>
    <w:basedOn w:val="a0"/>
    <w:next w:val="a0"/>
    <w:link w:val="41"/>
    <w:uiPriority w:val="9"/>
    <w:unhideWhenUsed/>
    <w:qFormat/>
    <w:rsid w:val="001F2DC8"/>
    <w:pPr>
      <w:keepNext/>
      <w:keepLines/>
      <w:spacing w:before="40" w:after="0"/>
      <w:outlineLvl w:val="3"/>
    </w:pPr>
    <w:rPr>
      <w:rFonts w:ascii="Calibri Light" w:eastAsia="Times New Roman" w:hAnsi="Calibri Light" w:cs="Times New Roman"/>
      <w:i/>
      <w:iCs/>
      <w:color w:val="2E74B5"/>
    </w:rPr>
  </w:style>
  <w:style w:type="paragraph" w:styleId="5">
    <w:name w:val="heading 5"/>
    <w:basedOn w:val="a0"/>
    <w:next w:val="a0"/>
    <w:link w:val="50"/>
    <w:uiPriority w:val="9"/>
    <w:unhideWhenUsed/>
    <w:qFormat/>
    <w:rsid w:val="00590DB4"/>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aliases w:val="Bullet List,FooterText,numbered,List Paragraph,ПАРАГРАФ,Абзац списка2,Нумерованый список,List Paragraph1"/>
    <w:basedOn w:val="a0"/>
    <w:link w:val="a5"/>
    <w:qFormat/>
    <w:rsid w:val="001D4D13"/>
    <w:pPr>
      <w:ind w:left="720"/>
      <w:contextualSpacing/>
    </w:pPr>
    <w:rPr>
      <w:rFonts w:ascii="Calibri" w:eastAsia="Calibri" w:hAnsi="Calibri" w:cs="Times New Roman"/>
    </w:rPr>
  </w:style>
  <w:style w:type="character" w:customStyle="1" w:styleId="21">
    <w:name w:val="Заголовок 2 Знак"/>
    <w:aliases w:val="Reset numbering Знак,h2 Знак,h21 Знак,Заголовок пункта (1.1) Знак,5 Знак,222 Знак"/>
    <w:basedOn w:val="a1"/>
    <w:link w:val="20"/>
    <w:uiPriority w:val="99"/>
    <w:rsid w:val="001D4D13"/>
    <w:rPr>
      <w:rFonts w:asciiTheme="majorHAnsi" w:eastAsiaTheme="majorEastAsia" w:hAnsiTheme="majorHAnsi" w:cstheme="majorBidi"/>
      <w:color w:val="365F91" w:themeColor="accent1" w:themeShade="BF"/>
      <w:sz w:val="26"/>
      <w:szCs w:val="26"/>
    </w:rPr>
  </w:style>
  <w:style w:type="paragraph" w:styleId="a6">
    <w:name w:val="Title"/>
    <w:basedOn w:val="a0"/>
    <w:next w:val="a0"/>
    <w:link w:val="a7"/>
    <w:uiPriority w:val="10"/>
    <w:qFormat/>
    <w:rsid w:val="001D4D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7">
    <w:name w:val="Заголовок Знак"/>
    <w:basedOn w:val="a1"/>
    <w:link w:val="a6"/>
    <w:uiPriority w:val="10"/>
    <w:rsid w:val="001D4D13"/>
    <w:rPr>
      <w:rFonts w:asciiTheme="majorHAnsi" w:eastAsiaTheme="majorEastAsia" w:hAnsiTheme="majorHAnsi" w:cstheme="majorBidi"/>
      <w:spacing w:val="-10"/>
      <w:kern w:val="28"/>
      <w:sz w:val="56"/>
      <w:szCs w:val="56"/>
    </w:rPr>
  </w:style>
  <w:style w:type="character" w:customStyle="1" w:styleId="30">
    <w:name w:val="Заголовок 3 Знак"/>
    <w:aliases w:val="Level 1 - 1 Знак,Заголовок подпукта (1.1.1) Знак,H3 Знак"/>
    <w:basedOn w:val="a1"/>
    <w:link w:val="3"/>
    <w:uiPriority w:val="9"/>
    <w:rsid w:val="001D4D13"/>
    <w:rPr>
      <w:rFonts w:asciiTheme="majorHAnsi" w:eastAsiaTheme="majorEastAsia" w:hAnsiTheme="majorHAnsi" w:cstheme="majorBidi"/>
      <w:color w:val="243F60" w:themeColor="accent1" w:themeShade="7F"/>
      <w:sz w:val="24"/>
      <w:szCs w:val="24"/>
    </w:rPr>
  </w:style>
  <w:style w:type="paragraph" w:customStyle="1" w:styleId="subclauseindent">
    <w:name w:val="subclauseindent"/>
    <w:basedOn w:val="a0"/>
    <w:uiPriority w:val="99"/>
    <w:rsid w:val="00A839F2"/>
    <w:pPr>
      <w:spacing w:before="120" w:after="120" w:line="240" w:lineRule="auto"/>
      <w:ind w:left="1701"/>
      <w:jc w:val="both"/>
    </w:pPr>
    <w:rPr>
      <w:rFonts w:ascii="Times New Roman" w:eastAsia="Times New Roman" w:hAnsi="Times New Roman" w:cs="Times New Roman"/>
      <w:szCs w:val="20"/>
      <w:lang w:val="en-GB"/>
    </w:rPr>
  </w:style>
  <w:style w:type="character" w:customStyle="1" w:styleId="10">
    <w:name w:val="Заголовок 1 Знак"/>
    <w:aliases w:val="Заголовок1 Знак,Заголовок параграфа (1.) Знак,Section Знак,Section Heading Знак,level2 hdg Знак,111 Знак"/>
    <w:basedOn w:val="a1"/>
    <w:link w:val="1"/>
    <w:uiPriority w:val="9"/>
    <w:rsid w:val="001F2DC8"/>
    <w:rPr>
      <w:rFonts w:asciiTheme="majorHAnsi" w:eastAsiaTheme="majorEastAsia" w:hAnsiTheme="majorHAnsi" w:cstheme="majorBidi"/>
      <w:color w:val="365F91" w:themeColor="accent1" w:themeShade="BF"/>
      <w:sz w:val="32"/>
      <w:szCs w:val="32"/>
    </w:rPr>
  </w:style>
  <w:style w:type="character" w:customStyle="1" w:styleId="41">
    <w:name w:val="Заголовок 4 Знак"/>
    <w:basedOn w:val="a1"/>
    <w:link w:val="40"/>
    <w:uiPriority w:val="9"/>
    <w:rsid w:val="001F2DC8"/>
    <w:rPr>
      <w:rFonts w:ascii="Calibri Light" w:eastAsia="Times New Roman" w:hAnsi="Calibri Light" w:cs="Times New Roman"/>
      <w:i/>
      <w:iCs/>
      <w:color w:val="2E74B5"/>
    </w:rPr>
  </w:style>
  <w:style w:type="character" w:styleId="a8">
    <w:name w:val="Strong"/>
    <w:basedOn w:val="a1"/>
    <w:uiPriority w:val="22"/>
    <w:qFormat/>
    <w:rsid w:val="001F2DC8"/>
    <w:rPr>
      <w:b/>
      <w:bCs/>
    </w:rPr>
  </w:style>
  <w:style w:type="paragraph" w:customStyle="1" w:styleId="22">
    <w:name w:val="?Заголовок2"/>
    <w:basedOn w:val="a0"/>
    <w:link w:val="23"/>
    <w:qFormat/>
    <w:rsid w:val="001F2DC8"/>
    <w:pPr>
      <w:keepNext/>
      <w:spacing w:before="320" w:line="340" w:lineRule="exact"/>
      <w:ind w:left="284"/>
    </w:pPr>
    <w:rPr>
      <w:rFonts w:ascii="CharterC" w:eastAsia="Times New Roman" w:hAnsi="CharterC" w:cs="Times New Roman"/>
      <w:b/>
      <w:i/>
      <w:sz w:val="32"/>
      <w:szCs w:val="24"/>
      <w:lang w:eastAsia="ru-RU"/>
    </w:rPr>
  </w:style>
  <w:style w:type="character" w:customStyle="1" w:styleId="23">
    <w:name w:val="?Заголовок2 Знак"/>
    <w:link w:val="22"/>
    <w:rsid w:val="001F2DC8"/>
    <w:rPr>
      <w:rFonts w:ascii="CharterC" w:eastAsia="Times New Roman" w:hAnsi="CharterC" w:cs="Times New Roman"/>
      <w:b/>
      <w:i/>
      <w:sz w:val="32"/>
      <w:szCs w:val="24"/>
      <w:lang w:eastAsia="ru-RU"/>
    </w:rPr>
  </w:style>
  <w:style w:type="paragraph" w:customStyle="1" w:styleId="a9">
    <w:name w:val="?Текст таблицы"/>
    <w:basedOn w:val="a0"/>
    <w:link w:val="aa"/>
    <w:qFormat/>
    <w:rsid w:val="001F2DC8"/>
    <w:pPr>
      <w:spacing w:before="20" w:after="20" w:line="240" w:lineRule="auto"/>
    </w:pPr>
    <w:rPr>
      <w:rFonts w:ascii="CharterC" w:eastAsia="Times New Roman" w:hAnsi="CharterC" w:cs="Times New Roman"/>
      <w:i/>
      <w:sz w:val="18"/>
      <w:szCs w:val="24"/>
      <w:lang w:eastAsia="ru-RU"/>
    </w:rPr>
  </w:style>
  <w:style w:type="character" w:customStyle="1" w:styleId="aa">
    <w:name w:val="?Текст таблицы Знак"/>
    <w:link w:val="a9"/>
    <w:rsid w:val="001F2DC8"/>
    <w:rPr>
      <w:rFonts w:ascii="CharterC" w:eastAsia="Times New Roman" w:hAnsi="CharterC" w:cs="Times New Roman"/>
      <w:i/>
      <w:sz w:val="18"/>
      <w:szCs w:val="24"/>
      <w:lang w:eastAsia="ru-RU"/>
    </w:rPr>
  </w:style>
  <w:style w:type="paragraph" w:customStyle="1" w:styleId="2">
    <w:name w:val="Заголовок2"/>
    <w:basedOn w:val="22"/>
    <w:next w:val="a0"/>
    <w:link w:val="24"/>
    <w:qFormat/>
    <w:rsid w:val="001F2DC8"/>
    <w:pPr>
      <w:numPr>
        <w:ilvl w:val="1"/>
        <w:numId w:val="1"/>
      </w:numPr>
      <w:spacing w:line="288" w:lineRule="auto"/>
      <w:jc w:val="both"/>
    </w:pPr>
    <w:rPr>
      <w:rFonts w:ascii="Myriad Pro" w:hAnsi="Myriad Pro"/>
      <w:i w:val="0"/>
      <w:color w:val="76923C" w:themeColor="accent3" w:themeShade="BF"/>
      <w:sz w:val="28"/>
      <w:szCs w:val="28"/>
    </w:rPr>
  </w:style>
  <w:style w:type="character" w:customStyle="1" w:styleId="24">
    <w:name w:val="Заголовок2 Знак"/>
    <w:basedOn w:val="23"/>
    <w:link w:val="2"/>
    <w:rsid w:val="001F2DC8"/>
    <w:rPr>
      <w:rFonts w:ascii="Myriad Pro" w:eastAsia="Times New Roman" w:hAnsi="Myriad Pro" w:cs="Times New Roman"/>
      <w:b/>
      <w:i w:val="0"/>
      <w:color w:val="76923C" w:themeColor="accent3" w:themeShade="BF"/>
      <w:sz w:val="28"/>
      <w:szCs w:val="28"/>
      <w:lang w:eastAsia="ru-RU"/>
    </w:rPr>
  </w:style>
  <w:style w:type="character" w:customStyle="1" w:styleId="25">
    <w:name w:val="Основной текст (2)_"/>
    <w:basedOn w:val="a1"/>
    <w:link w:val="26"/>
    <w:rsid w:val="001F2DC8"/>
    <w:rPr>
      <w:rFonts w:ascii="Times New Roman" w:eastAsia="Times New Roman" w:hAnsi="Times New Roman" w:cs="Times New Roman"/>
      <w:shd w:val="clear" w:color="auto" w:fill="FFFFFF"/>
    </w:rPr>
  </w:style>
  <w:style w:type="paragraph" w:customStyle="1" w:styleId="26">
    <w:name w:val="Основной текст (2)"/>
    <w:basedOn w:val="a0"/>
    <w:link w:val="25"/>
    <w:rsid w:val="001F2DC8"/>
    <w:pPr>
      <w:widowControl w:val="0"/>
      <w:shd w:val="clear" w:color="auto" w:fill="FFFFFF"/>
      <w:spacing w:after="0" w:line="360" w:lineRule="exact"/>
      <w:jc w:val="both"/>
    </w:pPr>
    <w:rPr>
      <w:rFonts w:ascii="Times New Roman" w:eastAsia="Times New Roman" w:hAnsi="Times New Roman" w:cs="Times New Roman"/>
    </w:rPr>
  </w:style>
  <w:style w:type="paragraph" w:customStyle="1" w:styleId="410">
    <w:name w:val="Заголовок 41"/>
    <w:basedOn w:val="a0"/>
    <w:next w:val="a0"/>
    <w:uiPriority w:val="9"/>
    <w:unhideWhenUsed/>
    <w:qFormat/>
    <w:rsid w:val="001F2DC8"/>
    <w:pPr>
      <w:keepNext/>
      <w:keepLines/>
      <w:spacing w:before="40" w:after="0"/>
      <w:outlineLvl w:val="3"/>
    </w:pPr>
    <w:rPr>
      <w:rFonts w:ascii="Calibri Light" w:eastAsia="Times New Roman" w:hAnsi="Calibri Light" w:cs="Times New Roman"/>
      <w:i/>
      <w:iCs/>
      <w:color w:val="2E74B5"/>
    </w:rPr>
  </w:style>
  <w:style w:type="numbering" w:customStyle="1" w:styleId="11">
    <w:name w:val="Нет списка1"/>
    <w:next w:val="a3"/>
    <w:uiPriority w:val="99"/>
    <w:semiHidden/>
    <w:unhideWhenUsed/>
    <w:rsid w:val="001F2DC8"/>
  </w:style>
  <w:style w:type="character" w:customStyle="1" w:styleId="apple-converted-space">
    <w:name w:val="apple-converted-space"/>
    <w:basedOn w:val="a1"/>
    <w:rsid w:val="001F2DC8"/>
  </w:style>
  <w:style w:type="character" w:styleId="ab">
    <w:name w:val="Hyperlink"/>
    <w:basedOn w:val="a1"/>
    <w:uiPriority w:val="99"/>
    <w:unhideWhenUsed/>
    <w:rsid w:val="001F2DC8"/>
    <w:rPr>
      <w:color w:val="0000FF"/>
      <w:u w:val="single"/>
    </w:rPr>
  </w:style>
  <w:style w:type="paragraph" w:styleId="ac">
    <w:name w:val="Normal (Web)"/>
    <w:basedOn w:val="a0"/>
    <w:uiPriority w:val="99"/>
    <w:unhideWhenUsed/>
    <w:rsid w:val="001F2DC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2">
    <w:name w:val="Просмотренная гиперссылка1"/>
    <w:basedOn w:val="a1"/>
    <w:uiPriority w:val="99"/>
    <w:semiHidden/>
    <w:unhideWhenUsed/>
    <w:rsid w:val="001F2DC8"/>
    <w:rPr>
      <w:color w:val="954F72"/>
      <w:u w:val="single"/>
    </w:rPr>
  </w:style>
  <w:style w:type="paragraph" w:customStyle="1" w:styleId="font5">
    <w:name w:val="font5"/>
    <w:basedOn w:val="a0"/>
    <w:rsid w:val="001F2DC8"/>
    <w:pPr>
      <w:spacing w:before="100" w:beforeAutospacing="1" w:after="100" w:afterAutospacing="1" w:line="240" w:lineRule="auto"/>
    </w:pPr>
    <w:rPr>
      <w:rFonts w:ascii="Times New Roman" w:eastAsia="Times New Roman" w:hAnsi="Times New Roman" w:cs="Times New Roman"/>
      <w:lang w:eastAsia="ru-RU"/>
    </w:rPr>
  </w:style>
  <w:style w:type="paragraph" w:customStyle="1" w:styleId="xl65">
    <w:name w:val="xl65"/>
    <w:basedOn w:val="a0"/>
    <w:rsid w:val="001F2DC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eastAsia="ru-RU"/>
    </w:rPr>
  </w:style>
  <w:style w:type="paragraph" w:customStyle="1" w:styleId="xl66">
    <w:name w:val="xl66"/>
    <w:basedOn w:val="a0"/>
    <w:rsid w:val="001F2DC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d">
    <w:name w:val="TOC Heading"/>
    <w:basedOn w:val="1"/>
    <w:next w:val="a0"/>
    <w:uiPriority w:val="39"/>
    <w:unhideWhenUsed/>
    <w:qFormat/>
    <w:rsid w:val="001F2DC8"/>
    <w:pPr>
      <w:outlineLvl w:val="9"/>
    </w:pPr>
    <w:rPr>
      <w:lang w:eastAsia="ru-RU"/>
    </w:rPr>
  </w:style>
  <w:style w:type="paragraph" w:styleId="27">
    <w:name w:val="toc 2"/>
    <w:basedOn w:val="a0"/>
    <w:next w:val="a0"/>
    <w:autoRedefine/>
    <w:uiPriority w:val="39"/>
    <w:unhideWhenUsed/>
    <w:rsid w:val="001F2DC8"/>
    <w:pPr>
      <w:spacing w:after="100"/>
      <w:ind w:left="220"/>
    </w:pPr>
    <w:rPr>
      <w:rFonts w:ascii="Myriad Pro" w:hAnsi="Myriad Pro"/>
    </w:rPr>
  </w:style>
  <w:style w:type="paragraph" w:styleId="13">
    <w:name w:val="toc 1"/>
    <w:basedOn w:val="a0"/>
    <w:next w:val="a0"/>
    <w:autoRedefine/>
    <w:uiPriority w:val="39"/>
    <w:unhideWhenUsed/>
    <w:rsid w:val="001F2DC8"/>
    <w:pPr>
      <w:spacing w:after="100"/>
    </w:pPr>
    <w:rPr>
      <w:rFonts w:ascii="Myriad Pro" w:hAnsi="Myriad Pro"/>
    </w:rPr>
  </w:style>
  <w:style w:type="paragraph" w:customStyle="1" w:styleId="31">
    <w:name w:val="Оглавление 31"/>
    <w:basedOn w:val="a0"/>
    <w:next w:val="a0"/>
    <w:autoRedefine/>
    <w:uiPriority w:val="39"/>
    <w:unhideWhenUsed/>
    <w:rsid w:val="001F2DC8"/>
    <w:pPr>
      <w:spacing w:after="100"/>
      <w:ind w:left="440"/>
    </w:pPr>
    <w:rPr>
      <w:rFonts w:eastAsia="Times New Roman" w:cs="Times New Roman"/>
      <w:lang w:eastAsia="ru-RU"/>
    </w:rPr>
  </w:style>
  <w:style w:type="paragraph" w:styleId="ae">
    <w:name w:val="endnote text"/>
    <w:basedOn w:val="a0"/>
    <w:link w:val="af"/>
    <w:uiPriority w:val="99"/>
    <w:semiHidden/>
    <w:unhideWhenUsed/>
    <w:rsid w:val="001F2DC8"/>
    <w:pPr>
      <w:spacing w:after="0" w:line="240" w:lineRule="auto"/>
    </w:pPr>
    <w:rPr>
      <w:rFonts w:ascii="Myriad Pro" w:hAnsi="Myriad Pro"/>
      <w:sz w:val="20"/>
      <w:szCs w:val="20"/>
    </w:rPr>
  </w:style>
  <w:style w:type="character" w:customStyle="1" w:styleId="af">
    <w:name w:val="Текст концевой сноски Знак"/>
    <w:basedOn w:val="a1"/>
    <w:link w:val="ae"/>
    <w:uiPriority w:val="99"/>
    <w:semiHidden/>
    <w:rsid w:val="001F2DC8"/>
    <w:rPr>
      <w:rFonts w:ascii="Myriad Pro" w:hAnsi="Myriad Pro"/>
      <w:sz w:val="20"/>
      <w:szCs w:val="20"/>
    </w:rPr>
  </w:style>
  <w:style w:type="character" w:styleId="af0">
    <w:name w:val="endnote reference"/>
    <w:basedOn w:val="a1"/>
    <w:uiPriority w:val="99"/>
    <w:semiHidden/>
    <w:unhideWhenUsed/>
    <w:rsid w:val="001F2DC8"/>
    <w:rPr>
      <w:vertAlign w:val="superscript"/>
    </w:rPr>
  </w:style>
  <w:style w:type="character" w:customStyle="1" w:styleId="2115pt">
    <w:name w:val="Основной текст (2) + 11;5 pt;Курсив"/>
    <w:basedOn w:val="25"/>
    <w:rsid w:val="001F2DC8"/>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8">
    <w:name w:val="Основной текст (2) + Полужирный;Курсив"/>
    <w:basedOn w:val="25"/>
    <w:rsid w:val="001F2DC8"/>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f1">
    <w:name w:val="FollowedHyperlink"/>
    <w:basedOn w:val="a1"/>
    <w:uiPriority w:val="99"/>
    <w:semiHidden/>
    <w:unhideWhenUsed/>
    <w:rsid w:val="001F2DC8"/>
    <w:rPr>
      <w:color w:val="800080" w:themeColor="followedHyperlink"/>
      <w:u w:val="single"/>
    </w:rPr>
  </w:style>
  <w:style w:type="character" w:customStyle="1" w:styleId="411">
    <w:name w:val="Заголовок 4 Знак1"/>
    <w:basedOn w:val="a1"/>
    <w:uiPriority w:val="9"/>
    <w:semiHidden/>
    <w:rsid w:val="001F2DC8"/>
    <w:rPr>
      <w:rFonts w:asciiTheme="majorHAnsi" w:eastAsiaTheme="majorEastAsia" w:hAnsiTheme="majorHAnsi" w:cstheme="majorBidi"/>
      <w:i/>
      <w:iCs/>
      <w:color w:val="365F91" w:themeColor="accent1" w:themeShade="BF"/>
    </w:rPr>
  </w:style>
  <w:style w:type="paragraph" w:styleId="af2">
    <w:name w:val="No Spacing"/>
    <w:link w:val="af3"/>
    <w:uiPriority w:val="1"/>
    <w:qFormat/>
    <w:rsid w:val="0029734F"/>
    <w:pPr>
      <w:spacing w:after="0" w:line="240" w:lineRule="auto"/>
    </w:pPr>
    <w:rPr>
      <w:rFonts w:eastAsiaTheme="minorEastAsia"/>
      <w:lang w:eastAsia="ru-RU"/>
    </w:rPr>
  </w:style>
  <w:style w:type="character" w:customStyle="1" w:styleId="af3">
    <w:name w:val="Без интервала Знак"/>
    <w:basedOn w:val="a1"/>
    <w:link w:val="af2"/>
    <w:uiPriority w:val="1"/>
    <w:rsid w:val="0029734F"/>
    <w:rPr>
      <w:rFonts w:eastAsiaTheme="minorEastAsia"/>
      <w:lang w:eastAsia="ru-RU"/>
    </w:rPr>
  </w:style>
  <w:style w:type="paragraph" w:styleId="32">
    <w:name w:val="toc 3"/>
    <w:basedOn w:val="a0"/>
    <w:next w:val="a0"/>
    <w:autoRedefine/>
    <w:uiPriority w:val="39"/>
    <w:unhideWhenUsed/>
    <w:rsid w:val="00D241B1"/>
    <w:pPr>
      <w:tabs>
        <w:tab w:val="left" w:pos="851"/>
        <w:tab w:val="left" w:pos="1134"/>
        <w:tab w:val="right" w:leader="dot" w:pos="9356"/>
      </w:tabs>
      <w:spacing w:after="100"/>
      <w:ind w:left="440" w:right="140"/>
      <w:jc w:val="both"/>
    </w:pPr>
  </w:style>
  <w:style w:type="paragraph" w:styleId="af4">
    <w:name w:val="header"/>
    <w:aliases w:val="encabezado,Header Char1,Header Char Char,Header Char2 Char Char,Header Char1 Char Char Char,Header Char Char Char Char Char,Header Char Char1 Char Char,Header Char,Header Char2 Char,Header Char1 Char Char,Header Char Char Char Char Зн"/>
    <w:basedOn w:val="a0"/>
    <w:link w:val="af5"/>
    <w:uiPriority w:val="99"/>
    <w:unhideWhenUsed/>
    <w:rsid w:val="001335E3"/>
    <w:pPr>
      <w:tabs>
        <w:tab w:val="center" w:pos="4677"/>
        <w:tab w:val="right" w:pos="9355"/>
      </w:tabs>
      <w:spacing w:after="0" w:line="240" w:lineRule="auto"/>
    </w:pPr>
  </w:style>
  <w:style w:type="character" w:customStyle="1" w:styleId="af5">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1"/>
    <w:link w:val="af4"/>
    <w:uiPriority w:val="99"/>
    <w:rsid w:val="001335E3"/>
  </w:style>
  <w:style w:type="paragraph" w:styleId="af6">
    <w:name w:val="footer"/>
    <w:basedOn w:val="a0"/>
    <w:link w:val="af7"/>
    <w:uiPriority w:val="99"/>
    <w:unhideWhenUsed/>
    <w:rsid w:val="001335E3"/>
    <w:pPr>
      <w:tabs>
        <w:tab w:val="center" w:pos="4677"/>
        <w:tab w:val="right" w:pos="9355"/>
      </w:tabs>
      <w:spacing w:after="0" w:line="240" w:lineRule="auto"/>
    </w:pPr>
  </w:style>
  <w:style w:type="character" w:customStyle="1" w:styleId="af7">
    <w:name w:val="Нижний колонтитул Знак"/>
    <w:basedOn w:val="a1"/>
    <w:link w:val="af6"/>
    <w:uiPriority w:val="99"/>
    <w:rsid w:val="001335E3"/>
  </w:style>
  <w:style w:type="paragraph" w:customStyle="1" w:styleId="ConsPlusNormal">
    <w:name w:val="ConsPlusNormal"/>
    <w:rsid w:val="00C86215"/>
    <w:pPr>
      <w:autoSpaceDE w:val="0"/>
      <w:autoSpaceDN w:val="0"/>
      <w:adjustRightInd w:val="0"/>
      <w:spacing w:after="0" w:line="240" w:lineRule="auto"/>
    </w:pPr>
    <w:rPr>
      <w:rFonts w:ascii="Myriad Pro" w:hAnsi="Myriad Pro" w:cs="Myriad Pro"/>
      <w:sz w:val="26"/>
      <w:szCs w:val="26"/>
    </w:rPr>
  </w:style>
  <w:style w:type="character" w:customStyle="1" w:styleId="33">
    <w:name w:val="Основной текст (3)_"/>
    <w:basedOn w:val="a1"/>
    <w:link w:val="34"/>
    <w:rsid w:val="00C86215"/>
    <w:rPr>
      <w:rFonts w:ascii="Times New Roman" w:eastAsia="Times New Roman" w:hAnsi="Times New Roman" w:cs="Times New Roman"/>
      <w:b/>
      <w:bCs/>
      <w:sz w:val="28"/>
      <w:szCs w:val="28"/>
      <w:shd w:val="clear" w:color="auto" w:fill="FFFFFF"/>
    </w:rPr>
  </w:style>
  <w:style w:type="character" w:customStyle="1" w:styleId="14">
    <w:name w:val="Заголовок №1_"/>
    <w:basedOn w:val="a1"/>
    <w:link w:val="15"/>
    <w:rsid w:val="00C86215"/>
    <w:rPr>
      <w:rFonts w:ascii="Times New Roman" w:eastAsia="Times New Roman" w:hAnsi="Times New Roman" w:cs="Times New Roman"/>
      <w:b/>
      <w:bCs/>
      <w:sz w:val="28"/>
      <w:szCs w:val="28"/>
      <w:shd w:val="clear" w:color="auto" w:fill="FFFFFF"/>
    </w:rPr>
  </w:style>
  <w:style w:type="character" w:customStyle="1" w:styleId="29">
    <w:name w:val="Подпись к таблице (2)_"/>
    <w:basedOn w:val="a1"/>
    <w:link w:val="2a"/>
    <w:rsid w:val="00C86215"/>
    <w:rPr>
      <w:rFonts w:ascii="Times New Roman" w:eastAsia="Times New Roman" w:hAnsi="Times New Roman" w:cs="Times New Roman"/>
      <w:b/>
      <w:bCs/>
      <w:sz w:val="28"/>
      <w:szCs w:val="28"/>
      <w:shd w:val="clear" w:color="auto" w:fill="FFFFFF"/>
    </w:rPr>
  </w:style>
  <w:style w:type="character" w:customStyle="1" w:styleId="295pt">
    <w:name w:val="Основной текст (2) + 9;5 pt"/>
    <w:basedOn w:val="25"/>
    <w:rsid w:val="00C86215"/>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basedOn w:val="25"/>
    <w:rsid w:val="00C86215"/>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basedOn w:val="25"/>
    <w:rsid w:val="00C86215"/>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basedOn w:val="25"/>
    <w:rsid w:val="00C86215"/>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4">
    <w:name w:val="Основной текст (3)"/>
    <w:basedOn w:val="a0"/>
    <w:link w:val="33"/>
    <w:rsid w:val="00C86215"/>
    <w:pPr>
      <w:widowControl w:val="0"/>
      <w:shd w:val="clear" w:color="auto" w:fill="FFFFFF"/>
      <w:spacing w:after="240" w:line="310" w:lineRule="exact"/>
      <w:jc w:val="right"/>
    </w:pPr>
    <w:rPr>
      <w:rFonts w:ascii="Times New Roman" w:eastAsia="Times New Roman" w:hAnsi="Times New Roman" w:cs="Times New Roman"/>
      <w:b/>
      <w:bCs/>
      <w:sz w:val="28"/>
      <w:szCs w:val="28"/>
    </w:rPr>
  </w:style>
  <w:style w:type="paragraph" w:customStyle="1" w:styleId="15">
    <w:name w:val="Заголовок №1"/>
    <w:basedOn w:val="a0"/>
    <w:link w:val="14"/>
    <w:rsid w:val="00C86215"/>
    <w:pPr>
      <w:widowControl w:val="0"/>
      <w:shd w:val="clear" w:color="auto" w:fill="FFFFFF"/>
      <w:spacing w:after="0" w:line="480" w:lineRule="exact"/>
      <w:jc w:val="right"/>
      <w:outlineLvl w:val="0"/>
    </w:pPr>
    <w:rPr>
      <w:rFonts w:ascii="Times New Roman" w:eastAsia="Times New Roman" w:hAnsi="Times New Roman" w:cs="Times New Roman"/>
      <w:b/>
      <w:bCs/>
      <w:sz w:val="28"/>
      <w:szCs w:val="28"/>
    </w:rPr>
  </w:style>
  <w:style w:type="paragraph" w:customStyle="1" w:styleId="2a">
    <w:name w:val="Подпись к таблице (2)"/>
    <w:basedOn w:val="a0"/>
    <w:link w:val="29"/>
    <w:rsid w:val="00C86215"/>
    <w:pPr>
      <w:widowControl w:val="0"/>
      <w:shd w:val="clear" w:color="auto" w:fill="FFFFFF"/>
      <w:spacing w:after="0" w:line="310" w:lineRule="exact"/>
    </w:pPr>
    <w:rPr>
      <w:rFonts w:ascii="Times New Roman" w:eastAsia="Times New Roman" w:hAnsi="Times New Roman" w:cs="Times New Roman"/>
      <w:b/>
      <w:bCs/>
      <w:sz w:val="28"/>
      <w:szCs w:val="28"/>
    </w:rPr>
  </w:style>
  <w:style w:type="table" w:styleId="af8">
    <w:name w:val="Table Grid"/>
    <w:basedOn w:val="a2"/>
    <w:uiPriority w:val="39"/>
    <w:rsid w:val="00C86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9">
    <w:name w:val="Основной текст отчета"/>
    <w:rsid w:val="008C4307"/>
    <w:pPr>
      <w:spacing w:after="0" w:line="320" w:lineRule="atLeast"/>
      <w:ind w:firstLine="709"/>
      <w:jc w:val="both"/>
    </w:pPr>
    <w:rPr>
      <w:rFonts w:ascii="Times New Roman" w:eastAsia="Calibri" w:hAnsi="Times New Roman" w:cs="Times New Roman"/>
      <w:sz w:val="24"/>
      <w:szCs w:val="24"/>
      <w:lang w:eastAsia="ru-RU"/>
    </w:rPr>
  </w:style>
  <w:style w:type="paragraph" w:styleId="afa">
    <w:name w:val="Balloon Text"/>
    <w:basedOn w:val="a0"/>
    <w:link w:val="afb"/>
    <w:uiPriority w:val="99"/>
    <w:semiHidden/>
    <w:unhideWhenUsed/>
    <w:rsid w:val="005F6A4F"/>
    <w:pPr>
      <w:spacing w:after="0" w:line="240" w:lineRule="auto"/>
    </w:pPr>
    <w:rPr>
      <w:rFonts w:ascii="Segoe UI" w:hAnsi="Segoe UI" w:cs="Segoe UI"/>
      <w:sz w:val="18"/>
      <w:szCs w:val="18"/>
    </w:rPr>
  </w:style>
  <w:style w:type="character" w:customStyle="1" w:styleId="afb">
    <w:name w:val="Текст выноски Знак"/>
    <w:basedOn w:val="a1"/>
    <w:link w:val="afa"/>
    <w:uiPriority w:val="99"/>
    <w:semiHidden/>
    <w:rsid w:val="005F6A4F"/>
    <w:rPr>
      <w:rFonts w:ascii="Segoe UI" w:hAnsi="Segoe UI" w:cs="Segoe UI"/>
      <w:sz w:val="18"/>
      <w:szCs w:val="18"/>
    </w:rPr>
  </w:style>
  <w:style w:type="paragraph" w:customStyle="1" w:styleId="afc">
    <w:name w:val="Текст записки"/>
    <w:basedOn w:val="a0"/>
    <w:rsid w:val="003F5237"/>
    <w:pPr>
      <w:suppressAutoHyphens/>
      <w:spacing w:after="120" w:line="276" w:lineRule="auto"/>
      <w:ind w:firstLine="709"/>
      <w:jc w:val="both"/>
    </w:pPr>
    <w:rPr>
      <w:rFonts w:ascii="Calibri" w:eastAsia="Times New Roman" w:hAnsi="Calibri" w:cs="Calibri"/>
      <w:sz w:val="28"/>
      <w:szCs w:val="26"/>
      <w:lang w:eastAsia="ar-SA"/>
    </w:rPr>
  </w:style>
  <w:style w:type="paragraph" w:customStyle="1" w:styleId="afd">
    <w:name w:val="Текст ТЭП"/>
    <w:basedOn w:val="a0"/>
    <w:qFormat/>
    <w:rsid w:val="003F5237"/>
    <w:pPr>
      <w:spacing w:after="0" w:line="312" w:lineRule="auto"/>
      <w:ind w:left="1418" w:right="284" w:firstLine="851"/>
      <w:jc w:val="both"/>
    </w:pPr>
    <w:rPr>
      <w:rFonts w:ascii="Times New Roman" w:eastAsia="Times New Roman" w:hAnsi="Times New Roman" w:cs="Times New Roman"/>
      <w:sz w:val="28"/>
      <w:szCs w:val="20"/>
      <w:lang w:eastAsia="ru-RU"/>
    </w:rPr>
  </w:style>
  <w:style w:type="table" w:customStyle="1" w:styleId="16">
    <w:name w:val="Стиль1"/>
    <w:basedOn w:val="a2"/>
    <w:uiPriority w:val="99"/>
    <w:rsid w:val="0098739C"/>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styleId="afe">
    <w:name w:val="Emphasis"/>
    <w:basedOn w:val="a1"/>
    <w:uiPriority w:val="20"/>
    <w:qFormat/>
    <w:rsid w:val="00487608"/>
    <w:rPr>
      <w:i/>
      <w:iCs/>
    </w:rPr>
  </w:style>
  <w:style w:type="character" w:customStyle="1" w:styleId="editsection">
    <w:name w:val="editsection"/>
    <w:basedOn w:val="a1"/>
    <w:rsid w:val="00487608"/>
  </w:style>
  <w:style w:type="character" w:customStyle="1" w:styleId="mw-headline">
    <w:name w:val="mw-headline"/>
    <w:basedOn w:val="a1"/>
    <w:rsid w:val="00487608"/>
  </w:style>
  <w:style w:type="character" w:customStyle="1" w:styleId="w">
    <w:name w:val="w"/>
    <w:basedOn w:val="a1"/>
    <w:rsid w:val="00487608"/>
  </w:style>
  <w:style w:type="paragraph" w:customStyle="1" w:styleId="bodytext">
    <w:name w:val="bodytext"/>
    <w:basedOn w:val="a0"/>
    <w:rsid w:val="0048760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105pt">
    <w:name w:val="Основной текст (2) + 10;5 pt;Полужирный"/>
    <w:basedOn w:val="25"/>
    <w:rsid w:val="00487608"/>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basedOn w:val="a1"/>
    <w:rsid w:val="00487608"/>
    <w:rPr>
      <w:rFonts w:ascii="Times New Roman" w:eastAsia="Times New Roman" w:hAnsi="Times New Roman" w:cs="Times New Roman"/>
      <w:b/>
      <w:bCs/>
      <w:i w:val="0"/>
      <w:iCs w:val="0"/>
      <w:smallCaps w:val="0"/>
      <w:strike w:val="0"/>
      <w:sz w:val="26"/>
      <w:szCs w:val="26"/>
      <w:u w:val="none"/>
    </w:rPr>
  </w:style>
  <w:style w:type="character" w:customStyle="1" w:styleId="50">
    <w:name w:val="Заголовок 5 Знак"/>
    <w:basedOn w:val="a1"/>
    <w:link w:val="5"/>
    <w:uiPriority w:val="9"/>
    <w:rsid w:val="00590DB4"/>
    <w:rPr>
      <w:rFonts w:asciiTheme="majorHAnsi" w:eastAsiaTheme="majorEastAsia" w:hAnsiTheme="majorHAnsi" w:cstheme="majorBidi"/>
      <w:color w:val="365F91" w:themeColor="accent1" w:themeShade="BF"/>
    </w:rPr>
  </w:style>
  <w:style w:type="paragraph" w:styleId="4">
    <w:name w:val="List Number 4"/>
    <w:basedOn w:val="a0"/>
    <w:uiPriority w:val="99"/>
    <w:rsid w:val="00590DB4"/>
    <w:pPr>
      <w:numPr>
        <w:numId w:val="2"/>
      </w:numPr>
      <w:tabs>
        <w:tab w:val="clear" w:pos="360"/>
        <w:tab w:val="num" w:pos="1209"/>
      </w:tabs>
      <w:spacing w:before="180" w:after="60" w:line="240" w:lineRule="auto"/>
      <w:ind w:left="1209"/>
    </w:pPr>
    <w:rPr>
      <w:rFonts w:ascii="Garamond" w:eastAsia="Times New Roman" w:hAnsi="Garamond" w:cs="Times New Roman"/>
      <w:szCs w:val="20"/>
      <w:lang w:val="en-GB"/>
    </w:rPr>
  </w:style>
  <w:style w:type="character" w:styleId="aff">
    <w:name w:val="page number"/>
    <w:basedOn w:val="a1"/>
    <w:uiPriority w:val="99"/>
    <w:rsid w:val="00590DB4"/>
    <w:rPr>
      <w:rFonts w:cs="Times New Roman"/>
    </w:rPr>
  </w:style>
  <w:style w:type="character" w:customStyle="1" w:styleId="aff0">
    <w:name w:val="Текст примечания Знак"/>
    <w:basedOn w:val="a1"/>
    <w:link w:val="aff1"/>
    <w:uiPriority w:val="99"/>
    <w:semiHidden/>
    <w:rsid w:val="00590DB4"/>
    <w:rPr>
      <w:rFonts w:ascii="Times New Roman" w:eastAsia="Times New Roman" w:hAnsi="Times New Roman" w:cs="Times New Roman"/>
      <w:sz w:val="20"/>
      <w:szCs w:val="20"/>
      <w:lang w:eastAsia="ru-RU"/>
    </w:rPr>
  </w:style>
  <w:style w:type="paragraph" w:styleId="aff1">
    <w:name w:val="annotation text"/>
    <w:basedOn w:val="a0"/>
    <w:link w:val="aff0"/>
    <w:uiPriority w:val="99"/>
    <w:semiHidden/>
    <w:rsid w:val="00590DB4"/>
    <w:pPr>
      <w:spacing w:after="0" w:line="240" w:lineRule="auto"/>
    </w:pPr>
    <w:rPr>
      <w:rFonts w:ascii="Times New Roman" w:eastAsia="Times New Roman" w:hAnsi="Times New Roman" w:cs="Times New Roman"/>
      <w:sz w:val="20"/>
      <w:szCs w:val="20"/>
      <w:lang w:eastAsia="ru-RU"/>
    </w:rPr>
  </w:style>
  <w:style w:type="character" w:customStyle="1" w:styleId="17">
    <w:name w:val="Текст примечания Знак1"/>
    <w:basedOn w:val="a1"/>
    <w:uiPriority w:val="99"/>
    <w:semiHidden/>
    <w:rsid w:val="00590DB4"/>
    <w:rPr>
      <w:sz w:val="20"/>
      <w:szCs w:val="20"/>
    </w:rPr>
  </w:style>
  <w:style w:type="character" w:customStyle="1" w:styleId="aff2">
    <w:name w:val="Тема примечания Знак"/>
    <w:basedOn w:val="aff0"/>
    <w:link w:val="aff3"/>
    <w:uiPriority w:val="99"/>
    <w:semiHidden/>
    <w:rsid w:val="00590DB4"/>
    <w:rPr>
      <w:rFonts w:ascii="Times New Roman" w:eastAsia="Times New Roman" w:hAnsi="Times New Roman" w:cs="Times New Roman"/>
      <w:b/>
      <w:bCs/>
      <w:sz w:val="20"/>
      <w:szCs w:val="20"/>
      <w:lang w:eastAsia="ru-RU"/>
    </w:rPr>
  </w:style>
  <w:style w:type="paragraph" w:styleId="aff3">
    <w:name w:val="annotation subject"/>
    <w:basedOn w:val="aff1"/>
    <w:next w:val="aff1"/>
    <w:link w:val="aff2"/>
    <w:uiPriority w:val="99"/>
    <w:semiHidden/>
    <w:rsid w:val="00590DB4"/>
    <w:rPr>
      <w:b/>
      <w:bCs/>
    </w:rPr>
  </w:style>
  <w:style w:type="character" w:customStyle="1" w:styleId="18">
    <w:name w:val="Тема примечания Знак1"/>
    <w:basedOn w:val="17"/>
    <w:uiPriority w:val="99"/>
    <w:semiHidden/>
    <w:rsid w:val="00590DB4"/>
    <w:rPr>
      <w:b/>
      <w:bCs/>
      <w:sz w:val="20"/>
      <w:szCs w:val="20"/>
    </w:rPr>
  </w:style>
  <w:style w:type="character" w:styleId="aff4">
    <w:name w:val="annotation reference"/>
    <w:basedOn w:val="a1"/>
    <w:uiPriority w:val="99"/>
    <w:semiHidden/>
    <w:rsid w:val="00590DB4"/>
    <w:rPr>
      <w:rFonts w:cs="Times New Roman"/>
      <w:sz w:val="16"/>
      <w:szCs w:val="16"/>
    </w:rPr>
  </w:style>
  <w:style w:type="paragraph" w:customStyle="1" w:styleId="ConsPlusNonformat">
    <w:name w:val="ConsPlusNonformat"/>
    <w:uiPriority w:val="99"/>
    <w:rsid w:val="00590DB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blk">
    <w:name w:val="blk"/>
    <w:basedOn w:val="a1"/>
    <w:rsid w:val="00590DB4"/>
  </w:style>
  <w:style w:type="character" w:customStyle="1" w:styleId="2TimesNewRoman">
    <w:name w:val="Основной текст (2) + Times New Roman"/>
    <w:basedOn w:val="25"/>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basedOn w:val="25"/>
    <w:rsid w:val="006E0004"/>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basedOn w:val="25"/>
    <w:rsid w:val="006E0004"/>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basedOn w:val="25"/>
    <w:rsid w:val="006E0004"/>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basedOn w:val="25"/>
    <w:rsid w:val="006E0004"/>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basedOn w:val="25"/>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basedOn w:val="25"/>
    <w:rsid w:val="006E000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0"/>
    <w:rsid w:val="006E0004"/>
    <w:pPr>
      <w:spacing w:after="0" w:line="240" w:lineRule="auto"/>
      <w:jc w:val="both"/>
    </w:pPr>
    <w:rPr>
      <w:rFonts w:ascii="Arial" w:eastAsia="Arial" w:hAnsi="Arial" w:cs="Arial"/>
      <w:color w:val="000000"/>
      <w:sz w:val="20"/>
      <w:szCs w:val="24"/>
      <w:shd w:val="clear" w:color="auto" w:fill="FFFFFF"/>
      <w:lang w:eastAsia="ru-RU"/>
    </w:rPr>
  </w:style>
  <w:style w:type="paragraph" w:customStyle="1" w:styleId="aff5">
    <w:name w:val="?Основной текст"/>
    <w:basedOn w:val="a0"/>
    <w:link w:val="aff6"/>
    <w:uiPriority w:val="99"/>
    <w:qFormat/>
    <w:rsid w:val="00B75236"/>
    <w:pPr>
      <w:spacing w:before="52" w:after="0" w:line="300" w:lineRule="exact"/>
      <w:ind w:left="284" w:firstLine="170"/>
      <w:jc w:val="both"/>
    </w:pPr>
    <w:rPr>
      <w:rFonts w:ascii="CharterC" w:eastAsia="Times New Roman" w:hAnsi="CharterC" w:cs="Times New Roman"/>
      <w:szCs w:val="24"/>
      <w:lang w:eastAsia="ru-RU"/>
    </w:rPr>
  </w:style>
  <w:style w:type="character" w:customStyle="1" w:styleId="aff6">
    <w:name w:val="?Основной текст Знак"/>
    <w:link w:val="aff5"/>
    <w:uiPriority w:val="99"/>
    <w:rsid w:val="00B75236"/>
    <w:rPr>
      <w:rFonts w:ascii="CharterC" w:eastAsia="Times New Roman" w:hAnsi="CharterC" w:cs="Times New Roman"/>
      <w:szCs w:val="24"/>
      <w:lang w:eastAsia="ru-RU"/>
    </w:rPr>
  </w:style>
  <w:style w:type="paragraph" w:customStyle="1" w:styleId="Textbody">
    <w:name w:val="Text body"/>
    <w:basedOn w:val="a0"/>
    <w:rsid w:val="0056089D"/>
    <w:pPr>
      <w:widowControl w:val="0"/>
      <w:suppressAutoHyphens/>
      <w:autoSpaceDN w:val="0"/>
      <w:spacing w:after="120" w:line="240" w:lineRule="auto"/>
      <w:textAlignment w:val="baseline"/>
    </w:pPr>
    <w:rPr>
      <w:rFonts w:ascii="Times New Roman" w:eastAsia="SimSun" w:hAnsi="Times New Roman" w:cs="Mangal"/>
      <w:kern w:val="3"/>
      <w:sz w:val="24"/>
      <w:szCs w:val="24"/>
      <w:lang w:eastAsia="zh-CN" w:bidi="hi-IN"/>
    </w:rPr>
  </w:style>
  <w:style w:type="paragraph" w:customStyle="1" w:styleId="ConsPlusTitle">
    <w:name w:val="ConsPlusTitle"/>
    <w:uiPriority w:val="99"/>
    <w:rsid w:val="00DD2A8E"/>
    <w:pPr>
      <w:autoSpaceDE w:val="0"/>
      <w:autoSpaceDN w:val="0"/>
      <w:adjustRightInd w:val="0"/>
      <w:spacing w:after="0" w:line="240" w:lineRule="auto"/>
    </w:pPr>
    <w:rPr>
      <w:rFonts w:ascii="Times New Roman" w:eastAsia="Times New Roman" w:hAnsi="Times New Roman" w:cs="Times New Roman"/>
      <w:b/>
      <w:bCs/>
      <w:sz w:val="24"/>
      <w:szCs w:val="24"/>
      <w:lang w:eastAsia="ru-RU"/>
    </w:rPr>
  </w:style>
  <w:style w:type="character" w:customStyle="1" w:styleId="212pt">
    <w:name w:val="Основной текст (2) + 12 pt"/>
    <w:basedOn w:val="25"/>
    <w:rsid w:val="00CC576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7">
    <w:name w:val="Знак"/>
    <w:basedOn w:val="a0"/>
    <w:rsid w:val="000A273A"/>
    <w:pPr>
      <w:spacing w:line="240" w:lineRule="exact"/>
    </w:pPr>
    <w:rPr>
      <w:rFonts w:ascii="Verdana" w:eastAsia="Times New Roman" w:hAnsi="Verdana" w:cs="Verdana"/>
      <w:sz w:val="20"/>
      <w:szCs w:val="20"/>
      <w:lang w:val="en-US"/>
    </w:rPr>
  </w:style>
  <w:style w:type="character" w:customStyle="1" w:styleId="2Georgia85pt">
    <w:name w:val="Основной текст (2) + Georgia;8;5 pt"/>
    <w:basedOn w:val="25"/>
    <w:rsid w:val="007635DA"/>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b">
    <w:name w:val="Основной текст (2) + Малые прописные"/>
    <w:basedOn w:val="25"/>
    <w:rsid w:val="007635DA"/>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5">
    <w:name w:val="Основной текст (3) + Не полужирный"/>
    <w:basedOn w:val="33"/>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c">
    <w:name w:val="Основной текст (2) + Полужирный"/>
    <w:basedOn w:val="25"/>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0"/>
    <w:rsid w:val="002A7AE4"/>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9">
    <w:name w:val="s_9"/>
    <w:basedOn w:val="a0"/>
    <w:rsid w:val="002A7AE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ff8">
    <w:name w:val="Body Text"/>
    <w:aliases w:val="Заг1"/>
    <w:basedOn w:val="a0"/>
    <w:link w:val="aff9"/>
    <w:rsid w:val="00042363"/>
    <w:pPr>
      <w:spacing w:after="0" w:line="240" w:lineRule="auto"/>
    </w:pPr>
    <w:rPr>
      <w:rFonts w:ascii="Times New Roman" w:eastAsia="Times New Roman" w:hAnsi="Times New Roman" w:cs="Times New Roman"/>
      <w:sz w:val="24"/>
      <w:szCs w:val="20"/>
      <w:lang w:val="x-none" w:eastAsia="x-none"/>
    </w:rPr>
  </w:style>
  <w:style w:type="character" w:customStyle="1" w:styleId="aff9">
    <w:name w:val="Основной текст Знак"/>
    <w:aliases w:val="Заг1 Знак"/>
    <w:basedOn w:val="a1"/>
    <w:link w:val="aff8"/>
    <w:rsid w:val="00042363"/>
    <w:rPr>
      <w:rFonts w:ascii="Times New Roman" w:eastAsia="Times New Roman" w:hAnsi="Times New Roman" w:cs="Times New Roman"/>
      <w:sz w:val="24"/>
      <w:szCs w:val="20"/>
      <w:lang w:val="x-none" w:eastAsia="x-none"/>
    </w:rPr>
  </w:style>
  <w:style w:type="character" w:customStyle="1" w:styleId="Bodytext2">
    <w:name w:val="Body text (2)_"/>
    <w:basedOn w:val="a1"/>
    <w:link w:val="Bodytext20"/>
    <w:rsid w:val="00A62FBF"/>
    <w:rPr>
      <w:rFonts w:ascii="Times New Roman" w:eastAsia="Times New Roman" w:hAnsi="Times New Roman" w:cs="Times New Roman"/>
      <w:shd w:val="clear" w:color="auto" w:fill="FFFFFF"/>
    </w:rPr>
  </w:style>
  <w:style w:type="character" w:customStyle="1" w:styleId="Bodytext2Italic">
    <w:name w:val="Body text (2) + Italic"/>
    <w:basedOn w:val="Bodytext2"/>
    <w:rsid w:val="00A62FBF"/>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0"/>
    <w:link w:val="Bodytext2"/>
    <w:rsid w:val="00A62FBF"/>
    <w:pPr>
      <w:widowControl w:val="0"/>
      <w:shd w:val="clear" w:color="auto" w:fill="FFFFFF"/>
      <w:spacing w:after="0" w:line="295" w:lineRule="exact"/>
      <w:ind w:hanging="1380"/>
      <w:jc w:val="both"/>
    </w:pPr>
    <w:rPr>
      <w:rFonts w:ascii="Times New Roman" w:eastAsia="Times New Roman" w:hAnsi="Times New Roman" w:cs="Times New Roman"/>
    </w:rPr>
  </w:style>
  <w:style w:type="character" w:customStyle="1" w:styleId="Bodytext275ptBoldSpacing1pt">
    <w:name w:val="Body text (2) + 7;5 pt;Bold;Spacing 1 pt"/>
    <w:basedOn w:val="Bodytext2"/>
    <w:rsid w:val="007F54CF"/>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basedOn w:val="a1"/>
    <w:link w:val="Bodytext70"/>
    <w:rsid w:val="007F54CF"/>
    <w:rPr>
      <w:rFonts w:ascii="Times New Roman" w:eastAsia="Times New Roman" w:hAnsi="Times New Roman" w:cs="Times New Roman"/>
      <w:sz w:val="26"/>
      <w:szCs w:val="26"/>
      <w:shd w:val="clear" w:color="auto" w:fill="FFFFFF"/>
    </w:rPr>
  </w:style>
  <w:style w:type="paragraph" w:customStyle="1" w:styleId="Bodytext70">
    <w:name w:val="Body text (7)"/>
    <w:basedOn w:val="a0"/>
    <w:link w:val="Bodytext7"/>
    <w:rsid w:val="007F54CF"/>
    <w:pPr>
      <w:widowControl w:val="0"/>
      <w:shd w:val="clear" w:color="auto" w:fill="FFFFFF"/>
      <w:spacing w:after="0" w:line="284" w:lineRule="exact"/>
    </w:pPr>
    <w:rPr>
      <w:rFonts w:ascii="Times New Roman" w:eastAsia="Times New Roman" w:hAnsi="Times New Roman" w:cs="Times New Roman"/>
      <w:sz w:val="26"/>
      <w:szCs w:val="26"/>
    </w:rPr>
  </w:style>
  <w:style w:type="character" w:customStyle="1" w:styleId="19">
    <w:name w:val="Неразрешенное упоминание1"/>
    <w:basedOn w:val="a1"/>
    <w:uiPriority w:val="99"/>
    <w:semiHidden/>
    <w:unhideWhenUsed/>
    <w:rsid w:val="00A2153F"/>
    <w:rPr>
      <w:color w:val="605E5C"/>
      <w:shd w:val="clear" w:color="auto" w:fill="E1DFDD"/>
    </w:rPr>
  </w:style>
  <w:style w:type="character" w:customStyle="1" w:styleId="28pt">
    <w:name w:val="Основной текст (2) + 8 pt"/>
    <w:basedOn w:val="25"/>
    <w:rsid w:val="003A15A0"/>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basedOn w:val="25"/>
    <w:rsid w:val="003A15A0"/>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2">
    <w:name w:val="Основной текст (4)_"/>
    <w:basedOn w:val="a1"/>
    <w:link w:val="43"/>
    <w:rsid w:val="003A15A0"/>
    <w:rPr>
      <w:rFonts w:ascii="Times New Roman" w:eastAsia="Times New Roman" w:hAnsi="Times New Roman" w:cs="Times New Roman"/>
      <w:i/>
      <w:iCs/>
      <w:sz w:val="28"/>
      <w:szCs w:val="28"/>
      <w:shd w:val="clear" w:color="auto" w:fill="FFFFFF"/>
    </w:rPr>
  </w:style>
  <w:style w:type="paragraph" w:customStyle="1" w:styleId="43">
    <w:name w:val="Основной текст (4)"/>
    <w:basedOn w:val="a0"/>
    <w:link w:val="42"/>
    <w:rsid w:val="003A15A0"/>
    <w:pPr>
      <w:widowControl w:val="0"/>
      <w:shd w:val="clear" w:color="auto" w:fill="FFFFFF"/>
      <w:spacing w:after="0" w:line="320" w:lineRule="exact"/>
    </w:pPr>
    <w:rPr>
      <w:rFonts w:ascii="Times New Roman" w:eastAsia="Times New Roman" w:hAnsi="Times New Roman" w:cs="Times New Roman"/>
      <w:i/>
      <w:iCs/>
      <w:sz w:val="28"/>
      <w:szCs w:val="28"/>
    </w:rPr>
  </w:style>
  <w:style w:type="character" w:customStyle="1" w:styleId="44">
    <w:name w:val="Основной текст (4) + Не курсив"/>
    <w:basedOn w:val="42"/>
    <w:rsid w:val="003A15A0"/>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basedOn w:val="a1"/>
    <w:rsid w:val="003A15A0"/>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basedOn w:val="25"/>
    <w:rsid w:val="003A15A0"/>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basedOn w:val="a1"/>
    <w:rsid w:val="003A15A0"/>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0"/>
    <w:link w:val="HTML0"/>
    <w:uiPriority w:val="99"/>
    <w:unhideWhenUsed/>
    <w:rsid w:val="001B6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1"/>
    <w:link w:val="HTML"/>
    <w:uiPriority w:val="99"/>
    <w:rsid w:val="001B6661"/>
    <w:rPr>
      <w:rFonts w:ascii="Courier New" w:eastAsia="Times New Roman" w:hAnsi="Courier New" w:cs="Courier New"/>
      <w:sz w:val="20"/>
      <w:szCs w:val="20"/>
      <w:lang w:eastAsia="ru-RU"/>
    </w:rPr>
  </w:style>
  <w:style w:type="character" w:customStyle="1" w:styleId="a5">
    <w:name w:val="Абзац списка Знак"/>
    <w:aliases w:val="Bullet List Знак,FooterText Знак,numbered Знак,List Paragraph Знак,ПАРАГРАФ Знак,Абзац списка2 Знак,Нумерованый список Знак,List Paragraph1 Знак"/>
    <w:basedOn w:val="a1"/>
    <w:link w:val="a4"/>
    <w:rsid w:val="00713FAC"/>
    <w:rPr>
      <w:rFonts w:ascii="Calibri" w:eastAsia="Calibri" w:hAnsi="Calibri" w:cs="Times New Roman"/>
    </w:rPr>
  </w:style>
  <w:style w:type="paragraph" w:customStyle="1" w:styleId="formattext">
    <w:name w:val="formattext"/>
    <w:basedOn w:val="a0"/>
    <w:rsid w:val="0071410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doctitleimportant">
    <w:name w:val="doc__title_important"/>
    <w:basedOn w:val="a1"/>
    <w:rsid w:val="009C0895"/>
  </w:style>
  <w:style w:type="character" w:customStyle="1" w:styleId="affa">
    <w:name w:val="Колонтитул_"/>
    <w:basedOn w:val="a1"/>
    <w:rsid w:val="00D72F8F"/>
    <w:rPr>
      <w:rFonts w:ascii="Times New Roman" w:eastAsia="Times New Roman" w:hAnsi="Times New Roman" w:cs="Times New Roman"/>
      <w:b w:val="0"/>
      <w:bCs w:val="0"/>
      <w:i w:val="0"/>
      <w:iCs w:val="0"/>
      <w:smallCaps w:val="0"/>
      <w:strike w:val="0"/>
      <w:sz w:val="24"/>
      <w:szCs w:val="24"/>
      <w:u w:val="none"/>
    </w:rPr>
  </w:style>
  <w:style w:type="character" w:customStyle="1" w:styleId="affb">
    <w:name w:val="Колонтитул"/>
    <w:basedOn w:val="affa"/>
    <w:rsid w:val="00D72F8F"/>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basedOn w:val="25"/>
    <w:rsid w:val="0042556B"/>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5">
    <w:name w:val="Заголовок №4"/>
    <w:basedOn w:val="a1"/>
    <w:rsid w:val="0042556B"/>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basedOn w:val="25"/>
    <w:rsid w:val="0042556B"/>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basedOn w:val="25"/>
    <w:rsid w:val="0042556B"/>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basedOn w:val="25"/>
    <w:rsid w:val="008A0FB5"/>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c">
    <w:name w:val="Подпись к таблице_"/>
    <w:basedOn w:val="a1"/>
    <w:link w:val="affd"/>
    <w:rsid w:val="008A0FB5"/>
    <w:rPr>
      <w:rFonts w:ascii="Times New Roman" w:eastAsia="Times New Roman" w:hAnsi="Times New Roman" w:cs="Times New Roman"/>
      <w:shd w:val="clear" w:color="auto" w:fill="FFFFFF"/>
    </w:rPr>
  </w:style>
  <w:style w:type="paragraph" w:customStyle="1" w:styleId="affd">
    <w:name w:val="Подпись к таблице"/>
    <w:basedOn w:val="a0"/>
    <w:link w:val="affc"/>
    <w:rsid w:val="008A0FB5"/>
    <w:pPr>
      <w:widowControl w:val="0"/>
      <w:shd w:val="clear" w:color="auto" w:fill="FFFFFF"/>
      <w:spacing w:after="0" w:line="284" w:lineRule="exact"/>
      <w:ind w:hanging="380"/>
    </w:pPr>
    <w:rPr>
      <w:rFonts w:ascii="Times New Roman" w:eastAsia="Times New Roman" w:hAnsi="Times New Roman" w:cs="Times New Roman"/>
    </w:rPr>
  </w:style>
  <w:style w:type="character" w:customStyle="1" w:styleId="210pt1">
    <w:name w:val="Основной текст (2) + 10 pt;Курсив"/>
    <w:basedOn w:val="25"/>
    <w:rsid w:val="004A5078"/>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basedOn w:val="25"/>
    <w:rsid w:val="00E965DC"/>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7F109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0"/>
    <w:rsid w:val="007F109D"/>
    <w:pPr>
      <w:widowControl w:val="0"/>
      <w:suppressAutoHyphens/>
      <w:autoSpaceDN w:val="0"/>
      <w:spacing w:after="120" w:line="240" w:lineRule="auto"/>
      <w:textAlignment w:val="baseline"/>
    </w:pPr>
    <w:rPr>
      <w:rFonts w:ascii="Times New Roman" w:eastAsia="SimSun, 宋体" w:hAnsi="Times New Roman" w:cs="Mangal"/>
      <w:kern w:val="3"/>
      <w:sz w:val="24"/>
      <w:szCs w:val="24"/>
      <w:lang w:eastAsia="zh-CN" w:bidi="hi-IN"/>
    </w:rPr>
  </w:style>
  <w:style w:type="paragraph" w:styleId="36">
    <w:name w:val="Body Text 3"/>
    <w:basedOn w:val="a0"/>
    <w:link w:val="37"/>
    <w:uiPriority w:val="99"/>
    <w:semiHidden/>
    <w:unhideWhenUsed/>
    <w:rsid w:val="006F33ED"/>
    <w:pPr>
      <w:spacing w:after="120"/>
    </w:pPr>
    <w:rPr>
      <w:sz w:val="16"/>
      <w:szCs w:val="16"/>
    </w:rPr>
  </w:style>
  <w:style w:type="character" w:customStyle="1" w:styleId="37">
    <w:name w:val="Основной текст 3 Знак"/>
    <w:basedOn w:val="a1"/>
    <w:link w:val="36"/>
    <w:uiPriority w:val="99"/>
    <w:semiHidden/>
    <w:rsid w:val="006F33ED"/>
    <w:rPr>
      <w:sz w:val="16"/>
      <w:szCs w:val="16"/>
    </w:rPr>
  </w:style>
  <w:style w:type="paragraph" w:styleId="2d">
    <w:name w:val="Body Text 2"/>
    <w:basedOn w:val="a0"/>
    <w:link w:val="2e"/>
    <w:unhideWhenUsed/>
    <w:rsid w:val="00534317"/>
    <w:pPr>
      <w:spacing w:after="120" w:line="480" w:lineRule="auto"/>
    </w:pPr>
  </w:style>
  <w:style w:type="character" w:customStyle="1" w:styleId="2e">
    <w:name w:val="Основной текст 2 Знак"/>
    <w:basedOn w:val="a1"/>
    <w:link w:val="2d"/>
    <w:rsid w:val="00534317"/>
  </w:style>
  <w:style w:type="character" w:customStyle="1" w:styleId="38">
    <w:name w:val="Заголовок №3_"/>
    <w:basedOn w:val="a1"/>
    <w:link w:val="39"/>
    <w:rsid w:val="00534317"/>
    <w:rPr>
      <w:rFonts w:ascii="Times New Roman" w:eastAsia="Times New Roman" w:hAnsi="Times New Roman" w:cs="Times New Roman"/>
      <w:b/>
      <w:bCs/>
      <w:sz w:val="23"/>
      <w:szCs w:val="23"/>
      <w:shd w:val="clear" w:color="auto" w:fill="FFFFFF"/>
    </w:rPr>
  </w:style>
  <w:style w:type="paragraph" w:customStyle="1" w:styleId="39">
    <w:name w:val="Заголовок №3"/>
    <w:basedOn w:val="a0"/>
    <w:link w:val="38"/>
    <w:rsid w:val="00534317"/>
    <w:pPr>
      <w:widowControl w:val="0"/>
      <w:shd w:val="clear" w:color="auto" w:fill="FFFFFF"/>
      <w:spacing w:before="260" w:after="260" w:line="254" w:lineRule="exact"/>
      <w:outlineLvl w:val="2"/>
    </w:pPr>
    <w:rPr>
      <w:rFonts w:ascii="Times New Roman" w:eastAsia="Times New Roman" w:hAnsi="Times New Roman" w:cs="Times New Roman"/>
      <w:b/>
      <w:bCs/>
      <w:sz w:val="23"/>
      <w:szCs w:val="23"/>
    </w:rPr>
  </w:style>
  <w:style w:type="character" w:customStyle="1" w:styleId="8">
    <w:name w:val="Основной текст (8)_"/>
    <w:basedOn w:val="a1"/>
    <w:link w:val="80"/>
    <w:rsid w:val="00534317"/>
    <w:rPr>
      <w:rFonts w:ascii="Times New Roman" w:eastAsia="Times New Roman" w:hAnsi="Times New Roman" w:cs="Times New Roman"/>
      <w:b/>
      <w:bCs/>
      <w:sz w:val="23"/>
      <w:szCs w:val="23"/>
      <w:shd w:val="clear" w:color="auto" w:fill="FFFFFF"/>
    </w:rPr>
  </w:style>
  <w:style w:type="character" w:customStyle="1" w:styleId="28pt1">
    <w:name w:val="Основной текст (2) + 8 pt;Курсив"/>
    <w:basedOn w:val="25"/>
    <w:rsid w:val="00534317"/>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basedOn w:val="a1"/>
    <w:rsid w:val="00534317"/>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basedOn w:val="25"/>
    <w:rsid w:val="00534317"/>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basedOn w:val="25"/>
    <w:rsid w:val="00534317"/>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basedOn w:val="25"/>
    <w:rsid w:val="00534317"/>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basedOn w:val="25"/>
    <w:rsid w:val="00534317"/>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basedOn w:val="25"/>
    <w:rsid w:val="00534317"/>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basedOn w:val="25"/>
    <w:rsid w:val="00534317"/>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0">
    <w:name w:val="Основной текст (8)"/>
    <w:basedOn w:val="a0"/>
    <w:link w:val="8"/>
    <w:rsid w:val="00534317"/>
    <w:pPr>
      <w:widowControl w:val="0"/>
      <w:shd w:val="clear" w:color="auto" w:fill="FFFFFF"/>
      <w:spacing w:after="0" w:line="270" w:lineRule="exact"/>
    </w:pPr>
    <w:rPr>
      <w:rFonts w:ascii="Times New Roman" w:eastAsia="Times New Roman" w:hAnsi="Times New Roman" w:cs="Times New Roman"/>
      <w:b/>
      <w:bCs/>
      <w:sz w:val="23"/>
      <w:szCs w:val="23"/>
    </w:rPr>
  </w:style>
  <w:style w:type="character" w:styleId="affe">
    <w:name w:val="Placeholder Text"/>
    <w:basedOn w:val="a1"/>
    <w:uiPriority w:val="99"/>
    <w:semiHidden/>
    <w:rsid w:val="00534317"/>
    <w:rPr>
      <w:color w:val="808080"/>
    </w:rPr>
  </w:style>
  <w:style w:type="character" w:customStyle="1" w:styleId="2f">
    <w:name w:val="Заголовок №2_"/>
    <w:basedOn w:val="a1"/>
    <w:link w:val="2f0"/>
    <w:rsid w:val="00B82ECE"/>
    <w:rPr>
      <w:rFonts w:ascii="Times New Roman" w:eastAsia="Times New Roman" w:hAnsi="Times New Roman" w:cs="Times New Roman"/>
      <w:b/>
      <w:bCs/>
      <w:shd w:val="clear" w:color="auto" w:fill="FFFFFF"/>
    </w:rPr>
  </w:style>
  <w:style w:type="character" w:customStyle="1" w:styleId="2f1">
    <w:name w:val="Основной текст (2) + Курсив"/>
    <w:basedOn w:val="25"/>
    <w:rsid w:val="00B82EC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0">
    <w:name w:val="Заголовок №2"/>
    <w:basedOn w:val="a0"/>
    <w:link w:val="2f"/>
    <w:rsid w:val="00B82ECE"/>
    <w:pPr>
      <w:widowControl w:val="0"/>
      <w:shd w:val="clear" w:color="auto" w:fill="FFFFFF"/>
      <w:spacing w:after="0" w:line="244" w:lineRule="exact"/>
      <w:jc w:val="center"/>
      <w:outlineLvl w:val="1"/>
    </w:pPr>
    <w:rPr>
      <w:rFonts w:ascii="Times New Roman" w:eastAsia="Times New Roman" w:hAnsi="Times New Roman" w:cs="Times New Roman"/>
      <w:b/>
      <w:bCs/>
    </w:rPr>
  </w:style>
  <w:style w:type="paragraph" w:customStyle="1" w:styleId="afff">
    <w:name w:val="Заголовок статья"/>
    <w:basedOn w:val="39"/>
    <w:link w:val="afff0"/>
    <w:qFormat/>
    <w:rsid w:val="00A94F79"/>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basedOn w:val="25"/>
    <w:rsid w:val="000B00E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f0">
    <w:name w:val="Заголовок статья Знак"/>
    <w:basedOn w:val="a1"/>
    <w:link w:val="afff"/>
    <w:rsid w:val="00A94F79"/>
    <w:rPr>
      <w:rFonts w:ascii="Myriad Pro" w:eastAsia="Times New Roman" w:hAnsi="Myriad Pro" w:cs="Times New Roman"/>
      <w:b/>
      <w:bCs/>
      <w:sz w:val="26"/>
      <w:szCs w:val="26"/>
      <w:shd w:val="clear" w:color="auto" w:fill="FFFFFF"/>
    </w:rPr>
  </w:style>
  <w:style w:type="paragraph" w:styleId="46">
    <w:name w:val="toc 4"/>
    <w:basedOn w:val="a0"/>
    <w:next w:val="a0"/>
    <w:autoRedefine/>
    <w:uiPriority w:val="39"/>
    <w:unhideWhenUsed/>
    <w:rsid w:val="006927A5"/>
    <w:pPr>
      <w:spacing w:after="100"/>
      <w:ind w:left="660"/>
    </w:pPr>
    <w:rPr>
      <w:rFonts w:eastAsiaTheme="minorEastAsia"/>
      <w:lang w:eastAsia="ru-RU"/>
    </w:rPr>
  </w:style>
  <w:style w:type="paragraph" w:styleId="51">
    <w:name w:val="toc 5"/>
    <w:basedOn w:val="a0"/>
    <w:next w:val="a0"/>
    <w:autoRedefine/>
    <w:uiPriority w:val="39"/>
    <w:unhideWhenUsed/>
    <w:rsid w:val="006927A5"/>
    <w:pPr>
      <w:spacing w:after="100"/>
      <w:ind w:left="880"/>
    </w:pPr>
    <w:rPr>
      <w:rFonts w:eastAsiaTheme="minorEastAsia"/>
      <w:lang w:eastAsia="ru-RU"/>
    </w:rPr>
  </w:style>
  <w:style w:type="paragraph" w:styleId="6">
    <w:name w:val="toc 6"/>
    <w:basedOn w:val="a0"/>
    <w:next w:val="a0"/>
    <w:autoRedefine/>
    <w:uiPriority w:val="39"/>
    <w:unhideWhenUsed/>
    <w:rsid w:val="006927A5"/>
    <w:pPr>
      <w:spacing w:after="100"/>
      <w:ind w:left="1100"/>
    </w:pPr>
    <w:rPr>
      <w:rFonts w:eastAsiaTheme="minorEastAsia"/>
      <w:lang w:eastAsia="ru-RU"/>
    </w:rPr>
  </w:style>
  <w:style w:type="paragraph" w:styleId="7">
    <w:name w:val="toc 7"/>
    <w:basedOn w:val="a0"/>
    <w:next w:val="a0"/>
    <w:autoRedefine/>
    <w:uiPriority w:val="39"/>
    <w:unhideWhenUsed/>
    <w:rsid w:val="006927A5"/>
    <w:pPr>
      <w:spacing w:after="100"/>
      <w:ind w:left="1320"/>
    </w:pPr>
    <w:rPr>
      <w:rFonts w:eastAsiaTheme="minorEastAsia"/>
      <w:lang w:eastAsia="ru-RU"/>
    </w:rPr>
  </w:style>
  <w:style w:type="paragraph" w:styleId="81">
    <w:name w:val="toc 8"/>
    <w:basedOn w:val="a0"/>
    <w:next w:val="a0"/>
    <w:autoRedefine/>
    <w:uiPriority w:val="39"/>
    <w:unhideWhenUsed/>
    <w:rsid w:val="006927A5"/>
    <w:pPr>
      <w:spacing w:after="100"/>
      <w:ind w:left="1540"/>
    </w:pPr>
    <w:rPr>
      <w:rFonts w:eastAsiaTheme="minorEastAsia"/>
      <w:lang w:eastAsia="ru-RU"/>
    </w:rPr>
  </w:style>
  <w:style w:type="paragraph" w:styleId="9">
    <w:name w:val="toc 9"/>
    <w:basedOn w:val="a0"/>
    <w:next w:val="a0"/>
    <w:autoRedefine/>
    <w:uiPriority w:val="39"/>
    <w:unhideWhenUsed/>
    <w:rsid w:val="006927A5"/>
    <w:pPr>
      <w:spacing w:after="100"/>
      <w:ind w:left="1760"/>
    </w:pPr>
    <w:rPr>
      <w:rFonts w:eastAsiaTheme="minorEastAsia"/>
      <w:lang w:eastAsia="ru-RU"/>
    </w:rPr>
  </w:style>
  <w:style w:type="paragraph" w:styleId="afff1">
    <w:name w:val="Revision"/>
    <w:hidden/>
    <w:uiPriority w:val="99"/>
    <w:semiHidden/>
    <w:rsid w:val="000D1EE7"/>
    <w:pPr>
      <w:spacing w:after="0" w:line="240" w:lineRule="auto"/>
    </w:pPr>
  </w:style>
  <w:style w:type="character" w:customStyle="1" w:styleId="2TrebuchetMS65pt">
    <w:name w:val="Основной текст (2) + Trebuchet MS;6;5 pt"/>
    <w:basedOn w:val="25"/>
    <w:rsid w:val="003269F4"/>
    <w:rPr>
      <w:rFonts w:ascii="Trebuchet MS" w:eastAsia="Trebuchet MS" w:hAnsi="Trebuchet MS" w:cs="Trebuchet MS"/>
      <w:color w:val="000000"/>
      <w:spacing w:val="0"/>
      <w:w w:val="100"/>
      <w:position w:val="0"/>
      <w:sz w:val="13"/>
      <w:szCs w:val="13"/>
      <w:shd w:val="clear" w:color="auto" w:fill="FFFFFF"/>
      <w:lang w:val="ru-RU" w:eastAsia="ru-RU" w:bidi="ru-RU"/>
    </w:rPr>
  </w:style>
  <w:style w:type="character" w:customStyle="1" w:styleId="afff2">
    <w:name w:val="Цветовое выделение"/>
    <w:uiPriority w:val="99"/>
    <w:rsid w:val="00C8112F"/>
    <w:rPr>
      <w:b/>
      <w:bCs/>
      <w:color w:val="26282F"/>
    </w:rPr>
  </w:style>
  <w:style w:type="character" w:customStyle="1" w:styleId="hl">
    <w:name w:val="hl"/>
    <w:basedOn w:val="a1"/>
    <w:rsid w:val="007550D1"/>
  </w:style>
  <w:style w:type="paragraph" w:customStyle="1" w:styleId="Default">
    <w:name w:val="Default"/>
    <w:rsid w:val="00F049F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f2">
    <w:name w:val="Неразрешенное упоминание2"/>
    <w:basedOn w:val="a1"/>
    <w:uiPriority w:val="99"/>
    <w:semiHidden/>
    <w:unhideWhenUsed/>
    <w:rsid w:val="00F6027A"/>
    <w:rPr>
      <w:color w:val="605E5C"/>
      <w:shd w:val="clear" w:color="auto" w:fill="E1DFDD"/>
    </w:rPr>
  </w:style>
  <w:style w:type="paragraph" w:customStyle="1" w:styleId="afff3">
    <w:name w:val="Прижатый влево"/>
    <w:basedOn w:val="a0"/>
    <w:next w:val="a0"/>
    <w:uiPriority w:val="99"/>
    <w:rsid w:val="008C778E"/>
    <w:pPr>
      <w:autoSpaceDE w:val="0"/>
      <w:autoSpaceDN w:val="0"/>
      <w:adjustRightInd w:val="0"/>
      <w:spacing w:after="0" w:line="240" w:lineRule="auto"/>
    </w:pPr>
    <w:rPr>
      <w:rFonts w:ascii="Arial" w:eastAsia="Times New Roman" w:hAnsi="Arial" w:cs="Times New Roman"/>
      <w:sz w:val="24"/>
      <w:szCs w:val="24"/>
      <w:lang w:eastAsia="ru-RU"/>
    </w:rPr>
  </w:style>
  <w:style w:type="paragraph" w:customStyle="1" w:styleId="headertext">
    <w:name w:val="headertext"/>
    <w:basedOn w:val="a0"/>
    <w:rsid w:val="00943BC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center">
    <w:name w:val="pcenter"/>
    <w:basedOn w:val="a0"/>
    <w:rsid w:val="0033607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separator">
    <w:name w:val="b-separator"/>
    <w:basedOn w:val="a1"/>
    <w:rsid w:val="007A234B"/>
  </w:style>
  <w:style w:type="character" w:customStyle="1" w:styleId="b-link-current">
    <w:name w:val="b-link-current"/>
    <w:basedOn w:val="a1"/>
    <w:rsid w:val="007A234B"/>
  </w:style>
  <w:style w:type="paragraph" w:customStyle="1" w:styleId="a">
    <w:name w:val="Стиль списка"/>
    <w:qFormat/>
    <w:rsid w:val="00A251B9"/>
    <w:pPr>
      <w:numPr>
        <w:numId w:val="22"/>
      </w:numPr>
      <w:tabs>
        <w:tab w:val="left" w:pos="1276"/>
      </w:tabs>
      <w:spacing w:after="120" w:line="276" w:lineRule="auto"/>
      <w:ind w:left="1276" w:hanging="284"/>
      <w:contextualSpacing/>
      <w:jc w:val="both"/>
    </w:pPr>
    <w:rPr>
      <w:rFonts w:ascii="Times New Roman" w:eastAsia="Times New Roman" w:hAnsi="Times New Roman" w:cs="Times New Roman"/>
      <w:sz w:val="24"/>
      <w:szCs w:val="24"/>
    </w:rPr>
  </w:style>
  <w:style w:type="character" w:customStyle="1" w:styleId="fontstyle01">
    <w:name w:val="fontstyle01"/>
    <w:basedOn w:val="a1"/>
    <w:rsid w:val="003B2407"/>
    <w:rPr>
      <w:rFonts w:ascii="TimesNewRoman" w:hAnsi="TimesNewRoman" w:hint="default"/>
      <w:b w:val="0"/>
      <w:bCs w:val="0"/>
      <w:i w:val="0"/>
      <w:iCs w:val="0"/>
      <w:color w:val="000000"/>
      <w:sz w:val="28"/>
      <w:szCs w:val="28"/>
    </w:rPr>
  </w:style>
  <w:style w:type="character" w:customStyle="1" w:styleId="fontstyle21">
    <w:name w:val="fontstyle21"/>
    <w:basedOn w:val="a1"/>
    <w:rsid w:val="003B2407"/>
    <w:rPr>
      <w:rFonts w:ascii="Times-Roman" w:hAnsi="Times-Roman" w:hint="default"/>
      <w:b w:val="0"/>
      <w:bCs w:val="0"/>
      <w:i w:val="0"/>
      <w:iCs w:val="0"/>
      <w:color w:val="000000"/>
      <w:sz w:val="28"/>
      <w:szCs w:val="28"/>
    </w:rPr>
  </w:style>
  <w:style w:type="paragraph" w:customStyle="1" w:styleId="afff4">
    <w:name w:val="До таблицы"/>
    <w:basedOn w:val="a0"/>
    <w:link w:val="afff5"/>
    <w:qFormat/>
    <w:rsid w:val="00F05B70"/>
    <w:pPr>
      <w:tabs>
        <w:tab w:val="num" w:pos="960"/>
      </w:tabs>
      <w:spacing w:after="200" w:line="360" w:lineRule="auto"/>
      <w:ind w:firstLine="567"/>
      <w:jc w:val="both"/>
    </w:pPr>
    <w:rPr>
      <w:rFonts w:ascii="Myriad Pro" w:eastAsia="Calibri" w:hAnsi="Myriad Pro" w:cs="Times New Roman"/>
      <w:sz w:val="26"/>
      <w:szCs w:val="26"/>
      <w:lang w:val="en-US"/>
    </w:rPr>
  </w:style>
  <w:style w:type="character" w:customStyle="1" w:styleId="afff5">
    <w:name w:val="До таблицы Знак"/>
    <w:basedOn w:val="a1"/>
    <w:link w:val="afff4"/>
    <w:rsid w:val="00F05B70"/>
    <w:rPr>
      <w:rFonts w:ascii="Myriad Pro" w:eastAsia="Calibri" w:hAnsi="Myriad Pro" w:cs="Times New Roman"/>
      <w:sz w:val="26"/>
      <w:szCs w:val="26"/>
      <w:lang w:val="en-US"/>
    </w:rPr>
  </w:style>
  <w:style w:type="table" w:customStyle="1" w:styleId="afff6">
    <w:name w:val="Оля"/>
    <w:basedOn w:val="a2"/>
    <w:uiPriority w:val="99"/>
    <w:rsid w:val="005F177B"/>
    <w:pPr>
      <w:spacing w:after="0" w:line="240" w:lineRule="auto"/>
      <w:jc w:val="center"/>
    </w:pPr>
    <w:rPr>
      <w:rFonts w:ascii="Myriad Pro" w:hAnsi="Myriad Pro"/>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cantSplit/>
    </w:trPr>
    <w:tcPr>
      <w:vAlign w:val="center"/>
    </w:tcPr>
    <w:tblStylePr w:type="firstRow">
      <w:rPr>
        <w:rFonts w:ascii="Myriad Pro" w:hAnsi="Myriad Pro"/>
        <w:color w:val="FFFFFF" w:themeColor="background1"/>
        <w:sz w:val="18"/>
      </w:rPr>
      <w:tblPr/>
      <w:trPr>
        <w:tblHeader/>
      </w:trPr>
      <w:tcPr>
        <w:shd w:val="clear" w:color="auto" w:fill="4F6228" w:themeFill="accent3" w:themeFillShade="80"/>
      </w:tcPr>
    </w:tblStylePr>
    <w:tblStylePr w:type="firstCol">
      <w:pPr>
        <w:jc w:val="left"/>
      </w:pPr>
    </w:tblStylePr>
  </w:style>
  <w:style w:type="paragraph" w:customStyle="1" w:styleId="afff7">
    <w:name w:val="После таблицы"/>
    <w:basedOn w:val="afff4"/>
    <w:qFormat/>
    <w:rsid w:val="005F177B"/>
    <w:pPr>
      <w:spacing w:before="240" w:after="0"/>
    </w:pPr>
    <w:rPr>
      <w:lang w:val="ru-RU"/>
    </w:rPr>
  </w:style>
  <w:style w:type="numbering" w:customStyle="1" w:styleId="-">
    <w:name w:val="Оля-список"/>
    <w:uiPriority w:val="99"/>
    <w:rsid w:val="006A0B07"/>
    <w:pPr>
      <w:numPr>
        <w:numId w:val="3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52363">
      <w:bodyDiv w:val="1"/>
      <w:marLeft w:val="0"/>
      <w:marRight w:val="0"/>
      <w:marTop w:val="0"/>
      <w:marBottom w:val="0"/>
      <w:divBdr>
        <w:top w:val="none" w:sz="0" w:space="0" w:color="auto"/>
        <w:left w:val="none" w:sz="0" w:space="0" w:color="auto"/>
        <w:bottom w:val="none" w:sz="0" w:space="0" w:color="auto"/>
        <w:right w:val="none" w:sz="0" w:space="0" w:color="auto"/>
      </w:divBdr>
      <w:divsChild>
        <w:div w:id="1997027839">
          <w:marLeft w:val="0"/>
          <w:marRight w:val="0"/>
          <w:marTop w:val="0"/>
          <w:marBottom w:val="0"/>
          <w:divBdr>
            <w:top w:val="none" w:sz="0" w:space="0" w:color="auto"/>
            <w:left w:val="none" w:sz="0" w:space="0" w:color="auto"/>
            <w:bottom w:val="none" w:sz="0" w:space="0" w:color="auto"/>
            <w:right w:val="none" w:sz="0" w:space="0" w:color="auto"/>
          </w:divBdr>
          <w:divsChild>
            <w:div w:id="1683242408">
              <w:marLeft w:val="0"/>
              <w:marRight w:val="0"/>
              <w:marTop w:val="0"/>
              <w:marBottom w:val="0"/>
              <w:divBdr>
                <w:top w:val="none" w:sz="0" w:space="0" w:color="auto"/>
                <w:left w:val="none" w:sz="0" w:space="0" w:color="auto"/>
                <w:bottom w:val="none" w:sz="0" w:space="0" w:color="auto"/>
                <w:right w:val="none" w:sz="0" w:space="0" w:color="auto"/>
              </w:divBdr>
              <w:divsChild>
                <w:div w:id="1059210014">
                  <w:marLeft w:val="0"/>
                  <w:marRight w:val="0"/>
                  <w:marTop w:val="0"/>
                  <w:marBottom w:val="0"/>
                  <w:divBdr>
                    <w:top w:val="none" w:sz="0" w:space="0" w:color="auto"/>
                    <w:left w:val="none" w:sz="0" w:space="0" w:color="auto"/>
                    <w:bottom w:val="none" w:sz="0" w:space="0" w:color="auto"/>
                    <w:right w:val="none" w:sz="0" w:space="0" w:color="auto"/>
                  </w:divBdr>
                  <w:divsChild>
                    <w:div w:id="1555769799">
                      <w:marLeft w:val="0"/>
                      <w:marRight w:val="0"/>
                      <w:marTop w:val="100"/>
                      <w:marBottom w:val="100"/>
                      <w:divBdr>
                        <w:top w:val="none" w:sz="0" w:space="0" w:color="auto"/>
                        <w:left w:val="none" w:sz="0" w:space="0" w:color="auto"/>
                        <w:bottom w:val="none" w:sz="0" w:space="0" w:color="auto"/>
                        <w:right w:val="none" w:sz="0" w:space="0" w:color="auto"/>
                      </w:divBdr>
                      <w:divsChild>
                        <w:div w:id="674184415">
                          <w:marLeft w:val="0"/>
                          <w:marRight w:val="0"/>
                          <w:marTop w:val="0"/>
                          <w:marBottom w:val="0"/>
                          <w:divBdr>
                            <w:top w:val="none" w:sz="0" w:space="0" w:color="auto"/>
                            <w:left w:val="none" w:sz="0" w:space="0" w:color="auto"/>
                            <w:bottom w:val="none" w:sz="0" w:space="0" w:color="auto"/>
                            <w:right w:val="none" w:sz="0" w:space="0" w:color="auto"/>
                          </w:divBdr>
                          <w:divsChild>
                            <w:div w:id="629558762">
                              <w:marLeft w:val="0"/>
                              <w:marRight w:val="0"/>
                              <w:marTop w:val="0"/>
                              <w:marBottom w:val="0"/>
                              <w:divBdr>
                                <w:top w:val="none" w:sz="0" w:space="0" w:color="auto"/>
                                <w:left w:val="none" w:sz="0" w:space="0" w:color="auto"/>
                                <w:bottom w:val="none" w:sz="0" w:space="0" w:color="auto"/>
                                <w:right w:val="none" w:sz="0" w:space="0" w:color="auto"/>
                              </w:divBdr>
                              <w:divsChild>
                                <w:div w:id="264702267">
                                  <w:marLeft w:val="-225"/>
                                  <w:marRight w:val="-225"/>
                                  <w:marTop w:val="0"/>
                                  <w:marBottom w:val="0"/>
                                  <w:divBdr>
                                    <w:top w:val="none" w:sz="0" w:space="0" w:color="auto"/>
                                    <w:left w:val="none" w:sz="0" w:space="0" w:color="auto"/>
                                    <w:bottom w:val="none" w:sz="0" w:space="0" w:color="auto"/>
                                    <w:right w:val="none" w:sz="0" w:space="0" w:color="auto"/>
                                  </w:divBdr>
                                  <w:divsChild>
                                    <w:div w:id="1406759954">
                                      <w:marLeft w:val="0"/>
                                      <w:marRight w:val="0"/>
                                      <w:marTop w:val="0"/>
                                      <w:marBottom w:val="0"/>
                                      <w:divBdr>
                                        <w:top w:val="none" w:sz="0" w:space="0" w:color="auto"/>
                                        <w:left w:val="none" w:sz="0" w:space="0" w:color="auto"/>
                                        <w:bottom w:val="none" w:sz="0" w:space="0" w:color="auto"/>
                                        <w:right w:val="none" w:sz="0" w:space="0" w:color="auto"/>
                                      </w:divBdr>
                                      <w:divsChild>
                                        <w:div w:id="45294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63506">
      <w:bodyDiv w:val="1"/>
      <w:marLeft w:val="0"/>
      <w:marRight w:val="0"/>
      <w:marTop w:val="0"/>
      <w:marBottom w:val="0"/>
      <w:divBdr>
        <w:top w:val="none" w:sz="0" w:space="0" w:color="auto"/>
        <w:left w:val="none" w:sz="0" w:space="0" w:color="auto"/>
        <w:bottom w:val="none" w:sz="0" w:space="0" w:color="auto"/>
        <w:right w:val="none" w:sz="0" w:space="0" w:color="auto"/>
      </w:divBdr>
    </w:div>
    <w:div w:id="37097854">
      <w:bodyDiv w:val="1"/>
      <w:marLeft w:val="0"/>
      <w:marRight w:val="0"/>
      <w:marTop w:val="0"/>
      <w:marBottom w:val="0"/>
      <w:divBdr>
        <w:top w:val="none" w:sz="0" w:space="0" w:color="auto"/>
        <w:left w:val="none" w:sz="0" w:space="0" w:color="auto"/>
        <w:bottom w:val="none" w:sz="0" w:space="0" w:color="auto"/>
        <w:right w:val="none" w:sz="0" w:space="0" w:color="auto"/>
      </w:divBdr>
    </w:div>
    <w:div w:id="47580711">
      <w:bodyDiv w:val="1"/>
      <w:marLeft w:val="0"/>
      <w:marRight w:val="0"/>
      <w:marTop w:val="0"/>
      <w:marBottom w:val="0"/>
      <w:divBdr>
        <w:top w:val="none" w:sz="0" w:space="0" w:color="auto"/>
        <w:left w:val="none" w:sz="0" w:space="0" w:color="auto"/>
        <w:bottom w:val="none" w:sz="0" w:space="0" w:color="auto"/>
        <w:right w:val="none" w:sz="0" w:space="0" w:color="auto"/>
      </w:divBdr>
    </w:div>
    <w:div w:id="51003158">
      <w:bodyDiv w:val="1"/>
      <w:marLeft w:val="0"/>
      <w:marRight w:val="0"/>
      <w:marTop w:val="0"/>
      <w:marBottom w:val="0"/>
      <w:divBdr>
        <w:top w:val="none" w:sz="0" w:space="0" w:color="auto"/>
        <w:left w:val="none" w:sz="0" w:space="0" w:color="auto"/>
        <w:bottom w:val="none" w:sz="0" w:space="0" w:color="auto"/>
        <w:right w:val="none" w:sz="0" w:space="0" w:color="auto"/>
      </w:divBdr>
    </w:div>
    <w:div w:id="63458224">
      <w:bodyDiv w:val="1"/>
      <w:marLeft w:val="0"/>
      <w:marRight w:val="0"/>
      <w:marTop w:val="0"/>
      <w:marBottom w:val="0"/>
      <w:divBdr>
        <w:top w:val="none" w:sz="0" w:space="0" w:color="auto"/>
        <w:left w:val="none" w:sz="0" w:space="0" w:color="auto"/>
        <w:bottom w:val="none" w:sz="0" w:space="0" w:color="auto"/>
        <w:right w:val="none" w:sz="0" w:space="0" w:color="auto"/>
      </w:divBdr>
      <w:divsChild>
        <w:div w:id="339894519">
          <w:marLeft w:val="0"/>
          <w:marRight w:val="0"/>
          <w:marTop w:val="120"/>
          <w:marBottom w:val="0"/>
          <w:divBdr>
            <w:top w:val="none" w:sz="0" w:space="0" w:color="auto"/>
            <w:left w:val="none" w:sz="0" w:space="0" w:color="auto"/>
            <w:bottom w:val="none" w:sz="0" w:space="0" w:color="auto"/>
            <w:right w:val="none" w:sz="0" w:space="0" w:color="auto"/>
          </w:divBdr>
        </w:div>
        <w:div w:id="745959479">
          <w:marLeft w:val="0"/>
          <w:marRight w:val="0"/>
          <w:marTop w:val="120"/>
          <w:marBottom w:val="0"/>
          <w:divBdr>
            <w:top w:val="none" w:sz="0" w:space="0" w:color="auto"/>
            <w:left w:val="none" w:sz="0" w:space="0" w:color="auto"/>
            <w:bottom w:val="none" w:sz="0" w:space="0" w:color="auto"/>
            <w:right w:val="none" w:sz="0" w:space="0" w:color="auto"/>
          </w:divBdr>
        </w:div>
      </w:divsChild>
    </w:div>
    <w:div w:id="69693033">
      <w:bodyDiv w:val="1"/>
      <w:marLeft w:val="0"/>
      <w:marRight w:val="0"/>
      <w:marTop w:val="0"/>
      <w:marBottom w:val="0"/>
      <w:divBdr>
        <w:top w:val="none" w:sz="0" w:space="0" w:color="auto"/>
        <w:left w:val="none" w:sz="0" w:space="0" w:color="auto"/>
        <w:bottom w:val="none" w:sz="0" w:space="0" w:color="auto"/>
        <w:right w:val="none" w:sz="0" w:space="0" w:color="auto"/>
      </w:divBdr>
    </w:div>
    <w:div w:id="77136618">
      <w:bodyDiv w:val="1"/>
      <w:marLeft w:val="0"/>
      <w:marRight w:val="0"/>
      <w:marTop w:val="0"/>
      <w:marBottom w:val="0"/>
      <w:divBdr>
        <w:top w:val="none" w:sz="0" w:space="0" w:color="auto"/>
        <w:left w:val="none" w:sz="0" w:space="0" w:color="auto"/>
        <w:bottom w:val="none" w:sz="0" w:space="0" w:color="auto"/>
        <w:right w:val="none" w:sz="0" w:space="0" w:color="auto"/>
      </w:divBdr>
    </w:div>
    <w:div w:id="95105818">
      <w:bodyDiv w:val="1"/>
      <w:marLeft w:val="0"/>
      <w:marRight w:val="0"/>
      <w:marTop w:val="0"/>
      <w:marBottom w:val="0"/>
      <w:divBdr>
        <w:top w:val="none" w:sz="0" w:space="0" w:color="auto"/>
        <w:left w:val="none" w:sz="0" w:space="0" w:color="auto"/>
        <w:bottom w:val="none" w:sz="0" w:space="0" w:color="auto"/>
        <w:right w:val="none" w:sz="0" w:space="0" w:color="auto"/>
      </w:divBdr>
    </w:div>
    <w:div w:id="100535890">
      <w:bodyDiv w:val="1"/>
      <w:marLeft w:val="0"/>
      <w:marRight w:val="0"/>
      <w:marTop w:val="0"/>
      <w:marBottom w:val="0"/>
      <w:divBdr>
        <w:top w:val="none" w:sz="0" w:space="0" w:color="auto"/>
        <w:left w:val="none" w:sz="0" w:space="0" w:color="auto"/>
        <w:bottom w:val="none" w:sz="0" w:space="0" w:color="auto"/>
        <w:right w:val="none" w:sz="0" w:space="0" w:color="auto"/>
      </w:divBdr>
    </w:div>
    <w:div w:id="110100661">
      <w:bodyDiv w:val="1"/>
      <w:marLeft w:val="0"/>
      <w:marRight w:val="0"/>
      <w:marTop w:val="0"/>
      <w:marBottom w:val="0"/>
      <w:divBdr>
        <w:top w:val="none" w:sz="0" w:space="0" w:color="auto"/>
        <w:left w:val="none" w:sz="0" w:space="0" w:color="auto"/>
        <w:bottom w:val="none" w:sz="0" w:space="0" w:color="auto"/>
        <w:right w:val="none" w:sz="0" w:space="0" w:color="auto"/>
      </w:divBdr>
    </w:div>
    <w:div w:id="110976704">
      <w:bodyDiv w:val="1"/>
      <w:marLeft w:val="0"/>
      <w:marRight w:val="0"/>
      <w:marTop w:val="0"/>
      <w:marBottom w:val="0"/>
      <w:divBdr>
        <w:top w:val="none" w:sz="0" w:space="0" w:color="auto"/>
        <w:left w:val="none" w:sz="0" w:space="0" w:color="auto"/>
        <w:bottom w:val="none" w:sz="0" w:space="0" w:color="auto"/>
        <w:right w:val="none" w:sz="0" w:space="0" w:color="auto"/>
      </w:divBdr>
    </w:div>
    <w:div w:id="112405621">
      <w:bodyDiv w:val="1"/>
      <w:marLeft w:val="0"/>
      <w:marRight w:val="0"/>
      <w:marTop w:val="0"/>
      <w:marBottom w:val="0"/>
      <w:divBdr>
        <w:top w:val="none" w:sz="0" w:space="0" w:color="auto"/>
        <w:left w:val="none" w:sz="0" w:space="0" w:color="auto"/>
        <w:bottom w:val="none" w:sz="0" w:space="0" w:color="auto"/>
        <w:right w:val="none" w:sz="0" w:space="0" w:color="auto"/>
      </w:divBdr>
    </w:div>
    <w:div w:id="115684122">
      <w:bodyDiv w:val="1"/>
      <w:marLeft w:val="0"/>
      <w:marRight w:val="0"/>
      <w:marTop w:val="0"/>
      <w:marBottom w:val="0"/>
      <w:divBdr>
        <w:top w:val="none" w:sz="0" w:space="0" w:color="auto"/>
        <w:left w:val="none" w:sz="0" w:space="0" w:color="auto"/>
        <w:bottom w:val="none" w:sz="0" w:space="0" w:color="auto"/>
        <w:right w:val="none" w:sz="0" w:space="0" w:color="auto"/>
      </w:divBdr>
    </w:div>
    <w:div w:id="131095263">
      <w:bodyDiv w:val="1"/>
      <w:marLeft w:val="0"/>
      <w:marRight w:val="0"/>
      <w:marTop w:val="0"/>
      <w:marBottom w:val="0"/>
      <w:divBdr>
        <w:top w:val="none" w:sz="0" w:space="0" w:color="auto"/>
        <w:left w:val="none" w:sz="0" w:space="0" w:color="auto"/>
        <w:bottom w:val="none" w:sz="0" w:space="0" w:color="auto"/>
        <w:right w:val="none" w:sz="0" w:space="0" w:color="auto"/>
      </w:divBdr>
    </w:div>
    <w:div w:id="137916451">
      <w:bodyDiv w:val="1"/>
      <w:marLeft w:val="0"/>
      <w:marRight w:val="0"/>
      <w:marTop w:val="0"/>
      <w:marBottom w:val="0"/>
      <w:divBdr>
        <w:top w:val="none" w:sz="0" w:space="0" w:color="auto"/>
        <w:left w:val="none" w:sz="0" w:space="0" w:color="auto"/>
        <w:bottom w:val="none" w:sz="0" w:space="0" w:color="auto"/>
        <w:right w:val="none" w:sz="0" w:space="0" w:color="auto"/>
      </w:divBdr>
    </w:div>
    <w:div w:id="150873006">
      <w:bodyDiv w:val="1"/>
      <w:marLeft w:val="0"/>
      <w:marRight w:val="0"/>
      <w:marTop w:val="0"/>
      <w:marBottom w:val="0"/>
      <w:divBdr>
        <w:top w:val="none" w:sz="0" w:space="0" w:color="auto"/>
        <w:left w:val="none" w:sz="0" w:space="0" w:color="auto"/>
        <w:bottom w:val="none" w:sz="0" w:space="0" w:color="auto"/>
        <w:right w:val="none" w:sz="0" w:space="0" w:color="auto"/>
      </w:divBdr>
    </w:div>
    <w:div w:id="153645802">
      <w:bodyDiv w:val="1"/>
      <w:marLeft w:val="0"/>
      <w:marRight w:val="0"/>
      <w:marTop w:val="0"/>
      <w:marBottom w:val="0"/>
      <w:divBdr>
        <w:top w:val="none" w:sz="0" w:space="0" w:color="auto"/>
        <w:left w:val="none" w:sz="0" w:space="0" w:color="auto"/>
        <w:bottom w:val="none" w:sz="0" w:space="0" w:color="auto"/>
        <w:right w:val="none" w:sz="0" w:space="0" w:color="auto"/>
      </w:divBdr>
    </w:div>
    <w:div w:id="154226019">
      <w:bodyDiv w:val="1"/>
      <w:marLeft w:val="0"/>
      <w:marRight w:val="0"/>
      <w:marTop w:val="0"/>
      <w:marBottom w:val="0"/>
      <w:divBdr>
        <w:top w:val="none" w:sz="0" w:space="0" w:color="auto"/>
        <w:left w:val="none" w:sz="0" w:space="0" w:color="auto"/>
        <w:bottom w:val="none" w:sz="0" w:space="0" w:color="auto"/>
        <w:right w:val="none" w:sz="0" w:space="0" w:color="auto"/>
      </w:divBdr>
    </w:div>
    <w:div w:id="159199191">
      <w:bodyDiv w:val="1"/>
      <w:marLeft w:val="0"/>
      <w:marRight w:val="0"/>
      <w:marTop w:val="0"/>
      <w:marBottom w:val="0"/>
      <w:divBdr>
        <w:top w:val="none" w:sz="0" w:space="0" w:color="auto"/>
        <w:left w:val="none" w:sz="0" w:space="0" w:color="auto"/>
        <w:bottom w:val="none" w:sz="0" w:space="0" w:color="auto"/>
        <w:right w:val="none" w:sz="0" w:space="0" w:color="auto"/>
      </w:divBdr>
    </w:div>
    <w:div w:id="172307213">
      <w:bodyDiv w:val="1"/>
      <w:marLeft w:val="0"/>
      <w:marRight w:val="0"/>
      <w:marTop w:val="0"/>
      <w:marBottom w:val="0"/>
      <w:divBdr>
        <w:top w:val="none" w:sz="0" w:space="0" w:color="auto"/>
        <w:left w:val="none" w:sz="0" w:space="0" w:color="auto"/>
        <w:bottom w:val="none" w:sz="0" w:space="0" w:color="auto"/>
        <w:right w:val="none" w:sz="0" w:space="0" w:color="auto"/>
      </w:divBdr>
    </w:div>
    <w:div w:id="194389926">
      <w:bodyDiv w:val="1"/>
      <w:marLeft w:val="0"/>
      <w:marRight w:val="0"/>
      <w:marTop w:val="0"/>
      <w:marBottom w:val="0"/>
      <w:divBdr>
        <w:top w:val="none" w:sz="0" w:space="0" w:color="auto"/>
        <w:left w:val="none" w:sz="0" w:space="0" w:color="auto"/>
        <w:bottom w:val="none" w:sz="0" w:space="0" w:color="auto"/>
        <w:right w:val="none" w:sz="0" w:space="0" w:color="auto"/>
      </w:divBdr>
    </w:div>
    <w:div w:id="200047965">
      <w:bodyDiv w:val="1"/>
      <w:marLeft w:val="0"/>
      <w:marRight w:val="0"/>
      <w:marTop w:val="0"/>
      <w:marBottom w:val="0"/>
      <w:divBdr>
        <w:top w:val="none" w:sz="0" w:space="0" w:color="auto"/>
        <w:left w:val="none" w:sz="0" w:space="0" w:color="auto"/>
        <w:bottom w:val="none" w:sz="0" w:space="0" w:color="auto"/>
        <w:right w:val="none" w:sz="0" w:space="0" w:color="auto"/>
      </w:divBdr>
    </w:div>
    <w:div w:id="204758398">
      <w:bodyDiv w:val="1"/>
      <w:marLeft w:val="0"/>
      <w:marRight w:val="0"/>
      <w:marTop w:val="0"/>
      <w:marBottom w:val="0"/>
      <w:divBdr>
        <w:top w:val="none" w:sz="0" w:space="0" w:color="auto"/>
        <w:left w:val="none" w:sz="0" w:space="0" w:color="auto"/>
        <w:bottom w:val="none" w:sz="0" w:space="0" w:color="auto"/>
        <w:right w:val="none" w:sz="0" w:space="0" w:color="auto"/>
      </w:divBdr>
    </w:div>
    <w:div w:id="208566087">
      <w:bodyDiv w:val="1"/>
      <w:marLeft w:val="0"/>
      <w:marRight w:val="0"/>
      <w:marTop w:val="0"/>
      <w:marBottom w:val="0"/>
      <w:divBdr>
        <w:top w:val="none" w:sz="0" w:space="0" w:color="auto"/>
        <w:left w:val="none" w:sz="0" w:space="0" w:color="auto"/>
        <w:bottom w:val="none" w:sz="0" w:space="0" w:color="auto"/>
        <w:right w:val="none" w:sz="0" w:space="0" w:color="auto"/>
      </w:divBdr>
    </w:div>
    <w:div w:id="214850559">
      <w:bodyDiv w:val="1"/>
      <w:marLeft w:val="0"/>
      <w:marRight w:val="0"/>
      <w:marTop w:val="0"/>
      <w:marBottom w:val="0"/>
      <w:divBdr>
        <w:top w:val="none" w:sz="0" w:space="0" w:color="auto"/>
        <w:left w:val="none" w:sz="0" w:space="0" w:color="auto"/>
        <w:bottom w:val="none" w:sz="0" w:space="0" w:color="auto"/>
        <w:right w:val="none" w:sz="0" w:space="0" w:color="auto"/>
      </w:divBdr>
    </w:div>
    <w:div w:id="225800988">
      <w:bodyDiv w:val="1"/>
      <w:marLeft w:val="0"/>
      <w:marRight w:val="0"/>
      <w:marTop w:val="0"/>
      <w:marBottom w:val="0"/>
      <w:divBdr>
        <w:top w:val="none" w:sz="0" w:space="0" w:color="auto"/>
        <w:left w:val="none" w:sz="0" w:space="0" w:color="auto"/>
        <w:bottom w:val="none" w:sz="0" w:space="0" w:color="auto"/>
        <w:right w:val="none" w:sz="0" w:space="0" w:color="auto"/>
      </w:divBdr>
    </w:div>
    <w:div w:id="235866498">
      <w:bodyDiv w:val="1"/>
      <w:marLeft w:val="0"/>
      <w:marRight w:val="0"/>
      <w:marTop w:val="0"/>
      <w:marBottom w:val="0"/>
      <w:divBdr>
        <w:top w:val="none" w:sz="0" w:space="0" w:color="auto"/>
        <w:left w:val="none" w:sz="0" w:space="0" w:color="auto"/>
        <w:bottom w:val="none" w:sz="0" w:space="0" w:color="auto"/>
        <w:right w:val="none" w:sz="0" w:space="0" w:color="auto"/>
      </w:divBdr>
    </w:div>
    <w:div w:id="237400218">
      <w:bodyDiv w:val="1"/>
      <w:marLeft w:val="0"/>
      <w:marRight w:val="0"/>
      <w:marTop w:val="0"/>
      <w:marBottom w:val="0"/>
      <w:divBdr>
        <w:top w:val="none" w:sz="0" w:space="0" w:color="auto"/>
        <w:left w:val="none" w:sz="0" w:space="0" w:color="auto"/>
        <w:bottom w:val="none" w:sz="0" w:space="0" w:color="auto"/>
        <w:right w:val="none" w:sz="0" w:space="0" w:color="auto"/>
      </w:divBdr>
    </w:div>
    <w:div w:id="250969814">
      <w:bodyDiv w:val="1"/>
      <w:marLeft w:val="0"/>
      <w:marRight w:val="0"/>
      <w:marTop w:val="0"/>
      <w:marBottom w:val="0"/>
      <w:divBdr>
        <w:top w:val="none" w:sz="0" w:space="0" w:color="auto"/>
        <w:left w:val="none" w:sz="0" w:space="0" w:color="auto"/>
        <w:bottom w:val="none" w:sz="0" w:space="0" w:color="auto"/>
        <w:right w:val="none" w:sz="0" w:space="0" w:color="auto"/>
      </w:divBdr>
    </w:div>
    <w:div w:id="253441349">
      <w:bodyDiv w:val="1"/>
      <w:marLeft w:val="0"/>
      <w:marRight w:val="0"/>
      <w:marTop w:val="0"/>
      <w:marBottom w:val="0"/>
      <w:divBdr>
        <w:top w:val="none" w:sz="0" w:space="0" w:color="auto"/>
        <w:left w:val="none" w:sz="0" w:space="0" w:color="auto"/>
        <w:bottom w:val="none" w:sz="0" w:space="0" w:color="auto"/>
        <w:right w:val="none" w:sz="0" w:space="0" w:color="auto"/>
      </w:divBdr>
    </w:div>
    <w:div w:id="254290268">
      <w:bodyDiv w:val="1"/>
      <w:marLeft w:val="0"/>
      <w:marRight w:val="0"/>
      <w:marTop w:val="0"/>
      <w:marBottom w:val="0"/>
      <w:divBdr>
        <w:top w:val="none" w:sz="0" w:space="0" w:color="auto"/>
        <w:left w:val="none" w:sz="0" w:space="0" w:color="auto"/>
        <w:bottom w:val="none" w:sz="0" w:space="0" w:color="auto"/>
        <w:right w:val="none" w:sz="0" w:space="0" w:color="auto"/>
      </w:divBdr>
    </w:div>
    <w:div w:id="262961723">
      <w:bodyDiv w:val="1"/>
      <w:marLeft w:val="0"/>
      <w:marRight w:val="0"/>
      <w:marTop w:val="0"/>
      <w:marBottom w:val="0"/>
      <w:divBdr>
        <w:top w:val="none" w:sz="0" w:space="0" w:color="auto"/>
        <w:left w:val="none" w:sz="0" w:space="0" w:color="auto"/>
        <w:bottom w:val="none" w:sz="0" w:space="0" w:color="auto"/>
        <w:right w:val="none" w:sz="0" w:space="0" w:color="auto"/>
      </w:divBdr>
    </w:div>
    <w:div w:id="266934729">
      <w:bodyDiv w:val="1"/>
      <w:marLeft w:val="0"/>
      <w:marRight w:val="0"/>
      <w:marTop w:val="0"/>
      <w:marBottom w:val="0"/>
      <w:divBdr>
        <w:top w:val="none" w:sz="0" w:space="0" w:color="auto"/>
        <w:left w:val="none" w:sz="0" w:space="0" w:color="auto"/>
        <w:bottom w:val="none" w:sz="0" w:space="0" w:color="auto"/>
        <w:right w:val="none" w:sz="0" w:space="0" w:color="auto"/>
      </w:divBdr>
    </w:div>
    <w:div w:id="268901215">
      <w:bodyDiv w:val="1"/>
      <w:marLeft w:val="0"/>
      <w:marRight w:val="0"/>
      <w:marTop w:val="0"/>
      <w:marBottom w:val="0"/>
      <w:divBdr>
        <w:top w:val="none" w:sz="0" w:space="0" w:color="auto"/>
        <w:left w:val="none" w:sz="0" w:space="0" w:color="auto"/>
        <w:bottom w:val="none" w:sz="0" w:space="0" w:color="auto"/>
        <w:right w:val="none" w:sz="0" w:space="0" w:color="auto"/>
      </w:divBdr>
    </w:div>
    <w:div w:id="272324780">
      <w:bodyDiv w:val="1"/>
      <w:marLeft w:val="0"/>
      <w:marRight w:val="0"/>
      <w:marTop w:val="0"/>
      <w:marBottom w:val="0"/>
      <w:divBdr>
        <w:top w:val="none" w:sz="0" w:space="0" w:color="auto"/>
        <w:left w:val="none" w:sz="0" w:space="0" w:color="auto"/>
        <w:bottom w:val="none" w:sz="0" w:space="0" w:color="auto"/>
        <w:right w:val="none" w:sz="0" w:space="0" w:color="auto"/>
      </w:divBdr>
    </w:div>
    <w:div w:id="272976683">
      <w:bodyDiv w:val="1"/>
      <w:marLeft w:val="0"/>
      <w:marRight w:val="0"/>
      <w:marTop w:val="0"/>
      <w:marBottom w:val="0"/>
      <w:divBdr>
        <w:top w:val="none" w:sz="0" w:space="0" w:color="auto"/>
        <w:left w:val="none" w:sz="0" w:space="0" w:color="auto"/>
        <w:bottom w:val="none" w:sz="0" w:space="0" w:color="auto"/>
        <w:right w:val="none" w:sz="0" w:space="0" w:color="auto"/>
      </w:divBdr>
    </w:div>
    <w:div w:id="279337820">
      <w:bodyDiv w:val="1"/>
      <w:marLeft w:val="0"/>
      <w:marRight w:val="0"/>
      <w:marTop w:val="0"/>
      <w:marBottom w:val="0"/>
      <w:divBdr>
        <w:top w:val="none" w:sz="0" w:space="0" w:color="auto"/>
        <w:left w:val="none" w:sz="0" w:space="0" w:color="auto"/>
        <w:bottom w:val="none" w:sz="0" w:space="0" w:color="auto"/>
        <w:right w:val="none" w:sz="0" w:space="0" w:color="auto"/>
      </w:divBdr>
    </w:div>
    <w:div w:id="281688109">
      <w:bodyDiv w:val="1"/>
      <w:marLeft w:val="0"/>
      <w:marRight w:val="0"/>
      <w:marTop w:val="0"/>
      <w:marBottom w:val="0"/>
      <w:divBdr>
        <w:top w:val="none" w:sz="0" w:space="0" w:color="auto"/>
        <w:left w:val="none" w:sz="0" w:space="0" w:color="auto"/>
        <w:bottom w:val="none" w:sz="0" w:space="0" w:color="auto"/>
        <w:right w:val="none" w:sz="0" w:space="0" w:color="auto"/>
      </w:divBdr>
    </w:div>
    <w:div w:id="287516580">
      <w:bodyDiv w:val="1"/>
      <w:marLeft w:val="0"/>
      <w:marRight w:val="0"/>
      <w:marTop w:val="0"/>
      <w:marBottom w:val="0"/>
      <w:divBdr>
        <w:top w:val="none" w:sz="0" w:space="0" w:color="auto"/>
        <w:left w:val="none" w:sz="0" w:space="0" w:color="auto"/>
        <w:bottom w:val="none" w:sz="0" w:space="0" w:color="auto"/>
        <w:right w:val="none" w:sz="0" w:space="0" w:color="auto"/>
      </w:divBdr>
    </w:div>
    <w:div w:id="288172982">
      <w:bodyDiv w:val="1"/>
      <w:marLeft w:val="0"/>
      <w:marRight w:val="0"/>
      <w:marTop w:val="0"/>
      <w:marBottom w:val="0"/>
      <w:divBdr>
        <w:top w:val="none" w:sz="0" w:space="0" w:color="auto"/>
        <w:left w:val="none" w:sz="0" w:space="0" w:color="auto"/>
        <w:bottom w:val="none" w:sz="0" w:space="0" w:color="auto"/>
        <w:right w:val="none" w:sz="0" w:space="0" w:color="auto"/>
      </w:divBdr>
    </w:div>
    <w:div w:id="306127674">
      <w:bodyDiv w:val="1"/>
      <w:marLeft w:val="0"/>
      <w:marRight w:val="0"/>
      <w:marTop w:val="0"/>
      <w:marBottom w:val="0"/>
      <w:divBdr>
        <w:top w:val="none" w:sz="0" w:space="0" w:color="auto"/>
        <w:left w:val="none" w:sz="0" w:space="0" w:color="auto"/>
        <w:bottom w:val="none" w:sz="0" w:space="0" w:color="auto"/>
        <w:right w:val="none" w:sz="0" w:space="0" w:color="auto"/>
      </w:divBdr>
    </w:div>
    <w:div w:id="312805084">
      <w:bodyDiv w:val="1"/>
      <w:marLeft w:val="0"/>
      <w:marRight w:val="0"/>
      <w:marTop w:val="0"/>
      <w:marBottom w:val="0"/>
      <w:divBdr>
        <w:top w:val="none" w:sz="0" w:space="0" w:color="auto"/>
        <w:left w:val="none" w:sz="0" w:space="0" w:color="auto"/>
        <w:bottom w:val="none" w:sz="0" w:space="0" w:color="auto"/>
        <w:right w:val="none" w:sz="0" w:space="0" w:color="auto"/>
      </w:divBdr>
    </w:div>
    <w:div w:id="318732107">
      <w:bodyDiv w:val="1"/>
      <w:marLeft w:val="0"/>
      <w:marRight w:val="0"/>
      <w:marTop w:val="0"/>
      <w:marBottom w:val="0"/>
      <w:divBdr>
        <w:top w:val="none" w:sz="0" w:space="0" w:color="auto"/>
        <w:left w:val="none" w:sz="0" w:space="0" w:color="auto"/>
        <w:bottom w:val="none" w:sz="0" w:space="0" w:color="auto"/>
        <w:right w:val="none" w:sz="0" w:space="0" w:color="auto"/>
      </w:divBdr>
    </w:div>
    <w:div w:id="339357932">
      <w:bodyDiv w:val="1"/>
      <w:marLeft w:val="0"/>
      <w:marRight w:val="0"/>
      <w:marTop w:val="0"/>
      <w:marBottom w:val="0"/>
      <w:divBdr>
        <w:top w:val="none" w:sz="0" w:space="0" w:color="auto"/>
        <w:left w:val="none" w:sz="0" w:space="0" w:color="auto"/>
        <w:bottom w:val="none" w:sz="0" w:space="0" w:color="auto"/>
        <w:right w:val="none" w:sz="0" w:space="0" w:color="auto"/>
      </w:divBdr>
    </w:div>
    <w:div w:id="340816451">
      <w:bodyDiv w:val="1"/>
      <w:marLeft w:val="0"/>
      <w:marRight w:val="0"/>
      <w:marTop w:val="0"/>
      <w:marBottom w:val="0"/>
      <w:divBdr>
        <w:top w:val="none" w:sz="0" w:space="0" w:color="auto"/>
        <w:left w:val="none" w:sz="0" w:space="0" w:color="auto"/>
        <w:bottom w:val="none" w:sz="0" w:space="0" w:color="auto"/>
        <w:right w:val="none" w:sz="0" w:space="0" w:color="auto"/>
      </w:divBdr>
    </w:div>
    <w:div w:id="350839322">
      <w:bodyDiv w:val="1"/>
      <w:marLeft w:val="0"/>
      <w:marRight w:val="0"/>
      <w:marTop w:val="0"/>
      <w:marBottom w:val="0"/>
      <w:divBdr>
        <w:top w:val="none" w:sz="0" w:space="0" w:color="auto"/>
        <w:left w:val="none" w:sz="0" w:space="0" w:color="auto"/>
        <w:bottom w:val="none" w:sz="0" w:space="0" w:color="auto"/>
        <w:right w:val="none" w:sz="0" w:space="0" w:color="auto"/>
      </w:divBdr>
    </w:div>
    <w:div w:id="355933809">
      <w:bodyDiv w:val="1"/>
      <w:marLeft w:val="0"/>
      <w:marRight w:val="0"/>
      <w:marTop w:val="0"/>
      <w:marBottom w:val="0"/>
      <w:divBdr>
        <w:top w:val="none" w:sz="0" w:space="0" w:color="auto"/>
        <w:left w:val="none" w:sz="0" w:space="0" w:color="auto"/>
        <w:bottom w:val="none" w:sz="0" w:space="0" w:color="auto"/>
        <w:right w:val="none" w:sz="0" w:space="0" w:color="auto"/>
      </w:divBdr>
    </w:div>
    <w:div w:id="357316263">
      <w:bodyDiv w:val="1"/>
      <w:marLeft w:val="0"/>
      <w:marRight w:val="0"/>
      <w:marTop w:val="0"/>
      <w:marBottom w:val="0"/>
      <w:divBdr>
        <w:top w:val="none" w:sz="0" w:space="0" w:color="auto"/>
        <w:left w:val="none" w:sz="0" w:space="0" w:color="auto"/>
        <w:bottom w:val="none" w:sz="0" w:space="0" w:color="auto"/>
        <w:right w:val="none" w:sz="0" w:space="0" w:color="auto"/>
      </w:divBdr>
    </w:div>
    <w:div w:id="361824896">
      <w:bodyDiv w:val="1"/>
      <w:marLeft w:val="0"/>
      <w:marRight w:val="0"/>
      <w:marTop w:val="0"/>
      <w:marBottom w:val="0"/>
      <w:divBdr>
        <w:top w:val="none" w:sz="0" w:space="0" w:color="auto"/>
        <w:left w:val="none" w:sz="0" w:space="0" w:color="auto"/>
        <w:bottom w:val="none" w:sz="0" w:space="0" w:color="auto"/>
        <w:right w:val="none" w:sz="0" w:space="0" w:color="auto"/>
      </w:divBdr>
    </w:div>
    <w:div w:id="364867232">
      <w:bodyDiv w:val="1"/>
      <w:marLeft w:val="0"/>
      <w:marRight w:val="0"/>
      <w:marTop w:val="0"/>
      <w:marBottom w:val="0"/>
      <w:divBdr>
        <w:top w:val="none" w:sz="0" w:space="0" w:color="auto"/>
        <w:left w:val="none" w:sz="0" w:space="0" w:color="auto"/>
        <w:bottom w:val="none" w:sz="0" w:space="0" w:color="auto"/>
        <w:right w:val="none" w:sz="0" w:space="0" w:color="auto"/>
      </w:divBdr>
    </w:div>
    <w:div w:id="365452468">
      <w:bodyDiv w:val="1"/>
      <w:marLeft w:val="0"/>
      <w:marRight w:val="0"/>
      <w:marTop w:val="0"/>
      <w:marBottom w:val="0"/>
      <w:divBdr>
        <w:top w:val="none" w:sz="0" w:space="0" w:color="auto"/>
        <w:left w:val="none" w:sz="0" w:space="0" w:color="auto"/>
        <w:bottom w:val="none" w:sz="0" w:space="0" w:color="auto"/>
        <w:right w:val="none" w:sz="0" w:space="0" w:color="auto"/>
      </w:divBdr>
    </w:div>
    <w:div w:id="377707117">
      <w:bodyDiv w:val="1"/>
      <w:marLeft w:val="0"/>
      <w:marRight w:val="0"/>
      <w:marTop w:val="0"/>
      <w:marBottom w:val="0"/>
      <w:divBdr>
        <w:top w:val="none" w:sz="0" w:space="0" w:color="auto"/>
        <w:left w:val="none" w:sz="0" w:space="0" w:color="auto"/>
        <w:bottom w:val="none" w:sz="0" w:space="0" w:color="auto"/>
        <w:right w:val="none" w:sz="0" w:space="0" w:color="auto"/>
      </w:divBdr>
    </w:div>
    <w:div w:id="378089617">
      <w:bodyDiv w:val="1"/>
      <w:marLeft w:val="0"/>
      <w:marRight w:val="0"/>
      <w:marTop w:val="0"/>
      <w:marBottom w:val="0"/>
      <w:divBdr>
        <w:top w:val="none" w:sz="0" w:space="0" w:color="auto"/>
        <w:left w:val="none" w:sz="0" w:space="0" w:color="auto"/>
        <w:bottom w:val="none" w:sz="0" w:space="0" w:color="auto"/>
        <w:right w:val="none" w:sz="0" w:space="0" w:color="auto"/>
      </w:divBdr>
    </w:div>
    <w:div w:id="380131896">
      <w:bodyDiv w:val="1"/>
      <w:marLeft w:val="0"/>
      <w:marRight w:val="0"/>
      <w:marTop w:val="0"/>
      <w:marBottom w:val="0"/>
      <w:divBdr>
        <w:top w:val="none" w:sz="0" w:space="0" w:color="auto"/>
        <w:left w:val="none" w:sz="0" w:space="0" w:color="auto"/>
        <w:bottom w:val="none" w:sz="0" w:space="0" w:color="auto"/>
        <w:right w:val="none" w:sz="0" w:space="0" w:color="auto"/>
      </w:divBdr>
    </w:div>
    <w:div w:id="387191854">
      <w:bodyDiv w:val="1"/>
      <w:marLeft w:val="0"/>
      <w:marRight w:val="0"/>
      <w:marTop w:val="0"/>
      <w:marBottom w:val="0"/>
      <w:divBdr>
        <w:top w:val="none" w:sz="0" w:space="0" w:color="auto"/>
        <w:left w:val="none" w:sz="0" w:space="0" w:color="auto"/>
        <w:bottom w:val="none" w:sz="0" w:space="0" w:color="auto"/>
        <w:right w:val="none" w:sz="0" w:space="0" w:color="auto"/>
      </w:divBdr>
    </w:div>
    <w:div w:id="389160037">
      <w:bodyDiv w:val="1"/>
      <w:marLeft w:val="0"/>
      <w:marRight w:val="0"/>
      <w:marTop w:val="0"/>
      <w:marBottom w:val="0"/>
      <w:divBdr>
        <w:top w:val="none" w:sz="0" w:space="0" w:color="auto"/>
        <w:left w:val="none" w:sz="0" w:space="0" w:color="auto"/>
        <w:bottom w:val="none" w:sz="0" w:space="0" w:color="auto"/>
        <w:right w:val="none" w:sz="0" w:space="0" w:color="auto"/>
      </w:divBdr>
    </w:div>
    <w:div w:id="390881938">
      <w:bodyDiv w:val="1"/>
      <w:marLeft w:val="0"/>
      <w:marRight w:val="0"/>
      <w:marTop w:val="0"/>
      <w:marBottom w:val="0"/>
      <w:divBdr>
        <w:top w:val="none" w:sz="0" w:space="0" w:color="auto"/>
        <w:left w:val="none" w:sz="0" w:space="0" w:color="auto"/>
        <w:bottom w:val="none" w:sz="0" w:space="0" w:color="auto"/>
        <w:right w:val="none" w:sz="0" w:space="0" w:color="auto"/>
      </w:divBdr>
    </w:div>
    <w:div w:id="391587116">
      <w:bodyDiv w:val="1"/>
      <w:marLeft w:val="0"/>
      <w:marRight w:val="0"/>
      <w:marTop w:val="0"/>
      <w:marBottom w:val="0"/>
      <w:divBdr>
        <w:top w:val="none" w:sz="0" w:space="0" w:color="auto"/>
        <w:left w:val="none" w:sz="0" w:space="0" w:color="auto"/>
        <w:bottom w:val="none" w:sz="0" w:space="0" w:color="auto"/>
        <w:right w:val="none" w:sz="0" w:space="0" w:color="auto"/>
      </w:divBdr>
    </w:div>
    <w:div w:id="392388192">
      <w:bodyDiv w:val="1"/>
      <w:marLeft w:val="0"/>
      <w:marRight w:val="0"/>
      <w:marTop w:val="0"/>
      <w:marBottom w:val="0"/>
      <w:divBdr>
        <w:top w:val="none" w:sz="0" w:space="0" w:color="auto"/>
        <w:left w:val="none" w:sz="0" w:space="0" w:color="auto"/>
        <w:bottom w:val="none" w:sz="0" w:space="0" w:color="auto"/>
        <w:right w:val="none" w:sz="0" w:space="0" w:color="auto"/>
      </w:divBdr>
    </w:div>
    <w:div w:id="397175015">
      <w:bodyDiv w:val="1"/>
      <w:marLeft w:val="0"/>
      <w:marRight w:val="0"/>
      <w:marTop w:val="0"/>
      <w:marBottom w:val="0"/>
      <w:divBdr>
        <w:top w:val="none" w:sz="0" w:space="0" w:color="auto"/>
        <w:left w:val="none" w:sz="0" w:space="0" w:color="auto"/>
        <w:bottom w:val="none" w:sz="0" w:space="0" w:color="auto"/>
        <w:right w:val="none" w:sz="0" w:space="0" w:color="auto"/>
      </w:divBdr>
    </w:div>
    <w:div w:id="406613028">
      <w:bodyDiv w:val="1"/>
      <w:marLeft w:val="0"/>
      <w:marRight w:val="0"/>
      <w:marTop w:val="0"/>
      <w:marBottom w:val="0"/>
      <w:divBdr>
        <w:top w:val="none" w:sz="0" w:space="0" w:color="auto"/>
        <w:left w:val="none" w:sz="0" w:space="0" w:color="auto"/>
        <w:bottom w:val="none" w:sz="0" w:space="0" w:color="auto"/>
        <w:right w:val="none" w:sz="0" w:space="0" w:color="auto"/>
      </w:divBdr>
    </w:div>
    <w:div w:id="414326605">
      <w:bodyDiv w:val="1"/>
      <w:marLeft w:val="0"/>
      <w:marRight w:val="0"/>
      <w:marTop w:val="0"/>
      <w:marBottom w:val="0"/>
      <w:divBdr>
        <w:top w:val="none" w:sz="0" w:space="0" w:color="auto"/>
        <w:left w:val="none" w:sz="0" w:space="0" w:color="auto"/>
        <w:bottom w:val="none" w:sz="0" w:space="0" w:color="auto"/>
        <w:right w:val="none" w:sz="0" w:space="0" w:color="auto"/>
      </w:divBdr>
    </w:div>
    <w:div w:id="426312733">
      <w:bodyDiv w:val="1"/>
      <w:marLeft w:val="0"/>
      <w:marRight w:val="0"/>
      <w:marTop w:val="0"/>
      <w:marBottom w:val="0"/>
      <w:divBdr>
        <w:top w:val="none" w:sz="0" w:space="0" w:color="auto"/>
        <w:left w:val="none" w:sz="0" w:space="0" w:color="auto"/>
        <w:bottom w:val="none" w:sz="0" w:space="0" w:color="auto"/>
        <w:right w:val="none" w:sz="0" w:space="0" w:color="auto"/>
      </w:divBdr>
    </w:div>
    <w:div w:id="426922089">
      <w:bodyDiv w:val="1"/>
      <w:marLeft w:val="0"/>
      <w:marRight w:val="0"/>
      <w:marTop w:val="0"/>
      <w:marBottom w:val="0"/>
      <w:divBdr>
        <w:top w:val="none" w:sz="0" w:space="0" w:color="auto"/>
        <w:left w:val="none" w:sz="0" w:space="0" w:color="auto"/>
        <w:bottom w:val="none" w:sz="0" w:space="0" w:color="auto"/>
        <w:right w:val="none" w:sz="0" w:space="0" w:color="auto"/>
      </w:divBdr>
    </w:div>
    <w:div w:id="429667033">
      <w:bodyDiv w:val="1"/>
      <w:marLeft w:val="0"/>
      <w:marRight w:val="0"/>
      <w:marTop w:val="0"/>
      <w:marBottom w:val="0"/>
      <w:divBdr>
        <w:top w:val="none" w:sz="0" w:space="0" w:color="auto"/>
        <w:left w:val="none" w:sz="0" w:space="0" w:color="auto"/>
        <w:bottom w:val="none" w:sz="0" w:space="0" w:color="auto"/>
        <w:right w:val="none" w:sz="0" w:space="0" w:color="auto"/>
      </w:divBdr>
    </w:div>
    <w:div w:id="431557810">
      <w:bodyDiv w:val="1"/>
      <w:marLeft w:val="0"/>
      <w:marRight w:val="0"/>
      <w:marTop w:val="0"/>
      <w:marBottom w:val="0"/>
      <w:divBdr>
        <w:top w:val="none" w:sz="0" w:space="0" w:color="auto"/>
        <w:left w:val="none" w:sz="0" w:space="0" w:color="auto"/>
        <w:bottom w:val="none" w:sz="0" w:space="0" w:color="auto"/>
        <w:right w:val="none" w:sz="0" w:space="0" w:color="auto"/>
      </w:divBdr>
    </w:div>
    <w:div w:id="433941117">
      <w:bodyDiv w:val="1"/>
      <w:marLeft w:val="0"/>
      <w:marRight w:val="0"/>
      <w:marTop w:val="0"/>
      <w:marBottom w:val="0"/>
      <w:divBdr>
        <w:top w:val="none" w:sz="0" w:space="0" w:color="auto"/>
        <w:left w:val="none" w:sz="0" w:space="0" w:color="auto"/>
        <w:bottom w:val="none" w:sz="0" w:space="0" w:color="auto"/>
        <w:right w:val="none" w:sz="0" w:space="0" w:color="auto"/>
      </w:divBdr>
    </w:div>
    <w:div w:id="436951537">
      <w:bodyDiv w:val="1"/>
      <w:marLeft w:val="0"/>
      <w:marRight w:val="0"/>
      <w:marTop w:val="0"/>
      <w:marBottom w:val="0"/>
      <w:divBdr>
        <w:top w:val="none" w:sz="0" w:space="0" w:color="auto"/>
        <w:left w:val="none" w:sz="0" w:space="0" w:color="auto"/>
        <w:bottom w:val="none" w:sz="0" w:space="0" w:color="auto"/>
        <w:right w:val="none" w:sz="0" w:space="0" w:color="auto"/>
      </w:divBdr>
    </w:div>
    <w:div w:id="440300944">
      <w:bodyDiv w:val="1"/>
      <w:marLeft w:val="0"/>
      <w:marRight w:val="0"/>
      <w:marTop w:val="0"/>
      <w:marBottom w:val="0"/>
      <w:divBdr>
        <w:top w:val="none" w:sz="0" w:space="0" w:color="auto"/>
        <w:left w:val="none" w:sz="0" w:space="0" w:color="auto"/>
        <w:bottom w:val="none" w:sz="0" w:space="0" w:color="auto"/>
        <w:right w:val="none" w:sz="0" w:space="0" w:color="auto"/>
      </w:divBdr>
    </w:div>
    <w:div w:id="442648749">
      <w:bodyDiv w:val="1"/>
      <w:marLeft w:val="0"/>
      <w:marRight w:val="0"/>
      <w:marTop w:val="0"/>
      <w:marBottom w:val="0"/>
      <w:divBdr>
        <w:top w:val="none" w:sz="0" w:space="0" w:color="auto"/>
        <w:left w:val="none" w:sz="0" w:space="0" w:color="auto"/>
        <w:bottom w:val="none" w:sz="0" w:space="0" w:color="auto"/>
        <w:right w:val="none" w:sz="0" w:space="0" w:color="auto"/>
      </w:divBdr>
    </w:div>
    <w:div w:id="458033387">
      <w:bodyDiv w:val="1"/>
      <w:marLeft w:val="0"/>
      <w:marRight w:val="0"/>
      <w:marTop w:val="0"/>
      <w:marBottom w:val="0"/>
      <w:divBdr>
        <w:top w:val="none" w:sz="0" w:space="0" w:color="auto"/>
        <w:left w:val="none" w:sz="0" w:space="0" w:color="auto"/>
        <w:bottom w:val="none" w:sz="0" w:space="0" w:color="auto"/>
        <w:right w:val="none" w:sz="0" w:space="0" w:color="auto"/>
      </w:divBdr>
    </w:div>
    <w:div w:id="458496928">
      <w:bodyDiv w:val="1"/>
      <w:marLeft w:val="0"/>
      <w:marRight w:val="0"/>
      <w:marTop w:val="0"/>
      <w:marBottom w:val="0"/>
      <w:divBdr>
        <w:top w:val="none" w:sz="0" w:space="0" w:color="auto"/>
        <w:left w:val="none" w:sz="0" w:space="0" w:color="auto"/>
        <w:bottom w:val="none" w:sz="0" w:space="0" w:color="auto"/>
        <w:right w:val="none" w:sz="0" w:space="0" w:color="auto"/>
      </w:divBdr>
    </w:div>
    <w:div w:id="460422262">
      <w:bodyDiv w:val="1"/>
      <w:marLeft w:val="0"/>
      <w:marRight w:val="0"/>
      <w:marTop w:val="0"/>
      <w:marBottom w:val="0"/>
      <w:divBdr>
        <w:top w:val="none" w:sz="0" w:space="0" w:color="auto"/>
        <w:left w:val="none" w:sz="0" w:space="0" w:color="auto"/>
        <w:bottom w:val="none" w:sz="0" w:space="0" w:color="auto"/>
        <w:right w:val="none" w:sz="0" w:space="0" w:color="auto"/>
      </w:divBdr>
    </w:div>
    <w:div w:id="473448640">
      <w:bodyDiv w:val="1"/>
      <w:marLeft w:val="0"/>
      <w:marRight w:val="0"/>
      <w:marTop w:val="0"/>
      <w:marBottom w:val="0"/>
      <w:divBdr>
        <w:top w:val="none" w:sz="0" w:space="0" w:color="auto"/>
        <w:left w:val="none" w:sz="0" w:space="0" w:color="auto"/>
        <w:bottom w:val="none" w:sz="0" w:space="0" w:color="auto"/>
        <w:right w:val="none" w:sz="0" w:space="0" w:color="auto"/>
      </w:divBdr>
    </w:div>
    <w:div w:id="475221619">
      <w:bodyDiv w:val="1"/>
      <w:marLeft w:val="0"/>
      <w:marRight w:val="0"/>
      <w:marTop w:val="0"/>
      <w:marBottom w:val="0"/>
      <w:divBdr>
        <w:top w:val="none" w:sz="0" w:space="0" w:color="auto"/>
        <w:left w:val="none" w:sz="0" w:space="0" w:color="auto"/>
        <w:bottom w:val="none" w:sz="0" w:space="0" w:color="auto"/>
        <w:right w:val="none" w:sz="0" w:space="0" w:color="auto"/>
      </w:divBdr>
    </w:div>
    <w:div w:id="478881990">
      <w:bodyDiv w:val="1"/>
      <w:marLeft w:val="0"/>
      <w:marRight w:val="0"/>
      <w:marTop w:val="0"/>
      <w:marBottom w:val="0"/>
      <w:divBdr>
        <w:top w:val="none" w:sz="0" w:space="0" w:color="auto"/>
        <w:left w:val="none" w:sz="0" w:space="0" w:color="auto"/>
        <w:bottom w:val="none" w:sz="0" w:space="0" w:color="auto"/>
        <w:right w:val="none" w:sz="0" w:space="0" w:color="auto"/>
      </w:divBdr>
    </w:div>
    <w:div w:id="482477683">
      <w:bodyDiv w:val="1"/>
      <w:marLeft w:val="0"/>
      <w:marRight w:val="0"/>
      <w:marTop w:val="0"/>
      <w:marBottom w:val="0"/>
      <w:divBdr>
        <w:top w:val="none" w:sz="0" w:space="0" w:color="auto"/>
        <w:left w:val="none" w:sz="0" w:space="0" w:color="auto"/>
        <w:bottom w:val="none" w:sz="0" w:space="0" w:color="auto"/>
        <w:right w:val="none" w:sz="0" w:space="0" w:color="auto"/>
      </w:divBdr>
    </w:div>
    <w:div w:id="491993041">
      <w:bodyDiv w:val="1"/>
      <w:marLeft w:val="0"/>
      <w:marRight w:val="0"/>
      <w:marTop w:val="0"/>
      <w:marBottom w:val="0"/>
      <w:divBdr>
        <w:top w:val="none" w:sz="0" w:space="0" w:color="auto"/>
        <w:left w:val="none" w:sz="0" w:space="0" w:color="auto"/>
        <w:bottom w:val="none" w:sz="0" w:space="0" w:color="auto"/>
        <w:right w:val="none" w:sz="0" w:space="0" w:color="auto"/>
      </w:divBdr>
    </w:div>
    <w:div w:id="510337418">
      <w:bodyDiv w:val="1"/>
      <w:marLeft w:val="0"/>
      <w:marRight w:val="0"/>
      <w:marTop w:val="0"/>
      <w:marBottom w:val="0"/>
      <w:divBdr>
        <w:top w:val="none" w:sz="0" w:space="0" w:color="auto"/>
        <w:left w:val="none" w:sz="0" w:space="0" w:color="auto"/>
        <w:bottom w:val="none" w:sz="0" w:space="0" w:color="auto"/>
        <w:right w:val="none" w:sz="0" w:space="0" w:color="auto"/>
      </w:divBdr>
    </w:div>
    <w:div w:id="518663986">
      <w:bodyDiv w:val="1"/>
      <w:marLeft w:val="0"/>
      <w:marRight w:val="0"/>
      <w:marTop w:val="0"/>
      <w:marBottom w:val="0"/>
      <w:divBdr>
        <w:top w:val="none" w:sz="0" w:space="0" w:color="auto"/>
        <w:left w:val="none" w:sz="0" w:space="0" w:color="auto"/>
        <w:bottom w:val="none" w:sz="0" w:space="0" w:color="auto"/>
        <w:right w:val="none" w:sz="0" w:space="0" w:color="auto"/>
      </w:divBdr>
    </w:div>
    <w:div w:id="518935799">
      <w:bodyDiv w:val="1"/>
      <w:marLeft w:val="0"/>
      <w:marRight w:val="0"/>
      <w:marTop w:val="0"/>
      <w:marBottom w:val="0"/>
      <w:divBdr>
        <w:top w:val="none" w:sz="0" w:space="0" w:color="auto"/>
        <w:left w:val="none" w:sz="0" w:space="0" w:color="auto"/>
        <w:bottom w:val="none" w:sz="0" w:space="0" w:color="auto"/>
        <w:right w:val="none" w:sz="0" w:space="0" w:color="auto"/>
      </w:divBdr>
    </w:div>
    <w:div w:id="530414838">
      <w:bodyDiv w:val="1"/>
      <w:marLeft w:val="0"/>
      <w:marRight w:val="0"/>
      <w:marTop w:val="0"/>
      <w:marBottom w:val="0"/>
      <w:divBdr>
        <w:top w:val="none" w:sz="0" w:space="0" w:color="auto"/>
        <w:left w:val="none" w:sz="0" w:space="0" w:color="auto"/>
        <w:bottom w:val="none" w:sz="0" w:space="0" w:color="auto"/>
        <w:right w:val="none" w:sz="0" w:space="0" w:color="auto"/>
      </w:divBdr>
    </w:div>
    <w:div w:id="533926029">
      <w:bodyDiv w:val="1"/>
      <w:marLeft w:val="0"/>
      <w:marRight w:val="0"/>
      <w:marTop w:val="0"/>
      <w:marBottom w:val="0"/>
      <w:divBdr>
        <w:top w:val="none" w:sz="0" w:space="0" w:color="auto"/>
        <w:left w:val="none" w:sz="0" w:space="0" w:color="auto"/>
        <w:bottom w:val="none" w:sz="0" w:space="0" w:color="auto"/>
        <w:right w:val="none" w:sz="0" w:space="0" w:color="auto"/>
      </w:divBdr>
    </w:div>
    <w:div w:id="534737586">
      <w:bodyDiv w:val="1"/>
      <w:marLeft w:val="0"/>
      <w:marRight w:val="0"/>
      <w:marTop w:val="0"/>
      <w:marBottom w:val="0"/>
      <w:divBdr>
        <w:top w:val="none" w:sz="0" w:space="0" w:color="auto"/>
        <w:left w:val="none" w:sz="0" w:space="0" w:color="auto"/>
        <w:bottom w:val="none" w:sz="0" w:space="0" w:color="auto"/>
        <w:right w:val="none" w:sz="0" w:space="0" w:color="auto"/>
      </w:divBdr>
    </w:div>
    <w:div w:id="539708849">
      <w:bodyDiv w:val="1"/>
      <w:marLeft w:val="0"/>
      <w:marRight w:val="0"/>
      <w:marTop w:val="0"/>
      <w:marBottom w:val="0"/>
      <w:divBdr>
        <w:top w:val="none" w:sz="0" w:space="0" w:color="auto"/>
        <w:left w:val="none" w:sz="0" w:space="0" w:color="auto"/>
        <w:bottom w:val="none" w:sz="0" w:space="0" w:color="auto"/>
        <w:right w:val="none" w:sz="0" w:space="0" w:color="auto"/>
      </w:divBdr>
    </w:div>
    <w:div w:id="545069323">
      <w:bodyDiv w:val="1"/>
      <w:marLeft w:val="0"/>
      <w:marRight w:val="0"/>
      <w:marTop w:val="0"/>
      <w:marBottom w:val="0"/>
      <w:divBdr>
        <w:top w:val="none" w:sz="0" w:space="0" w:color="auto"/>
        <w:left w:val="none" w:sz="0" w:space="0" w:color="auto"/>
        <w:bottom w:val="none" w:sz="0" w:space="0" w:color="auto"/>
        <w:right w:val="none" w:sz="0" w:space="0" w:color="auto"/>
      </w:divBdr>
    </w:div>
    <w:div w:id="550000530">
      <w:bodyDiv w:val="1"/>
      <w:marLeft w:val="0"/>
      <w:marRight w:val="0"/>
      <w:marTop w:val="0"/>
      <w:marBottom w:val="0"/>
      <w:divBdr>
        <w:top w:val="none" w:sz="0" w:space="0" w:color="auto"/>
        <w:left w:val="none" w:sz="0" w:space="0" w:color="auto"/>
        <w:bottom w:val="none" w:sz="0" w:space="0" w:color="auto"/>
        <w:right w:val="none" w:sz="0" w:space="0" w:color="auto"/>
      </w:divBdr>
    </w:div>
    <w:div w:id="561059746">
      <w:bodyDiv w:val="1"/>
      <w:marLeft w:val="0"/>
      <w:marRight w:val="0"/>
      <w:marTop w:val="0"/>
      <w:marBottom w:val="0"/>
      <w:divBdr>
        <w:top w:val="none" w:sz="0" w:space="0" w:color="auto"/>
        <w:left w:val="none" w:sz="0" w:space="0" w:color="auto"/>
        <w:bottom w:val="none" w:sz="0" w:space="0" w:color="auto"/>
        <w:right w:val="none" w:sz="0" w:space="0" w:color="auto"/>
      </w:divBdr>
    </w:div>
    <w:div w:id="568923814">
      <w:bodyDiv w:val="1"/>
      <w:marLeft w:val="0"/>
      <w:marRight w:val="0"/>
      <w:marTop w:val="0"/>
      <w:marBottom w:val="0"/>
      <w:divBdr>
        <w:top w:val="none" w:sz="0" w:space="0" w:color="auto"/>
        <w:left w:val="none" w:sz="0" w:space="0" w:color="auto"/>
        <w:bottom w:val="none" w:sz="0" w:space="0" w:color="auto"/>
        <w:right w:val="none" w:sz="0" w:space="0" w:color="auto"/>
      </w:divBdr>
    </w:div>
    <w:div w:id="570582239">
      <w:bodyDiv w:val="1"/>
      <w:marLeft w:val="0"/>
      <w:marRight w:val="0"/>
      <w:marTop w:val="0"/>
      <w:marBottom w:val="0"/>
      <w:divBdr>
        <w:top w:val="none" w:sz="0" w:space="0" w:color="auto"/>
        <w:left w:val="none" w:sz="0" w:space="0" w:color="auto"/>
        <w:bottom w:val="none" w:sz="0" w:space="0" w:color="auto"/>
        <w:right w:val="none" w:sz="0" w:space="0" w:color="auto"/>
      </w:divBdr>
    </w:div>
    <w:div w:id="570777038">
      <w:bodyDiv w:val="1"/>
      <w:marLeft w:val="0"/>
      <w:marRight w:val="0"/>
      <w:marTop w:val="0"/>
      <w:marBottom w:val="0"/>
      <w:divBdr>
        <w:top w:val="none" w:sz="0" w:space="0" w:color="auto"/>
        <w:left w:val="none" w:sz="0" w:space="0" w:color="auto"/>
        <w:bottom w:val="none" w:sz="0" w:space="0" w:color="auto"/>
        <w:right w:val="none" w:sz="0" w:space="0" w:color="auto"/>
      </w:divBdr>
    </w:div>
    <w:div w:id="575407889">
      <w:bodyDiv w:val="1"/>
      <w:marLeft w:val="0"/>
      <w:marRight w:val="0"/>
      <w:marTop w:val="0"/>
      <w:marBottom w:val="0"/>
      <w:divBdr>
        <w:top w:val="none" w:sz="0" w:space="0" w:color="auto"/>
        <w:left w:val="none" w:sz="0" w:space="0" w:color="auto"/>
        <w:bottom w:val="none" w:sz="0" w:space="0" w:color="auto"/>
        <w:right w:val="none" w:sz="0" w:space="0" w:color="auto"/>
      </w:divBdr>
    </w:div>
    <w:div w:id="579022945">
      <w:bodyDiv w:val="1"/>
      <w:marLeft w:val="0"/>
      <w:marRight w:val="0"/>
      <w:marTop w:val="0"/>
      <w:marBottom w:val="0"/>
      <w:divBdr>
        <w:top w:val="none" w:sz="0" w:space="0" w:color="auto"/>
        <w:left w:val="none" w:sz="0" w:space="0" w:color="auto"/>
        <w:bottom w:val="none" w:sz="0" w:space="0" w:color="auto"/>
        <w:right w:val="none" w:sz="0" w:space="0" w:color="auto"/>
      </w:divBdr>
    </w:div>
    <w:div w:id="586573498">
      <w:bodyDiv w:val="1"/>
      <w:marLeft w:val="0"/>
      <w:marRight w:val="0"/>
      <w:marTop w:val="0"/>
      <w:marBottom w:val="0"/>
      <w:divBdr>
        <w:top w:val="none" w:sz="0" w:space="0" w:color="auto"/>
        <w:left w:val="none" w:sz="0" w:space="0" w:color="auto"/>
        <w:bottom w:val="none" w:sz="0" w:space="0" w:color="auto"/>
        <w:right w:val="none" w:sz="0" w:space="0" w:color="auto"/>
      </w:divBdr>
    </w:div>
    <w:div w:id="591281716">
      <w:bodyDiv w:val="1"/>
      <w:marLeft w:val="0"/>
      <w:marRight w:val="0"/>
      <w:marTop w:val="0"/>
      <w:marBottom w:val="0"/>
      <w:divBdr>
        <w:top w:val="none" w:sz="0" w:space="0" w:color="auto"/>
        <w:left w:val="none" w:sz="0" w:space="0" w:color="auto"/>
        <w:bottom w:val="none" w:sz="0" w:space="0" w:color="auto"/>
        <w:right w:val="none" w:sz="0" w:space="0" w:color="auto"/>
      </w:divBdr>
    </w:div>
    <w:div w:id="605159528">
      <w:bodyDiv w:val="1"/>
      <w:marLeft w:val="0"/>
      <w:marRight w:val="0"/>
      <w:marTop w:val="0"/>
      <w:marBottom w:val="0"/>
      <w:divBdr>
        <w:top w:val="none" w:sz="0" w:space="0" w:color="auto"/>
        <w:left w:val="none" w:sz="0" w:space="0" w:color="auto"/>
        <w:bottom w:val="none" w:sz="0" w:space="0" w:color="auto"/>
        <w:right w:val="none" w:sz="0" w:space="0" w:color="auto"/>
      </w:divBdr>
    </w:div>
    <w:div w:id="606082913">
      <w:bodyDiv w:val="1"/>
      <w:marLeft w:val="0"/>
      <w:marRight w:val="0"/>
      <w:marTop w:val="0"/>
      <w:marBottom w:val="0"/>
      <w:divBdr>
        <w:top w:val="none" w:sz="0" w:space="0" w:color="auto"/>
        <w:left w:val="none" w:sz="0" w:space="0" w:color="auto"/>
        <w:bottom w:val="none" w:sz="0" w:space="0" w:color="auto"/>
        <w:right w:val="none" w:sz="0" w:space="0" w:color="auto"/>
      </w:divBdr>
    </w:div>
    <w:div w:id="610750288">
      <w:bodyDiv w:val="1"/>
      <w:marLeft w:val="0"/>
      <w:marRight w:val="0"/>
      <w:marTop w:val="0"/>
      <w:marBottom w:val="0"/>
      <w:divBdr>
        <w:top w:val="none" w:sz="0" w:space="0" w:color="auto"/>
        <w:left w:val="none" w:sz="0" w:space="0" w:color="auto"/>
        <w:bottom w:val="none" w:sz="0" w:space="0" w:color="auto"/>
        <w:right w:val="none" w:sz="0" w:space="0" w:color="auto"/>
      </w:divBdr>
    </w:div>
    <w:div w:id="616062321">
      <w:bodyDiv w:val="1"/>
      <w:marLeft w:val="0"/>
      <w:marRight w:val="0"/>
      <w:marTop w:val="0"/>
      <w:marBottom w:val="0"/>
      <w:divBdr>
        <w:top w:val="none" w:sz="0" w:space="0" w:color="auto"/>
        <w:left w:val="none" w:sz="0" w:space="0" w:color="auto"/>
        <w:bottom w:val="none" w:sz="0" w:space="0" w:color="auto"/>
        <w:right w:val="none" w:sz="0" w:space="0" w:color="auto"/>
      </w:divBdr>
    </w:div>
    <w:div w:id="617297267">
      <w:bodyDiv w:val="1"/>
      <w:marLeft w:val="0"/>
      <w:marRight w:val="0"/>
      <w:marTop w:val="0"/>
      <w:marBottom w:val="0"/>
      <w:divBdr>
        <w:top w:val="none" w:sz="0" w:space="0" w:color="auto"/>
        <w:left w:val="none" w:sz="0" w:space="0" w:color="auto"/>
        <w:bottom w:val="none" w:sz="0" w:space="0" w:color="auto"/>
        <w:right w:val="none" w:sz="0" w:space="0" w:color="auto"/>
      </w:divBdr>
    </w:div>
    <w:div w:id="617567854">
      <w:bodyDiv w:val="1"/>
      <w:marLeft w:val="0"/>
      <w:marRight w:val="0"/>
      <w:marTop w:val="0"/>
      <w:marBottom w:val="0"/>
      <w:divBdr>
        <w:top w:val="none" w:sz="0" w:space="0" w:color="auto"/>
        <w:left w:val="none" w:sz="0" w:space="0" w:color="auto"/>
        <w:bottom w:val="none" w:sz="0" w:space="0" w:color="auto"/>
        <w:right w:val="none" w:sz="0" w:space="0" w:color="auto"/>
      </w:divBdr>
    </w:div>
    <w:div w:id="636835258">
      <w:bodyDiv w:val="1"/>
      <w:marLeft w:val="0"/>
      <w:marRight w:val="0"/>
      <w:marTop w:val="0"/>
      <w:marBottom w:val="0"/>
      <w:divBdr>
        <w:top w:val="none" w:sz="0" w:space="0" w:color="auto"/>
        <w:left w:val="none" w:sz="0" w:space="0" w:color="auto"/>
        <w:bottom w:val="none" w:sz="0" w:space="0" w:color="auto"/>
        <w:right w:val="none" w:sz="0" w:space="0" w:color="auto"/>
      </w:divBdr>
    </w:div>
    <w:div w:id="640309199">
      <w:bodyDiv w:val="1"/>
      <w:marLeft w:val="0"/>
      <w:marRight w:val="0"/>
      <w:marTop w:val="0"/>
      <w:marBottom w:val="0"/>
      <w:divBdr>
        <w:top w:val="none" w:sz="0" w:space="0" w:color="auto"/>
        <w:left w:val="none" w:sz="0" w:space="0" w:color="auto"/>
        <w:bottom w:val="none" w:sz="0" w:space="0" w:color="auto"/>
        <w:right w:val="none" w:sz="0" w:space="0" w:color="auto"/>
      </w:divBdr>
    </w:div>
    <w:div w:id="645092097">
      <w:bodyDiv w:val="1"/>
      <w:marLeft w:val="0"/>
      <w:marRight w:val="0"/>
      <w:marTop w:val="0"/>
      <w:marBottom w:val="0"/>
      <w:divBdr>
        <w:top w:val="none" w:sz="0" w:space="0" w:color="auto"/>
        <w:left w:val="none" w:sz="0" w:space="0" w:color="auto"/>
        <w:bottom w:val="none" w:sz="0" w:space="0" w:color="auto"/>
        <w:right w:val="none" w:sz="0" w:space="0" w:color="auto"/>
      </w:divBdr>
    </w:div>
    <w:div w:id="653874796">
      <w:bodyDiv w:val="1"/>
      <w:marLeft w:val="0"/>
      <w:marRight w:val="0"/>
      <w:marTop w:val="0"/>
      <w:marBottom w:val="0"/>
      <w:divBdr>
        <w:top w:val="none" w:sz="0" w:space="0" w:color="auto"/>
        <w:left w:val="none" w:sz="0" w:space="0" w:color="auto"/>
        <w:bottom w:val="none" w:sz="0" w:space="0" w:color="auto"/>
        <w:right w:val="none" w:sz="0" w:space="0" w:color="auto"/>
      </w:divBdr>
    </w:div>
    <w:div w:id="662510028">
      <w:bodyDiv w:val="1"/>
      <w:marLeft w:val="0"/>
      <w:marRight w:val="0"/>
      <w:marTop w:val="0"/>
      <w:marBottom w:val="0"/>
      <w:divBdr>
        <w:top w:val="none" w:sz="0" w:space="0" w:color="auto"/>
        <w:left w:val="none" w:sz="0" w:space="0" w:color="auto"/>
        <w:bottom w:val="none" w:sz="0" w:space="0" w:color="auto"/>
        <w:right w:val="none" w:sz="0" w:space="0" w:color="auto"/>
      </w:divBdr>
    </w:div>
    <w:div w:id="667484932">
      <w:bodyDiv w:val="1"/>
      <w:marLeft w:val="0"/>
      <w:marRight w:val="0"/>
      <w:marTop w:val="0"/>
      <w:marBottom w:val="0"/>
      <w:divBdr>
        <w:top w:val="none" w:sz="0" w:space="0" w:color="auto"/>
        <w:left w:val="none" w:sz="0" w:space="0" w:color="auto"/>
        <w:bottom w:val="none" w:sz="0" w:space="0" w:color="auto"/>
        <w:right w:val="none" w:sz="0" w:space="0" w:color="auto"/>
      </w:divBdr>
    </w:div>
    <w:div w:id="682438234">
      <w:bodyDiv w:val="1"/>
      <w:marLeft w:val="0"/>
      <w:marRight w:val="0"/>
      <w:marTop w:val="0"/>
      <w:marBottom w:val="0"/>
      <w:divBdr>
        <w:top w:val="none" w:sz="0" w:space="0" w:color="auto"/>
        <w:left w:val="none" w:sz="0" w:space="0" w:color="auto"/>
        <w:bottom w:val="none" w:sz="0" w:space="0" w:color="auto"/>
        <w:right w:val="none" w:sz="0" w:space="0" w:color="auto"/>
      </w:divBdr>
    </w:div>
    <w:div w:id="683751178">
      <w:bodyDiv w:val="1"/>
      <w:marLeft w:val="0"/>
      <w:marRight w:val="0"/>
      <w:marTop w:val="0"/>
      <w:marBottom w:val="0"/>
      <w:divBdr>
        <w:top w:val="none" w:sz="0" w:space="0" w:color="auto"/>
        <w:left w:val="none" w:sz="0" w:space="0" w:color="auto"/>
        <w:bottom w:val="none" w:sz="0" w:space="0" w:color="auto"/>
        <w:right w:val="none" w:sz="0" w:space="0" w:color="auto"/>
      </w:divBdr>
    </w:div>
    <w:div w:id="684093956">
      <w:bodyDiv w:val="1"/>
      <w:marLeft w:val="0"/>
      <w:marRight w:val="0"/>
      <w:marTop w:val="0"/>
      <w:marBottom w:val="0"/>
      <w:divBdr>
        <w:top w:val="none" w:sz="0" w:space="0" w:color="auto"/>
        <w:left w:val="none" w:sz="0" w:space="0" w:color="auto"/>
        <w:bottom w:val="none" w:sz="0" w:space="0" w:color="auto"/>
        <w:right w:val="none" w:sz="0" w:space="0" w:color="auto"/>
      </w:divBdr>
    </w:div>
    <w:div w:id="700474159">
      <w:bodyDiv w:val="1"/>
      <w:marLeft w:val="0"/>
      <w:marRight w:val="0"/>
      <w:marTop w:val="0"/>
      <w:marBottom w:val="0"/>
      <w:divBdr>
        <w:top w:val="none" w:sz="0" w:space="0" w:color="auto"/>
        <w:left w:val="none" w:sz="0" w:space="0" w:color="auto"/>
        <w:bottom w:val="none" w:sz="0" w:space="0" w:color="auto"/>
        <w:right w:val="none" w:sz="0" w:space="0" w:color="auto"/>
      </w:divBdr>
    </w:div>
    <w:div w:id="705107216">
      <w:bodyDiv w:val="1"/>
      <w:marLeft w:val="0"/>
      <w:marRight w:val="0"/>
      <w:marTop w:val="0"/>
      <w:marBottom w:val="0"/>
      <w:divBdr>
        <w:top w:val="none" w:sz="0" w:space="0" w:color="auto"/>
        <w:left w:val="none" w:sz="0" w:space="0" w:color="auto"/>
        <w:bottom w:val="none" w:sz="0" w:space="0" w:color="auto"/>
        <w:right w:val="none" w:sz="0" w:space="0" w:color="auto"/>
      </w:divBdr>
    </w:div>
    <w:div w:id="711466315">
      <w:bodyDiv w:val="1"/>
      <w:marLeft w:val="0"/>
      <w:marRight w:val="0"/>
      <w:marTop w:val="0"/>
      <w:marBottom w:val="0"/>
      <w:divBdr>
        <w:top w:val="none" w:sz="0" w:space="0" w:color="auto"/>
        <w:left w:val="none" w:sz="0" w:space="0" w:color="auto"/>
        <w:bottom w:val="none" w:sz="0" w:space="0" w:color="auto"/>
        <w:right w:val="none" w:sz="0" w:space="0" w:color="auto"/>
      </w:divBdr>
    </w:div>
    <w:div w:id="719669337">
      <w:bodyDiv w:val="1"/>
      <w:marLeft w:val="0"/>
      <w:marRight w:val="0"/>
      <w:marTop w:val="0"/>
      <w:marBottom w:val="0"/>
      <w:divBdr>
        <w:top w:val="none" w:sz="0" w:space="0" w:color="auto"/>
        <w:left w:val="none" w:sz="0" w:space="0" w:color="auto"/>
        <w:bottom w:val="none" w:sz="0" w:space="0" w:color="auto"/>
        <w:right w:val="none" w:sz="0" w:space="0" w:color="auto"/>
      </w:divBdr>
    </w:div>
    <w:div w:id="728768244">
      <w:bodyDiv w:val="1"/>
      <w:marLeft w:val="0"/>
      <w:marRight w:val="0"/>
      <w:marTop w:val="0"/>
      <w:marBottom w:val="0"/>
      <w:divBdr>
        <w:top w:val="none" w:sz="0" w:space="0" w:color="auto"/>
        <w:left w:val="none" w:sz="0" w:space="0" w:color="auto"/>
        <w:bottom w:val="none" w:sz="0" w:space="0" w:color="auto"/>
        <w:right w:val="none" w:sz="0" w:space="0" w:color="auto"/>
      </w:divBdr>
    </w:div>
    <w:div w:id="733235498">
      <w:bodyDiv w:val="1"/>
      <w:marLeft w:val="0"/>
      <w:marRight w:val="0"/>
      <w:marTop w:val="0"/>
      <w:marBottom w:val="0"/>
      <w:divBdr>
        <w:top w:val="none" w:sz="0" w:space="0" w:color="auto"/>
        <w:left w:val="none" w:sz="0" w:space="0" w:color="auto"/>
        <w:bottom w:val="none" w:sz="0" w:space="0" w:color="auto"/>
        <w:right w:val="none" w:sz="0" w:space="0" w:color="auto"/>
      </w:divBdr>
    </w:div>
    <w:div w:id="734356012">
      <w:bodyDiv w:val="1"/>
      <w:marLeft w:val="0"/>
      <w:marRight w:val="0"/>
      <w:marTop w:val="0"/>
      <w:marBottom w:val="0"/>
      <w:divBdr>
        <w:top w:val="none" w:sz="0" w:space="0" w:color="auto"/>
        <w:left w:val="none" w:sz="0" w:space="0" w:color="auto"/>
        <w:bottom w:val="none" w:sz="0" w:space="0" w:color="auto"/>
        <w:right w:val="none" w:sz="0" w:space="0" w:color="auto"/>
      </w:divBdr>
    </w:div>
    <w:div w:id="742408189">
      <w:bodyDiv w:val="1"/>
      <w:marLeft w:val="0"/>
      <w:marRight w:val="0"/>
      <w:marTop w:val="0"/>
      <w:marBottom w:val="0"/>
      <w:divBdr>
        <w:top w:val="none" w:sz="0" w:space="0" w:color="auto"/>
        <w:left w:val="none" w:sz="0" w:space="0" w:color="auto"/>
        <w:bottom w:val="none" w:sz="0" w:space="0" w:color="auto"/>
        <w:right w:val="none" w:sz="0" w:space="0" w:color="auto"/>
      </w:divBdr>
    </w:div>
    <w:div w:id="743265135">
      <w:bodyDiv w:val="1"/>
      <w:marLeft w:val="0"/>
      <w:marRight w:val="0"/>
      <w:marTop w:val="0"/>
      <w:marBottom w:val="0"/>
      <w:divBdr>
        <w:top w:val="none" w:sz="0" w:space="0" w:color="auto"/>
        <w:left w:val="none" w:sz="0" w:space="0" w:color="auto"/>
        <w:bottom w:val="none" w:sz="0" w:space="0" w:color="auto"/>
        <w:right w:val="none" w:sz="0" w:space="0" w:color="auto"/>
      </w:divBdr>
    </w:div>
    <w:div w:id="751854815">
      <w:bodyDiv w:val="1"/>
      <w:marLeft w:val="0"/>
      <w:marRight w:val="0"/>
      <w:marTop w:val="0"/>
      <w:marBottom w:val="0"/>
      <w:divBdr>
        <w:top w:val="none" w:sz="0" w:space="0" w:color="auto"/>
        <w:left w:val="none" w:sz="0" w:space="0" w:color="auto"/>
        <w:bottom w:val="none" w:sz="0" w:space="0" w:color="auto"/>
        <w:right w:val="none" w:sz="0" w:space="0" w:color="auto"/>
      </w:divBdr>
    </w:div>
    <w:div w:id="757944575">
      <w:bodyDiv w:val="1"/>
      <w:marLeft w:val="0"/>
      <w:marRight w:val="0"/>
      <w:marTop w:val="0"/>
      <w:marBottom w:val="0"/>
      <w:divBdr>
        <w:top w:val="none" w:sz="0" w:space="0" w:color="auto"/>
        <w:left w:val="none" w:sz="0" w:space="0" w:color="auto"/>
        <w:bottom w:val="none" w:sz="0" w:space="0" w:color="auto"/>
        <w:right w:val="none" w:sz="0" w:space="0" w:color="auto"/>
      </w:divBdr>
    </w:div>
    <w:div w:id="758016002">
      <w:bodyDiv w:val="1"/>
      <w:marLeft w:val="0"/>
      <w:marRight w:val="0"/>
      <w:marTop w:val="0"/>
      <w:marBottom w:val="0"/>
      <w:divBdr>
        <w:top w:val="none" w:sz="0" w:space="0" w:color="auto"/>
        <w:left w:val="none" w:sz="0" w:space="0" w:color="auto"/>
        <w:bottom w:val="none" w:sz="0" w:space="0" w:color="auto"/>
        <w:right w:val="none" w:sz="0" w:space="0" w:color="auto"/>
      </w:divBdr>
    </w:div>
    <w:div w:id="761730055">
      <w:bodyDiv w:val="1"/>
      <w:marLeft w:val="0"/>
      <w:marRight w:val="0"/>
      <w:marTop w:val="0"/>
      <w:marBottom w:val="0"/>
      <w:divBdr>
        <w:top w:val="none" w:sz="0" w:space="0" w:color="auto"/>
        <w:left w:val="none" w:sz="0" w:space="0" w:color="auto"/>
        <w:bottom w:val="none" w:sz="0" w:space="0" w:color="auto"/>
        <w:right w:val="none" w:sz="0" w:space="0" w:color="auto"/>
      </w:divBdr>
    </w:div>
    <w:div w:id="762140698">
      <w:bodyDiv w:val="1"/>
      <w:marLeft w:val="0"/>
      <w:marRight w:val="0"/>
      <w:marTop w:val="0"/>
      <w:marBottom w:val="0"/>
      <w:divBdr>
        <w:top w:val="none" w:sz="0" w:space="0" w:color="auto"/>
        <w:left w:val="none" w:sz="0" w:space="0" w:color="auto"/>
        <w:bottom w:val="none" w:sz="0" w:space="0" w:color="auto"/>
        <w:right w:val="none" w:sz="0" w:space="0" w:color="auto"/>
      </w:divBdr>
    </w:div>
    <w:div w:id="771819909">
      <w:bodyDiv w:val="1"/>
      <w:marLeft w:val="0"/>
      <w:marRight w:val="0"/>
      <w:marTop w:val="0"/>
      <w:marBottom w:val="0"/>
      <w:divBdr>
        <w:top w:val="none" w:sz="0" w:space="0" w:color="auto"/>
        <w:left w:val="none" w:sz="0" w:space="0" w:color="auto"/>
        <w:bottom w:val="none" w:sz="0" w:space="0" w:color="auto"/>
        <w:right w:val="none" w:sz="0" w:space="0" w:color="auto"/>
      </w:divBdr>
    </w:div>
    <w:div w:id="774446552">
      <w:bodyDiv w:val="1"/>
      <w:marLeft w:val="0"/>
      <w:marRight w:val="0"/>
      <w:marTop w:val="0"/>
      <w:marBottom w:val="0"/>
      <w:divBdr>
        <w:top w:val="none" w:sz="0" w:space="0" w:color="auto"/>
        <w:left w:val="none" w:sz="0" w:space="0" w:color="auto"/>
        <w:bottom w:val="none" w:sz="0" w:space="0" w:color="auto"/>
        <w:right w:val="none" w:sz="0" w:space="0" w:color="auto"/>
      </w:divBdr>
    </w:div>
    <w:div w:id="781266755">
      <w:bodyDiv w:val="1"/>
      <w:marLeft w:val="0"/>
      <w:marRight w:val="0"/>
      <w:marTop w:val="0"/>
      <w:marBottom w:val="0"/>
      <w:divBdr>
        <w:top w:val="none" w:sz="0" w:space="0" w:color="auto"/>
        <w:left w:val="none" w:sz="0" w:space="0" w:color="auto"/>
        <w:bottom w:val="none" w:sz="0" w:space="0" w:color="auto"/>
        <w:right w:val="none" w:sz="0" w:space="0" w:color="auto"/>
      </w:divBdr>
    </w:div>
    <w:div w:id="787744765">
      <w:bodyDiv w:val="1"/>
      <w:marLeft w:val="0"/>
      <w:marRight w:val="0"/>
      <w:marTop w:val="0"/>
      <w:marBottom w:val="0"/>
      <w:divBdr>
        <w:top w:val="none" w:sz="0" w:space="0" w:color="auto"/>
        <w:left w:val="none" w:sz="0" w:space="0" w:color="auto"/>
        <w:bottom w:val="none" w:sz="0" w:space="0" w:color="auto"/>
        <w:right w:val="none" w:sz="0" w:space="0" w:color="auto"/>
      </w:divBdr>
    </w:div>
    <w:div w:id="791170986">
      <w:bodyDiv w:val="1"/>
      <w:marLeft w:val="0"/>
      <w:marRight w:val="0"/>
      <w:marTop w:val="0"/>
      <w:marBottom w:val="0"/>
      <w:divBdr>
        <w:top w:val="none" w:sz="0" w:space="0" w:color="auto"/>
        <w:left w:val="none" w:sz="0" w:space="0" w:color="auto"/>
        <w:bottom w:val="none" w:sz="0" w:space="0" w:color="auto"/>
        <w:right w:val="none" w:sz="0" w:space="0" w:color="auto"/>
      </w:divBdr>
    </w:div>
    <w:div w:id="815029335">
      <w:bodyDiv w:val="1"/>
      <w:marLeft w:val="0"/>
      <w:marRight w:val="0"/>
      <w:marTop w:val="0"/>
      <w:marBottom w:val="0"/>
      <w:divBdr>
        <w:top w:val="none" w:sz="0" w:space="0" w:color="auto"/>
        <w:left w:val="none" w:sz="0" w:space="0" w:color="auto"/>
        <w:bottom w:val="none" w:sz="0" w:space="0" w:color="auto"/>
        <w:right w:val="none" w:sz="0" w:space="0" w:color="auto"/>
      </w:divBdr>
    </w:div>
    <w:div w:id="831604267">
      <w:bodyDiv w:val="1"/>
      <w:marLeft w:val="0"/>
      <w:marRight w:val="0"/>
      <w:marTop w:val="0"/>
      <w:marBottom w:val="0"/>
      <w:divBdr>
        <w:top w:val="none" w:sz="0" w:space="0" w:color="auto"/>
        <w:left w:val="none" w:sz="0" w:space="0" w:color="auto"/>
        <w:bottom w:val="none" w:sz="0" w:space="0" w:color="auto"/>
        <w:right w:val="none" w:sz="0" w:space="0" w:color="auto"/>
      </w:divBdr>
    </w:div>
    <w:div w:id="839195257">
      <w:bodyDiv w:val="1"/>
      <w:marLeft w:val="0"/>
      <w:marRight w:val="0"/>
      <w:marTop w:val="0"/>
      <w:marBottom w:val="0"/>
      <w:divBdr>
        <w:top w:val="none" w:sz="0" w:space="0" w:color="auto"/>
        <w:left w:val="none" w:sz="0" w:space="0" w:color="auto"/>
        <w:bottom w:val="none" w:sz="0" w:space="0" w:color="auto"/>
        <w:right w:val="none" w:sz="0" w:space="0" w:color="auto"/>
      </w:divBdr>
    </w:div>
    <w:div w:id="846483441">
      <w:bodyDiv w:val="1"/>
      <w:marLeft w:val="0"/>
      <w:marRight w:val="0"/>
      <w:marTop w:val="0"/>
      <w:marBottom w:val="0"/>
      <w:divBdr>
        <w:top w:val="none" w:sz="0" w:space="0" w:color="auto"/>
        <w:left w:val="none" w:sz="0" w:space="0" w:color="auto"/>
        <w:bottom w:val="none" w:sz="0" w:space="0" w:color="auto"/>
        <w:right w:val="none" w:sz="0" w:space="0" w:color="auto"/>
      </w:divBdr>
    </w:div>
    <w:div w:id="848377128">
      <w:bodyDiv w:val="1"/>
      <w:marLeft w:val="0"/>
      <w:marRight w:val="0"/>
      <w:marTop w:val="0"/>
      <w:marBottom w:val="0"/>
      <w:divBdr>
        <w:top w:val="none" w:sz="0" w:space="0" w:color="auto"/>
        <w:left w:val="none" w:sz="0" w:space="0" w:color="auto"/>
        <w:bottom w:val="none" w:sz="0" w:space="0" w:color="auto"/>
        <w:right w:val="none" w:sz="0" w:space="0" w:color="auto"/>
      </w:divBdr>
    </w:div>
    <w:div w:id="851771402">
      <w:bodyDiv w:val="1"/>
      <w:marLeft w:val="0"/>
      <w:marRight w:val="0"/>
      <w:marTop w:val="0"/>
      <w:marBottom w:val="0"/>
      <w:divBdr>
        <w:top w:val="none" w:sz="0" w:space="0" w:color="auto"/>
        <w:left w:val="none" w:sz="0" w:space="0" w:color="auto"/>
        <w:bottom w:val="none" w:sz="0" w:space="0" w:color="auto"/>
        <w:right w:val="none" w:sz="0" w:space="0" w:color="auto"/>
      </w:divBdr>
    </w:div>
    <w:div w:id="853805360">
      <w:bodyDiv w:val="1"/>
      <w:marLeft w:val="0"/>
      <w:marRight w:val="0"/>
      <w:marTop w:val="0"/>
      <w:marBottom w:val="0"/>
      <w:divBdr>
        <w:top w:val="none" w:sz="0" w:space="0" w:color="auto"/>
        <w:left w:val="none" w:sz="0" w:space="0" w:color="auto"/>
        <w:bottom w:val="none" w:sz="0" w:space="0" w:color="auto"/>
        <w:right w:val="none" w:sz="0" w:space="0" w:color="auto"/>
      </w:divBdr>
    </w:div>
    <w:div w:id="870724318">
      <w:bodyDiv w:val="1"/>
      <w:marLeft w:val="0"/>
      <w:marRight w:val="0"/>
      <w:marTop w:val="0"/>
      <w:marBottom w:val="0"/>
      <w:divBdr>
        <w:top w:val="none" w:sz="0" w:space="0" w:color="auto"/>
        <w:left w:val="none" w:sz="0" w:space="0" w:color="auto"/>
        <w:bottom w:val="none" w:sz="0" w:space="0" w:color="auto"/>
        <w:right w:val="none" w:sz="0" w:space="0" w:color="auto"/>
      </w:divBdr>
    </w:div>
    <w:div w:id="875393297">
      <w:bodyDiv w:val="1"/>
      <w:marLeft w:val="0"/>
      <w:marRight w:val="0"/>
      <w:marTop w:val="0"/>
      <w:marBottom w:val="0"/>
      <w:divBdr>
        <w:top w:val="none" w:sz="0" w:space="0" w:color="auto"/>
        <w:left w:val="none" w:sz="0" w:space="0" w:color="auto"/>
        <w:bottom w:val="none" w:sz="0" w:space="0" w:color="auto"/>
        <w:right w:val="none" w:sz="0" w:space="0" w:color="auto"/>
      </w:divBdr>
    </w:div>
    <w:div w:id="876359632">
      <w:bodyDiv w:val="1"/>
      <w:marLeft w:val="0"/>
      <w:marRight w:val="0"/>
      <w:marTop w:val="0"/>
      <w:marBottom w:val="0"/>
      <w:divBdr>
        <w:top w:val="none" w:sz="0" w:space="0" w:color="auto"/>
        <w:left w:val="none" w:sz="0" w:space="0" w:color="auto"/>
        <w:bottom w:val="none" w:sz="0" w:space="0" w:color="auto"/>
        <w:right w:val="none" w:sz="0" w:space="0" w:color="auto"/>
      </w:divBdr>
    </w:div>
    <w:div w:id="884876514">
      <w:bodyDiv w:val="1"/>
      <w:marLeft w:val="0"/>
      <w:marRight w:val="0"/>
      <w:marTop w:val="0"/>
      <w:marBottom w:val="0"/>
      <w:divBdr>
        <w:top w:val="none" w:sz="0" w:space="0" w:color="auto"/>
        <w:left w:val="none" w:sz="0" w:space="0" w:color="auto"/>
        <w:bottom w:val="none" w:sz="0" w:space="0" w:color="auto"/>
        <w:right w:val="none" w:sz="0" w:space="0" w:color="auto"/>
      </w:divBdr>
    </w:div>
    <w:div w:id="888806414">
      <w:bodyDiv w:val="1"/>
      <w:marLeft w:val="0"/>
      <w:marRight w:val="0"/>
      <w:marTop w:val="0"/>
      <w:marBottom w:val="0"/>
      <w:divBdr>
        <w:top w:val="none" w:sz="0" w:space="0" w:color="auto"/>
        <w:left w:val="none" w:sz="0" w:space="0" w:color="auto"/>
        <w:bottom w:val="none" w:sz="0" w:space="0" w:color="auto"/>
        <w:right w:val="none" w:sz="0" w:space="0" w:color="auto"/>
      </w:divBdr>
    </w:div>
    <w:div w:id="892548557">
      <w:bodyDiv w:val="1"/>
      <w:marLeft w:val="0"/>
      <w:marRight w:val="0"/>
      <w:marTop w:val="0"/>
      <w:marBottom w:val="0"/>
      <w:divBdr>
        <w:top w:val="none" w:sz="0" w:space="0" w:color="auto"/>
        <w:left w:val="none" w:sz="0" w:space="0" w:color="auto"/>
        <w:bottom w:val="none" w:sz="0" w:space="0" w:color="auto"/>
        <w:right w:val="none" w:sz="0" w:space="0" w:color="auto"/>
      </w:divBdr>
    </w:div>
    <w:div w:id="896086978">
      <w:bodyDiv w:val="1"/>
      <w:marLeft w:val="0"/>
      <w:marRight w:val="0"/>
      <w:marTop w:val="0"/>
      <w:marBottom w:val="0"/>
      <w:divBdr>
        <w:top w:val="none" w:sz="0" w:space="0" w:color="auto"/>
        <w:left w:val="none" w:sz="0" w:space="0" w:color="auto"/>
        <w:bottom w:val="none" w:sz="0" w:space="0" w:color="auto"/>
        <w:right w:val="none" w:sz="0" w:space="0" w:color="auto"/>
      </w:divBdr>
    </w:div>
    <w:div w:id="902175243">
      <w:bodyDiv w:val="1"/>
      <w:marLeft w:val="0"/>
      <w:marRight w:val="0"/>
      <w:marTop w:val="0"/>
      <w:marBottom w:val="0"/>
      <w:divBdr>
        <w:top w:val="none" w:sz="0" w:space="0" w:color="auto"/>
        <w:left w:val="none" w:sz="0" w:space="0" w:color="auto"/>
        <w:bottom w:val="none" w:sz="0" w:space="0" w:color="auto"/>
        <w:right w:val="none" w:sz="0" w:space="0" w:color="auto"/>
      </w:divBdr>
    </w:div>
    <w:div w:id="921064276">
      <w:bodyDiv w:val="1"/>
      <w:marLeft w:val="0"/>
      <w:marRight w:val="0"/>
      <w:marTop w:val="0"/>
      <w:marBottom w:val="0"/>
      <w:divBdr>
        <w:top w:val="none" w:sz="0" w:space="0" w:color="auto"/>
        <w:left w:val="none" w:sz="0" w:space="0" w:color="auto"/>
        <w:bottom w:val="none" w:sz="0" w:space="0" w:color="auto"/>
        <w:right w:val="none" w:sz="0" w:space="0" w:color="auto"/>
      </w:divBdr>
    </w:div>
    <w:div w:id="928924842">
      <w:bodyDiv w:val="1"/>
      <w:marLeft w:val="0"/>
      <w:marRight w:val="0"/>
      <w:marTop w:val="0"/>
      <w:marBottom w:val="0"/>
      <w:divBdr>
        <w:top w:val="none" w:sz="0" w:space="0" w:color="auto"/>
        <w:left w:val="none" w:sz="0" w:space="0" w:color="auto"/>
        <w:bottom w:val="none" w:sz="0" w:space="0" w:color="auto"/>
        <w:right w:val="none" w:sz="0" w:space="0" w:color="auto"/>
      </w:divBdr>
    </w:div>
    <w:div w:id="933174283">
      <w:bodyDiv w:val="1"/>
      <w:marLeft w:val="0"/>
      <w:marRight w:val="0"/>
      <w:marTop w:val="0"/>
      <w:marBottom w:val="0"/>
      <w:divBdr>
        <w:top w:val="none" w:sz="0" w:space="0" w:color="auto"/>
        <w:left w:val="none" w:sz="0" w:space="0" w:color="auto"/>
        <w:bottom w:val="none" w:sz="0" w:space="0" w:color="auto"/>
        <w:right w:val="none" w:sz="0" w:space="0" w:color="auto"/>
      </w:divBdr>
    </w:div>
    <w:div w:id="949048701">
      <w:bodyDiv w:val="1"/>
      <w:marLeft w:val="0"/>
      <w:marRight w:val="0"/>
      <w:marTop w:val="0"/>
      <w:marBottom w:val="0"/>
      <w:divBdr>
        <w:top w:val="none" w:sz="0" w:space="0" w:color="auto"/>
        <w:left w:val="none" w:sz="0" w:space="0" w:color="auto"/>
        <w:bottom w:val="none" w:sz="0" w:space="0" w:color="auto"/>
        <w:right w:val="none" w:sz="0" w:space="0" w:color="auto"/>
      </w:divBdr>
    </w:div>
    <w:div w:id="952592652">
      <w:bodyDiv w:val="1"/>
      <w:marLeft w:val="0"/>
      <w:marRight w:val="0"/>
      <w:marTop w:val="0"/>
      <w:marBottom w:val="0"/>
      <w:divBdr>
        <w:top w:val="none" w:sz="0" w:space="0" w:color="auto"/>
        <w:left w:val="none" w:sz="0" w:space="0" w:color="auto"/>
        <w:bottom w:val="none" w:sz="0" w:space="0" w:color="auto"/>
        <w:right w:val="none" w:sz="0" w:space="0" w:color="auto"/>
      </w:divBdr>
    </w:div>
    <w:div w:id="953512016">
      <w:bodyDiv w:val="1"/>
      <w:marLeft w:val="0"/>
      <w:marRight w:val="0"/>
      <w:marTop w:val="0"/>
      <w:marBottom w:val="0"/>
      <w:divBdr>
        <w:top w:val="none" w:sz="0" w:space="0" w:color="auto"/>
        <w:left w:val="none" w:sz="0" w:space="0" w:color="auto"/>
        <w:bottom w:val="none" w:sz="0" w:space="0" w:color="auto"/>
        <w:right w:val="none" w:sz="0" w:space="0" w:color="auto"/>
      </w:divBdr>
    </w:div>
    <w:div w:id="955256438">
      <w:bodyDiv w:val="1"/>
      <w:marLeft w:val="0"/>
      <w:marRight w:val="0"/>
      <w:marTop w:val="0"/>
      <w:marBottom w:val="0"/>
      <w:divBdr>
        <w:top w:val="none" w:sz="0" w:space="0" w:color="auto"/>
        <w:left w:val="none" w:sz="0" w:space="0" w:color="auto"/>
        <w:bottom w:val="none" w:sz="0" w:space="0" w:color="auto"/>
        <w:right w:val="none" w:sz="0" w:space="0" w:color="auto"/>
      </w:divBdr>
    </w:div>
    <w:div w:id="955527350">
      <w:bodyDiv w:val="1"/>
      <w:marLeft w:val="0"/>
      <w:marRight w:val="0"/>
      <w:marTop w:val="0"/>
      <w:marBottom w:val="0"/>
      <w:divBdr>
        <w:top w:val="none" w:sz="0" w:space="0" w:color="auto"/>
        <w:left w:val="none" w:sz="0" w:space="0" w:color="auto"/>
        <w:bottom w:val="none" w:sz="0" w:space="0" w:color="auto"/>
        <w:right w:val="none" w:sz="0" w:space="0" w:color="auto"/>
      </w:divBdr>
    </w:div>
    <w:div w:id="957299141">
      <w:bodyDiv w:val="1"/>
      <w:marLeft w:val="0"/>
      <w:marRight w:val="0"/>
      <w:marTop w:val="0"/>
      <w:marBottom w:val="0"/>
      <w:divBdr>
        <w:top w:val="none" w:sz="0" w:space="0" w:color="auto"/>
        <w:left w:val="none" w:sz="0" w:space="0" w:color="auto"/>
        <w:bottom w:val="none" w:sz="0" w:space="0" w:color="auto"/>
        <w:right w:val="none" w:sz="0" w:space="0" w:color="auto"/>
      </w:divBdr>
    </w:div>
    <w:div w:id="971251945">
      <w:bodyDiv w:val="1"/>
      <w:marLeft w:val="0"/>
      <w:marRight w:val="0"/>
      <w:marTop w:val="0"/>
      <w:marBottom w:val="0"/>
      <w:divBdr>
        <w:top w:val="none" w:sz="0" w:space="0" w:color="auto"/>
        <w:left w:val="none" w:sz="0" w:space="0" w:color="auto"/>
        <w:bottom w:val="none" w:sz="0" w:space="0" w:color="auto"/>
        <w:right w:val="none" w:sz="0" w:space="0" w:color="auto"/>
      </w:divBdr>
    </w:div>
    <w:div w:id="973407159">
      <w:bodyDiv w:val="1"/>
      <w:marLeft w:val="0"/>
      <w:marRight w:val="0"/>
      <w:marTop w:val="0"/>
      <w:marBottom w:val="0"/>
      <w:divBdr>
        <w:top w:val="none" w:sz="0" w:space="0" w:color="auto"/>
        <w:left w:val="none" w:sz="0" w:space="0" w:color="auto"/>
        <w:bottom w:val="none" w:sz="0" w:space="0" w:color="auto"/>
        <w:right w:val="none" w:sz="0" w:space="0" w:color="auto"/>
      </w:divBdr>
    </w:div>
    <w:div w:id="980888442">
      <w:bodyDiv w:val="1"/>
      <w:marLeft w:val="0"/>
      <w:marRight w:val="0"/>
      <w:marTop w:val="0"/>
      <w:marBottom w:val="0"/>
      <w:divBdr>
        <w:top w:val="none" w:sz="0" w:space="0" w:color="auto"/>
        <w:left w:val="none" w:sz="0" w:space="0" w:color="auto"/>
        <w:bottom w:val="none" w:sz="0" w:space="0" w:color="auto"/>
        <w:right w:val="none" w:sz="0" w:space="0" w:color="auto"/>
      </w:divBdr>
    </w:div>
    <w:div w:id="982809597">
      <w:bodyDiv w:val="1"/>
      <w:marLeft w:val="0"/>
      <w:marRight w:val="0"/>
      <w:marTop w:val="0"/>
      <w:marBottom w:val="0"/>
      <w:divBdr>
        <w:top w:val="none" w:sz="0" w:space="0" w:color="auto"/>
        <w:left w:val="none" w:sz="0" w:space="0" w:color="auto"/>
        <w:bottom w:val="none" w:sz="0" w:space="0" w:color="auto"/>
        <w:right w:val="none" w:sz="0" w:space="0" w:color="auto"/>
      </w:divBdr>
    </w:div>
    <w:div w:id="1008828190">
      <w:bodyDiv w:val="1"/>
      <w:marLeft w:val="0"/>
      <w:marRight w:val="0"/>
      <w:marTop w:val="0"/>
      <w:marBottom w:val="0"/>
      <w:divBdr>
        <w:top w:val="none" w:sz="0" w:space="0" w:color="auto"/>
        <w:left w:val="none" w:sz="0" w:space="0" w:color="auto"/>
        <w:bottom w:val="none" w:sz="0" w:space="0" w:color="auto"/>
        <w:right w:val="none" w:sz="0" w:space="0" w:color="auto"/>
      </w:divBdr>
    </w:div>
    <w:div w:id="1013187937">
      <w:bodyDiv w:val="1"/>
      <w:marLeft w:val="0"/>
      <w:marRight w:val="0"/>
      <w:marTop w:val="0"/>
      <w:marBottom w:val="0"/>
      <w:divBdr>
        <w:top w:val="none" w:sz="0" w:space="0" w:color="auto"/>
        <w:left w:val="none" w:sz="0" w:space="0" w:color="auto"/>
        <w:bottom w:val="none" w:sz="0" w:space="0" w:color="auto"/>
        <w:right w:val="none" w:sz="0" w:space="0" w:color="auto"/>
      </w:divBdr>
    </w:div>
    <w:div w:id="1022979751">
      <w:bodyDiv w:val="1"/>
      <w:marLeft w:val="0"/>
      <w:marRight w:val="0"/>
      <w:marTop w:val="0"/>
      <w:marBottom w:val="0"/>
      <w:divBdr>
        <w:top w:val="none" w:sz="0" w:space="0" w:color="auto"/>
        <w:left w:val="none" w:sz="0" w:space="0" w:color="auto"/>
        <w:bottom w:val="none" w:sz="0" w:space="0" w:color="auto"/>
        <w:right w:val="none" w:sz="0" w:space="0" w:color="auto"/>
      </w:divBdr>
    </w:div>
    <w:div w:id="1052004667">
      <w:bodyDiv w:val="1"/>
      <w:marLeft w:val="0"/>
      <w:marRight w:val="0"/>
      <w:marTop w:val="0"/>
      <w:marBottom w:val="0"/>
      <w:divBdr>
        <w:top w:val="none" w:sz="0" w:space="0" w:color="auto"/>
        <w:left w:val="none" w:sz="0" w:space="0" w:color="auto"/>
        <w:bottom w:val="none" w:sz="0" w:space="0" w:color="auto"/>
        <w:right w:val="none" w:sz="0" w:space="0" w:color="auto"/>
      </w:divBdr>
    </w:div>
    <w:div w:id="1058868631">
      <w:bodyDiv w:val="1"/>
      <w:marLeft w:val="0"/>
      <w:marRight w:val="0"/>
      <w:marTop w:val="0"/>
      <w:marBottom w:val="0"/>
      <w:divBdr>
        <w:top w:val="none" w:sz="0" w:space="0" w:color="auto"/>
        <w:left w:val="none" w:sz="0" w:space="0" w:color="auto"/>
        <w:bottom w:val="none" w:sz="0" w:space="0" w:color="auto"/>
        <w:right w:val="none" w:sz="0" w:space="0" w:color="auto"/>
      </w:divBdr>
    </w:div>
    <w:div w:id="1060908479">
      <w:bodyDiv w:val="1"/>
      <w:marLeft w:val="0"/>
      <w:marRight w:val="0"/>
      <w:marTop w:val="0"/>
      <w:marBottom w:val="0"/>
      <w:divBdr>
        <w:top w:val="none" w:sz="0" w:space="0" w:color="auto"/>
        <w:left w:val="none" w:sz="0" w:space="0" w:color="auto"/>
        <w:bottom w:val="none" w:sz="0" w:space="0" w:color="auto"/>
        <w:right w:val="none" w:sz="0" w:space="0" w:color="auto"/>
      </w:divBdr>
    </w:div>
    <w:div w:id="1061631904">
      <w:bodyDiv w:val="1"/>
      <w:marLeft w:val="0"/>
      <w:marRight w:val="0"/>
      <w:marTop w:val="0"/>
      <w:marBottom w:val="0"/>
      <w:divBdr>
        <w:top w:val="none" w:sz="0" w:space="0" w:color="auto"/>
        <w:left w:val="none" w:sz="0" w:space="0" w:color="auto"/>
        <w:bottom w:val="none" w:sz="0" w:space="0" w:color="auto"/>
        <w:right w:val="none" w:sz="0" w:space="0" w:color="auto"/>
      </w:divBdr>
    </w:div>
    <w:div w:id="1070737766">
      <w:bodyDiv w:val="1"/>
      <w:marLeft w:val="0"/>
      <w:marRight w:val="0"/>
      <w:marTop w:val="0"/>
      <w:marBottom w:val="0"/>
      <w:divBdr>
        <w:top w:val="none" w:sz="0" w:space="0" w:color="auto"/>
        <w:left w:val="none" w:sz="0" w:space="0" w:color="auto"/>
        <w:bottom w:val="none" w:sz="0" w:space="0" w:color="auto"/>
        <w:right w:val="none" w:sz="0" w:space="0" w:color="auto"/>
      </w:divBdr>
    </w:div>
    <w:div w:id="1076434769">
      <w:bodyDiv w:val="1"/>
      <w:marLeft w:val="0"/>
      <w:marRight w:val="0"/>
      <w:marTop w:val="0"/>
      <w:marBottom w:val="0"/>
      <w:divBdr>
        <w:top w:val="none" w:sz="0" w:space="0" w:color="auto"/>
        <w:left w:val="none" w:sz="0" w:space="0" w:color="auto"/>
        <w:bottom w:val="none" w:sz="0" w:space="0" w:color="auto"/>
        <w:right w:val="none" w:sz="0" w:space="0" w:color="auto"/>
      </w:divBdr>
    </w:div>
    <w:div w:id="1077365490">
      <w:bodyDiv w:val="1"/>
      <w:marLeft w:val="0"/>
      <w:marRight w:val="0"/>
      <w:marTop w:val="0"/>
      <w:marBottom w:val="0"/>
      <w:divBdr>
        <w:top w:val="none" w:sz="0" w:space="0" w:color="auto"/>
        <w:left w:val="none" w:sz="0" w:space="0" w:color="auto"/>
        <w:bottom w:val="none" w:sz="0" w:space="0" w:color="auto"/>
        <w:right w:val="none" w:sz="0" w:space="0" w:color="auto"/>
      </w:divBdr>
    </w:div>
    <w:div w:id="1083180716">
      <w:bodyDiv w:val="1"/>
      <w:marLeft w:val="0"/>
      <w:marRight w:val="0"/>
      <w:marTop w:val="0"/>
      <w:marBottom w:val="0"/>
      <w:divBdr>
        <w:top w:val="none" w:sz="0" w:space="0" w:color="auto"/>
        <w:left w:val="none" w:sz="0" w:space="0" w:color="auto"/>
        <w:bottom w:val="none" w:sz="0" w:space="0" w:color="auto"/>
        <w:right w:val="none" w:sz="0" w:space="0" w:color="auto"/>
      </w:divBdr>
    </w:div>
    <w:div w:id="1084493542">
      <w:bodyDiv w:val="1"/>
      <w:marLeft w:val="0"/>
      <w:marRight w:val="0"/>
      <w:marTop w:val="0"/>
      <w:marBottom w:val="0"/>
      <w:divBdr>
        <w:top w:val="none" w:sz="0" w:space="0" w:color="auto"/>
        <w:left w:val="none" w:sz="0" w:space="0" w:color="auto"/>
        <w:bottom w:val="none" w:sz="0" w:space="0" w:color="auto"/>
        <w:right w:val="none" w:sz="0" w:space="0" w:color="auto"/>
      </w:divBdr>
    </w:div>
    <w:div w:id="1089543579">
      <w:bodyDiv w:val="1"/>
      <w:marLeft w:val="0"/>
      <w:marRight w:val="0"/>
      <w:marTop w:val="0"/>
      <w:marBottom w:val="0"/>
      <w:divBdr>
        <w:top w:val="none" w:sz="0" w:space="0" w:color="auto"/>
        <w:left w:val="none" w:sz="0" w:space="0" w:color="auto"/>
        <w:bottom w:val="none" w:sz="0" w:space="0" w:color="auto"/>
        <w:right w:val="none" w:sz="0" w:space="0" w:color="auto"/>
      </w:divBdr>
    </w:div>
    <w:div w:id="1096487547">
      <w:bodyDiv w:val="1"/>
      <w:marLeft w:val="0"/>
      <w:marRight w:val="0"/>
      <w:marTop w:val="0"/>
      <w:marBottom w:val="0"/>
      <w:divBdr>
        <w:top w:val="none" w:sz="0" w:space="0" w:color="auto"/>
        <w:left w:val="none" w:sz="0" w:space="0" w:color="auto"/>
        <w:bottom w:val="none" w:sz="0" w:space="0" w:color="auto"/>
        <w:right w:val="none" w:sz="0" w:space="0" w:color="auto"/>
      </w:divBdr>
    </w:div>
    <w:div w:id="1110853687">
      <w:bodyDiv w:val="1"/>
      <w:marLeft w:val="0"/>
      <w:marRight w:val="0"/>
      <w:marTop w:val="0"/>
      <w:marBottom w:val="0"/>
      <w:divBdr>
        <w:top w:val="none" w:sz="0" w:space="0" w:color="auto"/>
        <w:left w:val="none" w:sz="0" w:space="0" w:color="auto"/>
        <w:bottom w:val="none" w:sz="0" w:space="0" w:color="auto"/>
        <w:right w:val="none" w:sz="0" w:space="0" w:color="auto"/>
      </w:divBdr>
    </w:div>
    <w:div w:id="1115905448">
      <w:bodyDiv w:val="1"/>
      <w:marLeft w:val="0"/>
      <w:marRight w:val="0"/>
      <w:marTop w:val="0"/>
      <w:marBottom w:val="0"/>
      <w:divBdr>
        <w:top w:val="none" w:sz="0" w:space="0" w:color="auto"/>
        <w:left w:val="none" w:sz="0" w:space="0" w:color="auto"/>
        <w:bottom w:val="none" w:sz="0" w:space="0" w:color="auto"/>
        <w:right w:val="none" w:sz="0" w:space="0" w:color="auto"/>
      </w:divBdr>
    </w:div>
    <w:div w:id="1117993207">
      <w:bodyDiv w:val="1"/>
      <w:marLeft w:val="0"/>
      <w:marRight w:val="0"/>
      <w:marTop w:val="0"/>
      <w:marBottom w:val="0"/>
      <w:divBdr>
        <w:top w:val="none" w:sz="0" w:space="0" w:color="auto"/>
        <w:left w:val="none" w:sz="0" w:space="0" w:color="auto"/>
        <w:bottom w:val="none" w:sz="0" w:space="0" w:color="auto"/>
        <w:right w:val="none" w:sz="0" w:space="0" w:color="auto"/>
      </w:divBdr>
    </w:div>
    <w:div w:id="1118722692">
      <w:bodyDiv w:val="1"/>
      <w:marLeft w:val="0"/>
      <w:marRight w:val="0"/>
      <w:marTop w:val="0"/>
      <w:marBottom w:val="0"/>
      <w:divBdr>
        <w:top w:val="none" w:sz="0" w:space="0" w:color="auto"/>
        <w:left w:val="none" w:sz="0" w:space="0" w:color="auto"/>
        <w:bottom w:val="none" w:sz="0" w:space="0" w:color="auto"/>
        <w:right w:val="none" w:sz="0" w:space="0" w:color="auto"/>
      </w:divBdr>
    </w:div>
    <w:div w:id="1126895723">
      <w:bodyDiv w:val="1"/>
      <w:marLeft w:val="0"/>
      <w:marRight w:val="0"/>
      <w:marTop w:val="0"/>
      <w:marBottom w:val="0"/>
      <w:divBdr>
        <w:top w:val="none" w:sz="0" w:space="0" w:color="auto"/>
        <w:left w:val="none" w:sz="0" w:space="0" w:color="auto"/>
        <w:bottom w:val="none" w:sz="0" w:space="0" w:color="auto"/>
        <w:right w:val="none" w:sz="0" w:space="0" w:color="auto"/>
      </w:divBdr>
    </w:div>
    <w:div w:id="1144083075">
      <w:bodyDiv w:val="1"/>
      <w:marLeft w:val="0"/>
      <w:marRight w:val="0"/>
      <w:marTop w:val="0"/>
      <w:marBottom w:val="0"/>
      <w:divBdr>
        <w:top w:val="none" w:sz="0" w:space="0" w:color="auto"/>
        <w:left w:val="none" w:sz="0" w:space="0" w:color="auto"/>
        <w:bottom w:val="none" w:sz="0" w:space="0" w:color="auto"/>
        <w:right w:val="none" w:sz="0" w:space="0" w:color="auto"/>
      </w:divBdr>
    </w:div>
    <w:div w:id="1146429864">
      <w:bodyDiv w:val="1"/>
      <w:marLeft w:val="0"/>
      <w:marRight w:val="0"/>
      <w:marTop w:val="0"/>
      <w:marBottom w:val="0"/>
      <w:divBdr>
        <w:top w:val="none" w:sz="0" w:space="0" w:color="auto"/>
        <w:left w:val="none" w:sz="0" w:space="0" w:color="auto"/>
        <w:bottom w:val="none" w:sz="0" w:space="0" w:color="auto"/>
        <w:right w:val="none" w:sz="0" w:space="0" w:color="auto"/>
      </w:divBdr>
    </w:div>
    <w:div w:id="1154299131">
      <w:bodyDiv w:val="1"/>
      <w:marLeft w:val="0"/>
      <w:marRight w:val="0"/>
      <w:marTop w:val="0"/>
      <w:marBottom w:val="0"/>
      <w:divBdr>
        <w:top w:val="none" w:sz="0" w:space="0" w:color="auto"/>
        <w:left w:val="none" w:sz="0" w:space="0" w:color="auto"/>
        <w:bottom w:val="none" w:sz="0" w:space="0" w:color="auto"/>
        <w:right w:val="none" w:sz="0" w:space="0" w:color="auto"/>
      </w:divBdr>
    </w:div>
    <w:div w:id="1156074199">
      <w:bodyDiv w:val="1"/>
      <w:marLeft w:val="0"/>
      <w:marRight w:val="0"/>
      <w:marTop w:val="0"/>
      <w:marBottom w:val="0"/>
      <w:divBdr>
        <w:top w:val="none" w:sz="0" w:space="0" w:color="auto"/>
        <w:left w:val="none" w:sz="0" w:space="0" w:color="auto"/>
        <w:bottom w:val="none" w:sz="0" w:space="0" w:color="auto"/>
        <w:right w:val="none" w:sz="0" w:space="0" w:color="auto"/>
      </w:divBdr>
    </w:div>
    <w:div w:id="1157956163">
      <w:bodyDiv w:val="1"/>
      <w:marLeft w:val="0"/>
      <w:marRight w:val="0"/>
      <w:marTop w:val="0"/>
      <w:marBottom w:val="0"/>
      <w:divBdr>
        <w:top w:val="none" w:sz="0" w:space="0" w:color="auto"/>
        <w:left w:val="none" w:sz="0" w:space="0" w:color="auto"/>
        <w:bottom w:val="none" w:sz="0" w:space="0" w:color="auto"/>
        <w:right w:val="none" w:sz="0" w:space="0" w:color="auto"/>
      </w:divBdr>
    </w:div>
    <w:div w:id="1164124682">
      <w:bodyDiv w:val="1"/>
      <w:marLeft w:val="0"/>
      <w:marRight w:val="0"/>
      <w:marTop w:val="0"/>
      <w:marBottom w:val="0"/>
      <w:divBdr>
        <w:top w:val="none" w:sz="0" w:space="0" w:color="auto"/>
        <w:left w:val="none" w:sz="0" w:space="0" w:color="auto"/>
        <w:bottom w:val="none" w:sz="0" w:space="0" w:color="auto"/>
        <w:right w:val="none" w:sz="0" w:space="0" w:color="auto"/>
      </w:divBdr>
    </w:div>
    <w:div w:id="1174225916">
      <w:bodyDiv w:val="1"/>
      <w:marLeft w:val="0"/>
      <w:marRight w:val="0"/>
      <w:marTop w:val="0"/>
      <w:marBottom w:val="0"/>
      <w:divBdr>
        <w:top w:val="none" w:sz="0" w:space="0" w:color="auto"/>
        <w:left w:val="none" w:sz="0" w:space="0" w:color="auto"/>
        <w:bottom w:val="none" w:sz="0" w:space="0" w:color="auto"/>
        <w:right w:val="none" w:sz="0" w:space="0" w:color="auto"/>
      </w:divBdr>
    </w:div>
    <w:div w:id="1196236647">
      <w:bodyDiv w:val="1"/>
      <w:marLeft w:val="0"/>
      <w:marRight w:val="0"/>
      <w:marTop w:val="0"/>
      <w:marBottom w:val="0"/>
      <w:divBdr>
        <w:top w:val="none" w:sz="0" w:space="0" w:color="auto"/>
        <w:left w:val="none" w:sz="0" w:space="0" w:color="auto"/>
        <w:bottom w:val="none" w:sz="0" w:space="0" w:color="auto"/>
        <w:right w:val="none" w:sz="0" w:space="0" w:color="auto"/>
      </w:divBdr>
    </w:div>
    <w:div w:id="1196582087">
      <w:bodyDiv w:val="1"/>
      <w:marLeft w:val="0"/>
      <w:marRight w:val="0"/>
      <w:marTop w:val="0"/>
      <w:marBottom w:val="0"/>
      <w:divBdr>
        <w:top w:val="none" w:sz="0" w:space="0" w:color="auto"/>
        <w:left w:val="none" w:sz="0" w:space="0" w:color="auto"/>
        <w:bottom w:val="none" w:sz="0" w:space="0" w:color="auto"/>
        <w:right w:val="none" w:sz="0" w:space="0" w:color="auto"/>
      </w:divBdr>
    </w:div>
    <w:div w:id="1198197144">
      <w:bodyDiv w:val="1"/>
      <w:marLeft w:val="0"/>
      <w:marRight w:val="0"/>
      <w:marTop w:val="0"/>
      <w:marBottom w:val="0"/>
      <w:divBdr>
        <w:top w:val="none" w:sz="0" w:space="0" w:color="auto"/>
        <w:left w:val="none" w:sz="0" w:space="0" w:color="auto"/>
        <w:bottom w:val="none" w:sz="0" w:space="0" w:color="auto"/>
        <w:right w:val="none" w:sz="0" w:space="0" w:color="auto"/>
      </w:divBdr>
    </w:div>
    <w:div w:id="1213075824">
      <w:bodyDiv w:val="1"/>
      <w:marLeft w:val="0"/>
      <w:marRight w:val="0"/>
      <w:marTop w:val="0"/>
      <w:marBottom w:val="0"/>
      <w:divBdr>
        <w:top w:val="none" w:sz="0" w:space="0" w:color="auto"/>
        <w:left w:val="none" w:sz="0" w:space="0" w:color="auto"/>
        <w:bottom w:val="none" w:sz="0" w:space="0" w:color="auto"/>
        <w:right w:val="none" w:sz="0" w:space="0" w:color="auto"/>
      </w:divBdr>
    </w:div>
    <w:div w:id="1218511072">
      <w:bodyDiv w:val="1"/>
      <w:marLeft w:val="0"/>
      <w:marRight w:val="0"/>
      <w:marTop w:val="0"/>
      <w:marBottom w:val="0"/>
      <w:divBdr>
        <w:top w:val="none" w:sz="0" w:space="0" w:color="auto"/>
        <w:left w:val="none" w:sz="0" w:space="0" w:color="auto"/>
        <w:bottom w:val="none" w:sz="0" w:space="0" w:color="auto"/>
        <w:right w:val="none" w:sz="0" w:space="0" w:color="auto"/>
      </w:divBdr>
    </w:div>
    <w:div w:id="1218780485">
      <w:bodyDiv w:val="1"/>
      <w:marLeft w:val="0"/>
      <w:marRight w:val="0"/>
      <w:marTop w:val="0"/>
      <w:marBottom w:val="0"/>
      <w:divBdr>
        <w:top w:val="none" w:sz="0" w:space="0" w:color="auto"/>
        <w:left w:val="none" w:sz="0" w:space="0" w:color="auto"/>
        <w:bottom w:val="none" w:sz="0" w:space="0" w:color="auto"/>
        <w:right w:val="none" w:sz="0" w:space="0" w:color="auto"/>
      </w:divBdr>
    </w:div>
    <w:div w:id="1224409226">
      <w:bodyDiv w:val="1"/>
      <w:marLeft w:val="0"/>
      <w:marRight w:val="0"/>
      <w:marTop w:val="0"/>
      <w:marBottom w:val="0"/>
      <w:divBdr>
        <w:top w:val="none" w:sz="0" w:space="0" w:color="auto"/>
        <w:left w:val="none" w:sz="0" w:space="0" w:color="auto"/>
        <w:bottom w:val="none" w:sz="0" w:space="0" w:color="auto"/>
        <w:right w:val="none" w:sz="0" w:space="0" w:color="auto"/>
      </w:divBdr>
    </w:div>
    <w:div w:id="1224609304">
      <w:bodyDiv w:val="1"/>
      <w:marLeft w:val="0"/>
      <w:marRight w:val="0"/>
      <w:marTop w:val="0"/>
      <w:marBottom w:val="0"/>
      <w:divBdr>
        <w:top w:val="none" w:sz="0" w:space="0" w:color="auto"/>
        <w:left w:val="none" w:sz="0" w:space="0" w:color="auto"/>
        <w:bottom w:val="none" w:sz="0" w:space="0" w:color="auto"/>
        <w:right w:val="none" w:sz="0" w:space="0" w:color="auto"/>
      </w:divBdr>
    </w:div>
    <w:div w:id="1230119337">
      <w:bodyDiv w:val="1"/>
      <w:marLeft w:val="0"/>
      <w:marRight w:val="0"/>
      <w:marTop w:val="0"/>
      <w:marBottom w:val="0"/>
      <w:divBdr>
        <w:top w:val="none" w:sz="0" w:space="0" w:color="auto"/>
        <w:left w:val="none" w:sz="0" w:space="0" w:color="auto"/>
        <w:bottom w:val="none" w:sz="0" w:space="0" w:color="auto"/>
        <w:right w:val="none" w:sz="0" w:space="0" w:color="auto"/>
      </w:divBdr>
    </w:div>
    <w:div w:id="1232737072">
      <w:bodyDiv w:val="1"/>
      <w:marLeft w:val="0"/>
      <w:marRight w:val="0"/>
      <w:marTop w:val="0"/>
      <w:marBottom w:val="0"/>
      <w:divBdr>
        <w:top w:val="none" w:sz="0" w:space="0" w:color="auto"/>
        <w:left w:val="none" w:sz="0" w:space="0" w:color="auto"/>
        <w:bottom w:val="none" w:sz="0" w:space="0" w:color="auto"/>
        <w:right w:val="none" w:sz="0" w:space="0" w:color="auto"/>
      </w:divBdr>
    </w:div>
    <w:div w:id="1235504960">
      <w:bodyDiv w:val="1"/>
      <w:marLeft w:val="0"/>
      <w:marRight w:val="0"/>
      <w:marTop w:val="0"/>
      <w:marBottom w:val="0"/>
      <w:divBdr>
        <w:top w:val="none" w:sz="0" w:space="0" w:color="auto"/>
        <w:left w:val="none" w:sz="0" w:space="0" w:color="auto"/>
        <w:bottom w:val="none" w:sz="0" w:space="0" w:color="auto"/>
        <w:right w:val="none" w:sz="0" w:space="0" w:color="auto"/>
      </w:divBdr>
    </w:div>
    <w:div w:id="1248462623">
      <w:bodyDiv w:val="1"/>
      <w:marLeft w:val="0"/>
      <w:marRight w:val="0"/>
      <w:marTop w:val="0"/>
      <w:marBottom w:val="0"/>
      <w:divBdr>
        <w:top w:val="none" w:sz="0" w:space="0" w:color="auto"/>
        <w:left w:val="none" w:sz="0" w:space="0" w:color="auto"/>
        <w:bottom w:val="none" w:sz="0" w:space="0" w:color="auto"/>
        <w:right w:val="none" w:sz="0" w:space="0" w:color="auto"/>
      </w:divBdr>
    </w:div>
    <w:div w:id="1253390705">
      <w:bodyDiv w:val="1"/>
      <w:marLeft w:val="0"/>
      <w:marRight w:val="0"/>
      <w:marTop w:val="0"/>
      <w:marBottom w:val="0"/>
      <w:divBdr>
        <w:top w:val="none" w:sz="0" w:space="0" w:color="auto"/>
        <w:left w:val="none" w:sz="0" w:space="0" w:color="auto"/>
        <w:bottom w:val="none" w:sz="0" w:space="0" w:color="auto"/>
        <w:right w:val="none" w:sz="0" w:space="0" w:color="auto"/>
      </w:divBdr>
    </w:div>
    <w:div w:id="1269121899">
      <w:bodyDiv w:val="1"/>
      <w:marLeft w:val="0"/>
      <w:marRight w:val="0"/>
      <w:marTop w:val="0"/>
      <w:marBottom w:val="0"/>
      <w:divBdr>
        <w:top w:val="none" w:sz="0" w:space="0" w:color="auto"/>
        <w:left w:val="none" w:sz="0" w:space="0" w:color="auto"/>
        <w:bottom w:val="none" w:sz="0" w:space="0" w:color="auto"/>
        <w:right w:val="none" w:sz="0" w:space="0" w:color="auto"/>
      </w:divBdr>
    </w:div>
    <w:div w:id="1273827751">
      <w:bodyDiv w:val="1"/>
      <w:marLeft w:val="0"/>
      <w:marRight w:val="0"/>
      <w:marTop w:val="0"/>
      <w:marBottom w:val="0"/>
      <w:divBdr>
        <w:top w:val="none" w:sz="0" w:space="0" w:color="auto"/>
        <w:left w:val="none" w:sz="0" w:space="0" w:color="auto"/>
        <w:bottom w:val="none" w:sz="0" w:space="0" w:color="auto"/>
        <w:right w:val="none" w:sz="0" w:space="0" w:color="auto"/>
      </w:divBdr>
    </w:div>
    <w:div w:id="1286697466">
      <w:bodyDiv w:val="1"/>
      <w:marLeft w:val="0"/>
      <w:marRight w:val="0"/>
      <w:marTop w:val="0"/>
      <w:marBottom w:val="0"/>
      <w:divBdr>
        <w:top w:val="none" w:sz="0" w:space="0" w:color="auto"/>
        <w:left w:val="none" w:sz="0" w:space="0" w:color="auto"/>
        <w:bottom w:val="none" w:sz="0" w:space="0" w:color="auto"/>
        <w:right w:val="none" w:sz="0" w:space="0" w:color="auto"/>
      </w:divBdr>
    </w:div>
    <w:div w:id="1287347142">
      <w:bodyDiv w:val="1"/>
      <w:marLeft w:val="0"/>
      <w:marRight w:val="0"/>
      <w:marTop w:val="0"/>
      <w:marBottom w:val="0"/>
      <w:divBdr>
        <w:top w:val="none" w:sz="0" w:space="0" w:color="auto"/>
        <w:left w:val="none" w:sz="0" w:space="0" w:color="auto"/>
        <w:bottom w:val="none" w:sz="0" w:space="0" w:color="auto"/>
        <w:right w:val="none" w:sz="0" w:space="0" w:color="auto"/>
      </w:divBdr>
    </w:div>
    <w:div w:id="1305742457">
      <w:bodyDiv w:val="1"/>
      <w:marLeft w:val="0"/>
      <w:marRight w:val="0"/>
      <w:marTop w:val="0"/>
      <w:marBottom w:val="0"/>
      <w:divBdr>
        <w:top w:val="none" w:sz="0" w:space="0" w:color="auto"/>
        <w:left w:val="none" w:sz="0" w:space="0" w:color="auto"/>
        <w:bottom w:val="none" w:sz="0" w:space="0" w:color="auto"/>
        <w:right w:val="none" w:sz="0" w:space="0" w:color="auto"/>
      </w:divBdr>
    </w:div>
    <w:div w:id="1308244947">
      <w:bodyDiv w:val="1"/>
      <w:marLeft w:val="0"/>
      <w:marRight w:val="0"/>
      <w:marTop w:val="0"/>
      <w:marBottom w:val="0"/>
      <w:divBdr>
        <w:top w:val="none" w:sz="0" w:space="0" w:color="auto"/>
        <w:left w:val="none" w:sz="0" w:space="0" w:color="auto"/>
        <w:bottom w:val="none" w:sz="0" w:space="0" w:color="auto"/>
        <w:right w:val="none" w:sz="0" w:space="0" w:color="auto"/>
      </w:divBdr>
    </w:div>
    <w:div w:id="1313215194">
      <w:bodyDiv w:val="1"/>
      <w:marLeft w:val="0"/>
      <w:marRight w:val="0"/>
      <w:marTop w:val="0"/>
      <w:marBottom w:val="0"/>
      <w:divBdr>
        <w:top w:val="none" w:sz="0" w:space="0" w:color="auto"/>
        <w:left w:val="none" w:sz="0" w:space="0" w:color="auto"/>
        <w:bottom w:val="none" w:sz="0" w:space="0" w:color="auto"/>
        <w:right w:val="none" w:sz="0" w:space="0" w:color="auto"/>
      </w:divBdr>
    </w:div>
    <w:div w:id="1315987011">
      <w:bodyDiv w:val="1"/>
      <w:marLeft w:val="0"/>
      <w:marRight w:val="0"/>
      <w:marTop w:val="0"/>
      <w:marBottom w:val="0"/>
      <w:divBdr>
        <w:top w:val="none" w:sz="0" w:space="0" w:color="auto"/>
        <w:left w:val="none" w:sz="0" w:space="0" w:color="auto"/>
        <w:bottom w:val="none" w:sz="0" w:space="0" w:color="auto"/>
        <w:right w:val="none" w:sz="0" w:space="0" w:color="auto"/>
      </w:divBdr>
    </w:div>
    <w:div w:id="1326082725">
      <w:bodyDiv w:val="1"/>
      <w:marLeft w:val="0"/>
      <w:marRight w:val="0"/>
      <w:marTop w:val="0"/>
      <w:marBottom w:val="0"/>
      <w:divBdr>
        <w:top w:val="none" w:sz="0" w:space="0" w:color="auto"/>
        <w:left w:val="none" w:sz="0" w:space="0" w:color="auto"/>
        <w:bottom w:val="none" w:sz="0" w:space="0" w:color="auto"/>
        <w:right w:val="none" w:sz="0" w:space="0" w:color="auto"/>
      </w:divBdr>
    </w:div>
    <w:div w:id="1331712064">
      <w:bodyDiv w:val="1"/>
      <w:marLeft w:val="0"/>
      <w:marRight w:val="0"/>
      <w:marTop w:val="0"/>
      <w:marBottom w:val="0"/>
      <w:divBdr>
        <w:top w:val="none" w:sz="0" w:space="0" w:color="auto"/>
        <w:left w:val="none" w:sz="0" w:space="0" w:color="auto"/>
        <w:bottom w:val="none" w:sz="0" w:space="0" w:color="auto"/>
        <w:right w:val="none" w:sz="0" w:space="0" w:color="auto"/>
      </w:divBdr>
    </w:div>
    <w:div w:id="1338263057">
      <w:bodyDiv w:val="1"/>
      <w:marLeft w:val="0"/>
      <w:marRight w:val="0"/>
      <w:marTop w:val="0"/>
      <w:marBottom w:val="0"/>
      <w:divBdr>
        <w:top w:val="none" w:sz="0" w:space="0" w:color="auto"/>
        <w:left w:val="none" w:sz="0" w:space="0" w:color="auto"/>
        <w:bottom w:val="none" w:sz="0" w:space="0" w:color="auto"/>
        <w:right w:val="none" w:sz="0" w:space="0" w:color="auto"/>
      </w:divBdr>
    </w:div>
    <w:div w:id="1351175933">
      <w:bodyDiv w:val="1"/>
      <w:marLeft w:val="0"/>
      <w:marRight w:val="0"/>
      <w:marTop w:val="0"/>
      <w:marBottom w:val="0"/>
      <w:divBdr>
        <w:top w:val="none" w:sz="0" w:space="0" w:color="auto"/>
        <w:left w:val="none" w:sz="0" w:space="0" w:color="auto"/>
        <w:bottom w:val="none" w:sz="0" w:space="0" w:color="auto"/>
        <w:right w:val="none" w:sz="0" w:space="0" w:color="auto"/>
      </w:divBdr>
    </w:div>
    <w:div w:id="1358576854">
      <w:bodyDiv w:val="1"/>
      <w:marLeft w:val="0"/>
      <w:marRight w:val="0"/>
      <w:marTop w:val="0"/>
      <w:marBottom w:val="0"/>
      <w:divBdr>
        <w:top w:val="none" w:sz="0" w:space="0" w:color="auto"/>
        <w:left w:val="none" w:sz="0" w:space="0" w:color="auto"/>
        <w:bottom w:val="none" w:sz="0" w:space="0" w:color="auto"/>
        <w:right w:val="none" w:sz="0" w:space="0" w:color="auto"/>
      </w:divBdr>
    </w:div>
    <w:div w:id="1361663084">
      <w:bodyDiv w:val="1"/>
      <w:marLeft w:val="0"/>
      <w:marRight w:val="0"/>
      <w:marTop w:val="0"/>
      <w:marBottom w:val="0"/>
      <w:divBdr>
        <w:top w:val="none" w:sz="0" w:space="0" w:color="auto"/>
        <w:left w:val="none" w:sz="0" w:space="0" w:color="auto"/>
        <w:bottom w:val="none" w:sz="0" w:space="0" w:color="auto"/>
        <w:right w:val="none" w:sz="0" w:space="0" w:color="auto"/>
      </w:divBdr>
    </w:div>
    <w:div w:id="1369841139">
      <w:bodyDiv w:val="1"/>
      <w:marLeft w:val="0"/>
      <w:marRight w:val="0"/>
      <w:marTop w:val="0"/>
      <w:marBottom w:val="0"/>
      <w:divBdr>
        <w:top w:val="none" w:sz="0" w:space="0" w:color="auto"/>
        <w:left w:val="none" w:sz="0" w:space="0" w:color="auto"/>
        <w:bottom w:val="none" w:sz="0" w:space="0" w:color="auto"/>
        <w:right w:val="none" w:sz="0" w:space="0" w:color="auto"/>
      </w:divBdr>
    </w:div>
    <w:div w:id="1378122153">
      <w:bodyDiv w:val="1"/>
      <w:marLeft w:val="0"/>
      <w:marRight w:val="0"/>
      <w:marTop w:val="0"/>
      <w:marBottom w:val="0"/>
      <w:divBdr>
        <w:top w:val="none" w:sz="0" w:space="0" w:color="auto"/>
        <w:left w:val="none" w:sz="0" w:space="0" w:color="auto"/>
        <w:bottom w:val="none" w:sz="0" w:space="0" w:color="auto"/>
        <w:right w:val="none" w:sz="0" w:space="0" w:color="auto"/>
      </w:divBdr>
    </w:div>
    <w:div w:id="1378891233">
      <w:bodyDiv w:val="1"/>
      <w:marLeft w:val="0"/>
      <w:marRight w:val="0"/>
      <w:marTop w:val="0"/>
      <w:marBottom w:val="0"/>
      <w:divBdr>
        <w:top w:val="none" w:sz="0" w:space="0" w:color="auto"/>
        <w:left w:val="none" w:sz="0" w:space="0" w:color="auto"/>
        <w:bottom w:val="none" w:sz="0" w:space="0" w:color="auto"/>
        <w:right w:val="none" w:sz="0" w:space="0" w:color="auto"/>
      </w:divBdr>
    </w:div>
    <w:div w:id="1389958761">
      <w:bodyDiv w:val="1"/>
      <w:marLeft w:val="0"/>
      <w:marRight w:val="0"/>
      <w:marTop w:val="0"/>
      <w:marBottom w:val="0"/>
      <w:divBdr>
        <w:top w:val="none" w:sz="0" w:space="0" w:color="auto"/>
        <w:left w:val="none" w:sz="0" w:space="0" w:color="auto"/>
        <w:bottom w:val="none" w:sz="0" w:space="0" w:color="auto"/>
        <w:right w:val="none" w:sz="0" w:space="0" w:color="auto"/>
      </w:divBdr>
    </w:div>
    <w:div w:id="1398866499">
      <w:bodyDiv w:val="1"/>
      <w:marLeft w:val="0"/>
      <w:marRight w:val="0"/>
      <w:marTop w:val="0"/>
      <w:marBottom w:val="0"/>
      <w:divBdr>
        <w:top w:val="none" w:sz="0" w:space="0" w:color="auto"/>
        <w:left w:val="none" w:sz="0" w:space="0" w:color="auto"/>
        <w:bottom w:val="none" w:sz="0" w:space="0" w:color="auto"/>
        <w:right w:val="none" w:sz="0" w:space="0" w:color="auto"/>
      </w:divBdr>
    </w:div>
    <w:div w:id="1403871703">
      <w:bodyDiv w:val="1"/>
      <w:marLeft w:val="0"/>
      <w:marRight w:val="0"/>
      <w:marTop w:val="0"/>
      <w:marBottom w:val="0"/>
      <w:divBdr>
        <w:top w:val="none" w:sz="0" w:space="0" w:color="auto"/>
        <w:left w:val="none" w:sz="0" w:space="0" w:color="auto"/>
        <w:bottom w:val="none" w:sz="0" w:space="0" w:color="auto"/>
        <w:right w:val="none" w:sz="0" w:space="0" w:color="auto"/>
      </w:divBdr>
    </w:div>
    <w:div w:id="1405182760">
      <w:bodyDiv w:val="1"/>
      <w:marLeft w:val="0"/>
      <w:marRight w:val="0"/>
      <w:marTop w:val="0"/>
      <w:marBottom w:val="0"/>
      <w:divBdr>
        <w:top w:val="none" w:sz="0" w:space="0" w:color="auto"/>
        <w:left w:val="none" w:sz="0" w:space="0" w:color="auto"/>
        <w:bottom w:val="none" w:sz="0" w:space="0" w:color="auto"/>
        <w:right w:val="none" w:sz="0" w:space="0" w:color="auto"/>
      </w:divBdr>
    </w:div>
    <w:div w:id="1419447352">
      <w:bodyDiv w:val="1"/>
      <w:marLeft w:val="0"/>
      <w:marRight w:val="0"/>
      <w:marTop w:val="0"/>
      <w:marBottom w:val="0"/>
      <w:divBdr>
        <w:top w:val="none" w:sz="0" w:space="0" w:color="auto"/>
        <w:left w:val="none" w:sz="0" w:space="0" w:color="auto"/>
        <w:bottom w:val="none" w:sz="0" w:space="0" w:color="auto"/>
        <w:right w:val="none" w:sz="0" w:space="0" w:color="auto"/>
      </w:divBdr>
    </w:div>
    <w:div w:id="1440370865">
      <w:bodyDiv w:val="1"/>
      <w:marLeft w:val="0"/>
      <w:marRight w:val="0"/>
      <w:marTop w:val="0"/>
      <w:marBottom w:val="0"/>
      <w:divBdr>
        <w:top w:val="none" w:sz="0" w:space="0" w:color="auto"/>
        <w:left w:val="none" w:sz="0" w:space="0" w:color="auto"/>
        <w:bottom w:val="none" w:sz="0" w:space="0" w:color="auto"/>
        <w:right w:val="none" w:sz="0" w:space="0" w:color="auto"/>
      </w:divBdr>
    </w:div>
    <w:div w:id="1440950998">
      <w:bodyDiv w:val="1"/>
      <w:marLeft w:val="0"/>
      <w:marRight w:val="0"/>
      <w:marTop w:val="0"/>
      <w:marBottom w:val="0"/>
      <w:divBdr>
        <w:top w:val="none" w:sz="0" w:space="0" w:color="auto"/>
        <w:left w:val="none" w:sz="0" w:space="0" w:color="auto"/>
        <w:bottom w:val="none" w:sz="0" w:space="0" w:color="auto"/>
        <w:right w:val="none" w:sz="0" w:space="0" w:color="auto"/>
      </w:divBdr>
    </w:div>
    <w:div w:id="1470132337">
      <w:bodyDiv w:val="1"/>
      <w:marLeft w:val="0"/>
      <w:marRight w:val="0"/>
      <w:marTop w:val="0"/>
      <w:marBottom w:val="0"/>
      <w:divBdr>
        <w:top w:val="none" w:sz="0" w:space="0" w:color="auto"/>
        <w:left w:val="none" w:sz="0" w:space="0" w:color="auto"/>
        <w:bottom w:val="none" w:sz="0" w:space="0" w:color="auto"/>
        <w:right w:val="none" w:sz="0" w:space="0" w:color="auto"/>
      </w:divBdr>
    </w:div>
    <w:div w:id="1473058137">
      <w:bodyDiv w:val="1"/>
      <w:marLeft w:val="0"/>
      <w:marRight w:val="0"/>
      <w:marTop w:val="0"/>
      <w:marBottom w:val="0"/>
      <w:divBdr>
        <w:top w:val="none" w:sz="0" w:space="0" w:color="auto"/>
        <w:left w:val="none" w:sz="0" w:space="0" w:color="auto"/>
        <w:bottom w:val="none" w:sz="0" w:space="0" w:color="auto"/>
        <w:right w:val="none" w:sz="0" w:space="0" w:color="auto"/>
      </w:divBdr>
    </w:div>
    <w:div w:id="1474639521">
      <w:bodyDiv w:val="1"/>
      <w:marLeft w:val="0"/>
      <w:marRight w:val="0"/>
      <w:marTop w:val="0"/>
      <w:marBottom w:val="0"/>
      <w:divBdr>
        <w:top w:val="none" w:sz="0" w:space="0" w:color="auto"/>
        <w:left w:val="none" w:sz="0" w:space="0" w:color="auto"/>
        <w:bottom w:val="none" w:sz="0" w:space="0" w:color="auto"/>
        <w:right w:val="none" w:sz="0" w:space="0" w:color="auto"/>
      </w:divBdr>
      <w:divsChild>
        <w:div w:id="315569705">
          <w:marLeft w:val="0"/>
          <w:marRight w:val="0"/>
          <w:marTop w:val="120"/>
          <w:marBottom w:val="0"/>
          <w:divBdr>
            <w:top w:val="none" w:sz="0" w:space="0" w:color="auto"/>
            <w:left w:val="none" w:sz="0" w:space="0" w:color="auto"/>
            <w:bottom w:val="none" w:sz="0" w:space="0" w:color="auto"/>
            <w:right w:val="none" w:sz="0" w:space="0" w:color="auto"/>
          </w:divBdr>
        </w:div>
        <w:div w:id="1456677581">
          <w:marLeft w:val="0"/>
          <w:marRight w:val="0"/>
          <w:marTop w:val="120"/>
          <w:marBottom w:val="0"/>
          <w:divBdr>
            <w:top w:val="none" w:sz="0" w:space="0" w:color="auto"/>
            <w:left w:val="none" w:sz="0" w:space="0" w:color="auto"/>
            <w:bottom w:val="none" w:sz="0" w:space="0" w:color="auto"/>
            <w:right w:val="none" w:sz="0" w:space="0" w:color="auto"/>
          </w:divBdr>
        </w:div>
        <w:div w:id="466631706">
          <w:marLeft w:val="0"/>
          <w:marRight w:val="0"/>
          <w:marTop w:val="120"/>
          <w:marBottom w:val="0"/>
          <w:divBdr>
            <w:top w:val="none" w:sz="0" w:space="0" w:color="auto"/>
            <w:left w:val="none" w:sz="0" w:space="0" w:color="auto"/>
            <w:bottom w:val="none" w:sz="0" w:space="0" w:color="auto"/>
            <w:right w:val="none" w:sz="0" w:space="0" w:color="auto"/>
          </w:divBdr>
        </w:div>
        <w:div w:id="1070349896">
          <w:marLeft w:val="0"/>
          <w:marRight w:val="0"/>
          <w:marTop w:val="120"/>
          <w:marBottom w:val="0"/>
          <w:divBdr>
            <w:top w:val="none" w:sz="0" w:space="0" w:color="auto"/>
            <w:left w:val="none" w:sz="0" w:space="0" w:color="auto"/>
            <w:bottom w:val="none" w:sz="0" w:space="0" w:color="auto"/>
            <w:right w:val="none" w:sz="0" w:space="0" w:color="auto"/>
          </w:divBdr>
        </w:div>
        <w:div w:id="1556356437">
          <w:marLeft w:val="0"/>
          <w:marRight w:val="0"/>
          <w:marTop w:val="120"/>
          <w:marBottom w:val="0"/>
          <w:divBdr>
            <w:top w:val="none" w:sz="0" w:space="0" w:color="auto"/>
            <w:left w:val="none" w:sz="0" w:space="0" w:color="auto"/>
            <w:bottom w:val="none" w:sz="0" w:space="0" w:color="auto"/>
            <w:right w:val="none" w:sz="0" w:space="0" w:color="auto"/>
          </w:divBdr>
        </w:div>
      </w:divsChild>
    </w:div>
    <w:div w:id="1494445345">
      <w:bodyDiv w:val="1"/>
      <w:marLeft w:val="0"/>
      <w:marRight w:val="0"/>
      <w:marTop w:val="0"/>
      <w:marBottom w:val="0"/>
      <w:divBdr>
        <w:top w:val="none" w:sz="0" w:space="0" w:color="auto"/>
        <w:left w:val="none" w:sz="0" w:space="0" w:color="auto"/>
        <w:bottom w:val="none" w:sz="0" w:space="0" w:color="auto"/>
        <w:right w:val="none" w:sz="0" w:space="0" w:color="auto"/>
      </w:divBdr>
    </w:div>
    <w:div w:id="1496146242">
      <w:bodyDiv w:val="1"/>
      <w:marLeft w:val="0"/>
      <w:marRight w:val="0"/>
      <w:marTop w:val="0"/>
      <w:marBottom w:val="0"/>
      <w:divBdr>
        <w:top w:val="none" w:sz="0" w:space="0" w:color="auto"/>
        <w:left w:val="none" w:sz="0" w:space="0" w:color="auto"/>
        <w:bottom w:val="none" w:sz="0" w:space="0" w:color="auto"/>
        <w:right w:val="none" w:sz="0" w:space="0" w:color="auto"/>
      </w:divBdr>
    </w:div>
    <w:div w:id="1496415382">
      <w:bodyDiv w:val="1"/>
      <w:marLeft w:val="0"/>
      <w:marRight w:val="0"/>
      <w:marTop w:val="0"/>
      <w:marBottom w:val="0"/>
      <w:divBdr>
        <w:top w:val="none" w:sz="0" w:space="0" w:color="auto"/>
        <w:left w:val="none" w:sz="0" w:space="0" w:color="auto"/>
        <w:bottom w:val="none" w:sz="0" w:space="0" w:color="auto"/>
        <w:right w:val="none" w:sz="0" w:space="0" w:color="auto"/>
      </w:divBdr>
    </w:div>
    <w:div w:id="1499344475">
      <w:bodyDiv w:val="1"/>
      <w:marLeft w:val="0"/>
      <w:marRight w:val="0"/>
      <w:marTop w:val="0"/>
      <w:marBottom w:val="0"/>
      <w:divBdr>
        <w:top w:val="none" w:sz="0" w:space="0" w:color="auto"/>
        <w:left w:val="none" w:sz="0" w:space="0" w:color="auto"/>
        <w:bottom w:val="none" w:sz="0" w:space="0" w:color="auto"/>
        <w:right w:val="none" w:sz="0" w:space="0" w:color="auto"/>
      </w:divBdr>
      <w:divsChild>
        <w:div w:id="313029279">
          <w:marLeft w:val="0"/>
          <w:marRight w:val="0"/>
          <w:marTop w:val="0"/>
          <w:marBottom w:val="0"/>
          <w:divBdr>
            <w:top w:val="none" w:sz="0" w:space="0" w:color="auto"/>
            <w:left w:val="none" w:sz="0" w:space="0" w:color="auto"/>
            <w:bottom w:val="none" w:sz="0" w:space="0" w:color="auto"/>
            <w:right w:val="none" w:sz="0" w:space="0" w:color="auto"/>
          </w:divBdr>
        </w:div>
      </w:divsChild>
    </w:div>
    <w:div w:id="1509757612">
      <w:bodyDiv w:val="1"/>
      <w:marLeft w:val="0"/>
      <w:marRight w:val="0"/>
      <w:marTop w:val="0"/>
      <w:marBottom w:val="0"/>
      <w:divBdr>
        <w:top w:val="none" w:sz="0" w:space="0" w:color="auto"/>
        <w:left w:val="none" w:sz="0" w:space="0" w:color="auto"/>
        <w:bottom w:val="none" w:sz="0" w:space="0" w:color="auto"/>
        <w:right w:val="none" w:sz="0" w:space="0" w:color="auto"/>
      </w:divBdr>
    </w:div>
    <w:div w:id="1510830413">
      <w:bodyDiv w:val="1"/>
      <w:marLeft w:val="0"/>
      <w:marRight w:val="0"/>
      <w:marTop w:val="0"/>
      <w:marBottom w:val="0"/>
      <w:divBdr>
        <w:top w:val="none" w:sz="0" w:space="0" w:color="auto"/>
        <w:left w:val="none" w:sz="0" w:space="0" w:color="auto"/>
        <w:bottom w:val="none" w:sz="0" w:space="0" w:color="auto"/>
        <w:right w:val="none" w:sz="0" w:space="0" w:color="auto"/>
      </w:divBdr>
    </w:div>
    <w:div w:id="1511025969">
      <w:bodyDiv w:val="1"/>
      <w:marLeft w:val="0"/>
      <w:marRight w:val="0"/>
      <w:marTop w:val="0"/>
      <w:marBottom w:val="0"/>
      <w:divBdr>
        <w:top w:val="none" w:sz="0" w:space="0" w:color="auto"/>
        <w:left w:val="none" w:sz="0" w:space="0" w:color="auto"/>
        <w:bottom w:val="none" w:sz="0" w:space="0" w:color="auto"/>
        <w:right w:val="none" w:sz="0" w:space="0" w:color="auto"/>
      </w:divBdr>
    </w:div>
    <w:div w:id="1516849190">
      <w:bodyDiv w:val="1"/>
      <w:marLeft w:val="0"/>
      <w:marRight w:val="0"/>
      <w:marTop w:val="0"/>
      <w:marBottom w:val="0"/>
      <w:divBdr>
        <w:top w:val="none" w:sz="0" w:space="0" w:color="auto"/>
        <w:left w:val="none" w:sz="0" w:space="0" w:color="auto"/>
        <w:bottom w:val="none" w:sz="0" w:space="0" w:color="auto"/>
        <w:right w:val="none" w:sz="0" w:space="0" w:color="auto"/>
      </w:divBdr>
    </w:div>
    <w:div w:id="1523544400">
      <w:bodyDiv w:val="1"/>
      <w:marLeft w:val="0"/>
      <w:marRight w:val="0"/>
      <w:marTop w:val="0"/>
      <w:marBottom w:val="0"/>
      <w:divBdr>
        <w:top w:val="none" w:sz="0" w:space="0" w:color="auto"/>
        <w:left w:val="none" w:sz="0" w:space="0" w:color="auto"/>
        <w:bottom w:val="none" w:sz="0" w:space="0" w:color="auto"/>
        <w:right w:val="none" w:sz="0" w:space="0" w:color="auto"/>
      </w:divBdr>
    </w:div>
    <w:div w:id="1525052347">
      <w:bodyDiv w:val="1"/>
      <w:marLeft w:val="0"/>
      <w:marRight w:val="0"/>
      <w:marTop w:val="0"/>
      <w:marBottom w:val="0"/>
      <w:divBdr>
        <w:top w:val="none" w:sz="0" w:space="0" w:color="auto"/>
        <w:left w:val="none" w:sz="0" w:space="0" w:color="auto"/>
        <w:bottom w:val="none" w:sz="0" w:space="0" w:color="auto"/>
        <w:right w:val="none" w:sz="0" w:space="0" w:color="auto"/>
      </w:divBdr>
    </w:div>
    <w:div w:id="1525165677">
      <w:bodyDiv w:val="1"/>
      <w:marLeft w:val="0"/>
      <w:marRight w:val="0"/>
      <w:marTop w:val="0"/>
      <w:marBottom w:val="0"/>
      <w:divBdr>
        <w:top w:val="none" w:sz="0" w:space="0" w:color="auto"/>
        <w:left w:val="none" w:sz="0" w:space="0" w:color="auto"/>
        <w:bottom w:val="none" w:sz="0" w:space="0" w:color="auto"/>
        <w:right w:val="none" w:sz="0" w:space="0" w:color="auto"/>
      </w:divBdr>
      <w:divsChild>
        <w:div w:id="324359460">
          <w:marLeft w:val="0"/>
          <w:marRight w:val="0"/>
          <w:marTop w:val="0"/>
          <w:marBottom w:val="0"/>
          <w:divBdr>
            <w:top w:val="none" w:sz="0" w:space="0" w:color="auto"/>
            <w:left w:val="none" w:sz="0" w:space="0" w:color="auto"/>
            <w:bottom w:val="none" w:sz="0" w:space="0" w:color="auto"/>
            <w:right w:val="none" w:sz="0" w:space="0" w:color="auto"/>
          </w:divBdr>
          <w:divsChild>
            <w:div w:id="16986964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25358798">
      <w:bodyDiv w:val="1"/>
      <w:marLeft w:val="0"/>
      <w:marRight w:val="0"/>
      <w:marTop w:val="0"/>
      <w:marBottom w:val="0"/>
      <w:divBdr>
        <w:top w:val="none" w:sz="0" w:space="0" w:color="auto"/>
        <w:left w:val="none" w:sz="0" w:space="0" w:color="auto"/>
        <w:bottom w:val="none" w:sz="0" w:space="0" w:color="auto"/>
        <w:right w:val="none" w:sz="0" w:space="0" w:color="auto"/>
      </w:divBdr>
    </w:div>
    <w:div w:id="1526675440">
      <w:bodyDiv w:val="1"/>
      <w:marLeft w:val="0"/>
      <w:marRight w:val="0"/>
      <w:marTop w:val="0"/>
      <w:marBottom w:val="0"/>
      <w:divBdr>
        <w:top w:val="none" w:sz="0" w:space="0" w:color="auto"/>
        <w:left w:val="none" w:sz="0" w:space="0" w:color="auto"/>
        <w:bottom w:val="none" w:sz="0" w:space="0" w:color="auto"/>
        <w:right w:val="none" w:sz="0" w:space="0" w:color="auto"/>
      </w:divBdr>
    </w:div>
    <w:div w:id="1527018497">
      <w:bodyDiv w:val="1"/>
      <w:marLeft w:val="0"/>
      <w:marRight w:val="0"/>
      <w:marTop w:val="0"/>
      <w:marBottom w:val="0"/>
      <w:divBdr>
        <w:top w:val="none" w:sz="0" w:space="0" w:color="auto"/>
        <w:left w:val="none" w:sz="0" w:space="0" w:color="auto"/>
        <w:bottom w:val="none" w:sz="0" w:space="0" w:color="auto"/>
        <w:right w:val="none" w:sz="0" w:space="0" w:color="auto"/>
      </w:divBdr>
    </w:div>
    <w:div w:id="1530144929">
      <w:bodyDiv w:val="1"/>
      <w:marLeft w:val="0"/>
      <w:marRight w:val="0"/>
      <w:marTop w:val="0"/>
      <w:marBottom w:val="0"/>
      <w:divBdr>
        <w:top w:val="none" w:sz="0" w:space="0" w:color="auto"/>
        <w:left w:val="none" w:sz="0" w:space="0" w:color="auto"/>
        <w:bottom w:val="none" w:sz="0" w:space="0" w:color="auto"/>
        <w:right w:val="none" w:sz="0" w:space="0" w:color="auto"/>
      </w:divBdr>
    </w:div>
    <w:div w:id="1533300100">
      <w:bodyDiv w:val="1"/>
      <w:marLeft w:val="0"/>
      <w:marRight w:val="0"/>
      <w:marTop w:val="0"/>
      <w:marBottom w:val="0"/>
      <w:divBdr>
        <w:top w:val="none" w:sz="0" w:space="0" w:color="auto"/>
        <w:left w:val="none" w:sz="0" w:space="0" w:color="auto"/>
        <w:bottom w:val="none" w:sz="0" w:space="0" w:color="auto"/>
        <w:right w:val="none" w:sz="0" w:space="0" w:color="auto"/>
      </w:divBdr>
    </w:div>
    <w:div w:id="1545867680">
      <w:bodyDiv w:val="1"/>
      <w:marLeft w:val="0"/>
      <w:marRight w:val="0"/>
      <w:marTop w:val="0"/>
      <w:marBottom w:val="0"/>
      <w:divBdr>
        <w:top w:val="none" w:sz="0" w:space="0" w:color="auto"/>
        <w:left w:val="none" w:sz="0" w:space="0" w:color="auto"/>
        <w:bottom w:val="none" w:sz="0" w:space="0" w:color="auto"/>
        <w:right w:val="none" w:sz="0" w:space="0" w:color="auto"/>
      </w:divBdr>
    </w:div>
    <w:div w:id="1560088256">
      <w:bodyDiv w:val="1"/>
      <w:marLeft w:val="0"/>
      <w:marRight w:val="0"/>
      <w:marTop w:val="0"/>
      <w:marBottom w:val="0"/>
      <w:divBdr>
        <w:top w:val="none" w:sz="0" w:space="0" w:color="auto"/>
        <w:left w:val="none" w:sz="0" w:space="0" w:color="auto"/>
        <w:bottom w:val="none" w:sz="0" w:space="0" w:color="auto"/>
        <w:right w:val="none" w:sz="0" w:space="0" w:color="auto"/>
      </w:divBdr>
    </w:div>
    <w:div w:id="1571961852">
      <w:bodyDiv w:val="1"/>
      <w:marLeft w:val="0"/>
      <w:marRight w:val="0"/>
      <w:marTop w:val="0"/>
      <w:marBottom w:val="0"/>
      <w:divBdr>
        <w:top w:val="none" w:sz="0" w:space="0" w:color="auto"/>
        <w:left w:val="none" w:sz="0" w:space="0" w:color="auto"/>
        <w:bottom w:val="none" w:sz="0" w:space="0" w:color="auto"/>
        <w:right w:val="none" w:sz="0" w:space="0" w:color="auto"/>
      </w:divBdr>
    </w:div>
    <w:div w:id="1579049557">
      <w:bodyDiv w:val="1"/>
      <w:marLeft w:val="0"/>
      <w:marRight w:val="0"/>
      <w:marTop w:val="0"/>
      <w:marBottom w:val="0"/>
      <w:divBdr>
        <w:top w:val="none" w:sz="0" w:space="0" w:color="auto"/>
        <w:left w:val="none" w:sz="0" w:space="0" w:color="auto"/>
        <w:bottom w:val="none" w:sz="0" w:space="0" w:color="auto"/>
        <w:right w:val="none" w:sz="0" w:space="0" w:color="auto"/>
      </w:divBdr>
    </w:div>
    <w:div w:id="1582637909">
      <w:bodyDiv w:val="1"/>
      <w:marLeft w:val="0"/>
      <w:marRight w:val="0"/>
      <w:marTop w:val="0"/>
      <w:marBottom w:val="0"/>
      <w:divBdr>
        <w:top w:val="none" w:sz="0" w:space="0" w:color="auto"/>
        <w:left w:val="none" w:sz="0" w:space="0" w:color="auto"/>
        <w:bottom w:val="none" w:sz="0" w:space="0" w:color="auto"/>
        <w:right w:val="none" w:sz="0" w:space="0" w:color="auto"/>
      </w:divBdr>
    </w:div>
    <w:div w:id="1596933839">
      <w:bodyDiv w:val="1"/>
      <w:marLeft w:val="0"/>
      <w:marRight w:val="0"/>
      <w:marTop w:val="0"/>
      <w:marBottom w:val="0"/>
      <w:divBdr>
        <w:top w:val="none" w:sz="0" w:space="0" w:color="auto"/>
        <w:left w:val="none" w:sz="0" w:space="0" w:color="auto"/>
        <w:bottom w:val="none" w:sz="0" w:space="0" w:color="auto"/>
        <w:right w:val="none" w:sz="0" w:space="0" w:color="auto"/>
      </w:divBdr>
    </w:div>
    <w:div w:id="1610745854">
      <w:bodyDiv w:val="1"/>
      <w:marLeft w:val="0"/>
      <w:marRight w:val="0"/>
      <w:marTop w:val="0"/>
      <w:marBottom w:val="0"/>
      <w:divBdr>
        <w:top w:val="none" w:sz="0" w:space="0" w:color="auto"/>
        <w:left w:val="none" w:sz="0" w:space="0" w:color="auto"/>
        <w:bottom w:val="none" w:sz="0" w:space="0" w:color="auto"/>
        <w:right w:val="none" w:sz="0" w:space="0" w:color="auto"/>
      </w:divBdr>
    </w:div>
    <w:div w:id="1616516299">
      <w:bodyDiv w:val="1"/>
      <w:marLeft w:val="0"/>
      <w:marRight w:val="0"/>
      <w:marTop w:val="0"/>
      <w:marBottom w:val="0"/>
      <w:divBdr>
        <w:top w:val="none" w:sz="0" w:space="0" w:color="auto"/>
        <w:left w:val="none" w:sz="0" w:space="0" w:color="auto"/>
        <w:bottom w:val="none" w:sz="0" w:space="0" w:color="auto"/>
        <w:right w:val="none" w:sz="0" w:space="0" w:color="auto"/>
      </w:divBdr>
    </w:div>
    <w:div w:id="1627811389">
      <w:bodyDiv w:val="1"/>
      <w:marLeft w:val="0"/>
      <w:marRight w:val="0"/>
      <w:marTop w:val="0"/>
      <w:marBottom w:val="0"/>
      <w:divBdr>
        <w:top w:val="none" w:sz="0" w:space="0" w:color="auto"/>
        <w:left w:val="none" w:sz="0" w:space="0" w:color="auto"/>
        <w:bottom w:val="none" w:sz="0" w:space="0" w:color="auto"/>
        <w:right w:val="none" w:sz="0" w:space="0" w:color="auto"/>
      </w:divBdr>
    </w:div>
    <w:div w:id="1647736768">
      <w:bodyDiv w:val="1"/>
      <w:marLeft w:val="0"/>
      <w:marRight w:val="0"/>
      <w:marTop w:val="0"/>
      <w:marBottom w:val="0"/>
      <w:divBdr>
        <w:top w:val="none" w:sz="0" w:space="0" w:color="auto"/>
        <w:left w:val="none" w:sz="0" w:space="0" w:color="auto"/>
        <w:bottom w:val="none" w:sz="0" w:space="0" w:color="auto"/>
        <w:right w:val="none" w:sz="0" w:space="0" w:color="auto"/>
      </w:divBdr>
    </w:div>
    <w:div w:id="1684013385">
      <w:bodyDiv w:val="1"/>
      <w:marLeft w:val="0"/>
      <w:marRight w:val="0"/>
      <w:marTop w:val="0"/>
      <w:marBottom w:val="0"/>
      <w:divBdr>
        <w:top w:val="none" w:sz="0" w:space="0" w:color="auto"/>
        <w:left w:val="none" w:sz="0" w:space="0" w:color="auto"/>
        <w:bottom w:val="none" w:sz="0" w:space="0" w:color="auto"/>
        <w:right w:val="none" w:sz="0" w:space="0" w:color="auto"/>
      </w:divBdr>
    </w:div>
    <w:div w:id="1684014818">
      <w:bodyDiv w:val="1"/>
      <w:marLeft w:val="0"/>
      <w:marRight w:val="0"/>
      <w:marTop w:val="0"/>
      <w:marBottom w:val="0"/>
      <w:divBdr>
        <w:top w:val="none" w:sz="0" w:space="0" w:color="auto"/>
        <w:left w:val="none" w:sz="0" w:space="0" w:color="auto"/>
        <w:bottom w:val="none" w:sz="0" w:space="0" w:color="auto"/>
        <w:right w:val="none" w:sz="0" w:space="0" w:color="auto"/>
      </w:divBdr>
    </w:div>
    <w:div w:id="1690402749">
      <w:bodyDiv w:val="1"/>
      <w:marLeft w:val="0"/>
      <w:marRight w:val="0"/>
      <w:marTop w:val="0"/>
      <w:marBottom w:val="0"/>
      <w:divBdr>
        <w:top w:val="none" w:sz="0" w:space="0" w:color="auto"/>
        <w:left w:val="none" w:sz="0" w:space="0" w:color="auto"/>
        <w:bottom w:val="none" w:sz="0" w:space="0" w:color="auto"/>
        <w:right w:val="none" w:sz="0" w:space="0" w:color="auto"/>
      </w:divBdr>
    </w:div>
    <w:div w:id="1693411658">
      <w:bodyDiv w:val="1"/>
      <w:marLeft w:val="0"/>
      <w:marRight w:val="0"/>
      <w:marTop w:val="0"/>
      <w:marBottom w:val="0"/>
      <w:divBdr>
        <w:top w:val="none" w:sz="0" w:space="0" w:color="auto"/>
        <w:left w:val="none" w:sz="0" w:space="0" w:color="auto"/>
        <w:bottom w:val="none" w:sz="0" w:space="0" w:color="auto"/>
        <w:right w:val="none" w:sz="0" w:space="0" w:color="auto"/>
      </w:divBdr>
    </w:div>
    <w:div w:id="1693651767">
      <w:bodyDiv w:val="1"/>
      <w:marLeft w:val="0"/>
      <w:marRight w:val="0"/>
      <w:marTop w:val="0"/>
      <w:marBottom w:val="0"/>
      <w:divBdr>
        <w:top w:val="none" w:sz="0" w:space="0" w:color="auto"/>
        <w:left w:val="none" w:sz="0" w:space="0" w:color="auto"/>
        <w:bottom w:val="none" w:sz="0" w:space="0" w:color="auto"/>
        <w:right w:val="none" w:sz="0" w:space="0" w:color="auto"/>
      </w:divBdr>
    </w:div>
    <w:div w:id="1706635132">
      <w:bodyDiv w:val="1"/>
      <w:marLeft w:val="0"/>
      <w:marRight w:val="0"/>
      <w:marTop w:val="0"/>
      <w:marBottom w:val="0"/>
      <w:divBdr>
        <w:top w:val="none" w:sz="0" w:space="0" w:color="auto"/>
        <w:left w:val="none" w:sz="0" w:space="0" w:color="auto"/>
        <w:bottom w:val="none" w:sz="0" w:space="0" w:color="auto"/>
        <w:right w:val="none" w:sz="0" w:space="0" w:color="auto"/>
      </w:divBdr>
    </w:div>
    <w:div w:id="1710572909">
      <w:bodyDiv w:val="1"/>
      <w:marLeft w:val="0"/>
      <w:marRight w:val="0"/>
      <w:marTop w:val="0"/>
      <w:marBottom w:val="0"/>
      <w:divBdr>
        <w:top w:val="none" w:sz="0" w:space="0" w:color="auto"/>
        <w:left w:val="none" w:sz="0" w:space="0" w:color="auto"/>
        <w:bottom w:val="none" w:sz="0" w:space="0" w:color="auto"/>
        <w:right w:val="none" w:sz="0" w:space="0" w:color="auto"/>
      </w:divBdr>
    </w:div>
    <w:div w:id="1719889542">
      <w:bodyDiv w:val="1"/>
      <w:marLeft w:val="0"/>
      <w:marRight w:val="0"/>
      <w:marTop w:val="0"/>
      <w:marBottom w:val="0"/>
      <w:divBdr>
        <w:top w:val="none" w:sz="0" w:space="0" w:color="auto"/>
        <w:left w:val="none" w:sz="0" w:space="0" w:color="auto"/>
        <w:bottom w:val="none" w:sz="0" w:space="0" w:color="auto"/>
        <w:right w:val="none" w:sz="0" w:space="0" w:color="auto"/>
      </w:divBdr>
    </w:div>
    <w:div w:id="1722168424">
      <w:bodyDiv w:val="1"/>
      <w:marLeft w:val="0"/>
      <w:marRight w:val="0"/>
      <w:marTop w:val="0"/>
      <w:marBottom w:val="0"/>
      <w:divBdr>
        <w:top w:val="none" w:sz="0" w:space="0" w:color="auto"/>
        <w:left w:val="none" w:sz="0" w:space="0" w:color="auto"/>
        <w:bottom w:val="none" w:sz="0" w:space="0" w:color="auto"/>
        <w:right w:val="none" w:sz="0" w:space="0" w:color="auto"/>
      </w:divBdr>
    </w:div>
    <w:div w:id="1733384487">
      <w:bodyDiv w:val="1"/>
      <w:marLeft w:val="0"/>
      <w:marRight w:val="0"/>
      <w:marTop w:val="0"/>
      <w:marBottom w:val="0"/>
      <w:divBdr>
        <w:top w:val="none" w:sz="0" w:space="0" w:color="auto"/>
        <w:left w:val="none" w:sz="0" w:space="0" w:color="auto"/>
        <w:bottom w:val="none" w:sz="0" w:space="0" w:color="auto"/>
        <w:right w:val="none" w:sz="0" w:space="0" w:color="auto"/>
      </w:divBdr>
    </w:div>
    <w:div w:id="1741059405">
      <w:bodyDiv w:val="1"/>
      <w:marLeft w:val="0"/>
      <w:marRight w:val="0"/>
      <w:marTop w:val="0"/>
      <w:marBottom w:val="0"/>
      <w:divBdr>
        <w:top w:val="none" w:sz="0" w:space="0" w:color="auto"/>
        <w:left w:val="none" w:sz="0" w:space="0" w:color="auto"/>
        <w:bottom w:val="none" w:sz="0" w:space="0" w:color="auto"/>
        <w:right w:val="none" w:sz="0" w:space="0" w:color="auto"/>
      </w:divBdr>
    </w:div>
    <w:div w:id="1743791996">
      <w:bodyDiv w:val="1"/>
      <w:marLeft w:val="0"/>
      <w:marRight w:val="0"/>
      <w:marTop w:val="0"/>
      <w:marBottom w:val="0"/>
      <w:divBdr>
        <w:top w:val="none" w:sz="0" w:space="0" w:color="auto"/>
        <w:left w:val="none" w:sz="0" w:space="0" w:color="auto"/>
        <w:bottom w:val="none" w:sz="0" w:space="0" w:color="auto"/>
        <w:right w:val="none" w:sz="0" w:space="0" w:color="auto"/>
      </w:divBdr>
    </w:div>
    <w:div w:id="1750420792">
      <w:bodyDiv w:val="1"/>
      <w:marLeft w:val="0"/>
      <w:marRight w:val="0"/>
      <w:marTop w:val="0"/>
      <w:marBottom w:val="0"/>
      <w:divBdr>
        <w:top w:val="none" w:sz="0" w:space="0" w:color="auto"/>
        <w:left w:val="none" w:sz="0" w:space="0" w:color="auto"/>
        <w:bottom w:val="none" w:sz="0" w:space="0" w:color="auto"/>
        <w:right w:val="none" w:sz="0" w:space="0" w:color="auto"/>
      </w:divBdr>
    </w:div>
    <w:div w:id="1756315429">
      <w:bodyDiv w:val="1"/>
      <w:marLeft w:val="0"/>
      <w:marRight w:val="0"/>
      <w:marTop w:val="0"/>
      <w:marBottom w:val="0"/>
      <w:divBdr>
        <w:top w:val="none" w:sz="0" w:space="0" w:color="auto"/>
        <w:left w:val="none" w:sz="0" w:space="0" w:color="auto"/>
        <w:bottom w:val="none" w:sz="0" w:space="0" w:color="auto"/>
        <w:right w:val="none" w:sz="0" w:space="0" w:color="auto"/>
      </w:divBdr>
    </w:div>
    <w:div w:id="1772971461">
      <w:bodyDiv w:val="1"/>
      <w:marLeft w:val="0"/>
      <w:marRight w:val="0"/>
      <w:marTop w:val="0"/>
      <w:marBottom w:val="0"/>
      <w:divBdr>
        <w:top w:val="none" w:sz="0" w:space="0" w:color="auto"/>
        <w:left w:val="none" w:sz="0" w:space="0" w:color="auto"/>
        <w:bottom w:val="none" w:sz="0" w:space="0" w:color="auto"/>
        <w:right w:val="none" w:sz="0" w:space="0" w:color="auto"/>
      </w:divBdr>
    </w:div>
    <w:div w:id="1787845371">
      <w:bodyDiv w:val="1"/>
      <w:marLeft w:val="0"/>
      <w:marRight w:val="0"/>
      <w:marTop w:val="0"/>
      <w:marBottom w:val="0"/>
      <w:divBdr>
        <w:top w:val="none" w:sz="0" w:space="0" w:color="auto"/>
        <w:left w:val="none" w:sz="0" w:space="0" w:color="auto"/>
        <w:bottom w:val="none" w:sz="0" w:space="0" w:color="auto"/>
        <w:right w:val="none" w:sz="0" w:space="0" w:color="auto"/>
      </w:divBdr>
    </w:div>
    <w:div w:id="1794057042">
      <w:bodyDiv w:val="1"/>
      <w:marLeft w:val="0"/>
      <w:marRight w:val="0"/>
      <w:marTop w:val="0"/>
      <w:marBottom w:val="0"/>
      <w:divBdr>
        <w:top w:val="none" w:sz="0" w:space="0" w:color="auto"/>
        <w:left w:val="none" w:sz="0" w:space="0" w:color="auto"/>
        <w:bottom w:val="none" w:sz="0" w:space="0" w:color="auto"/>
        <w:right w:val="none" w:sz="0" w:space="0" w:color="auto"/>
      </w:divBdr>
    </w:div>
    <w:div w:id="1812399732">
      <w:bodyDiv w:val="1"/>
      <w:marLeft w:val="0"/>
      <w:marRight w:val="0"/>
      <w:marTop w:val="0"/>
      <w:marBottom w:val="0"/>
      <w:divBdr>
        <w:top w:val="none" w:sz="0" w:space="0" w:color="auto"/>
        <w:left w:val="none" w:sz="0" w:space="0" w:color="auto"/>
        <w:bottom w:val="none" w:sz="0" w:space="0" w:color="auto"/>
        <w:right w:val="none" w:sz="0" w:space="0" w:color="auto"/>
      </w:divBdr>
    </w:div>
    <w:div w:id="1813253558">
      <w:bodyDiv w:val="1"/>
      <w:marLeft w:val="0"/>
      <w:marRight w:val="0"/>
      <w:marTop w:val="0"/>
      <w:marBottom w:val="0"/>
      <w:divBdr>
        <w:top w:val="none" w:sz="0" w:space="0" w:color="auto"/>
        <w:left w:val="none" w:sz="0" w:space="0" w:color="auto"/>
        <w:bottom w:val="none" w:sz="0" w:space="0" w:color="auto"/>
        <w:right w:val="none" w:sz="0" w:space="0" w:color="auto"/>
      </w:divBdr>
    </w:div>
    <w:div w:id="1815298500">
      <w:bodyDiv w:val="1"/>
      <w:marLeft w:val="0"/>
      <w:marRight w:val="0"/>
      <w:marTop w:val="0"/>
      <w:marBottom w:val="0"/>
      <w:divBdr>
        <w:top w:val="none" w:sz="0" w:space="0" w:color="auto"/>
        <w:left w:val="none" w:sz="0" w:space="0" w:color="auto"/>
        <w:bottom w:val="none" w:sz="0" w:space="0" w:color="auto"/>
        <w:right w:val="none" w:sz="0" w:space="0" w:color="auto"/>
      </w:divBdr>
    </w:div>
    <w:div w:id="1819027670">
      <w:bodyDiv w:val="1"/>
      <w:marLeft w:val="0"/>
      <w:marRight w:val="0"/>
      <w:marTop w:val="0"/>
      <w:marBottom w:val="0"/>
      <w:divBdr>
        <w:top w:val="none" w:sz="0" w:space="0" w:color="auto"/>
        <w:left w:val="none" w:sz="0" w:space="0" w:color="auto"/>
        <w:bottom w:val="none" w:sz="0" w:space="0" w:color="auto"/>
        <w:right w:val="none" w:sz="0" w:space="0" w:color="auto"/>
      </w:divBdr>
    </w:div>
    <w:div w:id="1830707461">
      <w:bodyDiv w:val="1"/>
      <w:marLeft w:val="0"/>
      <w:marRight w:val="0"/>
      <w:marTop w:val="0"/>
      <w:marBottom w:val="0"/>
      <w:divBdr>
        <w:top w:val="none" w:sz="0" w:space="0" w:color="auto"/>
        <w:left w:val="none" w:sz="0" w:space="0" w:color="auto"/>
        <w:bottom w:val="none" w:sz="0" w:space="0" w:color="auto"/>
        <w:right w:val="none" w:sz="0" w:space="0" w:color="auto"/>
      </w:divBdr>
    </w:div>
    <w:div w:id="1842970163">
      <w:bodyDiv w:val="1"/>
      <w:marLeft w:val="0"/>
      <w:marRight w:val="0"/>
      <w:marTop w:val="0"/>
      <w:marBottom w:val="0"/>
      <w:divBdr>
        <w:top w:val="none" w:sz="0" w:space="0" w:color="auto"/>
        <w:left w:val="none" w:sz="0" w:space="0" w:color="auto"/>
        <w:bottom w:val="none" w:sz="0" w:space="0" w:color="auto"/>
        <w:right w:val="none" w:sz="0" w:space="0" w:color="auto"/>
      </w:divBdr>
    </w:div>
    <w:div w:id="1853690570">
      <w:bodyDiv w:val="1"/>
      <w:marLeft w:val="0"/>
      <w:marRight w:val="0"/>
      <w:marTop w:val="0"/>
      <w:marBottom w:val="0"/>
      <w:divBdr>
        <w:top w:val="none" w:sz="0" w:space="0" w:color="auto"/>
        <w:left w:val="none" w:sz="0" w:space="0" w:color="auto"/>
        <w:bottom w:val="none" w:sz="0" w:space="0" w:color="auto"/>
        <w:right w:val="none" w:sz="0" w:space="0" w:color="auto"/>
      </w:divBdr>
    </w:div>
    <w:div w:id="1858616349">
      <w:bodyDiv w:val="1"/>
      <w:marLeft w:val="0"/>
      <w:marRight w:val="0"/>
      <w:marTop w:val="0"/>
      <w:marBottom w:val="0"/>
      <w:divBdr>
        <w:top w:val="none" w:sz="0" w:space="0" w:color="auto"/>
        <w:left w:val="none" w:sz="0" w:space="0" w:color="auto"/>
        <w:bottom w:val="none" w:sz="0" w:space="0" w:color="auto"/>
        <w:right w:val="none" w:sz="0" w:space="0" w:color="auto"/>
      </w:divBdr>
    </w:div>
    <w:div w:id="1872448658">
      <w:bodyDiv w:val="1"/>
      <w:marLeft w:val="0"/>
      <w:marRight w:val="0"/>
      <w:marTop w:val="0"/>
      <w:marBottom w:val="0"/>
      <w:divBdr>
        <w:top w:val="none" w:sz="0" w:space="0" w:color="auto"/>
        <w:left w:val="none" w:sz="0" w:space="0" w:color="auto"/>
        <w:bottom w:val="none" w:sz="0" w:space="0" w:color="auto"/>
        <w:right w:val="none" w:sz="0" w:space="0" w:color="auto"/>
      </w:divBdr>
    </w:div>
    <w:div w:id="1873420705">
      <w:bodyDiv w:val="1"/>
      <w:marLeft w:val="0"/>
      <w:marRight w:val="0"/>
      <w:marTop w:val="0"/>
      <w:marBottom w:val="0"/>
      <w:divBdr>
        <w:top w:val="none" w:sz="0" w:space="0" w:color="auto"/>
        <w:left w:val="none" w:sz="0" w:space="0" w:color="auto"/>
        <w:bottom w:val="none" w:sz="0" w:space="0" w:color="auto"/>
        <w:right w:val="none" w:sz="0" w:space="0" w:color="auto"/>
      </w:divBdr>
    </w:div>
    <w:div w:id="1891070812">
      <w:bodyDiv w:val="1"/>
      <w:marLeft w:val="0"/>
      <w:marRight w:val="0"/>
      <w:marTop w:val="0"/>
      <w:marBottom w:val="0"/>
      <w:divBdr>
        <w:top w:val="none" w:sz="0" w:space="0" w:color="auto"/>
        <w:left w:val="none" w:sz="0" w:space="0" w:color="auto"/>
        <w:bottom w:val="none" w:sz="0" w:space="0" w:color="auto"/>
        <w:right w:val="none" w:sz="0" w:space="0" w:color="auto"/>
      </w:divBdr>
    </w:div>
    <w:div w:id="1891185199">
      <w:bodyDiv w:val="1"/>
      <w:marLeft w:val="0"/>
      <w:marRight w:val="0"/>
      <w:marTop w:val="0"/>
      <w:marBottom w:val="0"/>
      <w:divBdr>
        <w:top w:val="none" w:sz="0" w:space="0" w:color="auto"/>
        <w:left w:val="none" w:sz="0" w:space="0" w:color="auto"/>
        <w:bottom w:val="none" w:sz="0" w:space="0" w:color="auto"/>
        <w:right w:val="none" w:sz="0" w:space="0" w:color="auto"/>
      </w:divBdr>
    </w:div>
    <w:div w:id="1901476010">
      <w:bodyDiv w:val="1"/>
      <w:marLeft w:val="0"/>
      <w:marRight w:val="0"/>
      <w:marTop w:val="0"/>
      <w:marBottom w:val="0"/>
      <w:divBdr>
        <w:top w:val="none" w:sz="0" w:space="0" w:color="auto"/>
        <w:left w:val="none" w:sz="0" w:space="0" w:color="auto"/>
        <w:bottom w:val="none" w:sz="0" w:space="0" w:color="auto"/>
        <w:right w:val="none" w:sz="0" w:space="0" w:color="auto"/>
      </w:divBdr>
    </w:div>
    <w:div w:id="1902328388">
      <w:bodyDiv w:val="1"/>
      <w:marLeft w:val="0"/>
      <w:marRight w:val="0"/>
      <w:marTop w:val="0"/>
      <w:marBottom w:val="0"/>
      <w:divBdr>
        <w:top w:val="none" w:sz="0" w:space="0" w:color="auto"/>
        <w:left w:val="none" w:sz="0" w:space="0" w:color="auto"/>
        <w:bottom w:val="none" w:sz="0" w:space="0" w:color="auto"/>
        <w:right w:val="none" w:sz="0" w:space="0" w:color="auto"/>
      </w:divBdr>
    </w:div>
    <w:div w:id="1908035055">
      <w:bodyDiv w:val="1"/>
      <w:marLeft w:val="0"/>
      <w:marRight w:val="0"/>
      <w:marTop w:val="0"/>
      <w:marBottom w:val="0"/>
      <w:divBdr>
        <w:top w:val="none" w:sz="0" w:space="0" w:color="auto"/>
        <w:left w:val="none" w:sz="0" w:space="0" w:color="auto"/>
        <w:bottom w:val="none" w:sz="0" w:space="0" w:color="auto"/>
        <w:right w:val="none" w:sz="0" w:space="0" w:color="auto"/>
      </w:divBdr>
    </w:div>
    <w:div w:id="1913418674">
      <w:bodyDiv w:val="1"/>
      <w:marLeft w:val="0"/>
      <w:marRight w:val="0"/>
      <w:marTop w:val="0"/>
      <w:marBottom w:val="0"/>
      <w:divBdr>
        <w:top w:val="none" w:sz="0" w:space="0" w:color="auto"/>
        <w:left w:val="none" w:sz="0" w:space="0" w:color="auto"/>
        <w:bottom w:val="none" w:sz="0" w:space="0" w:color="auto"/>
        <w:right w:val="none" w:sz="0" w:space="0" w:color="auto"/>
      </w:divBdr>
    </w:div>
    <w:div w:id="1920870010">
      <w:bodyDiv w:val="1"/>
      <w:marLeft w:val="0"/>
      <w:marRight w:val="0"/>
      <w:marTop w:val="0"/>
      <w:marBottom w:val="0"/>
      <w:divBdr>
        <w:top w:val="none" w:sz="0" w:space="0" w:color="auto"/>
        <w:left w:val="none" w:sz="0" w:space="0" w:color="auto"/>
        <w:bottom w:val="none" w:sz="0" w:space="0" w:color="auto"/>
        <w:right w:val="none" w:sz="0" w:space="0" w:color="auto"/>
      </w:divBdr>
    </w:div>
    <w:div w:id="1921715263">
      <w:bodyDiv w:val="1"/>
      <w:marLeft w:val="0"/>
      <w:marRight w:val="0"/>
      <w:marTop w:val="0"/>
      <w:marBottom w:val="0"/>
      <w:divBdr>
        <w:top w:val="none" w:sz="0" w:space="0" w:color="auto"/>
        <w:left w:val="none" w:sz="0" w:space="0" w:color="auto"/>
        <w:bottom w:val="none" w:sz="0" w:space="0" w:color="auto"/>
        <w:right w:val="none" w:sz="0" w:space="0" w:color="auto"/>
      </w:divBdr>
    </w:div>
    <w:div w:id="1923563797">
      <w:bodyDiv w:val="1"/>
      <w:marLeft w:val="0"/>
      <w:marRight w:val="0"/>
      <w:marTop w:val="0"/>
      <w:marBottom w:val="0"/>
      <w:divBdr>
        <w:top w:val="none" w:sz="0" w:space="0" w:color="auto"/>
        <w:left w:val="none" w:sz="0" w:space="0" w:color="auto"/>
        <w:bottom w:val="none" w:sz="0" w:space="0" w:color="auto"/>
        <w:right w:val="none" w:sz="0" w:space="0" w:color="auto"/>
      </w:divBdr>
    </w:div>
    <w:div w:id="1934435066">
      <w:bodyDiv w:val="1"/>
      <w:marLeft w:val="0"/>
      <w:marRight w:val="0"/>
      <w:marTop w:val="0"/>
      <w:marBottom w:val="0"/>
      <w:divBdr>
        <w:top w:val="none" w:sz="0" w:space="0" w:color="auto"/>
        <w:left w:val="none" w:sz="0" w:space="0" w:color="auto"/>
        <w:bottom w:val="none" w:sz="0" w:space="0" w:color="auto"/>
        <w:right w:val="none" w:sz="0" w:space="0" w:color="auto"/>
      </w:divBdr>
    </w:div>
    <w:div w:id="1937445728">
      <w:bodyDiv w:val="1"/>
      <w:marLeft w:val="0"/>
      <w:marRight w:val="0"/>
      <w:marTop w:val="0"/>
      <w:marBottom w:val="0"/>
      <w:divBdr>
        <w:top w:val="none" w:sz="0" w:space="0" w:color="auto"/>
        <w:left w:val="none" w:sz="0" w:space="0" w:color="auto"/>
        <w:bottom w:val="none" w:sz="0" w:space="0" w:color="auto"/>
        <w:right w:val="none" w:sz="0" w:space="0" w:color="auto"/>
      </w:divBdr>
    </w:div>
    <w:div w:id="1973168338">
      <w:bodyDiv w:val="1"/>
      <w:marLeft w:val="0"/>
      <w:marRight w:val="0"/>
      <w:marTop w:val="0"/>
      <w:marBottom w:val="0"/>
      <w:divBdr>
        <w:top w:val="none" w:sz="0" w:space="0" w:color="auto"/>
        <w:left w:val="none" w:sz="0" w:space="0" w:color="auto"/>
        <w:bottom w:val="none" w:sz="0" w:space="0" w:color="auto"/>
        <w:right w:val="none" w:sz="0" w:space="0" w:color="auto"/>
      </w:divBdr>
    </w:div>
    <w:div w:id="1986079580">
      <w:bodyDiv w:val="1"/>
      <w:marLeft w:val="0"/>
      <w:marRight w:val="0"/>
      <w:marTop w:val="0"/>
      <w:marBottom w:val="0"/>
      <w:divBdr>
        <w:top w:val="none" w:sz="0" w:space="0" w:color="auto"/>
        <w:left w:val="none" w:sz="0" w:space="0" w:color="auto"/>
        <w:bottom w:val="none" w:sz="0" w:space="0" w:color="auto"/>
        <w:right w:val="none" w:sz="0" w:space="0" w:color="auto"/>
      </w:divBdr>
    </w:div>
    <w:div w:id="1992053197">
      <w:bodyDiv w:val="1"/>
      <w:marLeft w:val="0"/>
      <w:marRight w:val="0"/>
      <w:marTop w:val="0"/>
      <w:marBottom w:val="0"/>
      <w:divBdr>
        <w:top w:val="none" w:sz="0" w:space="0" w:color="auto"/>
        <w:left w:val="none" w:sz="0" w:space="0" w:color="auto"/>
        <w:bottom w:val="none" w:sz="0" w:space="0" w:color="auto"/>
        <w:right w:val="none" w:sz="0" w:space="0" w:color="auto"/>
      </w:divBdr>
    </w:div>
    <w:div w:id="2001274794">
      <w:bodyDiv w:val="1"/>
      <w:marLeft w:val="0"/>
      <w:marRight w:val="0"/>
      <w:marTop w:val="0"/>
      <w:marBottom w:val="0"/>
      <w:divBdr>
        <w:top w:val="none" w:sz="0" w:space="0" w:color="auto"/>
        <w:left w:val="none" w:sz="0" w:space="0" w:color="auto"/>
        <w:bottom w:val="none" w:sz="0" w:space="0" w:color="auto"/>
        <w:right w:val="none" w:sz="0" w:space="0" w:color="auto"/>
      </w:divBdr>
    </w:div>
    <w:div w:id="2014910953">
      <w:bodyDiv w:val="1"/>
      <w:marLeft w:val="0"/>
      <w:marRight w:val="0"/>
      <w:marTop w:val="0"/>
      <w:marBottom w:val="0"/>
      <w:divBdr>
        <w:top w:val="none" w:sz="0" w:space="0" w:color="auto"/>
        <w:left w:val="none" w:sz="0" w:space="0" w:color="auto"/>
        <w:bottom w:val="none" w:sz="0" w:space="0" w:color="auto"/>
        <w:right w:val="none" w:sz="0" w:space="0" w:color="auto"/>
      </w:divBdr>
    </w:div>
    <w:div w:id="2016302797">
      <w:bodyDiv w:val="1"/>
      <w:marLeft w:val="0"/>
      <w:marRight w:val="0"/>
      <w:marTop w:val="0"/>
      <w:marBottom w:val="0"/>
      <w:divBdr>
        <w:top w:val="none" w:sz="0" w:space="0" w:color="auto"/>
        <w:left w:val="none" w:sz="0" w:space="0" w:color="auto"/>
        <w:bottom w:val="none" w:sz="0" w:space="0" w:color="auto"/>
        <w:right w:val="none" w:sz="0" w:space="0" w:color="auto"/>
      </w:divBdr>
    </w:div>
    <w:div w:id="2028284812">
      <w:bodyDiv w:val="1"/>
      <w:marLeft w:val="0"/>
      <w:marRight w:val="0"/>
      <w:marTop w:val="0"/>
      <w:marBottom w:val="0"/>
      <w:divBdr>
        <w:top w:val="none" w:sz="0" w:space="0" w:color="auto"/>
        <w:left w:val="none" w:sz="0" w:space="0" w:color="auto"/>
        <w:bottom w:val="none" w:sz="0" w:space="0" w:color="auto"/>
        <w:right w:val="none" w:sz="0" w:space="0" w:color="auto"/>
      </w:divBdr>
    </w:div>
    <w:div w:id="2032292147">
      <w:bodyDiv w:val="1"/>
      <w:marLeft w:val="0"/>
      <w:marRight w:val="0"/>
      <w:marTop w:val="0"/>
      <w:marBottom w:val="0"/>
      <w:divBdr>
        <w:top w:val="none" w:sz="0" w:space="0" w:color="auto"/>
        <w:left w:val="none" w:sz="0" w:space="0" w:color="auto"/>
        <w:bottom w:val="none" w:sz="0" w:space="0" w:color="auto"/>
        <w:right w:val="none" w:sz="0" w:space="0" w:color="auto"/>
      </w:divBdr>
    </w:div>
    <w:div w:id="2037464267">
      <w:bodyDiv w:val="1"/>
      <w:marLeft w:val="0"/>
      <w:marRight w:val="0"/>
      <w:marTop w:val="0"/>
      <w:marBottom w:val="0"/>
      <w:divBdr>
        <w:top w:val="none" w:sz="0" w:space="0" w:color="auto"/>
        <w:left w:val="none" w:sz="0" w:space="0" w:color="auto"/>
        <w:bottom w:val="none" w:sz="0" w:space="0" w:color="auto"/>
        <w:right w:val="none" w:sz="0" w:space="0" w:color="auto"/>
      </w:divBdr>
    </w:div>
    <w:div w:id="2045860995">
      <w:bodyDiv w:val="1"/>
      <w:marLeft w:val="0"/>
      <w:marRight w:val="0"/>
      <w:marTop w:val="0"/>
      <w:marBottom w:val="0"/>
      <w:divBdr>
        <w:top w:val="none" w:sz="0" w:space="0" w:color="auto"/>
        <w:left w:val="none" w:sz="0" w:space="0" w:color="auto"/>
        <w:bottom w:val="none" w:sz="0" w:space="0" w:color="auto"/>
        <w:right w:val="none" w:sz="0" w:space="0" w:color="auto"/>
      </w:divBdr>
    </w:div>
    <w:div w:id="2063361248">
      <w:bodyDiv w:val="1"/>
      <w:marLeft w:val="0"/>
      <w:marRight w:val="0"/>
      <w:marTop w:val="0"/>
      <w:marBottom w:val="0"/>
      <w:divBdr>
        <w:top w:val="none" w:sz="0" w:space="0" w:color="auto"/>
        <w:left w:val="none" w:sz="0" w:space="0" w:color="auto"/>
        <w:bottom w:val="none" w:sz="0" w:space="0" w:color="auto"/>
        <w:right w:val="none" w:sz="0" w:space="0" w:color="auto"/>
      </w:divBdr>
    </w:div>
    <w:div w:id="2079476222">
      <w:bodyDiv w:val="1"/>
      <w:marLeft w:val="0"/>
      <w:marRight w:val="0"/>
      <w:marTop w:val="0"/>
      <w:marBottom w:val="0"/>
      <w:divBdr>
        <w:top w:val="none" w:sz="0" w:space="0" w:color="auto"/>
        <w:left w:val="none" w:sz="0" w:space="0" w:color="auto"/>
        <w:bottom w:val="none" w:sz="0" w:space="0" w:color="auto"/>
        <w:right w:val="none" w:sz="0" w:space="0" w:color="auto"/>
      </w:divBdr>
    </w:div>
    <w:div w:id="2118476620">
      <w:bodyDiv w:val="1"/>
      <w:marLeft w:val="0"/>
      <w:marRight w:val="0"/>
      <w:marTop w:val="0"/>
      <w:marBottom w:val="0"/>
      <w:divBdr>
        <w:top w:val="none" w:sz="0" w:space="0" w:color="auto"/>
        <w:left w:val="none" w:sz="0" w:space="0" w:color="auto"/>
        <w:bottom w:val="none" w:sz="0" w:space="0" w:color="auto"/>
        <w:right w:val="none" w:sz="0" w:space="0" w:color="auto"/>
      </w:divBdr>
      <w:divsChild>
        <w:div w:id="797844113">
          <w:marLeft w:val="0"/>
          <w:marRight w:val="0"/>
          <w:marTop w:val="120"/>
          <w:marBottom w:val="0"/>
          <w:divBdr>
            <w:top w:val="none" w:sz="0" w:space="0" w:color="auto"/>
            <w:left w:val="none" w:sz="0" w:space="0" w:color="auto"/>
            <w:bottom w:val="none" w:sz="0" w:space="0" w:color="auto"/>
            <w:right w:val="none" w:sz="0" w:space="0" w:color="auto"/>
          </w:divBdr>
        </w:div>
      </w:divsChild>
    </w:div>
    <w:div w:id="2128230170">
      <w:bodyDiv w:val="1"/>
      <w:marLeft w:val="0"/>
      <w:marRight w:val="0"/>
      <w:marTop w:val="0"/>
      <w:marBottom w:val="0"/>
      <w:divBdr>
        <w:top w:val="none" w:sz="0" w:space="0" w:color="auto"/>
        <w:left w:val="none" w:sz="0" w:space="0" w:color="auto"/>
        <w:bottom w:val="none" w:sz="0" w:space="0" w:color="auto"/>
        <w:right w:val="none" w:sz="0" w:space="0" w:color="auto"/>
      </w:divBdr>
    </w:div>
    <w:div w:id="2130276924">
      <w:bodyDiv w:val="1"/>
      <w:marLeft w:val="0"/>
      <w:marRight w:val="0"/>
      <w:marTop w:val="0"/>
      <w:marBottom w:val="0"/>
      <w:divBdr>
        <w:top w:val="none" w:sz="0" w:space="0" w:color="auto"/>
        <w:left w:val="none" w:sz="0" w:space="0" w:color="auto"/>
        <w:bottom w:val="none" w:sz="0" w:space="0" w:color="auto"/>
        <w:right w:val="none" w:sz="0" w:space="0" w:color="auto"/>
      </w:divBdr>
    </w:div>
    <w:div w:id="2130783764">
      <w:bodyDiv w:val="1"/>
      <w:marLeft w:val="0"/>
      <w:marRight w:val="0"/>
      <w:marTop w:val="0"/>
      <w:marBottom w:val="0"/>
      <w:divBdr>
        <w:top w:val="none" w:sz="0" w:space="0" w:color="auto"/>
        <w:left w:val="none" w:sz="0" w:space="0" w:color="auto"/>
        <w:bottom w:val="none" w:sz="0" w:space="0" w:color="auto"/>
        <w:right w:val="none" w:sz="0" w:space="0" w:color="auto"/>
      </w:divBdr>
    </w:div>
    <w:div w:id="2136019116">
      <w:bodyDiv w:val="1"/>
      <w:marLeft w:val="0"/>
      <w:marRight w:val="0"/>
      <w:marTop w:val="0"/>
      <w:marBottom w:val="0"/>
      <w:divBdr>
        <w:top w:val="none" w:sz="0" w:space="0" w:color="auto"/>
        <w:left w:val="none" w:sz="0" w:space="0" w:color="auto"/>
        <w:bottom w:val="none" w:sz="0" w:space="0" w:color="auto"/>
        <w:right w:val="none" w:sz="0" w:space="0" w:color="auto"/>
      </w:divBdr>
    </w:div>
    <w:div w:id="2145346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mrsksevzap.ru/id_7balance" TargetMode="External"/><Relationship Id="rId21" Type="http://schemas.openxmlformats.org/officeDocument/2006/relationships/image" Target="media/image5.wmf"/><Relationship Id="rId42" Type="http://schemas.openxmlformats.org/officeDocument/2006/relationships/image" Target="media/image12.wmf"/><Relationship Id="rId47" Type="http://schemas.openxmlformats.org/officeDocument/2006/relationships/image" Target="media/image17.wmf"/><Relationship Id="rId63" Type="http://schemas.openxmlformats.org/officeDocument/2006/relationships/image" Target="media/image33.wmf"/><Relationship Id="rId68" Type="http://schemas.openxmlformats.org/officeDocument/2006/relationships/image" Target="media/image38.wmf"/><Relationship Id="rId84" Type="http://schemas.openxmlformats.org/officeDocument/2006/relationships/hyperlink" Target="consultantplus://offline/ref=4083949847E2813024D422DDF915441CA49A7B13FAB9DB9B8A202CFF05C5501FDA071BA969772565JDI0G" TargetMode="External"/><Relationship Id="rId89" Type="http://schemas.openxmlformats.org/officeDocument/2006/relationships/hyperlink" Target="http://kolenergo.mrsksevzap.ru/cs/Satellite?blobcol=urldata&amp;blobheader=application%2Fpdf&amp;blobheadername1=Content-Disposition&amp;blobheadername2=MDT-Type&amp;blobheadername3=Content-Length&amp;blobheadervalue1=inline%3B+filename%3Dprikaz68_1.pdf&amp;blobheadervalue2=abinary%3B+charset%3DUTF-8&amp;blobheadervalue3=479184&amp;blobkey=id&amp;blobtable=MungoBlobs&amp;blobwhere=1384341056446&amp;ssbinary=true" TargetMode="External"/><Relationship Id="rId16" Type="http://schemas.openxmlformats.org/officeDocument/2006/relationships/hyperlink" Target="http://www.mrsksevzap.ru/home" TargetMode="External"/><Relationship Id="rId11" Type="http://schemas.openxmlformats.org/officeDocument/2006/relationships/header" Target="header1.xml"/><Relationship Id="rId32" Type="http://schemas.openxmlformats.org/officeDocument/2006/relationships/hyperlink" Target="http://garantf1://70019304.200176" TargetMode="External"/><Relationship Id="rId37" Type="http://schemas.openxmlformats.org/officeDocument/2006/relationships/hyperlink" Target="http://garant.kom-tech.ru/document?id=11800785&amp;sub=0" TargetMode="External"/><Relationship Id="rId53" Type="http://schemas.openxmlformats.org/officeDocument/2006/relationships/image" Target="media/image23.wmf"/><Relationship Id="rId58" Type="http://schemas.openxmlformats.org/officeDocument/2006/relationships/image" Target="media/image28.wmf"/><Relationship Id="rId74" Type="http://schemas.openxmlformats.org/officeDocument/2006/relationships/image" Target="media/image44.emf"/><Relationship Id="rId79" Type="http://schemas.openxmlformats.org/officeDocument/2006/relationships/image" Target="media/image49.wmf"/><Relationship Id="rId5" Type="http://schemas.openxmlformats.org/officeDocument/2006/relationships/settings" Target="settings.xml"/><Relationship Id="rId90" Type="http://schemas.openxmlformats.org/officeDocument/2006/relationships/fontTable" Target="fontTable.xml"/><Relationship Id="rId14" Type="http://schemas.openxmlformats.org/officeDocument/2006/relationships/footer" Target="footer2.xml"/><Relationship Id="rId22" Type="http://schemas.openxmlformats.org/officeDocument/2006/relationships/hyperlink" Target="http://www.mrsksevzap.ru/home" TargetMode="External"/><Relationship Id="rId27" Type="http://schemas.openxmlformats.org/officeDocument/2006/relationships/image" Target="media/image6.wmf"/><Relationship Id="rId30" Type="http://schemas.openxmlformats.org/officeDocument/2006/relationships/image" Target="media/image9.wmf"/><Relationship Id="rId35" Type="http://schemas.openxmlformats.org/officeDocument/2006/relationships/hyperlink" Target="http://www.consultant.ru/document/cons_doc_LAW_164519/a7d92fada305e84f024f1a8cc6f0e91fdf31e98b/" TargetMode="External"/><Relationship Id="rId43" Type="http://schemas.openxmlformats.org/officeDocument/2006/relationships/image" Target="media/image13.wmf"/><Relationship Id="rId48" Type="http://schemas.openxmlformats.org/officeDocument/2006/relationships/image" Target="media/image18.wmf"/><Relationship Id="rId56" Type="http://schemas.openxmlformats.org/officeDocument/2006/relationships/image" Target="media/image26.wmf"/><Relationship Id="rId64" Type="http://schemas.openxmlformats.org/officeDocument/2006/relationships/image" Target="media/image34.wmf"/><Relationship Id="rId69" Type="http://schemas.openxmlformats.org/officeDocument/2006/relationships/image" Target="media/image39.emf"/><Relationship Id="rId77" Type="http://schemas.openxmlformats.org/officeDocument/2006/relationships/image" Target="media/image47.emf"/><Relationship Id="rId8" Type="http://schemas.openxmlformats.org/officeDocument/2006/relationships/endnotes" Target="endnotes.xml"/><Relationship Id="rId51" Type="http://schemas.openxmlformats.org/officeDocument/2006/relationships/image" Target="media/image21.wmf"/><Relationship Id="rId72" Type="http://schemas.openxmlformats.org/officeDocument/2006/relationships/image" Target="media/image42.emf"/><Relationship Id="rId80" Type="http://schemas.openxmlformats.org/officeDocument/2006/relationships/image" Target="media/image50.wmf"/><Relationship Id="rId85" Type="http://schemas.openxmlformats.org/officeDocument/2006/relationships/hyperlink" Target="https://www.garant.ru/products/ipo/prime/doc/71692554/" TargetMode="Externa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yperlink" Target="http://www.mrsksevzap.ru/infodisclosurerootpage" TargetMode="External"/><Relationship Id="rId25" Type="http://schemas.openxmlformats.org/officeDocument/2006/relationships/hyperlink" Target="http://www.mrsksevzap.ru/id_7balance" TargetMode="External"/><Relationship Id="rId33" Type="http://schemas.openxmlformats.org/officeDocument/2006/relationships/hyperlink" Target="https://murmanskstat.gks.ru/folder/72803" TargetMode="External"/><Relationship Id="rId38" Type="http://schemas.openxmlformats.org/officeDocument/2006/relationships/hyperlink" Target="consultantplus://offline/ref=F23A53A51D57565B383C6CDB7CF02097F18138C2A16D0E4E075F1B7EE9C7310606FE22E78E732EAF543D88EE2149DC90ECF2F9B92181A338s0s5G" TargetMode="External"/><Relationship Id="rId46" Type="http://schemas.openxmlformats.org/officeDocument/2006/relationships/image" Target="media/image16.wmf"/><Relationship Id="rId59" Type="http://schemas.openxmlformats.org/officeDocument/2006/relationships/image" Target="media/image29.wmf"/><Relationship Id="rId67" Type="http://schemas.openxmlformats.org/officeDocument/2006/relationships/image" Target="media/image37.wmf"/><Relationship Id="rId20" Type="http://schemas.openxmlformats.org/officeDocument/2006/relationships/image" Target="media/image4.wmf"/><Relationship Id="rId41" Type="http://schemas.openxmlformats.org/officeDocument/2006/relationships/image" Target="media/image11.wmf"/><Relationship Id="rId54" Type="http://schemas.openxmlformats.org/officeDocument/2006/relationships/image" Target="media/image24.wmf"/><Relationship Id="rId62" Type="http://schemas.openxmlformats.org/officeDocument/2006/relationships/image" Target="media/image32.wmf"/><Relationship Id="rId70" Type="http://schemas.openxmlformats.org/officeDocument/2006/relationships/image" Target="media/image40.emf"/><Relationship Id="rId75" Type="http://schemas.openxmlformats.org/officeDocument/2006/relationships/image" Target="media/image45.emf"/><Relationship Id="rId83" Type="http://schemas.openxmlformats.org/officeDocument/2006/relationships/hyperlink" Target="consultantplus://offline/ref=4083949847E2813024D422DDF915441CA49A7B13FAB9DB9B8A202CFF05C5501FDA071BA96977206EJDI6G" TargetMode="External"/><Relationship Id="rId88" Type="http://schemas.openxmlformats.org/officeDocument/2006/relationships/hyperlink" Target="https://sudact.ru/law/nk-rf-chast2/razdel-viii/glava-25/statia-266/" TargetMode="Externa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mrsksevzap.ru/" TargetMode="External"/><Relationship Id="rId23" Type="http://schemas.openxmlformats.org/officeDocument/2006/relationships/hyperlink" Target="http://www.mrsksevzap.ru/infodisclosurerootpage" TargetMode="External"/><Relationship Id="rId28" Type="http://schemas.openxmlformats.org/officeDocument/2006/relationships/image" Target="media/image7.wmf"/><Relationship Id="rId36" Type="http://schemas.openxmlformats.org/officeDocument/2006/relationships/hyperlink" Target="http://www.consultant.ru/document/cons_doc_LAW_303638/928be6671acc6ba6e6da54aec949a23259a65002/" TargetMode="External"/><Relationship Id="rId49" Type="http://schemas.openxmlformats.org/officeDocument/2006/relationships/image" Target="media/image19.wmf"/><Relationship Id="rId57" Type="http://schemas.openxmlformats.org/officeDocument/2006/relationships/image" Target="media/image27.wmf"/><Relationship Id="rId10" Type="http://schemas.microsoft.com/office/2007/relationships/hdphoto" Target="media/hdphoto1.wdp"/><Relationship Id="rId31" Type="http://schemas.openxmlformats.org/officeDocument/2006/relationships/image" Target="media/image10.jpg"/><Relationship Id="rId44" Type="http://schemas.openxmlformats.org/officeDocument/2006/relationships/image" Target="media/image14.wmf"/><Relationship Id="rId52" Type="http://schemas.openxmlformats.org/officeDocument/2006/relationships/image" Target="media/image22.wmf"/><Relationship Id="rId60" Type="http://schemas.openxmlformats.org/officeDocument/2006/relationships/image" Target="media/image30.wmf"/><Relationship Id="rId65" Type="http://schemas.openxmlformats.org/officeDocument/2006/relationships/image" Target="media/image35.wmf"/><Relationship Id="rId73" Type="http://schemas.openxmlformats.org/officeDocument/2006/relationships/image" Target="media/image43.emf"/><Relationship Id="rId78" Type="http://schemas.openxmlformats.org/officeDocument/2006/relationships/image" Target="media/image48.emf"/><Relationship Id="rId81" Type="http://schemas.openxmlformats.org/officeDocument/2006/relationships/image" Target="media/image51.jpg"/><Relationship Id="rId86" Type="http://schemas.openxmlformats.org/officeDocument/2006/relationships/hyperlink" Target="https://sba.yandex.net/redirect?url=https%3A//normativ.kontur.ru/document%3FmoduleId%3D1%26documentId%3D323535&amp;client=znatoki&amp;sign=4ad4897d16958e15a2ea130d638aa538" TargetMode="Externa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2.wmf"/><Relationship Id="rId39" Type="http://schemas.openxmlformats.org/officeDocument/2006/relationships/hyperlink" Target="https://legalacts.ru/doc/postanovlenie-pravitelstva-rf-ot-29122011-n-1178/" TargetMode="External"/><Relationship Id="rId34" Type="http://schemas.openxmlformats.org/officeDocument/2006/relationships/hyperlink" Target="http://www.consultant.ru/document/cons_doc_LAW_203627/c9efb9bf7157e3b4a80194139b13146e88b0ce4c/" TargetMode="External"/><Relationship Id="rId50" Type="http://schemas.openxmlformats.org/officeDocument/2006/relationships/image" Target="media/image20.wmf"/><Relationship Id="rId55" Type="http://schemas.openxmlformats.org/officeDocument/2006/relationships/image" Target="media/image25.wmf"/><Relationship Id="rId76" Type="http://schemas.openxmlformats.org/officeDocument/2006/relationships/image" Target="media/image46.emf"/><Relationship Id="rId7" Type="http://schemas.openxmlformats.org/officeDocument/2006/relationships/footnotes" Target="footnotes.xml"/><Relationship Id="rId71" Type="http://schemas.openxmlformats.org/officeDocument/2006/relationships/image" Target="media/image41.emf"/><Relationship Id="rId2" Type="http://schemas.openxmlformats.org/officeDocument/2006/relationships/customXml" Target="../customXml/item2.xml"/><Relationship Id="rId29" Type="http://schemas.openxmlformats.org/officeDocument/2006/relationships/image" Target="media/image8.wmf"/><Relationship Id="rId24" Type="http://schemas.openxmlformats.org/officeDocument/2006/relationships/hyperlink" Target="http://www.mrsksevzap.ru/2standartdisclosure" TargetMode="External"/><Relationship Id="rId40" Type="http://schemas.openxmlformats.org/officeDocument/2006/relationships/hyperlink" Target="https://legalacts.ru/doc/postanovlenie-pravitelstva-rf-ot-29122011-n-1178/" TargetMode="External"/><Relationship Id="rId45" Type="http://schemas.openxmlformats.org/officeDocument/2006/relationships/image" Target="media/image15.wmf"/><Relationship Id="rId66" Type="http://schemas.openxmlformats.org/officeDocument/2006/relationships/image" Target="media/image36.wmf"/><Relationship Id="rId87" Type="http://schemas.openxmlformats.org/officeDocument/2006/relationships/hyperlink" Target="https://sudact.ru/law/nk-rf-chast2/razdel-viii/glava-25/statia-266/" TargetMode="External"/><Relationship Id="rId61" Type="http://schemas.openxmlformats.org/officeDocument/2006/relationships/image" Target="media/image31.wmf"/><Relationship Id="rId82" Type="http://schemas.openxmlformats.org/officeDocument/2006/relationships/hyperlink" Target="http://www.consultant.ru/cons/cgi/online.cgi?req=doc&amp;base=LAW&amp;n=304083&amp;fld=134&amp;dst=1000000001,0&amp;rnd=0.9059766886332845" TargetMode="External"/><Relationship Id="rId19" Type="http://schemas.openxmlformats.org/officeDocument/2006/relationships/image" Target="media/image3.wmf"/></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0D0039-B771-4CF0-8C62-0457BB535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180</Pages>
  <Words>63790</Words>
  <Characters>363605</Characters>
  <Application>Microsoft Office Word</Application>
  <DocSecurity>0</DocSecurity>
  <Lines>3030</Lines>
  <Paragraphs>853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2020-07-17T07:20:00Z</dcterms:created>
  <dcterms:modified xsi:type="dcterms:W3CDTF">2020-07-21T08:18:00Z</dcterms:modified>
</cp:coreProperties>
</file>