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IN"/>
        </w:rPr>
      </w:pPr>
      <w:r>
        <w:rPr/>
        <w:softHyphen/>
      </w:r>
      <w:r>
        <w:rPr/>
        <w:drawing>
          <wp:inline distT="0" distB="0" distL="0" distR="0">
            <wp:extent cx="2921635" cy="1155065"/>
            <wp:effectExtent l="0" t="0" r="0" b="0"/>
            <wp:docPr id="1"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png" descr=""/>
                    <pic:cNvPicPr>
                      <a:picLocks noChangeAspect="1" noChangeArrowheads="1"/>
                    </pic:cNvPicPr>
                  </pic:nvPicPr>
                  <pic:blipFill>
                    <a:blip r:embed="rId2"/>
                    <a:stretch>
                      <a:fillRect/>
                    </a:stretch>
                  </pic:blipFill>
                  <pic:spPr bwMode="auto">
                    <a:xfrm>
                      <a:off x="0" y="0"/>
                      <a:ext cx="2921635" cy="1155065"/>
                    </a:xfrm>
                    <a:prstGeom prst="rect">
                      <a:avLst/>
                    </a:prstGeom>
                  </pic:spPr>
                </pic:pic>
              </a:graphicData>
            </a:graphic>
          </wp:inline>
        </w:drawing>
      </w:r>
    </w:p>
    <w:p>
      <w:pPr>
        <w:pStyle w:val="Normal"/>
        <w:jc w:val="center"/>
        <w:rPr>
          <w:lang w:val="en-IN"/>
        </w:rPr>
      </w:pPr>
      <w:r>
        <w:rPr>
          <w:lang w:val="en-IN"/>
        </w:rPr>
      </w:r>
    </w:p>
    <w:p>
      <w:pPr>
        <w:pStyle w:val="Normal"/>
        <w:jc w:val="center"/>
        <w:rPr>
          <w:lang w:val="en-IN"/>
        </w:rPr>
      </w:pPr>
      <w:r>
        <w:rPr>
          <w:lang w:val="en-IN"/>
        </w:rPr>
      </w:r>
    </w:p>
    <w:p>
      <w:pPr>
        <w:pStyle w:val="Normal"/>
        <w:jc w:val="center"/>
        <w:rPr>
          <w:lang w:val="en-IN"/>
        </w:rPr>
      </w:pPr>
      <w:r>
        <w:rPr>
          <w:lang w:val="en-IN"/>
        </w:rPr>
      </w:r>
    </w:p>
    <w:p>
      <w:pPr>
        <w:pStyle w:val="Normal"/>
        <w:jc w:val="center"/>
        <w:rPr>
          <w:lang w:val="en-IN"/>
        </w:rPr>
      </w:pPr>
      <w:r>
        <w:rPr>
          <w:lang w:val="en-IN"/>
        </w:rPr>
      </w:r>
    </w:p>
    <w:p>
      <w:pPr>
        <w:pStyle w:val="Normal"/>
        <w:jc w:val="center"/>
        <w:rPr>
          <w:rFonts w:ascii="Copperplate Gothic Bold" w:hAnsi="Copperplate Gothic Bold"/>
          <w:sz w:val="72"/>
          <w:szCs w:val="72"/>
          <w:lang w:val="en-IN"/>
        </w:rPr>
      </w:pPr>
      <w:r>
        <w:rPr>
          <w:rFonts w:ascii="Copperplate Gothic Bold" w:hAnsi="Copperplate Gothic Bold"/>
          <w:sz w:val="72"/>
          <w:szCs w:val="72"/>
          <w:lang w:val="en-IN"/>
        </w:rPr>
        <w:t>Project report</w:t>
      </w:r>
    </w:p>
    <w:p>
      <w:pPr>
        <w:pStyle w:val="Normal"/>
        <w:jc w:val="center"/>
        <w:rPr>
          <w:rFonts w:ascii="Century Schoolbook" w:hAnsi="Century Schoolbook"/>
          <w:sz w:val="72"/>
          <w:szCs w:val="72"/>
          <w:lang w:val="en-IN"/>
        </w:rPr>
      </w:pPr>
      <w:r>
        <w:rPr>
          <w:rFonts w:ascii="Century Schoolbook" w:hAnsi="Century Schoolbook"/>
          <w:sz w:val="72"/>
          <w:szCs w:val="72"/>
          <w:lang w:val="en-IN"/>
        </w:rPr>
        <w:t>Computer Vision</w:t>
      </w:r>
    </w:p>
    <w:p>
      <w:pPr>
        <w:pStyle w:val="Normal"/>
        <w:jc w:val="center"/>
        <w:rPr>
          <w:rFonts w:ascii="Century Schoolbook" w:hAnsi="Century Schoolbook"/>
          <w:sz w:val="28"/>
          <w:szCs w:val="28"/>
          <w:lang w:val="en-IN"/>
        </w:rPr>
      </w:pPr>
      <w:r>
        <w:rPr/>
      </w:r>
    </w:p>
    <w:p>
      <w:pPr>
        <w:pStyle w:val="Normal"/>
        <w:ind w:left="567"/>
        <w:jc w:val="center"/>
        <w:rPr>
          <w:rFonts w:ascii="Century Schoolbook" w:hAnsi="Century Schoolbook" w:cs="Times New Roman"/>
          <w:bCs/>
          <w:sz w:val="36"/>
          <w:szCs w:val="36"/>
        </w:rPr>
      </w:pPr>
      <w:r>
        <w:rPr>
          <w:rFonts w:cs="Times New Roman" w:ascii="Century Schoolbook" w:hAnsi="Century Schoolbook"/>
          <w:bCs/>
          <w:sz w:val="36"/>
          <w:szCs w:val="36"/>
        </w:rPr>
        <w:t>Winter Semester:2025-2026</w:t>
      </w:r>
    </w:p>
    <w:p>
      <w:pPr>
        <w:pStyle w:val="Normal"/>
        <w:ind w:left="567"/>
        <w:jc w:val="center"/>
        <w:rPr>
          <w:rFonts w:ascii="Century Schoolbook" w:hAnsi="Century Schoolbook" w:cs="Times New Roman"/>
          <w:bCs/>
          <w:sz w:val="36"/>
          <w:szCs w:val="36"/>
        </w:rPr>
      </w:pPr>
      <w:r>
        <w:rPr>
          <w:rFonts w:cs="Times New Roman" w:ascii="Century Schoolbook" w:hAnsi="Century Schoolbook"/>
          <w:bCs/>
          <w:sz w:val="36"/>
          <w:szCs w:val="36"/>
        </w:rPr>
      </w:r>
    </w:p>
    <w:p>
      <w:pPr>
        <w:pStyle w:val="Normal"/>
        <w:jc w:val="center"/>
        <w:rPr/>
      </w:pPr>
      <w:r>
        <w:rPr>
          <w:rFonts w:ascii="Century Schoolbook" w:hAnsi="Century Schoolbook"/>
          <w:sz w:val="36"/>
          <w:szCs w:val="36"/>
          <w:lang w:val="en-IN"/>
        </w:rPr>
        <w:t>Name(s) &amp; Register Number of the students:</w:t>
      </w:r>
    </w:p>
    <w:p>
      <w:pPr>
        <w:pStyle w:val="Normal"/>
        <w:jc w:val="center"/>
        <w:rPr>
          <w:rFonts w:ascii="Century Schoolbook" w:hAnsi="Century Schoolbook"/>
          <w:sz w:val="40"/>
          <w:szCs w:val="40"/>
          <w:lang w:val="en-IN"/>
        </w:rPr>
      </w:pPr>
      <w:r>
        <w:rPr>
          <w:rFonts w:ascii="Century Schoolbook" w:hAnsi="Century Schoolbook"/>
          <w:sz w:val="40"/>
          <w:szCs w:val="40"/>
          <w:lang w:val="en-IN"/>
        </w:rPr>
        <w:t>Mehul Kumar Patel 23BAI10105</w:t>
      </w:r>
    </w:p>
    <w:p>
      <w:pPr>
        <w:pStyle w:val="Normal"/>
        <w:jc w:val="center"/>
        <w:rPr>
          <w:rFonts w:ascii="Century Schoolbook" w:hAnsi="Century Schoolbook"/>
          <w:sz w:val="24"/>
          <w:szCs w:val="24"/>
          <w:lang w:val="en-IN"/>
        </w:rPr>
      </w:pPr>
      <w:r>
        <w:rPr>
          <w:rFonts w:ascii="Century Schoolbook" w:hAnsi="Century Schoolbook"/>
          <w:sz w:val="24"/>
          <w:szCs w:val="24"/>
          <w:lang w:val="en-IN"/>
        </w:rPr>
      </w:r>
    </w:p>
    <w:p>
      <w:pPr>
        <w:pStyle w:val="Normal"/>
        <w:jc w:val="center"/>
        <w:rPr>
          <w:rFonts w:ascii="Century Schoolbook" w:hAnsi="Century Schoolbook"/>
          <w:sz w:val="24"/>
          <w:szCs w:val="24"/>
          <w:lang w:val="en-IN"/>
        </w:rPr>
      </w:pPr>
      <w:r>
        <w:rPr>
          <w:rFonts w:ascii="Century Schoolbook" w:hAnsi="Century Schoolbook"/>
          <w:sz w:val="24"/>
          <w:szCs w:val="24"/>
          <w:lang w:val="en-IN"/>
        </w:rPr>
      </w:r>
    </w:p>
    <w:p>
      <w:pPr>
        <w:pStyle w:val="Normal"/>
        <w:jc w:val="center"/>
        <w:rPr>
          <w:rFonts w:ascii="Century Schoolbook" w:hAnsi="Century Schoolbook"/>
          <w:sz w:val="24"/>
          <w:szCs w:val="24"/>
          <w:lang w:val="en-IN"/>
        </w:rPr>
      </w:pPr>
      <w:r>
        <w:rPr>
          <w:rFonts w:ascii="Century Schoolbook" w:hAnsi="Century Schoolbook"/>
          <w:sz w:val="24"/>
          <w:szCs w:val="24"/>
          <w:lang w:val="en-IN"/>
        </w:rPr>
      </w:r>
    </w:p>
    <w:p>
      <w:pPr>
        <w:pStyle w:val="Normal"/>
        <w:jc w:val="center"/>
        <w:rPr>
          <w:rFonts w:ascii="Century Schoolbook" w:hAnsi="Century Schoolbook"/>
          <w:sz w:val="24"/>
          <w:szCs w:val="24"/>
          <w:lang w:val="en-IN"/>
        </w:rPr>
      </w:pPr>
      <w:r>
        <w:rPr>
          <w:rFonts w:ascii="Century Schoolbook" w:hAnsi="Century Schoolbook"/>
          <w:sz w:val="24"/>
          <w:szCs w:val="24"/>
          <w:lang w:val="en-IN"/>
        </w:rPr>
      </w:r>
    </w:p>
    <w:p>
      <w:pPr>
        <w:pStyle w:val="Normal"/>
        <w:jc w:val="center"/>
        <w:rPr>
          <w:rFonts w:ascii="Century Schoolbook" w:hAnsi="Century Schoolbook"/>
          <w:sz w:val="24"/>
          <w:szCs w:val="24"/>
          <w:lang w:val="en-IN"/>
        </w:rPr>
      </w:pPr>
      <w:r>
        <w:rPr>
          <w:rFonts w:ascii="Century Schoolbook" w:hAnsi="Century Schoolbook"/>
          <w:sz w:val="24"/>
          <w:szCs w:val="24"/>
          <w:lang w:val="en-IN"/>
        </w:rPr>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50"/>
      </w:tblGrid>
      <w:tr>
        <w:trPr>
          <w:trHeight w:val="408" w:hRule="atLeast"/>
        </w:trPr>
        <w:tc>
          <w:tcPr>
            <w:tcW w:w="9350" w:type="dxa"/>
            <w:tcBorders/>
          </w:tcPr>
          <w:p>
            <w:pPr>
              <w:pStyle w:val="Normal"/>
              <w:widowControl/>
              <w:suppressAutoHyphens w:val="true"/>
              <w:spacing w:lineRule="auto" w:line="240" w:before="0" w:after="0"/>
              <w:jc w:val="center"/>
              <w:rPr>
                <w:rFonts w:ascii="Century Schoolbook" w:hAnsi="Century Schoolbook"/>
                <w:sz w:val="24"/>
                <w:szCs w:val="24"/>
                <w:lang w:val="en-IN"/>
              </w:rPr>
            </w:pPr>
            <w:r>
              <w:rPr>
                <w:rFonts w:eastAsia="Calibri" w:cs="" w:ascii="Century Schoolbook" w:hAnsi="Century Schoolbook"/>
                <w:kern w:val="0"/>
                <w:sz w:val="24"/>
                <w:szCs w:val="24"/>
                <w:lang w:val="en-IN" w:bidi="ar-SA"/>
              </w:rPr>
              <w:t>Document Similarity Checker Using NLP and OCR Techniques</w:t>
            </w:r>
          </w:p>
        </w:tc>
      </w:tr>
    </w:tbl>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t>Aim:</w:t>
      </w:r>
    </w:p>
    <w:p>
      <w:pPr>
        <w:pStyle w:val="BodyText"/>
        <w:rPr>
          <w:rFonts w:ascii="Century Schoolbook" w:hAnsi="Century Schoolbook"/>
          <w:b w:val="false"/>
          <w:bCs w:val="false"/>
          <w:sz w:val="24"/>
          <w:szCs w:val="24"/>
          <w:lang w:val="en-IN"/>
        </w:rPr>
      </w:pPr>
      <w:r>
        <w:rPr>
          <w:rFonts w:ascii="Century Schoolbook" w:hAnsi="Century Schoolbook"/>
          <w:b w:val="false"/>
          <w:bCs w:val="false"/>
          <w:sz w:val="24"/>
          <w:szCs w:val="24"/>
          <w:lang w:val="en-IN"/>
        </w:rPr>
        <w:t>To develop a system that extracts text from document images using OCR and determines similarity between documents using Cosine similarity and Jaccard similarity, with an application in detecting duplicate previous year question papers.</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i/>
          <w:i/>
          <w:iCs/>
          <w:lang w:val="en-IN"/>
        </w:rPr>
      </w:pPr>
      <w:r>
        <w:rPr>
          <w:rFonts w:ascii="Century Schoolbook" w:hAnsi="Century Schoolbook"/>
          <w:b/>
          <w:bCs/>
          <w:sz w:val="24"/>
          <w:szCs w:val="24"/>
          <w:lang w:val="en-IN"/>
        </w:rPr>
        <w:t xml:space="preserve">Absract: </w:t>
      </w:r>
    </w:p>
    <w:p>
      <w:pPr>
        <w:pStyle w:val="BodyText"/>
        <w:rPr>
          <w:rFonts w:ascii="Century Schoolbook" w:hAnsi="Century Schoolbook"/>
          <w:i w:val="false"/>
          <w:i w:val="false"/>
          <w:iCs w:val="false"/>
          <w:lang w:val="en-IN"/>
        </w:rPr>
      </w:pPr>
      <w:r>
        <w:rPr>
          <w:rFonts w:ascii="Century Schoolbook" w:hAnsi="Century Schoolbook"/>
          <w:i w:val="false"/>
          <w:iCs w:val="false"/>
          <w:lang w:val="en-IN"/>
        </w:rPr>
        <w:t>This project presents a document similarity checker that implements Optical Character Recognition (OCR) and Natural Language Processing (NLP) techniques to analyze and compare textual content from images. The system allows users to upload two document images, from which text is extracted using EasyOCR. The extracted text is then preprocessed and analyzed using similarity metrics such as Cosine similarity and Jaccard similarity. These methods help quantify how closely related two documents are in terms of content.</w:t>
      </w:r>
    </w:p>
    <w:p>
      <w:pPr>
        <w:pStyle w:val="BodyText"/>
        <w:rPr>
          <w:rFonts w:ascii="Century Schoolbook" w:hAnsi="Century Schoolbook"/>
          <w:i w:val="false"/>
          <w:i w:val="false"/>
          <w:iCs w:val="false"/>
        </w:rPr>
      </w:pPr>
      <w:r>
        <w:rPr>
          <w:rFonts w:ascii="Century Schoolbook" w:hAnsi="Century Schoolbook"/>
          <w:i w:val="false"/>
          <w:iCs w:val="false"/>
        </w:rPr>
        <w:t>The project is further extended to a real-world use case by integrating it into a repository of previous year question papers (PYQs) at VIT Bhopal. The system checks whether a newly uploaded paper already exists in the repository, helping avoid duplication and improving content organization. This approach demonstrates how NLP and OCR can be combined to solve practical problems involving unstructured data. The system is efficient, scalable, and useful for academic institutions managing large document collections.</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i w:val="false"/>
          <w:iCs w:val="false"/>
          <w:sz w:val="24"/>
          <w:szCs w:val="24"/>
          <w:lang w:val="en-IN"/>
        </w:rPr>
        <w:t>Introduction: The Linguistic Transformation of Visual Data</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1.1 The Semantic Gap in Document Digitization</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In the current era of Big Data, the challenge for institutions like VIT Bhopal is not the acquisition of information, but its </w:t>
      </w:r>
      <w:r>
        <w:rPr>
          <w:rFonts w:ascii="Century Schoolbook" w:hAnsi="Century Schoolbook"/>
          <w:b/>
          <w:sz w:val="24"/>
          <w:szCs w:val="24"/>
        </w:rPr>
        <w:t>retrievability and interpretability</w:t>
      </w:r>
      <w:r>
        <w:rPr>
          <w:rFonts w:ascii="Century Schoolbook" w:hAnsi="Century Schoolbook"/>
          <w:sz w:val="24"/>
          <w:szCs w:val="24"/>
        </w:rPr>
        <w:t>. While we have transitioned from physical paper to digital images, we have inadvertently created a "semantic gap." A computer can display an image of a Question Paper, but it cannot "understand" it. The image is a collection of spatial coordinates and color values . NLP serves as the bridge across this gap, transforming a static matrix of pixels into a dynamic vector of meaning.</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This project focuses on the intersection of </w:t>
      </w:r>
      <w:r>
        <w:rPr>
          <w:rFonts w:ascii="Century Schoolbook" w:hAnsi="Century Schoolbook"/>
          <w:b/>
          <w:sz w:val="24"/>
          <w:szCs w:val="24"/>
        </w:rPr>
        <w:t>Computer Vision (CV)</w:t>
      </w:r>
      <w:r>
        <w:rPr>
          <w:rFonts w:ascii="Century Schoolbook" w:hAnsi="Century Schoolbook"/>
          <w:sz w:val="24"/>
          <w:szCs w:val="24"/>
        </w:rPr>
        <w:t xml:space="preserve"> and </w:t>
      </w:r>
      <w:r>
        <w:rPr>
          <w:rFonts w:ascii="Century Schoolbook" w:hAnsi="Century Schoolbook"/>
          <w:b/>
          <w:sz w:val="24"/>
          <w:szCs w:val="24"/>
        </w:rPr>
        <w:t>Natural Language Processing (NLP)</w:t>
      </w:r>
      <w:r>
        <w:rPr>
          <w:rFonts w:ascii="Century Schoolbook" w:hAnsi="Century Schoolbook"/>
          <w:sz w:val="24"/>
          <w:szCs w:val="24"/>
        </w:rPr>
        <w:t>. While OCR provides the "eyes" to see the characters, the NLP engine provides the "brain" to comprehend the context. In an academic repository, where technical terminology is dense and document structure is semi-standardized, simple string matching is a primitive tool. We require a system that understands that "Briefly explain the laws of Thermodynamics" and "Give a short account of thermodynamic principles" are semantically equivalent despite sharing few identical tokens.</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1.2 The NLP Pipeline: From Tokens to Tensors</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The core of this research lies in the multi-stage NLP pipeline. Once EasyOCR extracts a raw string of text, the data is essentially "noisy." It contains artifacts from the OCR process, formatting characters, and "stop words" that carry little semantic weight. The processing follows a rigorous linguistic refinement:</w:t>
      </w:r>
    </w:p>
    <w:p>
      <w:pPr>
        <w:pStyle w:val="Heading3"/>
        <w:spacing w:lineRule="auto" w:line="271" w:before="0" w:after="140"/>
        <w:ind w:hanging="0" w:left="0" w:right="0"/>
        <w:rPr>
          <w:rFonts w:ascii="Century Schoolbook" w:hAnsi="Century Schoolbook"/>
          <w:sz w:val="24"/>
          <w:szCs w:val="24"/>
        </w:rPr>
      </w:pPr>
      <w:r>
        <w:rPr>
          <w:rFonts w:ascii="Century Schoolbook" w:hAnsi="Century Schoolbook"/>
          <w:sz w:val="24"/>
          <w:szCs w:val="24"/>
        </w:rPr>
        <w:t>1.2.1 Lexical Normalization and Tokenization</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The first step in any NLP task is </w:t>
      </w:r>
      <w:r>
        <w:rPr>
          <w:rFonts w:ascii="Century Schoolbook" w:hAnsi="Century Schoolbook"/>
          <w:b/>
          <w:sz w:val="24"/>
          <w:szCs w:val="24"/>
        </w:rPr>
        <w:t>Tokenization</w:t>
      </w:r>
      <w:r>
        <w:rPr>
          <w:rFonts w:ascii="Century Schoolbook" w:hAnsi="Century Schoolbook"/>
          <w:sz w:val="24"/>
          <w:szCs w:val="24"/>
        </w:rPr>
        <w:t>—the process of breaking a continuous stream of characters into discrete linguistic units (tokens). However, tokens in their raw form are often redundant. For instance, in a Computer Science paper, "programming," "program," and "programmed" all point to the same root concept.</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To handle this, we employ </w:t>
      </w:r>
      <w:r>
        <w:rPr>
          <w:rFonts w:ascii="Century Schoolbook" w:hAnsi="Century Schoolbook"/>
          <w:b/>
          <w:sz w:val="24"/>
          <w:szCs w:val="24"/>
        </w:rPr>
        <w:t>Lemmatization</w:t>
      </w:r>
      <w:r>
        <w:rPr>
          <w:rFonts w:ascii="Century Schoolbook" w:hAnsi="Century Schoolbook"/>
          <w:sz w:val="24"/>
          <w:szCs w:val="24"/>
        </w:rPr>
        <w:t xml:space="preserve">. Unlike "Stemming," which crudely chops off word endings, Lemmatization uses a morphological analysis of words (utilizing a vocabulary and part-of-speech database) to return the word to its dictionary form, or </w:t>
      </w:r>
      <w:r>
        <w:rPr>
          <w:rFonts w:ascii="Century Schoolbook" w:hAnsi="Century Schoolbook"/>
          <w:i/>
          <w:sz w:val="24"/>
          <w:szCs w:val="24"/>
        </w:rPr>
        <w:t>lemma</w:t>
      </w:r>
      <w:r>
        <w:rPr>
          <w:rFonts w:ascii="Century Schoolbook" w:hAnsi="Century Schoolbook"/>
          <w:sz w:val="24"/>
          <w:szCs w:val="24"/>
        </w:rPr>
        <w:t>. This ensures that our similarity algorithms are comparing concepts rather than just character sequences.</w:t>
      </w:r>
    </w:p>
    <w:p>
      <w:pPr>
        <w:pStyle w:val="Heading3"/>
        <w:spacing w:lineRule="auto" w:line="271" w:before="0" w:after="140"/>
        <w:ind w:hanging="0" w:left="0" w:right="0"/>
        <w:rPr>
          <w:rFonts w:ascii="Century Schoolbook" w:hAnsi="Century Schoolbook"/>
          <w:sz w:val="24"/>
          <w:szCs w:val="24"/>
        </w:rPr>
      </w:pPr>
      <w:r>
        <w:rPr>
          <w:rFonts w:ascii="Century Schoolbook" w:hAnsi="Century Schoolbook"/>
          <w:sz w:val="24"/>
          <w:szCs w:val="24"/>
        </w:rPr>
        <w:t>1.2.2 Stop Word Elimination and Feature Selection</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In the context of VIT Bhopal’s PYQs, words like "the," "is," "calculate," and "following" appear with high frequency but low </w:t>
      </w:r>
      <w:r>
        <w:rPr>
          <w:rFonts w:ascii="Century Schoolbook" w:hAnsi="Century Schoolbook"/>
          <w:b/>
          <w:sz w:val="24"/>
          <w:szCs w:val="24"/>
        </w:rPr>
        <w:t>information gain</w:t>
      </w:r>
      <w:r>
        <w:rPr>
          <w:rFonts w:ascii="Century Schoolbook" w:hAnsi="Century Schoolbook"/>
          <w:sz w:val="24"/>
          <w:szCs w:val="24"/>
        </w:rPr>
        <w:t>. If these were included in our similarity calculations, every paper would look 90% similar to every other paper. By implementing a customized stop-word filter, we strip the document down to its "content words"—the technical nouns and verbs that define the subject matter (e.g., "Backpropagation," "Photosynthesis," "Asymptotic").</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1.3 Vector Space Modeling: The Geometry of Meaning</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The most significant contribution of NLP to this project is the transition from text to </w:t>
      </w:r>
      <w:r>
        <w:rPr>
          <w:rFonts w:ascii="Century Schoolbook" w:hAnsi="Century Schoolbook"/>
          <w:b/>
          <w:sz w:val="24"/>
          <w:szCs w:val="24"/>
        </w:rPr>
        <w:t>Vector Space Models (VSM)</w:t>
      </w:r>
      <w:r>
        <w:rPr>
          <w:rFonts w:ascii="Century Schoolbook" w:hAnsi="Century Schoolbook"/>
          <w:sz w:val="24"/>
          <w:szCs w:val="24"/>
        </w:rPr>
        <w:t>. To compare documents mathematically, we must represent them as points in a high-dimensional space.</w:t>
      </w:r>
    </w:p>
    <w:p>
      <w:pPr>
        <w:pStyle w:val="Heading3"/>
        <w:spacing w:lineRule="auto" w:line="271" w:before="0" w:after="140"/>
        <w:ind w:hanging="0" w:left="0" w:right="0"/>
        <w:rPr>
          <w:rFonts w:ascii="Century Schoolbook" w:hAnsi="Century Schoolbook"/>
          <w:sz w:val="24"/>
          <w:szCs w:val="24"/>
        </w:rPr>
      </w:pPr>
      <w:r>
        <w:rPr>
          <w:rFonts w:ascii="Century Schoolbook" w:hAnsi="Century Schoolbook"/>
          <w:sz w:val="24"/>
          <w:szCs w:val="24"/>
        </w:rPr>
        <w:t>1.3.1 Term Frequency-Inverse Document Frequency (TF-IDF)</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We do not treat all words as equal. </w:t>
      </w:r>
      <w:r>
        <w:rPr>
          <w:rFonts w:ascii="Century Schoolbook" w:hAnsi="Century Schoolbook"/>
          <w:b/>
          <w:sz w:val="24"/>
          <w:szCs w:val="24"/>
        </w:rPr>
        <w:t>TF-IDF</w:t>
      </w:r>
      <w:r>
        <w:rPr>
          <w:rFonts w:ascii="Century Schoolbook" w:hAnsi="Century Schoolbook"/>
          <w:sz w:val="24"/>
          <w:szCs w:val="24"/>
        </w:rPr>
        <w:t xml:space="preserve"> is a statistical measure used to evaluate how important a word is to a document in a collection or corpus.</w:t>
      </w:r>
    </w:p>
    <w:p>
      <w:pPr>
        <w:pStyle w:val="BodyText"/>
        <w:numPr>
          <w:ilvl w:val="0"/>
          <w:numId w:val="2"/>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Term Frequency (TF):</w:t>
      </w:r>
      <w:r>
        <w:rPr>
          <w:rFonts w:ascii="Century Schoolbook" w:hAnsi="Century Schoolbook"/>
          <w:sz w:val="24"/>
          <w:szCs w:val="24"/>
        </w:rPr>
        <w:t xml:space="preserve"> Measures how frequently a term occurs in a document.</w:t>
      </w:r>
    </w:p>
    <w:p>
      <w:pPr>
        <w:pStyle w:val="BodyText"/>
        <w:numPr>
          <w:ilvl w:val="0"/>
          <w:numId w:val="2"/>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Inverse Document Frequency (IDF):</w:t>
      </w:r>
      <w:r>
        <w:rPr>
          <w:rFonts w:ascii="Century Schoolbook" w:hAnsi="Century Schoolbook"/>
          <w:sz w:val="24"/>
          <w:szCs w:val="24"/>
        </w:rPr>
        <w:t xml:space="preserve"> Reduces the weight of terms that occur very frequently in the entire repository and increases the weight of terms that occur rarely.</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In our system, if the word "Quantum" appears in only two papers out of a thousand, those two papers will receive a massive boost in their similarity score when compared, as "Quantum" is a highly distinctive feature.</w:t>
      </w:r>
    </w:p>
    <w:p>
      <w:pPr>
        <w:pStyle w:val="Heading3"/>
        <w:spacing w:lineRule="auto" w:line="271" w:before="0" w:after="140"/>
        <w:ind w:hanging="0" w:left="0" w:right="0"/>
        <w:rPr>
          <w:rFonts w:ascii="Century Schoolbook" w:hAnsi="Century Schoolbook"/>
          <w:sz w:val="24"/>
          <w:szCs w:val="24"/>
        </w:rPr>
      </w:pPr>
      <w:r>
        <w:rPr>
          <w:rFonts w:ascii="Century Schoolbook" w:hAnsi="Century Schoolbook"/>
          <w:sz w:val="24"/>
          <w:szCs w:val="24"/>
        </w:rPr>
        <w:t>1.3.2 Cosine Similarity as a Linguistic Metric</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The beauty of NLP lies in its ability to ignore the "size" of a document and focus on its "direction." When we convert two question papers into TF-IDF vectors, we use </w:t>
      </w:r>
      <w:r>
        <w:rPr>
          <w:rFonts w:ascii="Century Schoolbook" w:hAnsi="Century Schoolbook"/>
          <w:b/>
          <w:sz w:val="24"/>
          <w:szCs w:val="24"/>
        </w:rPr>
        <w:t>Cosine Similarity</w:t>
      </w:r>
      <w:r>
        <w:rPr>
          <w:rFonts w:ascii="Century Schoolbook" w:hAnsi="Century Schoolbook"/>
          <w:sz w:val="24"/>
          <w:szCs w:val="24"/>
        </w:rPr>
        <w:t xml:space="preserve"> to measure the cosine of the angle between them.</w:t>
      </w:r>
    </w:p>
    <w:p>
      <w:pPr>
        <w:pStyle w:val="BodyText"/>
        <w:spacing w:lineRule="auto" w:line="271" w:before="0" w:after="140"/>
        <w:ind w:hanging="0" w:left="0" w:right="0"/>
        <w:jc w:val="left"/>
        <w:rPr>
          <w:rFonts w:ascii="Century Schoolbook" w:hAnsi="Century Schoolbook"/>
          <w:sz w:val="24"/>
          <w:szCs w:val="24"/>
        </w:rPr>
      </w:pPr>
      <w:r>
        <w:rPr/>
      </w:r>
      <m:oMathPara xmlns:m="http://schemas.openxmlformats.org/officeDocument/2006/math">
        <m:oMathParaPr>
          <m:jc m:val="left"/>
        </m:oMathParaPr>
        <m:oMath>
          <m:r>
            <w:rPr>
              <w:rFonts w:ascii="Cambria Math" w:hAnsi="Cambria Math"/>
            </w:rPr>
            <m:t xml:space="preserve">similarity</m:t>
          </m:r>
          <m:r>
            <w:rPr>
              <w:rFonts w:ascii="Cambria Math" w:hAnsi="Cambria Math"/>
            </w:rPr>
            <m:t xml:space="preserve">=</m:t>
          </m:r>
          <m:r>
            <w:rPr>
              <w:rFonts w:ascii="Cambria Math" w:hAnsi="Cambria Math"/>
            </w:rPr>
            <m:t xml:space="preserve">cos</m:t>
          </m:r>
          <m:d>
            <m:dPr>
              <m:begChr m:val="("/>
              <m:endChr m:val=")"/>
            </m:dPr>
            <m:e>
              <m:r>
                <w:rPr>
                  <w:rFonts w:ascii="Cambria Math" w:hAnsi="Cambria Math"/>
                </w:rPr>
                <m:t xml:space="preserve">theta</m:t>
              </m:r>
            </m:e>
          </m:d>
          <m:r>
            <w:rPr>
              <w:rFonts w:ascii="Cambria Math" w:hAnsi="Cambria Math"/>
            </w:rPr>
            <m:t xml:space="preserve">=</m:t>
          </m:r>
          <m:f>
            <m:num>
              <m:r>
                <w:rPr>
                  <w:rFonts w:ascii="Cambria Math" w:hAnsi="Cambria Math"/>
                </w:rPr>
                <m:t xml:space="preserve">A</m:t>
              </m:r>
              <m:r>
                <w:rPr>
                  <w:rFonts w:ascii="Cambria Math" w:hAnsi="Cambria Math"/>
                </w:rPr>
                <m:t xml:space="preserve">⋅</m:t>
              </m:r>
              <m:r>
                <w:rPr>
                  <w:rFonts w:ascii="Cambria Math" w:hAnsi="Cambria Math"/>
                </w:rPr>
                <m:t xml:space="preserve">B</m:t>
              </m:r>
            </m:num>
            <m:den>
              <m:rad>
                <m:radPr>
                  <m:degHide m:val="1"/>
                </m:radPr>
                <m:deg/>
                <m:e>
                  <m:r>
                    <w:rPr>
                      <w:rFonts w:ascii="Cambria Math" w:hAnsi="Cambria Math"/>
                    </w:rPr>
                    <m:t xml:space="preserve">A</m:t>
                  </m:r>
                  <m:r>
                    <w:rPr>
                      <w:rFonts w:ascii="Cambria Math" w:hAnsi="Cambria Math"/>
                    </w:rPr>
                    <m:t xml:space="preserve">⋅</m:t>
                  </m:r>
                  <m:r>
                    <w:rPr>
                      <w:rFonts w:ascii="Cambria Math" w:hAnsi="Cambria Math"/>
                    </w:rPr>
                    <m:t xml:space="preserve">A</m:t>
                  </m:r>
                </m:e>
              </m:rad>
              <m:rad>
                <m:radPr>
                  <m:degHide m:val="1"/>
                </m:radPr>
                <m:deg/>
                <m:e>
                  <m:r>
                    <w:rPr>
                      <w:rFonts w:ascii="Cambria Math" w:hAnsi="Cambria Math"/>
                    </w:rPr>
                    <m:t xml:space="preserve">B</m:t>
                  </m:r>
                  <m:r>
                    <w:rPr>
                      <w:rFonts w:ascii="Cambria Math" w:hAnsi="Cambria Math"/>
                    </w:rPr>
                    <m:t xml:space="preserve">⋅</m:t>
                  </m:r>
                  <m:r>
                    <w:rPr>
                      <w:rFonts w:ascii="Cambria Math" w:hAnsi="Cambria Math"/>
                    </w:rPr>
                    <m:t xml:space="preserve">B</m:t>
                  </m:r>
                </m:e>
              </m:rad>
            </m:den>
          </m:f>
        </m:oMath>
      </m:oMathPara>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If the angle is 0 degrees ($\cos(0) = 1$), the documents are linguistically identical in their distribution of terms. This allows the VIT Bhopal repository manager to identify if a 2-page paper is a condensed version of a 5-page paper, a feat impossible with traditional file-size or character-count comparisons.</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1.4 Jaccard Similarity: The Set-Theoretic Perspective</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While Cosine Similarity is excellent for "thematic" overlap, we supplement it with </w:t>
      </w:r>
      <w:r>
        <w:rPr>
          <w:rFonts w:ascii="Century Schoolbook" w:hAnsi="Century Schoolbook"/>
          <w:b/>
          <w:sz w:val="24"/>
          <w:szCs w:val="24"/>
        </w:rPr>
        <w:t>Jaccard Similarity</w:t>
      </w:r>
      <w:r>
        <w:rPr>
          <w:rFonts w:ascii="Century Schoolbook" w:hAnsi="Century Schoolbook"/>
          <w:sz w:val="24"/>
          <w:szCs w:val="24"/>
        </w:rPr>
        <w:t xml:space="preserve"> to capture "lexical" overlap. Jaccard measures the size of the intersection divided by the size of the union of the sample sets.</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$$J(A, B) = \frac{|A \cap B|}{|A \cup B|}$$</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In NLP, this is particularly useful for identifying "near-verbatim" plagiarism or duplicate uploads. While Cosine Similarity might be high for two different papers on "Data Structures," the Jaccard index will only be high if they share the exact same set of unique technical terms and phrasing. By combining these two metrics, we create a </w:t>
      </w:r>
      <w:r>
        <w:rPr>
          <w:rFonts w:ascii="Century Schoolbook" w:hAnsi="Century Schoolbook"/>
          <w:b/>
          <w:sz w:val="24"/>
          <w:szCs w:val="24"/>
        </w:rPr>
        <w:t>Hybrid Similarity Score</w:t>
      </w:r>
      <w:r>
        <w:rPr>
          <w:rFonts w:ascii="Century Schoolbook" w:hAnsi="Century Schoolbook"/>
          <w:sz w:val="24"/>
          <w:szCs w:val="24"/>
        </w:rPr>
        <w:t xml:space="preserve"> that is robust against both thematic similarities and exact duplicates.</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1.5 The Challenge of Domain-Specific NLP in Engineering</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One of the primary motivations for this project at VIT Bhopal is the highly specialized nature of the text. Engineering documents are filled with:</w:t>
      </w:r>
    </w:p>
    <w:p>
      <w:pPr>
        <w:pStyle w:val="BodyText"/>
        <w:numPr>
          <w:ilvl w:val="0"/>
          <w:numId w:val="3"/>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Alpha-numeric tokens:</w:t>
      </w:r>
      <w:r>
        <w:rPr>
          <w:rFonts w:ascii="Century Schoolbook" w:hAnsi="Century Schoolbook"/>
          <w:sz w:val="24"/>
          <w:szCs w:val="24"/>
        </w:rPr>
        <w:t xml:space="preserve"> (e.g., "8085 microprocessor," "IPv6").</w:t>
      </w:r>
    </w:p>
    <w:p>
      <w:pPr>
        <w:pStyle w:val="BodyText"/>
        <w:numPr>
          <w:ilvl w:val="0"/>
          <w:numId w:val="3"/>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Formulaic language:</w:t>
      </w:r>
      <w:r>
        <w:rPr>
          <w:rFonts w:ascii="Century Schoolbook" w:hAnsi="Century Schoolbook"/>
          <w:sz w:val="24"/>
          <w:szCs w:val="24"/>
        </w:rPr>
        <w:t xml:space="preserve"> Common phrases like "With a neat sketch explain..."</w:t>
      </w:r>
    </w:p>
    <w:p>
      <w:pPr>
        <w:pStyle w:val="BodyText"/>
        <w:numPr>
          <w:ilvl w:val="0"/>
          <w:numId w:val="3"/>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Implicit context:</w:t>
      </w:r>
      <w:r>
        <w:rPr>
          <w:rFonts w:ascii="Century Schoolbook" w:hAnsi="Century Schoolbook"/>
          <w:sz w:val="24"/>
          <w:szCs w:val="24"/>
        </w:rPr>
        <w:t xml:space="preserve"> Papers that assume a certain level of prerequisite knowledge.</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Standard NLP libraries (like NLTK or SpaCy) are often trained on news articles or literature. A significant portion of this project's introduction to the VIT ecosystem involves "tuning" the NLP engine to recognize that "8085" is a crucial technical noun, not a random number to be discarded during preprocessing.</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1.6 Problem Statement and Institutional Scope</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The problem at VIT Bhopal is a </w:t>
      </w:r>
      <w:r>
        <w:rPr>
          <w:rFonts w:ascii="Century Schoolbook" w:hAnsi="Century Schoolbook"/>
          <w:b/>
          <w:sz w:val="24"/>
          <w:szCs w:val="24"/>
        </w:rPr>
        <w:t>structural data bottleneck</w:t>
      </w:r>
      <w:r>
        <w:rPr>
          <w:rFonts w:ascii="Century Schoolbook" w:hAnsi="Century Schoolbook"/>
          <w:sz w:val="24"/>
          <w:szCs w:val="24"/>
        </w:rPr>
        <w:t>. The university’s Digital Library grows by thousands of images every semester. Without a semantic NLP layer, this repository is a "write-only" memory—data goes in, but it is rarely retrieved effectively.</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 xml:space="preserve">We propose an </w:t>
      </w:r>
      <w:r>
        <w:rPr>
          <w:rFonts w:ascii="Century Schoolbook" w:hAnsi="Century Schoolbook"/>
          <w:b/>
          <w:sz w:val="24"/>
          <w:szCs w:val="24"/>
        </w:rPr>
        <w:t>NLP-first architecture</w:t>
      </w:r>
      <w:r>
        <w:rPr>
          <w:rFonts w:ascii="Century Schoolbook" w:hAnsi="Century Schoolbook"/>
          <w:sz w:val="24"/>
          <w:szCs w:val="24"/>
        </w:rPr>
        <w:t xml:space="preserve"> where:</w:t>
      </w:r>
    </w:p>
    <w:p>
      <w:pPr>
        <w:pStyle w:val="BodyText"/>
        <w:numPr>
          <w:ilvl w:val="0"/>
          <w:numId w:val="4"/>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OCR acts as the Input Layer</w:t>
      </w:r>
      <w:r>
        <w:rPr>
          <w:rFonts w:ascii="Century Schoolbook" w:hAnsi="Century Schoolbook"/>
          <w:sz w:val="24"/>
          <w:szCs w:val="24"/>
        </w:rPr>
        <w:t>, converting pixels to symbols.</w:t>
      </w:r>
    </w:p>
    <w:p>
      <w:pPr>
        <w:pStyle w:val="BodyText"/>
        <w:numPr>
          <w:ilvl w:val="0"/>
          <w:numId w:val="4"/>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NLP acts as the Logic Layer</w:t>
      </w:r>
      <w:r>
        <w:rPr>
          <w:rFonts w:ascii="Century Schoolbook" w:hAnsi="Century Schoolbook"/>
          <w:sz w:val="24"/>
          <w:szCs w:val="24"/>
        </w:rPr>
        <w:t>, converting symbols to meanings.</w:t>
      </w:r>
    </w:p>
    <w:p>
      <w:pPr>
        <w:pStyle w:val="BodyText"/>
        <w:numPr>
          <w:ilvl w:val="0"/>
          <w:numId w:val="4"/>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b/>
          <w:sz w:val="24"/>
          <w:szCs w:val="24"/>
        </w:rPr>
        <w:t>Similarity Analytics act as the Output Layer</w:t>
      </w:r>
      <w:r>
        <w:rPr>
          <w:rFonts w:ascii="Century Schoolbook" w:hAnsi="Century Schoolbook"/>
          <w:sz w:val="24"/>
          <w:szCs w:val="24"/>
        </w:rPr>
        <w:t>, providing actionable insights for repository pruning and academic auditing.</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1.7 Research Objectives</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The objectives of this project, centered on NLP-driven analysis, are:</w:t>
      </w:r>
    </w:p>
    <w:p>
      <w:pPr>
        <w:pStyle w:val="BodyText"/>
        <w:numPr>
          <w:ilvl w:val="0"/>
          <w:numId w:val="5"/>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sz w:val="24"/>
          <w:szCs w:val="24"/>
        </w:rPr>
        <w:t xml:space="preserve">To implement a robust </w:t>
      </w:r>
      <w:r>
        <w:rPr>
          <w:rFonts w:ascii="Century Schoolbook" w:hAnsi="Century Schoolbook"/>
          <w:b/>
          <w:sz w:val="24"/>
          <w:szCs w:val="24"/>
        </w:rPr>
        <w:t>text extraction engine</w:t>
      </w:r>
      <w:r>
        <w:rPr>
          <w:rFonts w:ascii="Century Schoolbook" w:hAnsi="Century Schoolbook"/>
          <w:sz w:val="24"/>
          <w:szCs w:val="24"/>
        </w:rPr>
        <w:t xml:space="preserve"> using EasyOCR that preserves the linguistic structure of exam papers.</w:t>
      </w:r>
    </w:p>
    <w:p>
      <w:pPr>
        <w:pStyle w:val="BodyText"/>
        <w:numPr>
          <w:ilvl w:val="0"/>
          <w:numId w:val="5"/>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sz w:val="24"/>
          <w:szCs w:val="24"/>
        </w:rPr>
        <w:t xml:space="preserve">To develop a </w:t>
      </w:r>
      <w:r>
        <w:rPr>
          <w:rFonts w:ascii="Century Schoolbook" w:hAnsi="Century Schoolbook"/>
          <w:b/>
          <w:sz w:val="24"/>
          <w:szCs w:val="24"/>
        </w:rPr>
        <w:t>preprocessing pipeline</w:t>
      </w:r>
      <w:r>
        <w:rPr>
          <w:rFonts w:ascii="Century Schoolbook" w:hAnsi="Century Schoolbook"/>
          <w:sz w:val="24"/>
          <w:szCs w:val="24"/>
        </w:rPr>
        <w:t xml:space="preserve"> that handles technical and mathematical terminology specific to an engineering curriculum.</w:t>
      </w:r>
    </w:p>
    <w:p>
      <w:pPr>
        <w:pStyle w:val="BodyText"/>
        <w:numPr>
          <w:ilvl w:val="0"/>
          <w:numId w:val="5"/>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sz w:val="24"/>
          <w:szCs w:val="24"/>
        </w:rPr>
        <w:t xml:space="preserve">To evaluate the efficacy of </w:t>
      </w:r>
      <w:r>
        <w:rPr>
          <w:rFonts w:ascii="Century Schoolbook" w:hAnsi="Century Schoolbook"/>
          <w:b/>
          <w:sz w:val="24"/>
          <w:szCs w:val="24"/>
        </w:rPr>
        <w:t>VSM (Vector Space Modeling)</w:t>
      </w:r>
      <w:r>
        <w:rPr>
          <w:rFonts w:ascii="Century Schoolbook" w:hAnsi="Century Schoolbook"/>
          <w:sz w:val="24"/>
          <w:szCs w:val="24"/>
        </w:rPr>
        <w:t xml:space="preserve"> in identifying document redundancy within the VIT Bhopal PYQ archive.</w:t>
      </w:r>
    </w:p>
    <w:p>
      <w:pPr>
        <w:pStyle w:val="BodyText"/>
        <w:numPr>
          <w:ilvl w:val="0"/>
          <w:numId w:val="5"/>
        </w:numPr>
        <w:tabs>
          <w:tab w:val="clear" w:pos="720"/>
          <w:tab w:val="left" w:pos="0" w:leader="none"/>
        </w:tabs>
        <w:spacing w:lineRule="auto" w:line="271" w:before="0" w:after="140"/>
        <w:ind w:hanging="283" w:left="709" w:right="0"/>
        <w:rPr>
          <w:rFonts w:ascii="Century Schoolbook" w:hAnsi="Century Schoolbook"/>
          <w:sz w:val="24"/>
          <w:szCs w:val="24"/>
        </w:rPr>
      </w:pPr>
      <w:r>
        <w:rPr>
          <w:rFonts w:ascii="Century Schoolbook" w:hAnsi="Century Schoolbook"/>
          <w:sz w:val="24"/>
          <w:szCs w:val="24"/>
        </w:rPr>
        <w:t xml:space="preserve">To create a </w:t>
      </w:r>
      <w:r>
        <w:rPr>
          <w:rFonts w:ascii="Century Schoolbook" w:hAnsi="Century Schoolbook"/>
          <w:b/>
          <w:sz w:val="24"/>
          <w:szCs w:val="24"/>
        </w:rPr>
        <w:t>weighted similarity model</w:t>
      </w:r>
      <w:r>
        <w:rPr>
          <w:rFonts w:ascii="Century Schoolbook" w:hAnsi="Century Schoolbook"/>
          <w:sz w:val="24"/>
          <w:szCs w:val="24"/>
        </w:rPr>
        <w:t xml:space="preserve"> that balances thematic (Cosine) and lexical (Jaccard) features for maximum accuracy.</w:t>
      </w:r>
    </w:p>
    <w:p>
      <w:pPr>
        <w:pStyle w:val="Heading2"/>
        <w:spacing w:lineRule="auto" w:line="271" w:before="0" w:after="140"/>
        <w:ind w:hanging="0" w:left="0" w:right="0"/>
        <w:rPr>
          <w:rFonts w:ascii="Century Schoolbook" w:hAnsi="Century Schoolbook"/>
          <w:sz w:val="24"/>
          <w:szCs w:val="24"/>
        </w:rPr>
      </w:pPr>
      <w:r>
        <w:rPr>
          <w:rFonts w:ascii="Century Schoolbook" w:hAnsi="Century Schoolbook"/>
          <w:sz w:val="24"/>
          <w:szCs w:val="24"/>
        </w:rPr>
        <w:t>1.8 Conclusion of Introduction</w:t>
      </w:r>
    </w:p>
    <w:p>
      <w:pPr>
        <w:pStyle w:val="BodyText"/>
        <w:spacing w:lineRule="auto" w:line="271" w:before="0" w:after="140"/>
        <w:ind w:hanging="0" w:left="0" w:right="0"/>
        <w:rPr>
          <w:rFonts w:ascii="Century Schoolbook" w:hAnsi="Century Schoolbook"/>
          <w:sz w:val="24"/>
          <w:szCs w:val="24"/>
        </w:rPr>
      </w:pPr>
      <w:r>
        <w:rPr>
          <w:rFonts w:ascii="Century Schoolbook" w:hAnsi="Century Schoolbook"/>
          <w:sz w:val="24"/>
          <w:szCs w:val="24"/>
        </w:rPr>
        <w:t>By moving document comparison from the "visual" domain to the "linguistic" domain, we unlock a new level of administrative intelligence. This project demonstrates that the combination of Deep Learning-based character recognition and advanced NLP similarity metrics can transform a static image repository into a searchable, intelligent, and non-redundant knowledge asset. As we scale this system, the focus remains on the "Semantic integrity" of the documents, ensuring that the digital archives of VIT Bhopal are as organized and accessible as they are vast.</w:t>
      </w:r>
    </w:p>
    <w:p>
      <w:pPr>
        <w:pStyle w:val="Normal"/>
        <w:rPr>
          <w:rFonts w:ascii="Century Schoolbook" w:hAnsi="Century Schoolbook"/>
          <w:sz w:val="24"/>
          <w:szCs w:val="24"/>
        </w:rPr>
      </w:pPr>
      <w:r>
        <w:rPr>
          <w:rFonts w:ascii="Century Schoolbook" w:hAnsi="Century Schoolbook"/>
          <w:sz w:val="24"/>
          <w:szCs w:val="24"/>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sz w:val="24"/>
          <w:szCs w:val="24"/>
          <w:lang w:val="en-IN"/>
        </w:rPr>
      </w:pPr>
      <w:r>
        <w:rPr>
          <w:rFonts w:ascii="Century Schoolbook" w:hAnsi="Century Schoolbook"/>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t>Related work:</w:t>
      </w:r>
      <w:r>
        <w:rPr>
          <w:rFonts w:ascii="Century Schoolbook" w:hAnsi="Century Schoolbook"/>
          <w:i/>
          <w:iCs/>
          <w:lang w:val="en-IN"/>
        </w:rPr>
        <w:t xml:space="preserve"> (Minimum 1 Page)</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i/>
          <w:i/>
          <w:iCs/>
          <w:lang w:val="en-IN"/>
        </w:rPr>
      </w:pPr>
      <w:r>
        <w:rPr>
          <w:rFonts w:ascii="Century Schoolbook" w:hAnsi="Century Schoolbook"/>
          <w:b/>
          <w:bCs/>
          <w:sz w:val="24"/>
          <w:szCs w:val="24"/>
          <w:lang w:val="en-IN"/>
        </w:rPr>
        <w:t xml:space="preserve">Methodology: </w:t>
      </w:r>
      <w:r>
        <w:rPr>
          <w:rFonts w:ascii="Century Schoolbook" w:hAnsi="Century Schoolbook"/>
          <w:i/>
          <w:iCs/>
          <w:lang w:val="en-IN"/>
        </w:rPr>
        <w:t>(Minimum 2 Pages)</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t xml:space="preserve">Hardware and Software Requirements: </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t>Results and Discussion:</w:t>
      </w:r>
      <w:r>
        <w:rPr>
          <w:rFonts w:ascii="Century Schoolbook" w:hAnsi="Century Schoolbook"/>
          <w:i/>
          <w:iCs/>
          <w:lang w:val="en-IN"/>
        </w:rPr>
        <w:t>(Minimum 1 Page)</w:t>
      </w:r>
    </w:p>
    <w:p>
      <w:pPr>
        <w:pStyle w:val="Normal"/>
        <w:rPr>
          <w:rFonts w:ascii="Century Schoolbook" w:hAnsi="Century Schoolbook"/>
          <w:b/>
          <w:bCs/>
          <w:sz w:val="24"/>
          <w:szCs w:val="24"/>
          <w:lang w:val="en-IN"/>
        </w:rPr>
      </w:pPr>
      <w:r>
        <w:rPr>
          <w:rFonts w:ascii="Century Schoolbook" w:hAnsi="Century Schoolbook"/>
          <w:sz w:val="24"/>
          <w:szCs w:val="24"/>
          <w:lang w:val="en-IN"/>
        </w:rPr>
        <w:t>(</w:t>
      </w:r>
      <w:r>
        <w:rPr>
          <w:rFonts w:ascii="Century Schoolbook" w:hAnsi="Century Schoolbook"/>
          <w:i/>
          <w:iCs/>
          <w:lang w:val="en-IN"/>
        </w:rPr>
        <w:t>With Output Screen Shots)</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t xml:space="preserve">Conclusion and Future Scope: </w:t>
      </w:r>
      <w:r>
        <w:rPr>
          <w:rFonts w:ascii="Century Schoolbook" w:hAnsi="Century Schoolbook"/>
          <w:i/>
          <w:iCs/>
          <w:sz w:val="24"/>
          <w:szCs w:val="24"/>
          <w:lang w:val="en-IN"/>
        </w:rPr>
        <w:t>(minimum 200 words)</w:t>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rPr>
          <w:rFonts w:ascii="Century Schoolbook" w:hAnsi="Century Schoolbook"/>
          <w:b/>
          <w:bCs/>
          <w:sz w:val="24"/>
          <w:szCs w:val="24"/>
          <w:lang w:val="en-IN"/>
        </w:rPr>
      </w:pPr>
      <w:r>
        <w:rPr>
          <w:rFonts w:ascii="Century Schoolbook" w:hAnsi="Century Schoolbook"/>
          <w:b/>
          <w:bCs/>
          <w:sz w:val="24"/>
          <w:szCs w:val="24"/>
          <w:lang w:val="en-IN"/>
        </w:rPr>
      </w:r>
    </w:p>
    <w:p>
      <w:pPr>
        <w:pStyle w:val="Normal"/>
        <w:jc w:val="both"/>
        <w:rPr>
          <w:rFonts w:ascii="Century Schoolbook" w:hAnsi="Century Schoolbook"/>
          <w:b/>
          <w:lang w:val="en-IN"/>
        </w:rPr>
      </w:pPr>
      <w:r>
        <w:rPr>
          <w:rFonts w:ascii="Century Schoolbook" w:hAnsi="Century Schoolbook"/>
          <w:b/>
          <w:lang w:val="en-IN"/>
        </w:rPr>
        <w:t>Appendix:</w:t>
      </w:r>
    </w:p>
    <w:p>
      <w:pPr>
        <w:pStyle w:val="Normal"/>
        <w:jc w:val="both"/>
        <w:rPr>
          <w:rFonts w:ascii="Century Schoolbook" w:hAnsi="Century Schoolbook"/>
          <w:bCs/>
          <w:i/>
          <w:i/>
          <w:iCs/>
          <w:lang w:val="en-IN"/>
        </w:rPr>
      </w:pPr>
      <w:r>
        <w:rPr>
          <w:rFonts w:ascii="Century Schoolbook" w:hAnsi="Century Schoolbook"/>
          <w:bCs/>
          <w:i/>
          <w:iCs/>
          <w:lang w:val="en-IN"/>
        </w:rPr>
        <w:t>(Code and any additional information)</w:t>
      </w:r>
    </w:p>
    <w:p>
      <w:pPr>
        <w:pStyle w:val="Normal"/>
        <w:jc w:val="both"/>
        <w:rPr>
          <w:rFonts w:ascii="Century Schoolbook" w:hAnsi="Century Schoolbook"/>
          <w:b/>
        </w:rPr>
      </w:pPr>
      <w:r>
        <w:rPr>
          <w:rFonts w:ascii="Century Schoolbook" w:hAnsi="Century Schoolbook"/>
          <w:b/>
        </w:rPr>
      </w:r>
    </w:p>
    <w:p>
      <w:pPr>
        <w:pStyle w:val="Normal"/>
        <w:jc w:val="both"/>
        <w:rPr>
          <w:rFonts w:ascii="Century Schoolbook" w:hAnsi="Century Schoolbook"/>
          <w:b/>
        </w:rPr>
      </w:pPr>
      <w:r>
        <w:rPr>
          <w:rFonts w:ascii="Century Schoolbook" w:hAnsi="Century Schoolbook"/>
          <w:b/>
        </w:rPr>
      </w:r>
    </w:p>
    <w:p>
      <w:pPr>
        <w:pStyle w:val="Normal"/>
        <w:jc w:val="both"/>
        <w:rPr>
          <w:rFonts w:ascii="Century Schoolbook" w:hAnsi="Century Schoolbook"/>
          <w:b/>
          <w:lang w:val="en-IN"/>
        </w:rPr>
      </w:pPr>
      <w:r>
        <w:rPr>
          <w:rFonts w:ascii="Century Schoolbook" w:hAnsi="Century Schoolbook"/>
          <w:b/>
        </w:rPr>
        <w:t>References:</w:t>
      </w:r>
      <w:r>
        <w:rPr>
          <w:rFonts w:ascii="Century Schoolbook" w:hAnsi="Century Schoolbook"/>
          <w:b/>
          <w:lang w:val="en-IN"/>
        </w:rPr>
        <w:t xml:space="preserve"> </w:t>
      </w:r>
      <w:r>
        <w:rPr>
          <w:rFonts w:ascii="Century Schoolbook" w:hAnsi="Century Schoolbook"/>
          <w:bCs/>
          <w:i/>
          <w:iCs/>
          <w:sz w:val="21"/>
          <w:szCs w:val="21"/>
          <w:lang w:val="en-IN"/>
        </w:rPr>
        <w:t>(Minimum 10)</w:t>
      </w:r>
    </w:p>
    <w:p>
      <w:pPr>
        <w:pStyle w:val="Normal"/>
        <w:jc w:val="both"/>
        <w:rPr>
          <w:rFonts w:ascii="Century Schoolbook" w:hAnsi="Century Schoolbook"/>
          <w:b/>
        </w:rPr>
      </w:pPr>
      <w:r>
        <w:rPr>
          <w:rFonts w:ascii="Century Schoolbook" w:hAnsi="Century Schoolbook"/>
          <w:b/>
        </w:rPr>
        <w:t>1.</w:t>
      </w:r>
    </w:p>
    <w:p>
      <w:pPr>
        <w:pStyle w:val="Normal"/>
        <w:jc w:val="both"/>
        <w:rPr>
          <w:rFonts w:ascii="Century Schoolbook" w:hAnsi="Century Schoolbook"/>
          <w:b/>
        </w:rPr>
      </w:pPr>
      <w:r>
        <w:rPr>
          <w:rFonts w:ascii="Century Schoolbook" w:hAnsi="Century Schoolbook"/>
          <w:b/>
        </w:rPr>
        <w:t>2.</w:t>
      </w:r>
    </w:p>
    <w:p>
      <w:pPr>
        <w:pStyle w:val="Normal"/>
        <w:jc w:val="both"/>
        <w:rPr>
          <w:rFonts w:ascii="Century Schoolbook" w:hAnsi="Century Schoolbook"/>
          <w:b/>
          <w:lang w:val="en-IN"/>
        </w:rPr>
      </w:pPr>
      <w:r>
        <w:rPr>
          <w:rFonts w:ascii="Century Schoolbook" w:hAnsi="Century Schoolbook"/>
          <w:b/>
          <w:lang w:val="en-IN"/>
        </w:rPr>
        <w:t>3.</w:t>
      </w:r>
    </w:p>
    <w:p>
      <w:pPr>
        <w:pStyle w:val="Normal"/>
        <w:jc w:val="both"/>
        <w:rPr>
          <w:rFonts w:ascii="Century Schoolbook" w:hAnsi="Century Schoolbook"/>
          <w:b/>
          <w:lang w:val="en-IN"/>
        </w:rPr>
      </w:pPr>
      <w:r>
        <w:rPr>
          <w:rFonts w:ascii="Century Schoolbook" w:hAnsi="Century Schoolbook"/>
          <w:b/>
          <w:lang w:val="en-IN"/>
        </w:rPr>
        <w:t>4.</w:t>
      </w:r>
    </w:p>
    <w:p>
      <w:pPr>
        <w:pStyle w:val="Normal"/>
        <w:jc w:val="both"/>
        <w:rPr>
          <w:rFonts w:ascii="Century Schoolbook" w:hAnsi="Century Schoolbook"/>
          <w:b/>
          <w:lang w:val="en-IN"/>
        </w:rPr>
      </w:pPr>
      <w:r>
        <w:rPr>
          <w:rFonts w:ascii="Century Schoolbook" w:hAnsi="Century Schoolbook"/>
          <w:b/>
          <w:lang w:val="en-IN"/>
        </w:rPr>
        <w:t>5.</w:t>
      </w:r>
    </w:p>
    <w:p>
      <w:pPr>
        <w:pStyle w:val="Normal"/>
        <w:jc w:val="both"/>
        <w:rPr>
          <w:rFonts w:ascii="Century Schoolbook" w:hAnsi="Century Schoolbook"/>
          <w:b/>
        </w:rPr>
      </w:pPr>
      <w:r>
        <w:rPr>
          <w:rFonts w:ascii="Century Schoolbook" w:hAnsi="Century Schoolbook"/>
          <w:b/>
        </w:rPr>
      </w:r>
    </w:p>
    <w:p>
      <w:pPr>
        <w:pStyle w:val="Normal"/>
        <w:tabs>
          <w:tab w:val="clear" w:pos="720"/>
          <w:tab w:val="left" w:pos="2860" w:leader="none"/>
        </w:tabs>
        <w:rPr>
          <w:rFonts w:ascii="Century Schoolbook" w:hAnsi="Century Schoolbook"/>
          <w:b/>
          <w:bCs/>
          <w:sz w:val="24"/>
          <w:szCs w:val="24"/>
          <w:lang w:val="en-IN"/>
        </w:rPr>
      </w:pPr>
      <w:r>
        <w:rPr>
          <w:rFonts w:ascii="Century Schoolbook" w:hAnsi="Century Schoolbook"/>
          <w:b/>
          <w:bCs/>
          <w:sz w:val="24"/>
          <w:szCs w:val="24"/>
          <w:lang w:val="en-IN"/>
        </w:rPr>
      </w:r>
    </w:p>
    <w:p>
      <w:pPr>
        <w:pStyle w:val="Normal"/>
        <w:spacing w:before="0" w:after="200"/>
        <w:jc w:val="both"/>
        <w:rPr>
          <w:rFonts w:ascii="Century Schoolbook" w:hAnsi="Century Schoolbook"/>
          <w:b/>
        </w:rPr>
      </w:pPr>
      <w:r>
        <w:rPr>
          <w:rFonts w:ascii="Century Schoolbook" w:hAnsi="Century Schoolbook"/>
          <w:b/>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340" w:bottom="1440"/>
      <w:pgBorders w:display="allPages" w:offsetFrom="page">
        <w:top w:val="thinThickMediumGap" w:sz="24" w:space="24" w:color="1F497D"/>
        <w:left w:val="thinThickMediumGap" w:sz="24" w:space="24" w:color="1F497D"/>
        <w:bottom w:val="thickThinMediumGap" w:sz="24" w:space="24" w:color="1F497D"/>
        <w:right w:val="thickThinMediumGap" w:sz="24" w:space="24" w:color="1F497D"/>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Copperplate Gothic Bold">
    <w:charset w:val="01"/>
    <w:family w:val="roman"/>
    <w:pitch w:val="variable"/>
  </w:font>
  <w:font w:name="Century Schoolbook">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1974591869"/>
    </w:sdtPr>
    <w:sdtContent>
      <w:p>
        <w:pPr>
          <w:pStyle w:val="Footer"/>
          <w:pBdr>
            <w:top w:val="single" w:sz="4" w:space="1" w:color="D9D9D9" w:themeColor="light1" w:themeShade="d9"/>
          </w:pBdr>
          <w:tabs>
            <w:tab w:val="clear" w:pos="9026"/>
            <w:tab w:val="center" w:pos="4513" w:leader="none"/>
            <w:tab w:val="right" w:pos="9356" w:leader="none"/>
          </w:tabs>
          <w:jc w:val="right"/>
          <w:rPr>
            <w:rFonts w:ascii="Century Schoolbook" w:hAnsi="Century Schoolbook"/>
            <w:sz w:val="24"/>
            <w:szCs w:val="24"/>
          </w:rPr>
        </w:pPr>
        <w:r>
          <w:rPr>
            <w:rFonts w:ascii="Century Schoolbook" w:hAnsi="Century Schoolbook"/>
            <w:sz w:val="24"/>
            <w:szCs w:val="24"/>
          </w:rPr>
          <w:fldChar w:fldCharType="begin"/>
        </w:r>
        <w:r>
          <w:rPr>
            <w:sz w:val="24"/>
            <w:szCs w:val="24"/>
            <w:rFonts w:ascii="Century Schoolbook" w:hAnsi="Century Schoolbook"/>
          </w:rPr>
          <w:instrText xml:space="preserve"> PAGE </w:instrText>
        </w:r>
        <w:r>
          <w:rPr>
            <w:sz w:val="24"/>
            <w:szCs w:val="24"/>
            <w:rFonts w:ascii="Century Schoolbook" w:hAnsi="Century Schoolbook"/>
          </w:rPr>
          <w:fldChar w:fldCharType="separate"/>
        </w:r>
        <w:r>
          <w:rPr>
            <w:sz w:val="24"/>
            <w:szCs w:val="24"/>
            <w:rFonts w:ascii="Century Schoolbook" w:hAnsi="Century Schoolbook"/>
          </w:rPr>
          <w:t>8</w:t>
        </w:r>
        <w:r>
          <w:rPr>
            <w:sz w:val="24"/>
            <w:szCs w:val="24"/>
            <w:rFonts w:ascii="Century Schoolbook" w:hAnsi="Century Schoolbook"/>
          </w:rPr>
          <w:fldChar w:fldCharType="end"/>
        </w:r>
        <w:r>
          <w:rPr>
            <w:rFonts w:ascii="Century Schoolbook" w:hAnsi="Century Schoolbook"/>
            <w:sz w:val="24"/>
            <w:szCs w:val="24"/>
          </w:rPr>
          <w:t xml:space="preserve"> </w:t>
        </w:r>
        <w:r>
          <w:rPr>
            <w:rFonts w:ascii="Century Schoolbook" w:hAnsi="Century Schoolbook"/>
            <w:sz w:val="24"/>
            <w:szCs w:val="24"/>
          </w:rPr>
          <w:t xml:space="preserve">| </w:t>
        </w:r>
        <w:r>
          <w:rPr>
            <w:rFonts w:ascii="Century Schoolbook" w:hAnsi="Century Schoolbook"/>
            <w:color w:themeColor="background1" w:themeShade="80" w:val="808080"/>
            <w:spacing w:val="60"/>
            <w:sz w:val="24"/>
            <w:szCs w:val="24"/>
          </w:rPr>
          <w:t>Page</w:t>
        </w:r>
      </w:p>
    </w:sdtContent>
  </w:sdt>
  <w:p>
    <w:pPr>
      <w:pStyle w:val="Footer"/>
      <w:rPr>
        <w:rFonts w:ascii="Century Schoolbook" w:hAnsi="Century Schoolbook"/>
        <w:sz w:val="24"/>
        <w:szCs w:val="24"/>
      </w:rPr>
    </w:pPr>
    <w:r>
      <w:rPr>
        <w:rFonts w:ascii="Century Schoolbook" w:hAnsi="Century Schoolbook"/>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Obj>
      <w:id w:val="-1974591869"/>
    </w:sdtPr>
    <w:sdtContent>
      <w:p>
        <w:pPr>
          <w:pStyle w:val="Footer"/>
          <w:pBdr>
            <w:top w:val="single" w:sz="4" w:space="1" w:color="D9D9D9" w:themeColor="light1" w:themeShade="d9"/>
          </w:pBdr>
          <w:tabs>
            <w:tab w:val="clear" w:pos="9026"/>
            <w:tab w:val="center" w:pos="4513" w:leader="none"/>
            <w:tab w:val="right" w:pos="9356" w:leader="none"/>
          </w:tabs>
          <w:jc w:val="right"/>
          <w:rPr>
            <w:rFonts w:ascii="Century Schoolbook" w:hAnsi="Century Schoolbook"/>
            <w:sz w:val="24"/>
            <w:szCs w:val="24"/>
          </w:rPr>
        </w:pPr>
        <w:r>
          <w:rPr>
            <w:rFonts w:ascii="Century Schoolbook" w:hAnsi="Century Schoolbook"/>
            <w:sz w:val="24"/>
            <w:szCs w:val="24"/>
          </w:rPr>
          <w:fldChar w:fldCharType="begin"/>
        </w:r>
        <w:r>
          <w:rPr>
            <w:sz w:val="24"/>
            <w:szCs w:val="24"/>
            <w:rFonts w:ascii="Century Schoolbook" w:hAnsi="Century Schoolbook"/>
          </w:rPr>
          <w:instrText xml:space="preserve"> PAGE </w:instrText>
        </w:r>
        <w:r>
          <w:rPr>
            <w:sz w:val="24"/>
            <w:szCs w:val="24"/>
            <w:rFonts w:ascii="Century Schoolbook" w:hAnsi="Century Schoolbook"/>
          </w:rPr>
          <w:fldChar w:fldCharType="separate"/>
        </w:r>
        <w:r>
          <w:rPr>
            <w:sz w:val="24"/>
            <w:szCs w:val="24"/>
            <w:rFonts w:ascii="Century Schoolbook" w:hAnsi="Century Schoolbook"/>
          </w:rPr>
          <w:t>8</w:t>
        </w:r>
        <w:r>
          <w:rPr>
            <w:sz w:val="24"/>
            <w:szCs w:val="24"/>
            <w:rFonts w:ascii="Century Schoolbook" w:hAnsi="Century Schoolbook"/>
          </w:rPr>
          <w:fldChar w:fldCharType="end"/>
        </w:r>
        <w:r>
          <w:rPr>
            <w:rFonts w:ascii="Century Schoolbook" w:hAnsi="Century Schoolbook"/>
            <w:sz w:val="24"/>
            <w:szCs w:val="24"/>
          </w:rPr>
          <w:t xml:space="preserve"> </w:t>
        </w:r>
        <w:r>
          <w:rPr>
            <w:rFonts w:ascii="Century Schoolbook" w:hAnsi="Century Schoolbook"/>
            <w:sz w:val="24"/>
            <w:szCs w:val="24"/>
          </w:rPr>
          <w:t xml:space="preserve">| </w:t>
        </w:r>
        <w:r>
          <w:rPr>
            <w:rFonts w:ascii="Century Schoolbook" w:hAnsi="Century Schoolbook"/>
            <w:color w:themeColor="background1" w:themeShade="80" w:val="808080"/>
            <w:spacing w:val="60"/>
            <w:sz w:val="24"/>
            <w:szCs w:val="24"/>
          </w:rPr>
          <w:t>Page</w:t>
        </w:r>
      </w:p>
    </w:sdtContent>
  </w:sdt>
  <w:p>
    <w:pPr>
      <w:pStyle w:val="Footer"/>
      <w:rPr>
        <w:rFonts w:ascii="Century Schoolbook" w:hAnsi="Century Schoolbook"/>
        <w:sz w:val="24"/>
        <w:szCs w:val="24"/>
      </w:rPr>
    </w:pPr>
    <w:r>
      <w:rPr>
        <w:rFonts w:ascii="Century Schoolbook" w:hAnsi="Century Schoolbook"/>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Segoe UI" w:cs="Noto Sans Arabi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egoe UI" w:cs="Noto Sans Arabic"/>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egoe UI" w:cs="Noto Sans Arabic"/>
      <w:b/>
      <w:bCs/>
      <w:sz w:val="28"/>
      <w:szCs w:val="28"/>
    </w:rPr>
  </w:style>
  <w:style w:type="character" w:styleId="DefaultParagraphFont" w:default="1">
    <w:name w:val="Default Paragraph Font"/>
    <w:uiPriority w:val="1"/>
    <w:unhideWhenUsed/>
    <w:qFormat/>
    <w:rPr/>
  </w:style>
  <w:style w:type="character" w:styleId="FollowedHyperlink">
    <w:name w:val="FollowedHyperlink"/>
    <w:basedOn w:val="DefaultParagraphFont"/>
    <w:uiPriority w:val="99"/>
    <w:semiHidden/>
    <w:unhideWhenUsed/>
    <w:qFormat/>
    <w:rPr>
      <w:color w:themeColor="followedHyperlink" w:val="800080"/>
      <w:u w:val="single"/>
    </w:rPr>
  </w:style>
  <w:style w:type="character" w:styleId="Hyperlink">
    <w:name w:val="Hyperlink"/>
    <w:basedOn w:val="DefaultParagraphFont"/>
    <w:uiPriority w:val="99"/>
    <w:unhideWhenUsed/>
    <w:qFormat/>
    <w:rPr>
      <w:color w:themeColor="hyperlink" w:val="0000FF"/>
      <w:u w:val="single"/>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513" w:leader="none"/>
        <w:tab w:val="right" w:pos="9026" w:leader="none"/>
      </w:tabs>
      <w:spacing w:lineRule="auto" w:line="240" w:before="0" w:after="0"/>
    </w:pPr>
    <w:rPr/>
  </w:style>
  <w:style w:type="paragraph" w:styleId="Header">
    <w:name w:val="Header"/>
    <w:basedOn w:val="Normal"/>
    <w:link w:val="HeaderChar"/>
    <w:uiPriority w:val="99"/>
    <w:unhideWhenUsed/>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ages>8</Pages>
  <Words>1429</Words>
  <Characters>8026</Characters>
  <CharactersWithSpaces>9369</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2025-01-30T03:31:00Z</dcterms:created>
  <dc:creator>Periyanayagi s</dc:creator>
  <dc:description/>
  <dc:language>en-US</dc:language>
  <cp:lastModifiedBy/>
  <dcterms:modified xsi:type="dcterms:W3CDTF">2026-03-31T20:17:48Z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805CCAD7C1DA424BAA73A6085F8571A8_13</vt:lpwstr>
  </property>
  <property fmtid="{D5CDD505-2E9C-101B-9397-08002B2CF9AE}" pid="3" name="KSOProductBuildVer">
    <vt:lpwstr>2057-12.2.0.20755</vt:lpwstr>
  </property>
</Properties>
</file>