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4EEB8" w14:textId="3C2AC38D" w:rsidR="004860EC" w:rsidRDefault="00A33849">
      <w:proofErr w:type="spellStart"/>
      <w:r>
        <w:t>pHOS</w:t>
      </w:r>
      <w:proofErr w:type="spellEnd"/>
      <w:r>
        <w:t xml:space="preserve"> </w:t>
      </w:r>
    </w:p>
    <w:p w14:paraId="4F9CD762" w14:textId="4EFF984D" w:rsidR="00A33849" w:rsidRDefault="00A33849"/>
    <w:p w14:paraId="3E82A9AC" w14:textId="20076B91" w:rsidR="00A33849" w:rsidRDefault="00A33849" w:rsidP="00A33849">
      <w:pPr>
        <w:ind w:firstLine="720"/>
      </w:pPr>
      <w:r>
        <w:t xml:space="preserve">To analyze the number of strays, Josephson et al. 2021 used proportion of hatchery-origin spawners, or </w:t>
      </w:r>
      <w:proofErr w:type="spellStart"/>
      <w:r>
        <w:t>pHOS</w:t>
      </w:r>
      <w:proofErr w:type="spellEnd"/>
      <w:r>
        <w:t xml:space="preserve">, as their metric of comparison between streams, years, management units, etc. While my study primarily uses the average number of strays (total strays / number of surveys) for modeling and comparison purposes, I wanted to include a brief results section with some </w:t>
      </w:r>
      <w:proofErr w:type="spellStart"/>
      <w:r>
        <w:t>pHOS</w:t>
      </w:r>
      <w:proofErr w:type="spellEnd"/>
      <w:r>
        <w:t xml:space="preserve"> values as well.</w:t>
      </w:r>
    </w:p>
    <w:p w14:paraId="3F274ADB" w14:textId="6F2D17BB" w:rsidR="00A33849" w:rsidRPr="00A33849" w:rsidRDefault="00A33849" w:rsidP="00A33849">
      <w:pPr>
        <w:ind w:firstLine="720"/>
        <w:rPr>
          <w:i/>
          <w:iCs/>
        </w:rPr>
      </w:pPr>
      <w:r>
        <w:t xml:space="preserve">Josephson et al. 2021 calculated a weighted </w:t>
      </w:r>
      <w:proofErr w:type="spellStart"/>
      <w:r>
        <w:t>pHOS</w:t>
      </w:r>
      <w:proofErr w:type="spellEnd"/>
      <w:r>
        <w:t xml:space="preserve"> for each stream-year observation, which was as follows for stream </w:t>
      </w:r>
      <w:proofErr w:type="spellStart"/>
      <w:r>
        <w:rPr>
          <w:i/>
          <w:iCs/>
        </w:rPr>
        <w:t>i</w:t>
      </w:r>
      <w:proofErr w:type="spellEnd"/>
    </w:p>
    <w:p w14:paraId="5248A985" w14:textId="2FF453A6" w:rsidR="00A33849" w:rsidRDefault="00A33849" w:rsidP="00A33849">
      <w:pPr>
        <w:ind w:firstLine="720"/>
      </w:pPr>
      <m:oMathPara>
        <m:oMath>
          <m:r>
            <w:rPr>
              <w:rFonts w:ascii="Cambria Math" w:hAnsi="Cambria Math"/>
            </w:rPr>
            <m:t xml:space="preserve">pHOS=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v-1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iv</m:t>
                  </m:r>
                </m:sub>
              </m:sSub>
            </m:e>
          </m:nary>
        </m:oMath>
      </m:oMathPara>
    </w:p>
    <w:p w14:paraId="2DFE00DB" w14:textId="7857F235" w:rsidR="00A33849" w:rsidRDefault="00A33849" w:rsidP="00A33849">
      <w:proofErr w:type="gramStart"/>
      <w:r>
        <w:t>where</w:t>
      </w:r>
      <w:proofErr w:type="gramEnd"/>
      <w:r>
        <w:t xml:space="preserve"> </w:t>
      </w:r>
    </w:p>
    <w:p w14:paraId="60F3D71C" w14:textId="059030C1" w:rsidR="00A33849" w:rsidRDefault="00A33849" w:rsidP="00A33849"/>
    <w:p w14:paraId="07AB1EF4" w14:textId="7149E810" w:rsidR="00A33849" w:rsidRPr="00A33849" w:rsidRDefault="00A33849" w:rsidP="00A3384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iv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dead salmon counted during visit v</m:t>
              </m:r>
            </m:num>
            <m:den>
              <m:r>
                <w:rPr>
                  <w:rFonts w:ascii="Cambria Math" w:hAnsi="Cambria Math"/>
                </w:rPr>
                <m:t xml:space="preserve"># of dead salmon counted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sum</m:t>
                  </m:r>
                </m:e>
              </m:d>
              <m:r>
                <w:rPr>
                  <w:rFonts w:ascii="Cambria Math" w:hAnsi="Cambria Math"/>
                </w:rPr>
                <m:t xml:space="preserve"> across all visits to stream i in that year</m:t>
              </m:r>
            </m:den>
          </m:f>
        </m:oMath>
      </m:oMathPara>
    </w:p>
    <w:p w14:paraId="5979B72D" w14:textId="2D75319C" w:rsidR="00A33849" w:rsidRDefault="00A33849" w:rsidP="00A33849"/>
    <w:p w14:paraId="03FCF59B" w14:textId="4B39E4BD" w:rsidR="00A33849" w:rsidRDefault="00A33849" w:rsidP="00A33849">
      <w:r>
        <w:t xml:space="preserve">And </w:t>
      </w:r>
    </w:p>
    <w:p w14:paraId="7201930E" w14:textId="2F67FEF6" w:rsidR="00A33849" w:rsidRPr="00A33849" w:rsidRDefault="00A33849" w:rsidP="00A3384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iv</m:t>
              </m:r>
            </m:sub>
          </m:sSub>
          <m:r>
            <w:rPr>
              <w:rFonts w:ascii="Cambria Math" w:hAnsi="Cambria Math"/>
            </w:rPr>
            <m:t>=pHOS from visit v</m:t>
          </m:r>
        </m:oMath>
      </m:oMathPara>
    </w:p>
    <w:p w14:paraId="43ACFB7C" w14:textId="5E388EE6" w:rsidR="00A33849" w:rsidRDefault="00A33849" w:rsidP="00A33849"/>
    <w:p w14:paraId="3ACEF901" w14:textId="32A2AB00" w:rsidR="00A33849" w:rsidRDefault="00A33849" w:rsidP="00A33849">
      <w:r>
        <w:t xml:space="preserve">So, the weighted </w:t>
      </w:r>
      <w:proofErr w:type="spellStart"/>
      <w:r>
        <w:t>pHOS</w:t>
      </w:r>
      <w:proofErr w:type="spellEnd"/>
      <w:r>
        <w:t xml:space="preserve"> for stream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r>
        <w:t xml:space="preserve">in a single year is the </w:t>
      </w:r>
      <w:proofErr w:type="spellStart"/>
      <w:r>
        <w:t>pHOS</w:t>
      </w:r>
      <w:proofErr w:type="spellEnd"/>
      <w:r>
        <w:t xml:space="preserve"> determined from each visit, multiplied by a weighting factor, the proportion of the total dead count counted on that visit</w:t>
      </w:r>
      <w:r w:rsidR="00520BA7">
        <w:t>, summed for all surveys.</w:t>
      </w:r>
    </w:p>
    <w:p w14:paraId="2586DF97" w14:textId="423C6D5C" w:rsidR="00520BA7" w:rsidRDefault="00520BA7" w:rsidP="00A33849"/>
    <w:p w14:paraId="233C4388" w14:textId="5B521B76" w:rsidR="00520BA7" w:rsidRDefault="00520BA7" w:rsidP="00A33849">
      <w:r>
        <w:t xml:space="preserve">I do not have dead counts available to me for 2008-2011 survey years (confirmed by phone call to Andy Piston), so I cannot replicate the Josephson et al. 2021 weighting method. At least, I can’t for 2008-2011 surveys, which is about 40% of my data. At first, I thought that perhaps I could substitute </w:t>
      </w:r>
      <w:proofErr w:type="spellStart"/>
      <w:r>
        <w:t>w</w:t>
      </w:r>
      <w:r>
        <w:rPr>
          <w:vertAlign w:val="subscript"/>
        </w:rPr>
        <w:t>iv</w:t>
      </w:r>
      <w:proofErr w:type="spellEnd"/>
      <w:r>
        <w:t xml:space="preserve"> dead counts for the count of samples, but this just leaves me with the raw (unweighted) </w:t>
      </w:r>
      <w:proofErr w:type="spellStart"/>
      <w:r>
        <w:t>pHOS</w:t>
      </w:r>
      <w:proofErr w:type="spellEnd"/>
      <w:r>
        <w:t>. Here is a quick demonstration of how/why, because it took me a bit to think through and figure out initially:</w:t>
      </w:r>
    </w:p>
    <w:p w14:paraId="77F46245" w14:textId="756ADA30" w:rsidR="00520BA7" w:rsidRDefault="00520BA7" w:rsidP="00A33849"/>
    <w:p w14:paraId="1F415DA6" w14:textId="56E054E2" w:rsidR="00520BA7" w:rsidRDefault="00520BA7" w:rsidP="00A33849">
      <w:r>
        <w:t xml:space="preserve">Admiralty Creek was sampled 2 times in 2009. Once on 8/12/09, and once on 8/17/09.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0BA7" w14:paraId="41A73BA4" w14:textId="77777777" w:rsidTr="00520BA7">
        <w:tc>
          <w:tcPr>
            <w:tcW w:w="2337" w:type="dxa"/>
          </w:tcPr>
          <w:p w14:paraId="627F0C7D" w14:textId="1DD0F63E" w:rsidR="00520BA7" w:rsidRDefault="00520BA7" w:rsidP="00A33849">
            <w:r>
              <w:t>Survey Date</w:t>
            </w:r>
          </w:p>
        </w:tc>
        <w:tc>
          <w:tcPr>
            <w:tcW w:w="2337" w:type="dxa"/>
          </w:tcPr>
          <w:p w14:paraId="3F0F069B" w14:textId="3EA87BBE" w:rsidR="00520BA7" w:rsidRDefault="00520BA7" w:rsidP="00A33849">
            <w:r>
              <w:t>Number of H fish</w:t>
            </w:r>
          </w:p>
        </w:tc>
        <w:tc>
          <w:tcPr>
            <w:tcW w:w="2338" w:type="dxa"/>
          </w:tcPr>
          <w:p w14:paraId="3E7D3110" w14:textId="3832FF38" w:rsidR="00520BA7" w:rsidRDefault="00520BA7" w:rsidP="00A33849">
            <w:r>
              <w:t xml:space="preserve"># of fish sampled </w:t>
            </w:r>
            <w:r w:rsidR="00785B4E">
              <w:t xml:space="preserve">on </w:t>
            </w:r>
            <w:proofErr w:type="gramStart"/>
            <w:r w:rsidR="00785B4E">
              <w:t xml:space="preserve">date </w:t>
            </w:r>
            <w:r w:rsidR="000E367F">
              <w:t xml:space="preserve"> (</w:t>
            </w:r>
            <w:proofErr w:type="gramEnd"/>
            <w:r w:rsidR="000E367F">
              <w:t>H + W)</w:t>
            </w:r>
          </w:p>
        </w:tc>
        <w:tc>
          <w:tcPr>
            <w:tcW w:w="2338" w:type="dxa"/>
          </w:tcPr>
          <w:p w14:paraId="63D01AF6" w14:textId="68CBA474" w:rsidR="00520BA7" w:rsidRDefault="00785B4E" w:rsidP="00A33849">
            <w:r>
              <w:t>Total fish sampled in Admiralty Creek in 2009 (96 + 21)</w:t>
            </w:r>
          </w:p>
        </w:tc>
      </w:tr>
      <w:tr w:rsidR="00520BA7" w14:paraId="42024182" w14:textId="77777777" w:rsidTr="00520BA7">
        <w:tc>
          <w:tcPr>
            <w:tcW w:w="2337" w:type="dxa"/>
          </w:tcPr>
          <w:p w14:paraId="1E4B47F2" w14:textId="7EFF5DA0" w:rsidR="00520BA7" w:rsidRDefault="00520BA7" w:rsidP="00A33849">
            <w:r>
              <w:t>8/12/09</w:t>
            </w:r>
          </w:p>
        </w:tc>
        <w:tc>
          <w:tcPr>
            <w:tcW w:w="2337" w:type="dxa"/>
          </w:tcPr>
          <w:p w14:paraId="4913CBFB" w14:textId="7703DAFA" w:rsidR="00520BA7" w:rsidRDefault="00520BA7" w:rsidP="00A33849">
            <w:r>
              <w:t>39</w:t>
            </w:r>
          </w:p>
        </w:tc>
        <w:tc>
          <w:tcPr>
            <w:tcW w:w="2338" w:type="dxa"/>
          </w:tcPr>
          <w:p w14:paraId="17853773" w14:textId="3375854D" w:rsidR="00520BA7" w:rsidRDefault="00785B4E" w:rsidP="00A33849">
            <w:r>
              <w:t>96</w:t>
            </w:r>
          </w:p>
        </w:tc>
        <w:tc>
          <w:tcPr>
            <w:tcW w:w="2338" w:type="dxa"/>
          </w:tcPr>
          <w:p w14:paraId="6CACF364" w14:textId="4E2351C5" w:rsidR="00520BA7" w:rsidRDefault="00785B4E" w:rsidP="00A33849">
            <w:r>
              <w:t>117</w:t>
            </w:r>
          </w:p>
        </w:tc>
      </w:tr>
      <w:tr w:rsidR="00520BA7" w14:paraId="70AA520E" w14:textId="77777777" w:rsidTr="00520BA7">
        <w:tc>
          <w:tcPr>
            <w:tcW w:w="2337" w:type="dxa"/>
          </w:tcPr>
          <w:p w14:paraId="47A7C81D" w14:textId="17A62085" w:rsidR="00520BA7" w:rsidRDefault="00520BA7" w:rsidP="00A33849">
            <w:r>
              <w:t>8/17/09</w:t>
            </w:r>
          </w:p>
        </w:tc>
        <w:tc>
          <w:tcPr>
            <w:tcW w:w="2337" w:type="dxa"/>
          </w:tcPr>
          <w:p w14:paraId="0AB4C998" w14:textId="69F4AB31" w:rsidR="00520BA7" w:rsidRDefault="00520BA7" w:rsidP="00A33849">
            <w:r>
              <w:t>9</w:t>
            </w:r>
          </w:p>
        </w:tc>
        <w:tc>
          <w:tcPr>
            <w:tcW w:w="2338" w:type="dxa"/>
          </w:tcPr>
          <w:p w14:paraId="54A68384" w14:textId="755BD650" w:rsidR="00520BA7" w:rsidRDefault="00785B4E" w:rsidP="00A33849">
            <w:r>
              <w:t>21</w:t>
            </w:r>
          </w:p>
        </w:tc>
        <w:tc>
          <w:tcPr>
            <w:tcW w:w="2338" w:type="dxa"/>
          </w:tcPr>
          <w:p w14:paraId="13103ABE" w14:textId="0DA96073" w:rsidR="00520BA7" w:rsidRDefault="00785B4E" w:rsidP="00A33849">
            <w:r>
              <w:t>117</w:t>
            </w:r>
          </w:p>
        </w:tc>
      </w:tr>
    </w:tbl>
    <w:p w14:paraId="77253618" w14:textId="35E5C297" w:rsidR="00520BA7" w:rsidRDefault="00520BA7" w:rsidP="00A33849"/>
    <w:p w14:paraId="4A66F824" w14:textId="5258C806" w:rsidR="00785B4E" w:rsidRDefault="00785B4E" w:rsidP="00A33849">
      <w:r>
        <w:t xml:space="preserve">The weighted </w:t>
      </w:r>
      <w:proofErr w:type="spellStart"/>
      <w:r>
        <w:t>pHOS</w:t>
      </w:r>
      <w:proofErr w:type="spellEnd"/>
      <w:r>
        <w:t xml:space="preserve"> equation above summing </w:t>
      </w:r>
      <w:proofErr w:type="spellStart"/>
      <w:r w:rsidRPr="00785B4E">
        <w:rPr>
          <w:highlight w:val="yellow"/>
        </w:rPr>
        <w:t>w</w:t>
      </w:r>
      <w:r w:rsidRPr="00785B4E">
        <w:rPr>
          <w:highlight w:val="yellow"/>
          <w:vertAlign w:val="subscript"/>
        </w:rPr>
        <w:t>iv</w:t>
      </w:r>
      <w:proofErr w:type="spellEnd"/>
      <w:r>
        <w:t xml:space="preserve"> * </w:t>
      </w:r>
      <w:proofErr w:type="spellStart"/>
      <w:r>
        <w:t>q</w:t>
      </w:r>
      <w:r>
        <w:rPr>
          <w:vertAlign w:val="subscript"/>
        </w:rPr>
        <w:t>iv</w:t>
      </w:r>
      <w:proofErr w:type="spellEnd"/>
      <w:r>
        <w:t xml:space="preserve"> for both visits, where</w:t>
      </w:r>
      <w:r w:rsidRPr="00785B4E">
        <w:rPr>
          <w:highlight w:val="yellow"/>
        </w:rPr>
        <w:t xml:space="preserve"> </w:t>
      </w:r>
      <w:proofErr w:type="spellStart"/>
      <w:r w:rsidRPr="00785B4E">
        <w:rPr>
          <w:highlight w:val="yellow"/>
        </w:rPr>
        <w:t>w</w:t>
      </w:r>
      <w:r w:rsidRPr="00785B4E">
        <w:rPr>
          <w:highlight w:val="yellow"/>
          <w:vertAlign w:val="subscript"/>
        </w:rPr>
        <w:t>iv</w:t>
      </w:r>
      <w:proofErr w:type="spellEnd"/>
      <w:r w:rsidRPr="00785B4E">
        <w:rPr>
          <w:highlight w:val="yellow"/>
        </w:rPr>
        <w:t xml:space="preserve"> </w:t>
      </w:r>
      <w:r>
        <w:t>gives the sampled counts instead of dead counts, would be</w:t>
      </w:r>
    </w:p>
    <w:p w14:paraId="282D78F1" w14:textId="6195CAD9" w:rsidR="00785B4E" w:rsidRPr="00785B4E" w:rsidRDefault="00785B4E" w:rsidP="00A3384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96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117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39</m:t>
                  </m:r>
                </m:num>
                <m:den>
                  <m:r>
                    <w:rPr>
                      <w:rFonts w:ascii="Cambria Math" w:hAnsi="Cambria Math"/>
                    </w:rPr>
                    <m:t>96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117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21</m:t>
                  </m:r>
                </m:den>
              </m:f>
            </m:e>
          </m:d>
        </m:oMath>
      </m:oMathPara>
    </w:p>
    <w:p w14:paraId="4A93D8A6" w14:textId="72CA75AD" w:rsidR="00785B4E" w:rsidRDefault="00785B4E" w:rsidP="00A33849">
      <w:r>
        <w:t>Because you are cross-multiplying, the 96 and the 21 cancel out, which leaves you with</w:t>
      </w:r>
    </w:p>
    <w:p w14:paraId="5C115B77" w14:textId="25675C5E" w:rsidR="00785B4E" w:rsidRPr="00785B4E" w:rsidRDefault="00785B4E" w:rsidP="00A3384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39</m:t>
              </m:r>
            </m:num>
            <m:den>
              <m:r>
                <w:rPr>
                  <w:rFonts w:ascii="Cambria Math" w:hAnsi="Cambria Math"/>
                </w:rPr>
                <m:t>117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117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</m:t>
              </m:r>
            </m:num>
            <m:den>
              <m:r>
                <w:rPr>
                  <w:rFonts w:ascii="Cambria Math" w:hAnsi="Cambria Math"/>
                </w:rPr>
                <m:t>117</m:t>
              </m:r>
            </m:den>
          </m:f>
        </m:oMath>
      </m:oMathPara>
    </w:p>
    <w:p w14:paraId="094F401E" w14:textId="405B7AB1" w:rsidR="00785B4E" w:rsidRDefault="00785B4E" w:rsidP="00A33849"/>
    <w:p w14:paraId="107EB032" w14:textId="1775E36F" w:rsidR="00785B4E" w:rsidRDefault="00785B4E" w:rsidP="00A33849">
      <w:r>
        <w:t xml:space="preserve">And 48/117 is just the raw </w:t>
      </w:r>
      <w:proofErr w:type="spellStart"/>
      <w:r>
        <w:t>pHOS</w:t>
      </w:r>
      <w:proofErr w:type="spellEnd"/>
      <w:r>
        <w:t xml:space="preserve"> for Admiralty </w:t>
      </w:r>
      <w:proofErr w:type="gramStart"/>
      <w:r>
        <w:t>as a whole in</w:t>
      </w:r>
      <w:proofErr w:type="gramEnd"/>
      <w:r>
        <w:t xml:space="preserve"> 2009. In the above table, there were 48 total hatchery fish across all visits and 117 total fish sampled across all visits. Hence, you don’t need to (and </w:t>
      </w:r>
      <w:proofErr w:type="gramStart"/>
      <w:r>
        <w:t>really actually</w:t>
      </w:r>
      <w:proofErr w:type="gramEnd"/>
      <w:r>
        <w:t xml:space="preserve"> can’t) do any weighting of </w:t>
      </w:r>
      <w:proofErr w:type="spellStart"/>
      <w:r>
        <w:t>pHOS</w:t>
      </w:r>
      <w:proofErr w:type="spellEnd"/>
      <w:r>
        <w:t xml:space="preserve"> for your full study if you are including the years of 2008-2011 because you don’t have dead counts. And dead counts are not the same as sample counts.</w:t>
      </w:r>
    </w:p>
    <w:p w14:paraId="20A2D5DE" w14:textId="21F37680" w:rsidR="000E367F" w:rsidRDefault="000E367F" w:rsidP="00A33849"/>
    <w:p w14:paraId="1415BF9B" w14:textId="76F6A38B" w:rsidR="000E367F" w:rsidRPr="00785B4E" w:rsidRDefault="000E367F" w:rsidP="00A33849">
      <w:r>
        <w:t xml:space="preserve">For those who may ask about why I did not calculate a dead count-weighted </w:t>
      </w:r>
      <w:proofErr w:type="spellStart"/>
      <w:r>
        <w:t>pHOS</w:t>
      </w:r>
      <w:proofErr w:type="spellEnd"/>
      <w:r>
        <w:t xml:space="preserve"> for use in my study, I can tell them that 1) I couldn’t </w:t>
      </w:r>
      <w:r w:rsidR="00E83B41">
        <w:t xml:space="preserve">because I don’t have dead counts available for all years (missing in 2008-2011) and 2) the unweighted </w:t>
      </w:r>
      <w:proofErr w:type="spellStart"/>
      <w:r w:rsidR="00E83B41">
        <w:t>pHOS</w:t>
      </w:r>
      <w:proofErr w:type="spellEnd"/>
      <w:r w:rsidR="00E83B41">
        <w:t xml:space="preserve"> estimates for each stream-year observation aren’t significantly different from the weighted </w:t>
      </w:r>
      <w:proofErr w:type="spellStart"/>
      <w:r w:rsidR="00E83B41">
        <w:t>pHOS’s</w:t>
      </w:r>
      <w:proofErr w:type="spellEnd"/>
      <w:r w:rsidR="00E83B41">
        <w:t xml:space="preserve">. See Figure S1 in my paper, </w:t>
      </w:r>
      <w:r w:rsidR="00E83B41" w:rsidRPr="00E83B41">
        <w:rPr>
          <w:i/>
          <w:iCs/>
        </w:rPr>
        <w:t>pHOSdiff.tiff</w:t>
      </w:r>
      <w:r w:rsidR="00E83B41">
        <w:t xml:space="preserve"> in “</w:t>
      </w:r>
      <w:proofErr w:type="spellStart"/>
      <w:r w:rsidR="00E83B41" w:rsidRPr="00E83B41">
        <w:t>Wt_vs_Avg_pHOS</w:t>
      </w:r>
      <w:proofErr w:type="spellEnd"/>
      <w:r w:rsidR="00E83B41">
        <w:t xml:space="preserve">” </w:t>
      </w:r>
      <w:proofErr w:type="gramStart"/>
      <w:r w:rsidR="00E83B41">
        <w:t>folder, and</w:t>
      </w:r>
      <w:proofErr w:type="gramEnd"/>
      <w:r w:rsidR="00E83B41">
        <w:t xml:space="preserve"> </w:t>
      </w:r>
      <w:proofErr w:type="spellStart"/>
      <w:r w:rsidR="00E83B41" w:rsidRPr="00E83B41">
        <w:rPr>
          <w:i/>
          <w:iCs/>
        </w:rPr>
        <w:t>Compare_pHOS.R</w:t>
      </w:r>
      <w:proofErr w:type="spellEnd"/>
      <w:r w:rsidR="00E83B41">
        <w:t xml:space="preserve"> for the figure and </w:t>
      </w:r>
      <w:proofErr w:type="spellStart"/>
      <w:r w:rsidR="00E83B41">
        <w:t>t.test</w:t>
      </w:r>
      <w:proofErr w:type="spellEnd"/>
      <w:r w:rsidR="00E83B41">
        <w:t xml:space="preserve"> showing this. The way that I accounted for variation in sampling pressure was not by weighting with dead counts, but by dividing the number of strays detected by the number of surveys, thereby avoiding </w:t>
      </w:r>
      <w:proofErr w:type="spellStart"/>
      <w:r w:rsidR="00E83B41">
        <w:t>pHOS</w:t>
      </w:r>
      <w:proofErr w:type="spellEnd"/>
      <w:r w:rsidR="00E83B41">
        <w:t xml:space="preserve"> altogether. </w:t>
      </w:r>
    </w:p>
    <w:sectPr w:rsidR="000E367F" w:rsidRPr="00785B4E" w:rsidSect="00C65AB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49"/>
    <w:rsid w:val="000E367F"/>
    <w:rsid w:val="0049345E"/>
    <w:rsid w:val="00520BA7"/>
    <w:rsid w:val="00785B4E"/>
    <w:rsid w:val="00A33849"/>
    <w:rsid w:val="00A4383C"/>
    <w:rsid w:val="00C16B6A"/>
    <w:rsid w:val="00C65AB2"/>
    <w:rsid w:val="00E8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A7515"/>
  <w14:defaultImageDpi w14:val="32767"/>
  <w15:chartTrackingRefBased/>
  <w15:docId w15:val="{B11BF581-7C16-4C4D-90CB-16C0266B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3849"/>
    <w:rPr>
      <w:color w:val="808080"/>
    </w:rPr>
  </w:style>
  <w:style w:type="table" w:styleId="TableGrid">
    <w:name w:val="Table Grid"/>
    <w:basedOn w:val="TableNormal"/>
    <w:uiPriority w:val="39"/>
    <w:rsid w:val="00520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Payne</dc:creator>
  <cp:keywords/>
  <dc:description/>
  <cp:lastModifiedBy>Molly Payne</cp:lastModifiedBy>
  <cp:revision>1</cp:revision>
  <dcterms:created xsi:type="dcterms:W3CDTF">2021-06-30T22:43:00Z</dcterms:created>
  <dcterms:modified xsi:type="dcterms:W3CDTF">2021-06-30T23:29:00Z</dcterms:modified>
</cp:coreProperties>
</file>