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b/>
          <w:sz w:val="32"/>
        </w:rPr>
        <w:t>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b/>
          <w:sz w:val="28"/>
        </w:rPr>
        <w:t>Technology Stack (Architecture &amp; Stack)</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sz w:val="18"/>
          <w:rtl w:val="0"/>
        </w:rPr>
      </w:r>
    </w:p>
    <w:tbl>
      <w:tblPr>
        <w:tblStyle w:val="Table1"/>
        <w:tblW w:w="9351.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shd w:fill="D9EAF7"/>
            <w:tcMar>
              <w:top w:w="70" w:type="dxa"/>
              <w:start w:w="70" w:type="dxa"/>
              <w:bottom w:w="70" w:type="dxa"/>
              <w:end w:w="70" w:type="dxa"/>
            </w:tcMar>
          </w:tcPr>
          <w:p>
            <w:pPr>
              <w:jc w:val="left"/>
            </w:pPr>
            <w:r/>
            <w:r>
              <w:rPr>
                <w:b/>
                <w:sz w:val="18"/>
              </w:rPr>
              <w:t>Date</w:t>
            </w:r>
          </w:p>
        </w:tc>
        <w:tc>
          <w:tcPr>
            <w:vAlign w:val="center"/>
            <w:tcMar>
              <w:top w:w="70" w:type="dxa"/>
              <w:start w:w="70" w:type="dxa"/>
              <w:bottom w:w="70" w:type="dxa"/>
              <w:end w:w="70" w:type="dxa"/>
            </w:tcMar>
          </w:tcPr>
          <w:p>
            <w:pPr>
              <w:jc w:val="left"/>
            </w:pPr>
            <w:r/>
            <w:r>
              <w:rPr>
                <w:b w:val="0"/>
                <w:sz w:val="18"/>
              </w:rPr>
              <w:t>04 October 2026</w:t>
            </w:r>
          </w:p>
        </w:tc>
      </w:tr>
      <w:tr>
        <w:trPr>
          <w:cantSplit w:val="0"/>
          <w:tblHeader w:val="0"/>
        </w:trPr>
        <w:tc>
          <w:tcPr>
            <w:vAlign w:val="center"/>
            <w:shd w:fill="D9EAF7"/>
            <w:tcMar>
              <w:top w:w="70" w:type="dxa"/>
              <w:start w:w="70" w:type="dxa"/>
              <w:bottom w:w="70" w:type="dxa"/>
              <w:end w:w="70" w:type="dxa"/>
            </w:tcMar>
          </w:tcPr>
          <w:p>
            <w:pPr>
              <w:jc w:val="left"/>
            </w:pPr>
            <w:r/>
            <w:r>
              <w:rPr>
                <w:b/>
                <w:sz w:val="18"/>
              </w:rPr>
              <w:t>Team ID</w:t>
            </w:r>
          </w:p>
        </w:tc>
        <w:tc>
          <w:tcPr>
            <w:vAlign w:val="center"/>
            <w:tcMar>
              <w:top w:w="70" w:type="dxa"/>
              <w:start w:w="70" w:type="dxa"/>
              <w:bottom w:w="70" w:type="dxa"/>
              <w:end w:w="70" w:type="dxa"/>
            </w:tcMar>
          </w:tcPr>
          <w:p>
            <w:pPr>
              <w:jc w:val="left"/>
            </w:pPr>
            <w:r/>
            <w:r>
              <w:rPr>
                <w:b w:val="0"/>
                <w:sz w:val="18"/>
              </w:rPr>
              <w:t>________________</w:t>
            </w:r>
          </w:p>
        </w:tc>
      </w:tr>
      <w:tr>
        <w:trPr>
          <w:cantSplit w:val="0"/>
          <w:tblHeader w:val="0"/>
        </w:trPr>
        <w:tc>
          <w:tcPr>
            <w:vAlign w:val="center"/>
            <w:shd w:fill="D9EAF7"/>
            <w:tcMar>
              <w:top w:w="70" w:type="dxa"/>
              <w:start w:w="70" w:type="dxa"/>
              <w:bottom w:w="70" w:type="dxa"/>
              <w:end w:w="70" w:type="dxa"/>
            </w:tcMar>
          </w:tcPr>
          <w:p>
            <w:pPr>
              <w:jc w:val="left"/>
            </w:pPr>
            <w:r/>
            <w:r>
              <w:rPr>
                <w:b/>
                <w:sz w:val="18"/>
              </w:rPr>
              <w:t>Project Name</w:t>
            </w:r>
          </w:p>
        </w:tc>
        <w:tc>
          <w:tcPr>
            <w:vAlign w:val="center"/>
            <w:tcMar>
              <w:top w:w="70" w:type="dxa"/>
              <w:start w:w="70" w:type="dxa"/>
              <w:bottom w:w="70" w:type="dxa"/>
              <w:end w:w="70" w:type="dxa"/>
            </w:tcMar>
          </w:tcPr>
          <w:p>
            <w:pPr>
              <w:jc w:val="left"/>
            </w:pPr>
            <w:r/>
            <w:r>
              <w:rPr>
                <w:b w:val="0"/>
                <w:sz w:val="18"/>
              </w:rPr>
              <w:t>Import Data using Transform Maps (Spreadsheet)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sz w:val="18"/>
          <w:rtl w:val="0"/>
        </w:rPr>
      </w:r>
    </w:p>
    <w:p w:rsidR="00000000" w:rsidDel="00000000" w:rsidP="00000000" w:rsidRDefault="00000000" w:rsidRPr="00000000" w14:paraId="0000000D">
      <w:pPr>
        <w:rPr>
          <w:rFonts w:ascii="Arial" w:cs="Arial" w:eastAsia="Arial" w:hAnsi="Arial"/>
          <w:b w:val="1"/>
        </w:rPr>
      </w:pPr>
      <w:r>
        <w:rPr>
          <w:b/>
          <w:sz w:val="24"/>
        </w:rPr>
        <w:t>Technical Architecture:</w:t>
      </w:r>
    </w:p>
    <w:p w:rsidR="00000000" w:rsidDel="00000000" w:rsidP="00000000" w:rsidRDefault="00000000" w:rsidRPr="00000000" w14:paraId="0000000E">
      <w:pPr>
        <w:spacing w:after="80"/>
        <w:rPr>
          <w:rFonts w:ascii="Arial" w:cs="Arial" w:eastAsia="Arial" w:hAnsi="Arial"/>
        </w:rPr>
      </w:pPr>
      <w:r>
        <w:rPr>
          <w:b w:val="0"/>
          <w:sz w:val="22"/>
        </w:rPr>
        <w:t>This project imports structured employee data from an external spreadsheet into ServiceNow using Import Sets and a Transform Map. The spreadsheet is loaded into a staging Import Set table, source fields are mapped to the appropriate target-table fields, the transform is executed, and the resulting records are validated.</w:t>
      </w:r>
    </w:p>
    <w:p w:rsidR="00000000" w:rsidDel="00000000" w:rsidP="00000000" w:rsidRDefault="00000000" w:rsidRPr="00000000" w14:paraId="0000000F">
      <w:pPr>
        <w:rPr>
          <w:rFonts w:ascii="Arial" w:cs="Arial" w:eastAsia="Arial" w:hAnsi="Arial"/>
          <w:b w:val="1"/>
        </w:rPr>
      </w:pPr>
      <w:r>
        <w:rPr>
          <w:b/>
          <w:sz w:val="22"/>
        </w:rPr>
        <w:t>Project Architecture Flow:</w:t>
      </w:r>
    </w:p>
    <w:p w:rsidR="00000000" w:rsidDel="00000000" w:rsidP="00000000" w:rsidRDefault="00000000" w:rsidRPr="00000000" w14:paraId="00000010">
      <w:pPr>
        <w:rPr>
          <w:rFonts w:ascii="Arial" w:cs="Arial" w:eastAsia="Arial" w:hAnsi="Arial"/>
          <w:b w:val="1"/>
        </w:rPr>
      </w:pPr>
      <w:r>
        <w:rPr>
          <w:b w:val="0"/>
          <w:sz w:val="22"/>
        </w:rPr>
        <w:t>Spreadsheet (Excel/CSV) → ServiceNow Import Set → Import Set Table (Staging) → Transform Map → Target Employee/User Table → Validation &amp; Import Logs</w:t>
      </w:r>
    </w:p>
    <w:p w:rsidR="00000000" w:rsidDel="00000000" w:rsidP="00000000" w:rsidRDefault="00000000" w:rsidRPr="00000000" w14:paraId="00000011">
      <w:pPr>
        <w:rPr>
          <w:rFonts w:ascii="Arial" w:cs="Arial" w:eastAsia="Arial" w:hAnsi="Arial"/>
          <w:b w:val="1"/>
        </w:rPr>
      </w:pPr>
      <w:r>
        <w:rPr>
          <w:sz w:val="18"/>
        </w:rPr>
      </w:r>
      <w:r>
        <w:rPr>
          <w:b/>
          <w:sz w:val="20"/>
        </w:rPr>
        <w:t xml:space="preserve">Infrastructure: </w:t>
      </w:r>
      <w:r>
        <w:rPr>
          <w:sz w:val="20"/>
        </w:rPr>
        <w:t>ServiceNow cloud platform hosts the application logic, Import Set staging data, Transform Map configuration, target records, and import logs. The spreadsheet is supplied by the user through the ServiceNow import interface. No external API or machine-learning model is required.</w:t>
      </w:r>
    </w:p>
    <w:p w:rsidR="00000000" w:rsidDel="00000000" w:rsidP="00000000" w:rsidRDefault="00000000" w:rsidRPr="00000000" w14:paraId="00000012">
      <w:pPr>
        <w:rPr>
          <w:rFonts w:ascii="Arial" w:cs="Arial" w:eastAsia="Arial" w:hAnsi="Arial"/>
          <w:b w:val="1"/>
        </w:rPr>
      </w:pPr>
      <w:r w:rsidDel="00000000" w:rsidR="00000000" w:rsidRPr="00000000">
        <w:rPr>
          <w:sz w:val="18"/>
          <w:rtl w:val="0"/>
        </w:rPr>
      </w:r>
      <w:r w:rsidDel="00000000" w:rsidR="00000000" w:rsidRPr="00000000">
        <w:rPr>
          <w:sz w:val="18"/>
        </w:rPr>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326550" cy="2482850"/>
            <wp:effectExtent b="0" l="0" r="0" t="0"/>
            <wp:wrapSquare wrapText="bothSides" distB="0" distT="0" distL="114300" distR="114300"/>
            <wp:docPr descr="flow" id="14" name="image1.png"/>
            <a:graphic>
              <a:graphicData uri="http://schemas.openxmlformats.org/drawingml/2006/picture">
                <pic:pic>
                  <pic:nvPicPr>
                    <pic:cNvPr descr="flow" id="0" name="image1.png"/>
                    <pic:cNvPicPr preferRelativeResize="0"/>
                  </pic:nvPicPr>
                  <pic:blipFill>
                    <a:blip r:embed="rId9"/>
                    <a:srcRect b="0" l="0" r="0" t="0"/>
                    <a:stretch>
                      <a:fillRect/>
                    </a:stretch>
                  </pic:blipFill>
                  <pic:spPr>
                    <a:xfrm>
                      <a:off x="0" y="0"/>
                      <a:ext cx="4326550" cy="2482850"/>
                    </a:xfrm>
                    <a:prstGeom prst="rect"/>
                    <a:ln/>
                  </pic:spPr>
                </pic:pic>
              </a:graphicData>
            </a:graphic>
          </wp:anchor>
        </w:drawing>
      </w:r>
    </w:p>
    <w:p w:rsidR="00000000" w:rsidDel="00000000" w:rsidP="00000000" w:rsidRDefault="00000000" w:rsidRPr="00000000" w14:paraId="00000013">
      <w:pPr>
        <w:tabs>
          <w:tab w:val="left" w:leader="none" w:pos="2320"/>
        </w:tabs>
        <w:rPr>
          <w:rFonts w:ascii="Arial" w:cs="Arial" w:eastAsia="Arial" w:hAnsi="Arial"/>
          <w:b w:val="1"/>
        </w:rPr>
      </w:pPr>
      <w:r w:rsidDel="00000000" w:rsidR="00000000" w:rsidRPr="00000000">
        <w:rPr>
          <w:rFonts w:ascii="Arial" w:cs="Arial" w:eastAsia="Arial" w:hAnsi="Arial"/>
          <w:b w:val="1"/>
          <w:sz w:val="18"/>
          <w:rtl w:val="0"/>
        </w:rPr>
        <w:tab/>
        <w:tab/>
        <w:tab/>
        <w:br w:type="textWrapping"/>
      </w:r>
    </w:p>
    <w:p w:rsidR="00000000" w:rsidDel="00000000" w:rsidP="00000000" w:rsidRDefault="00000000" w:rsidRPr="00000000" w14:paraId="00000014">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5">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6">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7">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8">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9">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A">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B">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1C">
      <w:pPr>
        <w:tabs>
          <w:tab w:val="left" w:leader="none" w:pos="2320"/>
        </w:tabs>
        <w:rPr>
          <w:rFonts w:ascii="Arial" w:cs="Arial" w:eastAsia="Arial" w:hAnsi="Arial"/>
          <w:b w:val="1"/>
        </w:rPr>
      </w:pPr>
      <w:r w:rsidDel="00000000" w:rsidR="00000000" w:rsidRPr="00000000">
        <w:rPr>
          <w:rFonts w:ascii="Arial" w:cs="Arial" w:eastAsia="Arial" w:hAnsi="Arial"/>
          <w:b w:val="1"/>
          <w:sz w:val="18"/>
          <w:rtl w:val="0"/>
        </w:rPr>
        <w:t xml:space="preserve">Table-1 : Components &amp; Technologies:</w:t>
      </w:r>
    </w:p>
    <w:tbl>
      <w:tblPr>
        <w:tblStyle w:val="Table2"/>
        <w:tblW w:w="1420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40"/>
        <w:gridCol w:w="4020"/>
        <w:gridCol w:w="5205"/>
        <w:gridCol w:w="4140"/>
        <w:tblGridChange w:id="0">
          <w:tblGrid>
            <w:gridCol w:w="840"/>
            <w:gridCol w:w="4020"/>
            <w:gridCol w:w="5205"/>
            <w:gridCol w:w="4140"/>
          </w:tblGrid>
        </w:tblGridChange>
      </w:tblGrid>
      <w:tr>
        <w:trPr>
          <w:cantSplit w:val="0"/>
          <w:trHeight w:val="398" w:hRule="atLeast"/>
          <w:tblHeader w:val="0"/>
        </w:trPr>
        <w:tc>
          <w:tcPr>
            <w:vAlign w:val="center"/>
            <w:shd w:fill="B7DEE8"/>
          </w:tcPr>
          <w:p>
            <w:pPr>
              <w:jc w:val="left"/>
            </w:pPr>
            <w:r/>
            <w:r>
              <w:rPr>
                <w:b/>
                <w:sz w:val="17"/>
              </w:rPr>
              <w:t>S.No</w:t>
            </w:r>
          </w:p>
        </w:tc>
        <w:tc>
          <w:tcPr>
            <w:vAlign w:val="center"/>
            <w:shd w:fill="B7DEE8"/>
          </w:tcPr>
          <w:p>
            <w:pPr>
              <w:jc w:val="left"/>
            </w:pPr>
            <w:r/>
            <w:r>
              <w:rPr>
                <w:b/>
                <w:sz w:val="17"/>
              </w:rPr>
              <w:t>Component</w:t>
            </w:r>
          </w:p>
        </w:tc>
        <w:tc>
          <w:tcPr>
            <w:vAlign w:val="center"/>
            <w:shd w:fill="B7DEE8"/>
          </w:tcPr>
          <w:p>
            <w:pPr>
              <w:jc w:val="left"/>
            </w:pPr>
            <w:r/>
            <w:r>
              <w:rPr>
                <w:b/>
                <w:sz w:val="17"/>
              </w:rPr>
              <w:t>Description</w:t>
            </w:r>
          </w:p>
        </w:tc>
        <w:tc>
          <w:tcPr>
            <w:vAlign w:val="center"/>
            <w:shd w:fill="B7DEE8"/>
          </w:tcPr>
          <w:p>
            <w:pPr>
              <w:jc w:val="left"/>
            </w:pPr>
            <w:r/>
            <w:r>
              <w:rPr>
                <w:b/>
                <w:sz w:val="17"/>
              </w:rPr>
              <w:t>Technology</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1</w:t>
            </w:r>
          </w:p>
        </w:tc>
        <w:tc>
          <w:tcPr>
            <w:vAlign w:val="center"/>
            <w:tcMar>
              <w:top w:w="45" w:type="dxa"/>
              <w:start w:w="55" w:type="dxa"/>
              <w:bottom w:w="45" w:type="dxa"/>
              <w:end w:w="55" w:type="dxa"/>
            </w:tcMar>
          </w:tcPr>
          <w:p>
            <w:pPr>
              <w:jc w:val="left"/>
            </w:pPr>
            <w:r/>
            <w:r>
              <w:rPr>
                <w:b w:val="0"/>
                <w:sz w:val="15"/>
              </w:rPr>
              <w:t>User Interface</w:t>
            </w:r>
          </w:p>
        </w:tc>
        <w:tc>
          <w:tcPr>
            <w:vAlign w:val="center"/>
            <w:tcMar>
              <w:top w:w="45" w:type="dxa"/>
              <w:start w:w="55" w:type="dxa"/>
              <w:bottom w:w="45" w:type="dxa"/>
              <w:end w:w="55" w:type="dxa"/>
            </w:tcMar>
          </w:tcPr>
          <w:p>
            <w:pPr>
              <w:jc w:val="left"/>
            </w:pPr>
            <w:r/>
            <w:r>
              <w:rPr>
                <w:b w:val="0"/>
                <w:sz w:val="15"/>
              </w:rPr>
              <w:t>User uploads the employee spreadsheet and reviews import/transform results.</w:t>
            </w:r>
          </w:p>
        </w:tc>
        <w:tc>
          <w:tcPr>
            <w:vAlign w:val="center"/>
            <w:tcMar>
              <w:top w:w="45" w:type="dxa"/>
              <w:start w:w="55" w:type="dxa"/>
              <w:bottom w:w="45" w:type="dxa"/>
              <w:end w:w="55" w:type="dxa"/>
            </w:tcMar>
          </w:tcPr>
          <w:p>
            <w:pPr>
              <w:jc w:val="left"/>
            </w:pPr>
            <w:r/>
            <w:r>
              <w:rPr>
                <w:b w:val="0"/>
                <w:sz w:val="15"/>
              </w:rPr>
              <w:t>ServiceNow Web UI / Import Set interface</w:t>
            </w:r>
          </w:p>
        </w:tc>
      </w:tr>
      <w:tr>
        <w:trPr>
          <w:cantSplit w:val="0"/>
          <w:trHeight w:val="470" w:hRule="atLeast"/>
          <w:tblHeader w:val="0"/>
        </w:trPr>
        <w:tc>
          <w:tcPr>
            <w:vAlign w:val="center"/>
            <w:tcMar>
              <w:top w:w="45" w:type="dxa"/>
              <w:start w:w="55" w:type="dxa"/>
              <w:bottom w:w="45" w:type="dxa"/>
              <w:end w:w="55" w:type="dxa"/>
            </w:tcMar>
          </w:tcPr>
          <w:p>
            <w:pPr>
              <w:jc w:val="left"/>
            </w:pPr>
            <w:r/>
            <w:r>
              <w:rPr>
                <w:b w:val="0"/>
                <w:sz w:val="15"/>
              </w:rPr>
              <w:t>2</w:t>
            </w:r>
          </w:p>
        </w:tc>
        <w:tc>
          <w:tcPr>
            <w:vAlign w:val="center"/>
            <w:tcMar>
              <w:top w:w="45" w:type="dxa"/>
              <w:start w:w="55" w:type="dxa"/>
              <w:bottom w:w="45" w:type="dxa"/>
              <w:end w:w="55" w:type="dxa"/>
            </w:tcMar>
          </w:tcPr>
          <w:p>
            <w:pPr>
              <w:jc w:val="left"/>
            </w:pPr>
            <w:r/>
            <w:r>
              <w:rPr>
                <w:b w:val="0"/>
                <w:sz w:val="15"/>
              </w:rPr>
              <w:t>Application Logic-1</w:t>
            </w:r>
          </w:p>
        </w:tc>
        <w:tc>
          <w:tcPr>
            <w:vAlign w:val="center"/>
            <w:tcMar>
              <w:top w:w="45" w:type="dxa"/>
              <w:start w:w="55" w:type="dxa"/>
              <w:bottom w:w="45" w:type="dxa"/>
              <w:end w:w="55" w:type="dxa"/>
            </w:tcMar>
          </w:tcPr>
          <w:p>
            <w:pPr>
              <w:jc w:val="left"/>
            </w:pPr>
            <w:r/>
            <w:r>
              <w:rPr>
                <w:b w:val="0"/>
                <w:sz w:val="15"/>
              </w:rPr>
              <w:t>Loads spreadsheet rows into a staging table before transformation.</w:t>
            </w:r>
          </w:p>
        </w:tc>
        <w:tc>
          <w:tcPr>
            <w:vAlign w:val="center"/>
            <w:tcMar>
              <w:top w:w="45" w:type="dxa"/>
              <w:start w:w="55" w:type="dxa"/>
              <w:bottom w:w="45" w:type="dxa"/>
              <w:end w:w="55" w:type="dxa"/>
            </w:tcMar>
          </w:tcPr>
          <w:p>
            <w:pPr>
              <w:jc w:val="left"/>
            </w:pPr>
            <w:r/>
            <w:r>
              <w:rPr>
                <w:b w:val="0"/>
                <w:sz w:val="15"/>
              </w:rPr>
              <w:t>ServiceNow Import Sets</w:t>
            </w:r>
          </w:p>
        </w:tc>
      </w:tr>
      <w:tr>
        <w:trPr>
          <w:cantSplit w:val="0"/>
          <w:trHeight w:val="470" w:hRule="atLeast"/>
          <w:tblHeader w:val="0"/>
        </w:trPr>
        <w:tc>
          <w:tcPr>
            <w:vAlign w:val="center"/>
            <w:tcMar>
              <w:top w:w="45" w:type="dxa"/>
              <w:start w:w="55" w:type="dxa"/>
              <w:bottom w:w="45" w:type="dxa"/>
              <w:end w:w="55" w:type="dxa"/>
            </w:tcMar>
          </w:tcPr>
          <w:p>
            <w:pPr>
              <w:jc w:val="left"/>
            </w:pPr>
            <w:r/>
            <w:r>
              <w:rPr>
                <w:b w:val="0"/>
                <w:sz w:val="15"/>
              </w:rPr>
              <w:t>3</w:t>
            </w:r>
          </w:p>
        </w:tc>
        <w:tc>
          <w:tcPr>
            <w:vAlign w:val="center"/>
            <w:tcMar>
              <w:top w:w="45" w:type="dxa"/>
              <w:start w:w="55" w:type="dxa"/>
              <w:bottom w:w="45" w:type="dxa"/>
              <w:end w:w="55" w:type="dxa"/>
            </w:tcMar>
          </w:tcPr>
          <w:p>
            <w:pPr>
              <w:jc w:val="left"/>
            </w:pPr>
            <w:r/>
            <w:r>
              <w:rPr>
                <w:b w:val="0"/>
                <w:sz w:val="15"/>
              </w:rPr>
              <w:t>Application Logic-2</w:t>
            </w:r>
          </w:p>
        </w:tc>
        <w:tc>
          <w:tcPr>
            <w:vAlign w:val="center"/>
            <w:tcMar>
              <w:top w:w="45" w:type="dxa"/>
              <w:start w:w="55" w:type="dxa"/>
              <w:bottom w:w="45" w:type="dxa"/>
              <w:end w:w="55" w:type="dxa"/>
            </w:tcMar>
          </w:tcPr>
          <w:p>
            <w:pPr>
              <w:jc w:val="left"/>
            </w:pPr>
            <w:r/>
            <w:r>
              <w:rPr>
                <w:b w:val="0"/>
                <w:sz w:val="15"/>
              </w:rPr>
              <w:t>Maps source spreadsheet fields to target-table fields and applies transformation rules.</w:t>
            </w:r>
          </w:p>
        </w:tc>
        <w:tc>
          <w:tcPr>
            <w:vAlign w:val="center"/>
            <w:tcMar>
              <w:top w:w="45" w:type="dxa"/>
              <w:start w:w="55" w:type="dxa"/>
              <w:bottom w:w="45" w:type="dxa"/>
              <w:end w:w="55" w:type="dxa"/>
            </w:tcMar>
          </w:tcPr>
          <w:p>
            <w:pPr>
              <w:jc w:val="left"/>
            </w:pPr>
            <w:r/>
            <w:r>
              <w:rPr>
                <w:b w:val="0"/>
                <w:sz w:val="15"/>
              </w:rPr>
              <w:t>ServiceNow Transform Maps / Field Maps</w:t>
            </w:r>
          </w:p>
        </w:tc>
      </w:tr>
      <w:tr>
        <w:trPr>
          <w:cantSplit w:val="0"/>
          <w:trHeight w:val="470" w:hRule="atLeast"/>
          <w:tblHeader w:val="0"/>
        </w:trPr>
        <w:tc>
          <w:tcPr>
            <w:vAlign w:val="center"/>
            <w:tcMar>
              <w:top w:w="45" w:type="dxa"/>
              <w:start w:w="55" w:type="dxa"/>
              <w:bottom w:w="45" w:type="dxa"/>
              <w:end w:w="55" w:type="dxa"/>
            </w:tcMar>
          </w:tcPr>
          <w:p>
            <w:pPr>
              <w:jc w:val="left"/>
            </w:pPr>
            <w:r/>
            <w:r>
              <w:rPr>
                <w:b w:val="0"/>
                <w:sz w:val="15"/>
              </w:rPr>
              <w:t>4</w:t>
            </w:r>
          </w:p>
        </w:tc>
        <w:tc>
          <w:tcPr>
            <w:vAlign w:val="center"/>
            <w:tcMar>
              <w:top w:w="45" w:type="dxa"/>
              <w:start w:w="55" w:type="dxa"/>
              <w:bottom w:w="45" w:type="dxa"/>
              <w:end w:w="55" w:type="dxa"/>
            </w:tcMar>
          </w:tcPr>
          <w:p>
            <w:pPr>
              <w:jc w:val="left"/>
            </w:pPr>
            <w:r/>
            <w:r>
              <w:rPr>
                <w:b w:val="0"/>
                <w:sz w:val="15"/>
              </w:rPr>
              <w:t>Application Logic-3</w:t>
            </w:r>
          </w:p>
        </w:tc>
        <w:tc>
          <w:tcPr>
            <w:vAlign w:val="center"/>
            <w:tcMar>
              <w:top w:w="45" w:type="dxa"/>
              <w:start w:w="55" w:type="dxa"/>
              <w:bottom w:w="45" w:type="dxa"/>
              <w:end w:w="55" w:type="dxa"/>
            </w:tcMar>
          </w:tcPr>
          <w:p>
            <w:pPr>
              <w:jc w:val="left"/>
            </w:pPr>
            <w:r/>
            <w:r>
              <w:rPr>
                <w:b w:val="0"/>
                <w:sz w:val="15"/>
              </w:rPr>
              <w:t>Executes the transformation, handles row-level results, and records import status/errors.</w:t>
            </w:r>
          </w:p>
        </w:tc>
        <w:tc>
          <w:tcPr>
            <w:vAlign w:val="center"/>
            <w:tcMar>
              <w:top w:w="45" w:type="dxa"/>
              <w:start w:w="55" w:type="dxa"/>
              <w:bottom w:w="45" w:type="dxa"/>
              <w:end w:w="55" w:type="dxa"/>
            </w:tcMar>
          </w:tcPr>
          <w:p>
            <w:pPr>
              <w:jc w:val="left"/>
            </w:pPr>
            <w:r/>
            <w:r>
              <w:rPr>
                <w:b w:val="0"/>
                <w:sz w:val="15"/>
              </w:rPr>
              <w:t>ServiceNow Transform Engine / Import Logs</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5</w:t>
            </w:r>
          </w:p>
        </w:tc>
        <w:tc>
          <w:tcPr>
            <w:vAlign w:val="center"/>
            <w:tcMar>
              <w:top w:w="45" w:type="dxa"/>
              <w:start w:w="55" w:type="dxa"/>
              <w:bottom w:w="45" w:type="dxa"/>
              <w:end w:w="55" w:type="dxa"/>
            </w:tcMar>
          </w:tcPr>
          <w:p>
            <w:pPr>
              <w:jc w:val="left"/>
            </w:pPr>
            <w:r/>
            <w:r>
              <w:rPr>
                <w:b w:val="0"/>
                <w:sz w:val="15"/>
              </w:rPr>
              <w:t>Database</w:t>
            </w:r>
          </w:p>
        </w:tc>
        <w:tc>
          <w:tcPr>
            <w:vAlign w:val="center"/>
            <w:tcMar>
              <w:top w:w="45" w:type="dxa"/>
              <w:start w:w="55" w:type="dxa"/>
              <w:bottom w:w="45" w:type="dxa"/>
              <w:end w:w="55" w:type="dxa"/>
            </w:tcMar>
          </w:tcPr>
          <w:p>
            <w:pPr>
              <w:jc w:val="left"/>
            </w:pPr>
            <w:r/>
            <w:r>
              <w:rPr>
                <w:b w:val="0"/>
                <w:sz w:val="15"/>
              </w:rPr>
              <w:t>Stores staging records, transformed employee records, configuration and logs within the platform.</w:t>
            </w:r>
          </w:p>
        </w:tc>
        <w:tc>
          <w:tcPr>
            <w:vAlign w:val="center"/>
            <w:tcMar>
              <w:top w:w="45" w:type="dxa"/>
              <w:start w:w="55" w:type="dxa"/>
              <w:bottom w:w="45" w:type="dxa"/>
              <w:end w:w="55" w:type="dxa"/>
            </w:tcMar>
          </w:tcPr>
          <w:p>
            <w:pPr>
              <w:jc w:val="left"/>
            </w:pPr>
            <w:r/>
            <w:r>
              <w:rPr>
                <w:b w:val="0"/>
                <w:sz w:val="15"/>
              </w:rPr>
              <w:t>ServiceNow platform database / tables</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6</w:t>
            </w:r>
          </w:p>
        </w:tc>
        <w:tc>
          <w:tcPr>
            <w:vAlign w:val="center"/>
            <w:tcMar>
              <w:top w:w="45" w:type="dxa"/>
              <w:start w:w="55" w:type="dxa"/>
              <w:bottom w:w="45" w:type="dxa"/>
              <w:end w:w="55" w:type="dxa"/>
            </w:tcMar>
          </w:tcPr>
          <w:p>
            <w:pPr>
              <w:jc w:val="left"/>
            </w:pPr>
            <w:r/>
            <w:r>
              <w:rPr>
                <w:b w:val="0"/>
                <w:sz w:val="15"/>
              </w:rPr>
              <w:t>Cloud Database</w:t>
            </w:r>
          </w:p>
        </w:tc>
        <w:tc>
          <w:tcPr>
            <w:vAlign w:val="center"/>
            <w:tcMar>
              <w:top w:w="45" w:type="dxa"/>
              <w:start w:w="55" w:type="dxa"/>
              <w:bottom w:w="45" w:type="dxa"/>
              <w:end w:w="55" w:type="dxa"/>
            </w:tcMar>
          </w:tcPr>
          <w:p>
            <w:pPr>
              <w:jc w:val="left"/>
            </w:pPr>
            <w:r/>
            <w:r>
              <w:rPr>
                <w:b w:val="0"/>
                <w:sz w:val="15"/>
              </w:rPr>
              <w:t>Managed persistence used by the ServiceNow SaaS platform; direct database administration is not required.</w:t>
            </w:r>
          </w:p>
        </w:tc>
        <w:tc>
          <w:tcPr>
            <w:vAlign w:val="center"/>
            <w:tcMar>
              <w:top w:w="45" w:type="dxa"/>
              <w:start w:w="55" w:type="dxa"/>
              <w:bottom w:w="45" w:type="dxa"/>
              <w:end w:w="55" w:type="dxa"/>
            </w:tcMar>
          </w:tcPr>
          <w:p>
            <w:pPr>
              <w:jc w:val="left"/>
            </w:pPr>
            <w:r/>
            <w:r>
              <w:rPr>
                <w:b w:val="0"/>
                <w:sz w:val="15"/>
              </w:rPr>
              <w:t>ServiceNow managed cloud database</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7</w:t>
            </w:r>
          </w:p>
        </w:tc>
        <w:tc>
          <w:tcPr>
            <w:vAlign w:val="center"/>
            <w:tcMar>
              <w:top w:w="45" w:type="dxa"/>
              <w:start w:w="55" w:type="dxa"/>
              <w:bottom w:w="45" w:type="dxa"/>
              <w:end w:w="55" w:type="dxa"/>
            </w:tcMar>
          </w:tcPr>
          <w:p>
            <w:pPr>
              <w:jc w:val="left"/>
            </w:pPr>
            <w:r/>
            <w:r>
              <w:rPr>
                <w:b w:val="0"/>
                <w:sz w:val="15"/>
              </w:rPr>
              <w:t>File Storage</w:t>
            </w:r>
          </w:p>
        </w:tc>
        <w:tc>
          <w:tcPr>
            <w:vAlign w:val="center"/>
            <w:tcMar>
              <w:top w:w="45" w:type="dxa"/>
              <w:start w:w="55" w:type="dxa"/>
              <w:bottom w:w="45" w:type="dxa"/>
              <w:end w:w="55" w:type="dxa"/>
            </w:tcMar>
          </w:tcPr>
          <w:p>
            <w:pPr>
              <w:jc w:val="left"/>
            </w:pPr>
            <w:r/>
            <w:r>
              <w:rPr>
                <w:b w:val="0"/>
                <w:sz w:val="15"/>
              </w:rPr>
              <w:t>Source spreadsheet is provided as an uploaded Excel/CSV file for the import process.</w:t>
            </w:r>
          </w:p>
        </w:tc>
        <w:tc>
          <w:tcPr>
            <w:vAlign w:val="center"/>
            <w:tcMar>
              <w:top w:w="45" w:type="dxa"/>
              <w:start w:w="55" w:type="dxa"/>
              <w:bottom w:w="45" w:type="dxa"/>
              <w:end w:w="55" w:type="dxa"/>
            </w:tcMar>
          </w:tcPr>
          <w:p>
            <w:pPr>
              <w:jc w:val="left"/>
            </w:pPr>
            <w:r/>
            <w:r>
              <w:rPr>
                <w:b w:val="0"/>
                <w:sz w:val="15"/>
              </w:rPr>
              <w:t>User local file + ServiceNow import attachment/storage</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8</w:t>
            </w:r>
          </w:p>
        </w:tc>
        <w:tc>
          <w:tcPr>
            <w:vAlign w:val="center"/>
            <w:tcMar>
              <w:top w:w="45" w:type="dxa"/>
              <w:start w:w="55" w:type="dxa"/>
              <w:bottom w:w="45" w:type="dxa"/>
              <w:end w:w="55" w:type="dxa"/>
            </w:tcMar>
          </w:tcPr>
          <w:p>
            <w:pPr>
              <w:jc w:val="left"/>
            </w:pPr>
            <w:r/>
            <w:r>
              <w:rPr>
                <w:b w:val="0"/>
                <w:sz w:val="15"/>
              </w:rPr>
              <w:t>External API-1</w:t>
            </w:r>
          </w:p>
        </w:tc>
        <w:tc>
          <w:tcPr>
            <w:vAlign w:val="center"/>
            <w:tcMar>
              <w:top w:w="45" w:type="dxa"/>
              <w:start w:w="55" w:type="dxa"/>
              <w:bottom w:w="45" w:type="dxa"/>
              <w:end w:w="55" w:type="dxa"/>
            </w:tcMar>
          </w:tcPr>
          <w:p>
            <w:pPr>
              <w:jc w:val="left"/>
            </w:pPr>
            <w:r/>
            <w:r>
              <w:rPr>
                <w:b w:val="0"/>
                <w:sz w:val="15"/>
              </w:rPr>
              <w:t>No external API is required for the core spreadsheet import workflow.</w:t>
            </w:r>
          </w:p>
        </w:tc>
        <w:tc>
          <w:tcPr>
            <w:vAlign w:val="center"/>
            <w:tcMar>
              <w:top w:w="45" w:type="dxa"/>
              <w:start w:w="55" w:type="dxa"/>
              <w:bottom w:w="45" w:type="dxa"/>
              <w:end w:w="55" w:type="dxa"/>
            </w:tcMar>
          </w:tcPr>
          <w:p>
            <w:pPr>
              <w:jc w:val="left"/>
            </w:pPr>
            <w:r/>
            <w:r>
              <w:rPr>
                <w:b w:val="0"/>
                <w:sz w:val="15"/>
              </w:rPr>
              <w:t>Not Applicable</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9</w:t>
            </w:r>
          </w:p>
        </w:tc>
        <w:tc>
          <w:tcPr>
            <w:vAlign w:val="center"/>
            <w:tcMar>
              <w:top w:w="45" w:type="dxa"/>
              <w:start w:w="55" w:type="dxa"/>
              <w:bottom w:w="45" w:type="dxa"/>
              <w:end w:w="55" w:type="dxa"/>
            </w:tcMar>
          </w:tcPr>
          <w:p>
            <w:pPr>
              <w:jc w:val="left"/>
            </w:pPr>
            <w:r/>
            <w:r>
              <w:rPr>
                <w:b w:val="0"/>
                <w:sz w:val="15"/>
              </w:rPr>
              <w:t>External API-2</w:t>
            </w:r>
          </w:p>
        </w:tc>
        <w:tc>
          <w:tcPr>
            <w:vAlign w:val="center"/>
            <w:tcMar>
              <w:top w:w="45" w:type="dxa"/>
              <w:start w:w="55" w:type="dxa"/>
              <w:bottom w:w="45" w:type="dxa"/>
              <w:end w:w="55" w:type="dxa"/>
            </w:tcMar>
          </w:tcPr>
          <w:p>
            <w:pPr>
              <w:jc w:val="left"/>
            </w:pPr>
            <w:r/>
            <w:r>
              <w:rPr>
                <w:b w:val="0"/>
                <w:sz w:val="15"/>
              </w:rPr>
              <w:t>No second external API is required; the process is contained within ServiceNow.</w:t>
            </w:r>
          </w:p>
        </w:tc>
        <w:tc>
          <w:tcPr>
            <w:vAlign w:val="center"/>
            <w:tcMar>
              <w:top w:w="45" w:type="dxa"/>
              <w:start w:w="55" w:type="dxa"/>
              <w:bottom w:w="45" w:type="dxa"/>
              <w:end w:w="55" w:type="dxa"/>
            </w:tcMar>
          </w:tcPr>
          <w:p>
            <w:pPr>
              <w:jc w:val="left"/>
            </w:pPr>
            <w:r/>
            <w:r>
              <w:rPr>
                <w:b w:val="0"/>
                <w:sz w:val="15"/>
              </w:rPr>
              <w:t>Not Applicable</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10</w:t>
            </w:r>
          </w:p>
        </w:tc>
        <w:tc>
          <w:tcPr>
            <w:vAlign w:val="center"/>
            <w:tcMar>
              <w:top w:w="45" w:type="dxa"/>
              <w:start w:w="55" w:type="dxa"/>
              <w:bottom w:w="45" w:type="dxa"/>
              <w:end w:w="55" w:type="dxa"/>
            </w:tcMar>
          </w:tcPr>
          <w:p>
            <w:pPr>
              <w:jc w:val="left"/>
            </w:pPr>
            <w:r/>
            <w:r>
              <w:rPr>
                <w:b w:val="0"/>
                <w:sz w:val="15"/>
              </w:rPr>
              <w:t>Machine Learning Model</w:t>
            </w:r>
          </w:p>
        </w:tc>
        <w:tc>
          <w:tcPr>
            <w:vAlign w:val="center"/>
            <w:tcMar>
              <w:top w:w="45" w:type="dxa"/>
              <w:start w:w="55" w:type="dxa"/>
              <w:bottom w:w="45" w:type="dxa"/>
              <w:end w:w="55" w:type="dxa"/>
            </w:tcMar>
          </w:tcPr>
          <w:p>
            <w:pPr>
              <w:jc w:val="left"/>
            </w:pPr>
            <w:r/>
            <w:r>
              <w:rPr>
                <w:b w:val="0"/>
                <w:sz w:val="15"/>
              </w:rPr>
              <w:t>No machine-learning model is required for deterministic field mapping and data transformation.</w:t>
            </w:r>
          </w:p>
        </w:tc>
        <w:tc>
          <w:tcPr>
            <w:vAlign w:val="center"/>
            <w:tcMar>
              <w:top w:w="45" w:type="dxa"/>
              <w:start w:w="55" w:type="dxa"/>
              <w:bottom w:w="45" w:type="dxa"/>
              <w:end w:w="55" w:type="dxa"/>
            </w:tcMar>
          </w:tcPr>
          <w:p>
            <w:pPr>
              <w:jc w:val="left"/>
            </w:pPr>
            <w:r/>
            <w:r>
              <w:rPr>
                <w:b w:val="0"/>
                <w:sz w:val="15"/>
              </w:rPr>
              <w:t>Not Applicable</w:t>
            </w:r>
          </w:p>
        </w:tc>
      </w:tr>
      <w:tr>
        <w:trPr>
          <w:cantSplit w:val="0"/>
          <w:trHeight w:val="489" w:hRule="atLeast"/>
          <w:tblHeader w:val="0"/>
        </w:trPr>
        <w:tc>
          <w:tcPr>
            <w:vAlign w:val="center"/>
            <w:tcMar>
              <w:top w:w="45" w:type="dxa"/>
              <w:start w:w="55" w:type="dxa"/>
              <w:bottom w:w="45" w:type="dxa"/>
              <w:end w:w="55" w:type="dxa"/>
            </w:tcMar>
          </w:tcPr>
          <w:p>
            <w:pPr>
              <w:jc w:val="left"/>
            </w:pPr>
            <w:r/>
            <w:r>
              <w:rPr>
                <w:b w:val="0"/>
                <w:sz w:val="15"/>
              </w:rPr>
              <w:t>11</w:t>
            </w:r>
          </w:p>
        </w:tc>
        <w:tc>
          <w:tcPr>
            <w:vAlign w:val="center"/>
            <w:tcMar>
              <w:top w:w="45" w:type="dxa"/>
              <w:start w:w="55" w:type="dxa"/>
              <w:bottom w:w="45" w:type="dxa"/>
              <w:end w:w="55" w:type="dxa"/>
            </w:tcMar>
          </w:tcPr>
          <w:p>
            <w:pPr>
              <w:jc w:val="left"/>
            </w:pPr>
            <w:r/>
            <w:r>
              <w:rPr>
                <w:b w:val="0"/>
                <w:sz w:val="15"/>
              </w:rPr>
              <w:t>Infrastructure (Server / Cloud)</w:t>
            </w:r>
          </w:p>
        </w:tc>
        <w:tc>
          <w:tcPr>
            <w:vAlign w:val="center"/>
            <w:tcMar>
              <w:top w:w="45" w:type="dxa"/>
              <w:start w:w="55" w:type="dxa"/>
              <w:bottom w:w="45" w:type="dxa"/>
              <w:end w:w="55" w:type="dxa"/>
            </w:tcMar>
          </w:tcPr>
          <w:p>
            <w:pPr>
              <w:jc w:val="left"/>
            </w:pPr>
            <w:r/>
            <w:r>
              <w:rPr>
                <w:b w:val="0"/>
                <w:sz w:val="15"/>
              </w:rPr>
              <w:t>ServiceNow provides the application runtime and managed cloud infrastructure.</w:t>
            </w:r>
          </w:p>
        </w:tc>
        <w:tc>
          <w:tcPr>
            <w:vAlign w:val="center"/>
            <w:tcMar>
              <w:top w:w="45" w:type="dxa"/>
              <w:start w:w="55" w:type="dxa"/>
              <w:bottom w:w="45" w:type="dxa"/>
              <w:end w:w="55" w:type="dxa"/>
            </w:tcMar>
          </w:tcPr>
          <w:p>
            <w:pPr>
              <w:jc w:val="left"/>
            </w:pPr>
            <w:r/>
            <w:r>
              <w:rPr>
                <w:b w:val="0"/>
                <w:sz w:val="15"/>
              </w:rPr>
              <w:t>ServiceNow Cloud / SaaS</w:t>
            </w:r>
          </w:p>
        </w:tc>
      </w:tr>
    </w:tbl>
    <w:p w:rsidR="00000000" w:rsidDel="00000000" w:rsidP="00000000" w:rsidRDefault="00000000" w:rsidRPr="00000000" w14:paraId="00000050">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51">
      <w:pPr>
        <w:tabs>
          <w:tab w:val="left" w:leader="none" w:pos="2320"/>
        </w:tabs>
        <w:rPr>
          <w:rFonts w:ascii="Arial" w:cs="Arial" w:eastAsia="Arial" w:hAnsi="Arial"/>
          <w:b w:val="1"/>
        </w:rPr>
      </w:pPr>
      <w:r w:rsidDel="00000000" w:rsidR="00000000" w:rsidRPr="00000000">
        <w:rPr>
          <w:rFonts w:ascii="Arial" w:cs="Arial" w:eastAsia="Arial" w:hAnsi="Arial"/>
          <w:b w:val="1"/>
          <w:sz w:val="18"/>
          <w:rtl w:val="0"/>
        </w:rPr>
        <w:t xml:space="preserve">Table-2: Application Characteristics:</w:t>
      </w:r>
    </w:p>
    <w:tbl>
      <w:tblPr>
        <w:tblStyle w:val="Table3"/>
        <w:tblW w:w="1406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0"/>
          <w:trHeight w:val="539" w:hRule="atLeast"/>
          <w:tblHeader w:val="1"/>
        </w:trPr>
        <w:tc>
          <w:tcPr>
            <w:vAlign w:val="center"/>
            <w:shd w:fill="B7DEE8"/>
          </w:tcPr>
          <w:p>
            <w:pPr>
              <w:jc w:val="left"/>
            </w:pPr>
            <w:r/>
            <w:r>
              <w:rPr>
                <w:b/>
                <w:sz w:val="17"/>
              </w:rPr>
              <w:t>S.No</w:t>
            </w:r>
          </w:p>
        </w:tc>
        <w:tc>
          <w:tcPr>
            <w:vAlign w:val="center"/>
            <w:shd w:fill="B7DEE8"/>
          </w:tcPr>
          <w:p>
            <w:pPr>
              <w:jc w:val="left"/>
            </w:pPr>
            <w:r/>
            <w:r>
              <w:rPr>
                <w:b/>
                <w:sz w:val="17"/>
              </w:rPr>
              <w:t>Characteristics</w:t>
            </w:r>
          </w:p>
        </w:tc>
        <w:tc>
          <w:tcPr>
            <w:vAlign w:val="center"/>
            <w:shd w:fill="B7DEE8"/>
          </w:tcPr>
          <w:p>
            <w:pPr>
              <w:jc w:val="left"/>
            </w:pPr>
            <w:r/>
            <w:r>
              <w:rPr>
                <w:b/>
                <w:sz w:val="17"/>
              </w:rPr>
              <w:t>Description</w:t>
            </w:r>
          </w:p>
        </w:tc>
        <w:tc>
          <w:tcPr>
            <w:vAlign w:val="center"/>
            <w:shd w:fill="B7DEE8"/>
          </w:tcPr>
          <w:p>
            <w:pPr>
              <w:jc w:val="left"/>
            </w:pPr>
            <w:r/>
            <w:r>
              <w:rPr>
                <w:b/>
                <w:sz w:val="17"/>
              </w:rPr>
              <w:t>Technology</w:t>
            </w:r>
          </w:p>
        </w:tc>
      </w:tr>
      <w:tr>
        <w:trPr>
          <w:cantSplit w:val="0"/>
          <w:trHeight w:val="229" w:hRule="atLeast"/>
          <w:tblHeader w:val="0"/>
        </w:trPr>
        <w:tc>
          <w:tcPr>
            <w:vAlign w:val="center"/>
            <w:tcMar>
              <w:top w:w="45" w:type="dxa"/>
              <w:start w:w="55" w:type="dxa"/>
              <w:bottom w:w="45" w:type="dxa"/>
              <w:end w:w="55" w:type="dxa"/>
            </w:tcMar>
          </w:tcPr>
          <w:p>
            <w:pPr>
              <w:jc w:val="left"/>
            </w:pPr>
            <w:r/>
            <w:r>
              <w:rPr>
                <w:b w:val="0"/>
                <w:sz w:val="15"/>
              </w:rPr>
              <w:t>1</w:t>
            </w:r>
          </w:p>
        </w:tc>
        <w:tc>
          <w:tcPr>
            <w:vAlign w:val="center"/>
            <w:tcMar>
              <w:top w:w="45" w:type="dxa"/>
              <w:start w:w="55" w:type="dxa"/>
              <w:bottom w:w="45" w:type="dxa"/>
              <w:end w:w="55" w:type="dxa"/>
            </w:tcMar>
          </w:tcPr>
          <w:p>
            <w:pPr>
              <w:jc w:val="left"/>
            </w:pPr>
            <w:r/>
            <w:r>
              <w:rPr>
                <w:b w:val="0"/>
                <w:sz w:val="15"/>
              </w:rPr>
              <w:t>Open-Source Frameworks</w:t>
            </w:r>
          </w:p>
        </w:tc>
        <w:tc>
          <w:tcPr>
            <w:vAlign w:val="center"/>
            <w:tcMar>
              <w:top w:w="45" w:type="dxa"/>
              <w:start w:w="55" w:type="dxa"/>
              <w:bottom w:w="45" w:type="dxa"/>
              <w:end w:w="55" w:type="dxa"/>
            </w:tcMar>
          </w:tcPr>
          <w:p>
            <w:pPr>
              <w:jc w:val="left"/>
            </w:pPr>
            <w:r/>
            <w:r>
              <w:rPr>
                <w:b w:val="0"/>
                <w:sz w:val="15"/>
              </w:rPr>
              <w:t>No separate open-source application framework is required; the solution uses native ServiceNow platform features.</w:t>
            </w:r>
          </w:p>
        </w:tc>
        <w:tc>
          <w:tcPr>
            <w:vAlign w:val="center"/>
            <w:tcMar>
              <w:top w:w="45" w:type="dxa"/>
              <w:start w:w="55" w:type="dxa"/>
              <w:bottom w:w="45" w:type="dxa"/>
              <w:end w:w="55" w:type="dxa"/>
            </w:tcMar>
          </w:tcPr>
          <w:p>
            <w:pPr>
              <w:jc w:val="left"/>
            </w:pPr>
            <w:r/>
            <w:r>
              <w:rPr>
                <w:b w:val="0"/>
                <w:sz w:val="15"/>
              </w:rPr>
              <w:t>ServiceNow platform capabilities</w:t>
            </w:r>
          </w:p>
        </w:tc>
      </w:tr>
      <w:tr>
        <w:trPr>
          <w:cantSplit w:val="0"/>
          <w:trHeight w:val="229" w:hRule="atLeast"/>
          <w:tblHeader w:val="0"/>
        </w:trPr>
        <w:tc>
          <w:tcPr>
            <w:vAlign w:val="center"/>
            <w:tcMar>
              <w:top w:w="45" w:type="dxa"/>
              <w:start w:w="55" w:type="dxa"/>
              <w:bottom w:w="45" w:type="dxa"/>
              <w:end w:w="55" w:type="dxa"/>
            </w:tcMar>
          </w:tcPr>
          <w:p>
            <w:pPr>
              <w:jc w:val="left"/>
            </w:pPr>
            <w:r/>
            <w:r>
              <w:rPr>
                <w:b w:val="0"/>
                <w:sz w:val="15"/>
              </w:rPr>
              <w:t>2</w:t>
            </w:r>
          </w:p>
        </w:tc>
        <w:tc>
          <w:tcPr>
            <w:vAlign w:val="center"/>
            <w:tcMar>
              <w:top w:w="45" w:type="dxa"/>
              <w:start w:w="55" w:type="dxa"/>
              <w:bottom w:w="45" w:type="dxa"/>
              <w:end w:w="55" w:type="dxa"/>
            </w:tcMar>
          </w:tcPr>
          <w:p>
            <w:pPr>
              <w:jc w:val="left"/>
            </w:pPr>
            <w:r/>
            <w:r>
              <w:rPr>
                <w:b w:val="0"/>
                <w:sz w:val="15"/>
              </w:rPr>
              <w:t>Security Implementations</w:t>
            </w:r>
          </w:p>
        </w:tc>
        <w:tc>
          <w:tcPr>
            <w:vAlign w:val="center"/>
            <w:tcMar>
              <w:top w:w="45" w:type="dxa"/>
              <w:start w:w="55" w:type="dxa"/>
              <w:bottom w:w="45" w:type="dxa"/>
              <w:end w:w="55" w:type="dxa"/>
            </w:tcMar>
          </w:tcPr>
          <w:p>
            <w:pPr>
              <w:jc w:val="left"/>
            </w:pPr>
            <w:r/>
            <w:r>
              <w:rPr>
                <w:b w:val="0"/>
                <w:sz w:val="15"/>
              </w:rPr>
              <w:t>Access is controlled through ServiceNow users, roles and ACLs. Data is transferred over secure HTTPS/TLS connections and import access is limited to authorized users.</w:t>
            </w:r>
          </w:p>
        </w:tc>
        <w:tc>
          <w:tcPr>
            <w:vAlign w:val="center"/>
            <w:tcMar>
              <w:top w:w="45" w:type="dxa"/>
              <w:start w:w="55" w:type="dxa"/>
              <w:bottom w:w="45" w:type="dxa"/>
              <w:end w:w="55" w:type="dxa"/>
            </w:tcMar>
          </w:tcPr>
          <w:p>
            <w:pPr>
              <w:jc w:val="left"/>
            </w:pPr>
            <w:r/>
            <w:r>
              <w:rPr>
                <w:b w:val="0"/>
                <w:sz w:val="15"/>
              </w:rPr>
              <w:t>ServiceNow Roles &amp; ACLs; HTTPS/TLS</w:t>
            </w:r>
          </w:p>
        </w:tc>
      </w:tr>
      <w:tr>
        <w:trPr>
          <w:cantSplit w:val="0"/>
          <w:trHeight w:val="229" w:hRule="atLeast"/>
          <w:tblHeader w:val="0"/>
        </w:trPr>
        <w:tc>
          <w:tcPr>
            <w:vAlign w:val="center"/>
            <w:tcMar>
              <w:top w:w="45" w:type="dxa"/>
              <w:start w:w="55" w:type="dxa"/>
              <w:bottom w:w="45" w:type="dxa"/>
              <w:end w:w="55" w:type="dxa"/>
            </w:tcMar>
          </w:tcPr>
          <w:p>
            <w:pPr>
              <w:jc w:val="left"/>
            </w:pPr>
            <w:r/>
            <w:r>
              <w:rPr>
                <w:b w:val="0"/>
                <w:sz w:val="15"/>
              </w:rPr>
              <w:t>3</w:t>
            </w:r>
          </w:p>
        </w:tc>
        <w:tc>
          <w:tcPr>
            <w:vAlign w:val="center"/>
            <w:tcMar>
              <w:top w:w="45" w:type="dxa"/>
              <w:start w:w="55" w:type="dxa"/>
              <w:bottom w:w="45" w:type="dxa"/>
              <w:end w:w="55" w:type="dxa"/>
            </w:tcMar>
          </w:tcPr>
          <w:p>
            <w:pPr>
              <w:jc w:val="left"/>
            </w:pPr>
            <w:r/>
            <w:r>
              <w:rPr>
                <w:b w:val="0"/>
                <w:sz w:val="15"/>
              </w:rPr>
              <w:t>Scalable Architecture</w:t>
            </w:r>
          </w:p>
        </w:tc>
        <w:tc>
          <w:tcPr>
            <w:vAlign w:val="center"/>
            <w:tcMar>
              <w:top w:w="45" w:type="dxa"/>
              <w:start w:w="55" w:type="dxa"/>
              <w:bottom w:w="45" w:type="dxa"/>
              <w:end w:w="55" w:type="dxa"/>
            </w:tcMar>
          </w:tcPr>
          <w:p>
            <w:pPr>
              <w:jc w:val="left"/>
            </w:pPr>
            <w:r/>
            <w:r>
              <w:rPr>
                <w:b w:val="0"/>
                <w:sz w:val="15"/>
              </w:rPr>
              <w:t>The workflow separates ingestion (Import Set), transformation (Transform Map) and persistence (target table), allowing bulk employee records to be processed without manual record-by-record entry.</w:t>
            </w:r>
          </w:p>
        </w:tc>
        <w:tc>
          <w:tcPr>
            <w:vAlign w:val="center"/>
            <w:tcMar>
              <w:top w:w="45" w:type="dxa"/>
              <w:start w:w="55" w:type="dxa"/>
              <w:bottom w:w="45" w:type="dxa"/>
              <w:end w:w="55" w:type="dxa"/>
            </w:tcMar>
          </w:tcPr>
          <w:p>
            <w:pPr>
              <w:jc w:val="left"/>
            </w:pPr>
            <w:r/>
            <w:r>
              <w:rPr>
                <w:b w:val="0"/>
                <w:sz w:val="15"/>
              </w:rPr>
              <w:t>ServiceNow Import Sets &amp; Transform Maps</w:t>
            </w:r>
          </w:p>
        </w:tc>
      </w:tr>
      <w:tr>
        <w:trPr>
          <w:cantSplit w:val="0"/>
          <w:trHeight w:val="229" w:hRule="atLeast"/>
          <w:tblHeader w:val="0"/>
        </w:trPr>
        <w:tc>
          <w:tcPr>
            <w:vAlign w:val="center"/>
            <w:tcMar>
              <w:top w:w="45" w:type="dxa"/>
              <w:start w:w="55" w:type="dxa"/>
              <w:bottom w:w="45" w:type="dxa"/>
              <w:end w:w="55" w:type="dxa"/>
            </w:tcMar>
          </w:tcPr>
          <w:p>
            <w:pPr>
              <w:jc w:val="left"/>
            </w:pPr>
            <w:r/>
            <w:r>
              <w:rPr>
                <w:b w:val="0"/>
                <w:sz w:val="15"/>
              </w:rPr>
              <w:t>4</w:t>
            </w:r>
          </w:p>
        </w:tc>
        <w:tc>
          <w:tcPr>
            <w:vAlign w:val="center"/>
            <w:tcMar>
              <w:top w:w="45" w:type="dxa"/>
              <w:start w:w="55" w:type="dxa"/>
              <w:bottom w:w="45" w:type="dxa"/>
              <w:end w:w="55" w:type="dxa"/>
            </w:tcMar>
          </w:tcPr>
          <w:p>
            <w:pPr>
              <w:jc w:val="left"/>
            </w:pPr>
            <w:r/>
            <w:r>
              <w:rPr>
                <w:b w:val="0"/>
                <w:sz w:val="15"/>
              </w:rPr>
              <w:t>Availability</w:t>
            </w:r>
          </w:p>
        </w:tc>
        <w:tc>
          <w:tcPr>
            <w:vAlign w:val="center"/>
            <w:tcMar>
              <w:top w:w="45" w:type="dxa"/>
              <w:start w:w="55" w:type="dxa"/>
              <w:bottom w:w="45" w:type="dxa"/>
              <w:end w:w="55" w:type="dxa"/>
            </w:tcMar>
          </w:tcPr>
          <w:p>
            <w:pPr>
              <w:jc w:val="left"/>
            </w:pPr>
            <w:r/>
            <w:r>
              <w:rPr>
                <w:b w:val="0"/>
                <w:sz w:val="15"/>
              </w:rPr>
              <w:t>The application runs on ServiceNow cloud infrastructure, avoiding dependency on a locally hosted application server for the import workflow.</w:t>
            </w:r>
          </w:p>
        </w:tc>
        <w:tc>
          <w:tcPr>
            <w:vAlign w:val="center"/>
            <w:tcMar>
              <w:top w:w="45" w:type="dxa"/>
              <w:start w:w="55" w:type="dxa"/>
              <w:bottom w:w="45" w:type="dxa"/>
              <w:end w:w="55" w:type="dxa"/>
            </w:tcMar>
          </w:tcPr>
          <w:p>
            <w:pPr>
              <w:jc w:val="left"/>
            </w:pPr>
            <w:r/>
            <w:r>
              <w:rPr>
                <w:b w:val="0"/>
                <w:sz w:val="15"/>
              </w:rPr>
              <w:t>ServiceNow Cloud / SaaS</w:t>
            </w:r>
          </w:p>
        </w:tc>
      </w:tr>
      <w:tr>
        <w:trPr>
          <w:cantSplit w:val="0"/>
          <w:trHeight w:val="229" w:hRule="atLeast"/>
          <w:tblHeader w:val="0"/>
        </w:trPr>
        <w:tc>
          <w:tcPr>
            <w:vAlign w:val="center"/>
            <w:tcMar>
              <w:top w:w="45" w:type="dxa"/>
              <w:start w:w="55" w:type="dxa"/>
              <w:bottom w:w="45" w:type="dxa"/>
              <w:end w:w="55" w:type="dxa"/>
            </w:tcMar>
          </w:tcPr>
          <w:p>
            <w:pPr>
              <w:jc w:val="left"/>
            </w:pPr>
            <w:r/>
            <w:r>
              <w:rPr>
                <w:b w:val="0"/>
                <w:sz w:val="15"/>
              </w:rPr>
              <w:t>5</w:t>
            </w:r>
          </w:p>
        </w:tc>
        <w:tc>
          <w:tcPr>
            <w:vAlign w:val="center"/>
            <w:tcMar>
              <w:top w:w="45" w:type="dxa"/>
              <w:start w:w="55" w:type="dxa"/>
              <w:bottom w:w="45" w:type="dxa"/>
              <w:end w:w="55" w:type="dxa"/>
            </w:tcMar>
          </w:tcPr>
          <w:p>
            <w:pPr>
              <w:jc w:val="left"/>
            </w:pPr>
            <w:r/>
            <w:r>
              <w:rPr>
                <w:b w:val="0"/>
                <w:sz w:val="15"/>
              </w:rPr>
              <w:t>Performance</w:t>
            </w:r>
          </w:p>
        </w:tc>
        <w:tc>
          <w:tcPr>
            <w:vAlign w:val="center"/>
            <w:tcMar>
              <w:top w:w="45" w:type="dxa"/>
              <w:start w:w="55" w:type="dxa"/>
              <w:bottom w:w="45" w:type="dxa"/>
              <w:end w:w="55" w:type="dxa"/>
            </w:tcMar>
          </w:tcPr>
          <w:p>
            <w:pPr>
              <w:jc w:val="left"/>
            </w:pPr>
            <w:r/>
            <w:r>
              <w:rPr>
                <w:b w:val="0"/>
                <w:sz w:val="15"/>
              </w:rPr>
              <w:t>Bulk spreadsheet loading, staging, field mapping and transformation reduce manual data entry. Validation and import logs help identify failed rows without repeating the entire process unnecessarily.</w:t>
            </w:r>
          </w:p>
        </w:tc>
        <w:tc>
          <w:tcPr>
            <w:vAlign w:val="center"/>
            <w:tcMar>
              <w:top w:w="45" w:type="dxa"/>
              <w:start w:w="55" w:type="dxa"/>
              <w:bottom w:w="45" w:type="dxa"/>
              <w:end w:w="55" w:type="dxa"/>
            </w:tcMar>
          </w:tcPr>
          <w:p>
            <w:pPr>
              <w:jc w:val="left"/>
            </w:pPr>
            <w:r/>
            <w:r>
              <w:rPr>
                <w:b w:val="0"/>
                <w:sz w:val="15"/>
              </w:rPr>
              <w:t>Import Set batching; Transform Maps; Import Logs</w:t>
            </w:r>
          </w:p>
        </w:tc>
      </w:tr>
    </w:tbl>
    <w:p w:rsidR="00000000" w:rsidDel="00000000" w:rsidP="00000000" w:rsidRDefault="00000000" w:rsidRPr="00000000" w14:paraId="0000006A">
      <w:pPr>
        <w:tabs>
          <w:tab w:val="left" w:leader="none" w:pos="2320"/>
        </w:tabs>
        <w:rPr>
          <w:rFonts w:ascii="Arial" w:cs="Arial" w:eastAsia="Arial" w:hAnsi="Arial"/>
          <w:b w:val="1"/>
        </w:rPr>
      </w:pPr>
      <w:r w:rsidDel="00000000" w:rsidR="00000000" w:rsidRPr="00000000">
        <w:rPr>
          <w:sz w:val="18"/>
          <w:rtl w:val="0"/>
        </w:rPr>
      </w:r>
    </w:p>
    <w:p w:rsidR="00000000" w:rsidDel="00000000" w:rsidP="00000000" w:rsidRDefault="00000000" w:rsidRPr="00000000" w14:paraId="0000006B">
      <w:pPr>
        <w:rPr>
          <w:rFonts w:ascii="Arial" w:cs="Arial" w:eastAsia="Arial" w:hAnsi="Arial"/>
          <w:b w:val="1"/>
        </w:rPr>
      </w:pPr>
      <w:r w:rsidDel="00000000" w:rsidR="00000000" w:rsidRPr="00000000">
        <w:rPr>
          <w:sz w:val="18"/>
          <w:rtl w:val="0"/>
        </w:rPr>
      </w:r>
    </w:p>
    <w:p w:rsidR="00000000" w:rsidDel="00000000" w:rsidP="00000000" w:rsidRDefault="00000000" w:rsidRPr="00000000" w14:paraId="0000006C">
      <w:pPr>
        <w:rPr>
          <w:rFonts w:ascii="Arial" w:cs="Arial" w:eastAsia="Arial" w:hAnsi="Arial"/>
          <w:b w:val="1"/>
        </w:rPr>
      </w:pPr>
      <w:r>
        <w:rPr>
          <w:b/>
          <w:sz w:val="22"/>
        </w:rPr>
        <w:t>References:</w:t>
      </w:r>
    </w:p>
    <w:p w:rsidR="00000000" w:rsidDel="00000000" w:rsidP="00000000" w:rsidRDefault="00000000" w:rsidRPr="00000000" w14:paraId="0000006D">
      <w:pPr>
        <w:rPr>
          <w:rFonts w:ascii="Arial" w:cs="Arial" w:eastAsia="Arial" w:hAnsi="Arial"/>
          <w:b w:val="1"/>
        </w:rPr>
      </w:pPr>
      <w:r>
        <w:rPr>
          <w:b w:val="0"/>
          <w:sz w:val="18"/>
        </w:rPr>
        <w:t>• ServiceNow documentation – Import Sets and Transform Maps</w:t>
      </w:r>
    </w:p>
    <w:p w:rsidR="00000000" w:rsidDel="00000000" w:rsidP="00000000" w:rsidRDefault="00000000" w:rsidRPr="00000000" w14:paraId="0000006E">
      <w:pPr>
        <w:rPr>
          <w:rFonts w:ascii="Arial" w:cs="Arial" w:eastAsia="Arial" w:hAnsi="Arial"/>
          <w:b w:val="1"/>
        </w:rPr>
      </w:pPr>
      <w:r>
        <w:rPr>
          <w:b w:val="0"/>
          <w:sz w:val="18"/>
        </w:rPr>
        <w:t>• ServiceNow platform documentation – Data import, field mapping and transform execution</w:t>
      </w:r>
    </w:p>
    <w:p w:rsidR="00000000" w:rsidDel="00000000" w:rsidP="00000000" w:rsidRDefault="00000000" w:rsidRPr="00000000" w14:paraId="0000006F">
      <w:pPr>
        <w:rPr>
          <w:rFonts w:ascii="Arial" w:cs="Arial" w:eastAsia="Arial" w:hAnsi="Arial"/>
          <w:b w:val="1"/>
        </w:rPr>
      </w:pPr>
      <w:r>
        <w:rPr>
          <w:b w:val="0"/>
          <w:sz w:val="18"/>
        </w:rPr>
        <w:t>• Attached Project Design Phase-II Technology Stack template</w:t>
      </w:r>
    </w:p>
    <w:p w:rsidR="00000000" w:rsidDel="00000000" w:rsidP="00000000" w:rsidRDefault="00000000" w:rsidRPr="00000000" w14:paraId="00000070">
      <w:pPr>
        <w:rPr>
          <w:rFonts w:ascii="Arial" w:cs="Arial" w:eastAsia="Arial" w:hAnsi="Arial"/>
          <w:b w:val="1"/>
        </w:rPr>
      </w:pPr>
      <w:r>
        <w:rPr>
          <w:sz w:val="18"/>
        </w:rPr>
      </w:r>
    </w:p>
    <w:p w:rsidR="00000000" w:rsidDel="00000000" w:rsidP="00000000" w:rsidRDefault="00000000" w:rsidRPr="00000000" w14:paraId="00000071">
      <w:pPr>
        <w:rPr>
          <w:rFonts w:ascii="Arial" w:cs="Arial" w:eastAsia="Arial" w:hAnsi="Arial"/>
          <w:b w:val="1"/>
        </w:rPr>
      </w:pPr>
      <w:r>
        <w:rPr>
          <w:sz w:val="18"/>
        </w:rPr>
      </w:r>
    </w:p>
    <w:p w:rsidR="00000000" w:rsidDel="00000000" w:rsidP="00000000" w:rsidRDefault="00000000" w:rsidRPr="00000000" w14:paraId="00000072">
      <w:pPr>
        <w:rPr>
          <w:rFonts w:ascii="Arial" w:cs="Arial" w:eastAsia="Arial" w:hAnsi="Arial"/>
          <w:b w:val="1"/>
        </w:rPr>
      </w:pPr>
      <w:r>
        <w:rPr>
          <w:sz w:val="18"/>
        </w:rPr>
      </w:r>
    </w:p>
    <w:p w:rsidR="00000000" w:rsidDel="00000000" w:rsidP="00000000" w:rsidRDefault="00000000" w:rsidRPr="00000000" w14:paraId="00000073">
      <w:pPr>
        <w:rPr>
          <w:rFonts w:ascii="Arial" w:cs="Arial" w:eastAsia="Arial" w:hAnsi="Arial"/>
          <w:b w:val="1"/>
        </w:rPr>
      </w:pPr>
      <w:r>
        <w:rPr>
          <w:sz w:val="18"/>
        </w:rPr>
      </w:r>
    </w:p>
    <w:p w:rsidR="00000000" w:rsidDel="00000000" w:rsidP="00000000" w:rsidRDefault="00000000" w:rsidRPr="00000000" w14:paraId="00000074">
      <w:pPr>
        <w:rPr>
          <w:rFonts w:ascii="Arial" w:cs="Arial" w:eastAsia="Arial" w:hAnsi="Arial"/>
          <w:b w:val="1"/>
        </w:rPr>
      </w:pPr>
      <w:r>
        <w:rPr>
          <w:sz w:val="18"/>
        </w:rPr>
      </w:r>
    </w:p>
    <w:p>
      <w:pPr>
        <w:spacing w:before="100"/>
      </w:pPr>
      <w:r>
        <w:rPr>
          <w:b/>
          <w:sz w:val="22"/>
        </w:rPr>
        <w:t>Project Description:</w:t>
      </w:r>
    </w:p>
    <w:p>
      <w:r>
        <w:rPr>
          <w:sz w:val="18"/>
        </w:rPr>
        <w:t>This micro project demonstrates the end-to-end migration of structured employee data from an external spreadsheet into ServiceNow. The spreadsheet is first loaded into an Import Set table that acts as a staging area. A Transform Map is then configured to map source fields to the appropriate target-table fields. After the transformation is executed, records are created in the target table and the import results are reviewed for successful records and errors. The project provides beginners with practical understanding of data loading, field mapping, transformation execution, and result verification in ServiceNow.</w:t>
      </w:r>
    </w:p>
    <w:p>
      <w:r>
        <w:rPr>
          <w:b/>
          <w:sz w:val="22"/>
        </w:rPr>
        <w:t>Architecture Diagram:</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2"/>
        <w:gridCol w:w="3022"/>
        <w:gridCol w:w="3022"/>
        <w:gridCol w:w="3022"/>
        <w:gridCol w:w="3022"/>
      </w:tblGrid>
      <w:tr>
        <w:tc>
          <w:tcPr>
            <w:tcW w:type="dxa" w:w="3022"/>
            <w:vAlign w:val="center"/>
            <w:shd w:fill="EAF3F8"/>
            <w:tcMar>
              <w:top w:w="90" w:type="dxa"/>
              <w:start w:w="70" w:type="dxa"/>
              <w:bottom w:w="90" w:type="dxa"/>
              <w:end w:w="70" w:type="dxa"/>
            </w:tcMar>
          </w:tcPr>
          <w:p>
            <w:pPr>
              <w:jc w:val="left"/>
            </w:pPr>
            <w:r/>
            <w:r>
              <w:rPr>
                <w:b/>
                <w:sz w:val="16"/>
              </w:rPr>
              <w:t>External Spreadsheet</w:t>
              <w:br/>
              <w:t>Excel / CSV</w:t>
            </w:r>
          </w:p>
        </w:tc>
        <w:tc>
          <w:tcPr>
            <w:tcW w:type="dxa" w:w="3022"/>
            <w:vAlign w:val="center"/>
            <w:shd w:fill="EAF3F8"/>
            <w:tcMar>
              <w:top w:w="90" w:type="dxa"/>
              <w:start w:w="70" w:type="dxa"/>
              <w:bottom w:w="90" w:type="dxa"/>
              <w:end w:w="70" w:type="dxa"/>
            </w:tcMar>
          </w:tcPr>
          <w:p>
            <w:pPr>
              <w:jc w:val="left"/>
            </w:pPr>
            <w:r/>
            <w:r>
              <w:rPr>
                <w:b/>
                <w:sz w:val="16"/>
              </w:rPr>
              <w:t>ServiceNow Import</w:t>
              <w:br/>
              <w:t>Interface</w:t>
            </w:r>
          </w:p>
        </w:tc>
        <w:tc>
          <w:tcPr>
            <w:tcW w:type="dxa" w:w="3022"/>
            <w:vAlign w:val="center"/>
            <w:shd w:fill="EAF3F8"/>
            <w:tcMar>
              <w:top w:w="90" w:type="dxa"/>
              <w:start w:w="70" w:type="dxa"/>
              <w:bottom w:w="90" w:type="dxa"/>
              <w:end w:w="70" w:type="dxa"/>
            </w:tcMar>
          </w:tcPr>
          <w:p>
            <w:pPr>
              <w:jc w:val="left"/>
            </w:pPr>
            <w:r/>
            <w:r>
              <w:rPr>
                <w:b/>
                <w:sz w:val="16"/>
              </w:rPr>
              <w:t>Import Set Table</w:t>
              <w:br/>
              <w:t>(Staging)</w:t>
            </w:r>
          </w:p>
        </w:tc>
        <w:tc>
          <w:tcPr>
            <w:tcW w:type="dxa" w:w="3022"/>
            <w:vAlign w:val="center"/>
            <w:shd w:fill="EAF3F8"/>
            <w:tcMar>
              <w:top w:w="90" w:type="dxa"/>
              <w:start w:w="70" w:type="dxa"/>
              <w:bottom w:w="90" w:type="dxa"/>
              <w:end w:w="70" w:type="dxa"/>
            </w:tcMar>
          </w:tcPr>
          <w:p>
            <w:pPr>
              <w:jc w:val="left"/>
            </w:pPr>
            <w:r/>
            <w:r>
              <w:rPr>
                <w:b/>
                <w:sz w:val="16"/>
              </w:rPr>
              <w:t>Transform Map</w:t>
              <w:br/>
              <w:t>(Field Mapping)</w:t>
            </w:r>
          </w:p>
        </w:tc>
        <w:tc>
          <w:tcPr>
            <w:tcW w:type="dxa" w:w="3022"/>
            <w:vAlign w:val="center"/>
            <w:shd w:fill="EAF3F8"/>
            <w:tcMar>
              <w:top w:w="90" w:type="dxa"/>
              <w:start w:w="70" w:type="dxa"/>
              <w:bottom w:w="90" w:type="dxa"/>
              <w:end w:w="70" w:type="dxa"/>
            </w:tcMar>
          </w:tcPr>
          <w:p>
            <w:pPr>
              <w:jc w:val="left"/>
            </w:pPr>
            <w:r/>
            <w:r>
              <w:rPr>
                <w:b/>
                <w:sz w:val="16"/>
              </w:rPr>
              <w:t>Target Table</w:t>
              <w:br/>
              <w:t>Employee / User Records</w:t>
            </w:r>
          </w:p>
        </w:tc>
      </w:tr>
      <w:tr>
        <w:tc>
          <w:tcPr>
            <w:tcW w:type="dxa" w:w="3022"/>
            <w:vAlign w:val="center"/>
          </w:tcPr>
          <w:p>
            <w:pPr>
              <w:jc w:val="center"/>
            </w:pPr>
            <w:r/>
            <w:r>
              <w:rPr>
                <w:b/>
                <w:sz w:val="28"/>
              </w:rPr>
              <w:t>→</w:t>
            </w:r>
          </w:p>
        </w:tc>
        <w:tc>
          <w:tcPr>
            <w:tcW w:type="dxa" w:w="3022"/>
            <w:vAlign w:val="center"/>
          </w:tcPr>
          <w:p>
            <w:pPr>
              <w:jc w:val="center"/>
            </w:pPr>
            <w:r/>
            <w:r>
              <w:rPr>
                <w:b/>
                <w:sz w:val="28"/>
              </w:rPr>
              <w:t>→</w:t>
            </w:r>
          </w:p>
        </w:tc>
        <w:tc>
          <w:tcPr>
            <w:tcW w:type="dxa" w:w="3022"/>
            <w:vAlign w:val="center"/>
          </w:tcPr>
          <w:p>
            <w:pPr>
              <w:jc w:val="center"/>
            </w:pPr>
            <w:r/>
            <w:r>
              <w:rPr>
                <w:b/>
                <w:sz w:val="28"/>
              </w:rPr>
              <w:t>→</w:t>
            </w:r>
          </w:p>
        </w:tc>
        <w:tc>
          <w:tcPr>
            <w:tcW w:type="dxa" w:w="3022"/>
            <w:vAlign w:val="center"/>
          </w:tcPr>
          <w:p>
            <w:pPr>
              <w:jc w:val="center"/>
            </w:pPr>
            <w:r/>
            <w:r>
              <w:rPr>
                <w:b/>
                <w:sz w:val="28"/>
              </w:rPr>
              <w:t>→</w:t>
            </w:r>
          </w:p>
        </w:tc>
        <w:tc>
          <w:tcPr>
            <w:tcW w:type="dxa" w:w="3022"/>
            <w:vAlign w:val="center"/>
          </w:tcPr>
          <w:p>
            <w:pPr>
              <w:jc w:val="center"/>
            </w:pPr>
            <w:r/>
            <w:r>
              <w:rPr>
                <w:b/>
                <w:sz w:val="16"/>
              </w:rPr>
              <w:t>✓ Validation</w:t>
              <w:br/>
              <w:t>&amp; Import Logs</w:t>
            </w:r>
          </w:p>
        </w:tc>
      </w:tr>
    </w:tbl>
    <w:sectPr>
      <w:pgSz w:h="11906" w:w="16838" w:orient="landscape"/>
      <w:pgMar w:bottom="792" w:top="792"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ibm.com/patterns/online-order-processing-system-during-pandemic/" TargetMode="External"/><Relationship Id="rId10" Type="http://schemas.openxmlformats.org/officeDocument/2006/relationships/hyperlink" Target="https://c4model.com/" TargetMode="External"/><Relationship Id="rId13" Type="http://schemas.openxmlformats.org/officeDocument/2006/relationships/hyperlink" Target="https://aws.amazon.com/architecture" TargetMode="External"/><Relationship Id="rId12" Type="http://schemas.openxmlformats.org/officeDocument/2006/relationships/hyperlink" Target="https://www.ibm.com/cloud/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medium.com/the-internal-startup/how-to-draw-useful-technical-architecture-diagrams-2d20c9fda90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ai-powered-backend-system-for-order-processing-during-pandemic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