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Project Design Phase</w:t>
      </w:r>
    </w:p>
    <w:p>
      <w:pPr>
        <w:jc w:val="center"/>
      </w:pPr>
      <w:r>
        <w:rPr>
          <w:b/>
          <w:sz w:val="26"/>
        </w:rPr>
        <w:t>Problem – Solution Fit Template</w:t>
      </w:r>
    </w:p>
    <w:tbl>
      <w:tblPr>
        <w:tblW w:type="auto" w:w="0"/>
        <w:jc w:val="center"/>
        <w:tblLook w:firstColumn="1" w:firstRow="1" w:lastColumn="0" w:lastRow="0" w:noHBand="0" w:noVBand="1" w:val="04A0"/>
        <w:tblBorders>
          <w:top w:val="single" w:sz="5" w:space="0" w:color="808080"/>
          <w:left w:val="single" w:sz="5" w:space="0" w:color="808080"/>
          <w:bottom w:val="single" w:sz="5" w:space="0" w:color="808080"/>
          <w:right w:val="single" w:sz="5" w:space="0" w:color="808080"/>
          <w:insideH w:val="single" w:sz="5" w:space="0" w:color="808080"/>
          <w:insideV w:val="single" w:sz="5" w:space="0" w:color="808080"/>
        </w:tblBorders>
      </w:tblPr>
      <w:tblGrid>
        <w:gridCol w:w="5328"/>
        <w:gridCol w:w="5328"/>
      </w:tblGrid>
      <w:tr>
        <w:tc>
          <w:tcPr>
            <w:tcW w:type="dxa" w:w="5328"/>
            <w:vAlign w:val="center"/>
            <w:shd w:fill="D9EAF7"/>
          </w:tcPr>
          <w:p>
            <w:r/>
            <w:r>
              <w:rPr>
                <w:b/>
                <w:sz w:val="18"/>
              </w:rPr>
              <w:t>Date</w:t>
            </w:r>
          </w:p>
        </w:tc>
        <w:tc>
          <w:tcPr>
            <w:tcW w:type="dxa" w:w="5328"/>
            <w:vAlign w:val="center"/>
          </w:tcPr>
          <w:p>
            <w:r/>
            <w:r>
              <w:rPr>
                <w:b w:val="0"/>
                <w:sz w:val="18"/>
              </w:rPr>
              <w:t>04 October 2026</w:t>
            </w:r>
          </w:p>
        </w:tc>
      </w:tr>
      <w:tr>
        <w:tc>
          <w:tcPr>
            <w:tcW w:type="dxa" w:w="5328"/>
            <w:vAlign w:val="center"/>
            <w:shd w:fill="D9EAF7"/>
          </w:tcPr>
          <w:p>
            <w:r/>
            <w:r>
              <w:rPr>
                <w:b/>
                <w:sz w:val="18"/>
              </w:rPr>
              <w:t>Team ID</w:t>
            </w:r>
          </w:p>
        </w:tc>
        <w:tc>
          <w:tcPr>
            <w:tcW w:type="dxa" w:w="5328"/>
            <w:vAlign w:val="center"/>
          </w:tcPr>
          <w:p>
            <w:r/>
            <w:r>
              <w:rPr>
                <w:b w:val="0"/>
                <w:sz w:val="18"/>
              </w:rPr>
              <w:t>________________________</w:t>
            </w:r>
          </w:p>
        </w:tc>
      </w:tr>
      <w:tr>
        <w:tc>
          <w:tcPr>
            <w:tcW w:type="dxa" w:w="5328"/>
            <w:vAlign w:val="center"/>
            <w:shd w:fill="D9EAF7"/>
          </w:tcPr>
          <w:p>
            <w:r/>
            <w:r>
              <w:rPr>
                <w:b/>
                <w:sz w:val="18"/>
              </w:rPr>
              <w:t>Project Name</w:t>
            </w:r>
          </w:p>
        </w:tc>
        <w:tc>
          <w:tcPr>
            <w:tcW w:type="dxa" w:w="5328"/>
            <w:vAlign w:val="center"/>
          </w:tcPr>
          <w:p>
            <w:r/>
            <w:r>
              <w:rPr>
                <w:b w:val="0"/>
                <w:sz w:val="18"/>
              </w:rPr>
              <w:t>Import Data using Transform Maps (Spreadsheet)</w:t>
            </w:r>
          </w:p>
        </w:tc>
      </w:tr>
      <w:tr>
        <w:tc>
          <w:tcPr>
            <w:tcW w:type="dxa" w:w="5328"/>
            <w:vAlign w:val="center"/>
            <w:shd w:fill="D9EAF7"/>
          </w:tcPr>
          <w:p>
            <w:r/>
            <w:r>
              <w:rPr>
                <w:b/>
                <w:sz w:val="18"/>
              </w:rPr>
              <w:t>Maximum Marks</w:t>
            </w:r>
          </w:p>
        </w:tc>
        <w:tc>
          <w:tcPr>
            <w:tcW w:type="dxa" w:w="5328"/>
            <w:vAlign w:val="center"/>
          </w:tcPr>
          <w:p>
            <w:r/>
            <w:r>
              <w:rPr>
                <w:b w:val="0"/>
                <w:sz w:val="18"/>
              </w:rPr>
              <w:t>2 Marks</w:t>
            </w:r>
          </w:p>
        </w:tc>
      </w:tr>
    </w:tbl>
    <w:p>
      <w:r>
        <w:rPr>
          <w:b/>
          <w:sz w:val="22"/>
        </w:rPr>
        <w:t>Problem – Solution Fit Template:</w:t>
      </w:r>
    </w:p>
    <w:p>
      <w:r>
        <w:rPr>
          <w:sz w:val="17"/>
        </w:rPr>
        <w:t>This micro project focuses on importing structured data from an external spreadsheet into the ServiceNow platform using Import Sets and Transform Maps. The project simulates a real-world scenario where bulk employee data is received in Excel format and must be migrated into ServiceNow efficiently and accurately. The spreadsheet data is first loaded into an Import Set table, which serves as a staging area, and a Transform Map is then configured to map source fields to the appropriate target table fields. Upon executing the transformation, records are created in the target table and validated to ensure data integrity. The project helps beginners understand the end-to-end data import process in ServiceNow, including data loading, field mapping, transformation execution, and result verification.</w:t>
      </w:r>
    </w:p>
    <w:p>
      <w:r>
        <w:rPr>
          <w:b/>
          <w:sz w:val="22"/>
        </w:rPr>
        <w:t>Purpose:</w:t>
      </w:r>
    </w:p>
    <w:p>
      <w:r>
        <w:rPr>
          <w:sz w:val="17"/>
        </w:rPr>
        <w:t>❑ Solve the bulk employee-data migration problem using a structured ServiceNow import workflow.</w:t>
      </w:r>
    </w:p>
    <w:p>
      <w:r>
        <w:rPr>
          <w:sz w:val="17"/>
        </w:rPr>
        <w:t>❑ Improve efficiency and accuracy compared with manual record-by-record entry.</w:t>
      </w:r>
    </w:p>
    <w:p>
      <w:r>
        <w:rPr>
          <w:sz w:val="17"/>
        </w:rPr>
        <w:t>❑ Use Import Sets and Transform Maps to establish a repeatable data-loading process.</w:t>
      </w:r>
    </w:p>
    <w:p>
      <w:r>
        <w:rPr>
          <w:sz w:val="17"/>
        </w:rPr>
        <w:t>❑ Validate transformed records and identify import errors through ServiceNow results/logs.</w:t>
      </w:r>
    </w:p>
    <w:p>
      <w:r>
        <w:rPr>
          <w:sz w:val="17"/>
        </w:rPr>
        <w:t>❑ Help beginners understand the complete spreadsheet-to-ServiceNow data import lifecycle.</w:t>
      </w:r>
    </w:p>
    <w:p>
      <w:r>
        <w:br w:type="page"/>
      </w:r>
    </w:p>
    <w:p>
      <w:pPr>
        <w:jc w:val="center"/>
      </w:pPr>
      <w:r>
        <w:rPr>
          <w:b/>
          <w:sz w:val="26"/>
        </w:rPr>
        <w:t>Problem – Solution Fit Canvas</w:t>
      </w:r>
    </w:p>
    <w:p>
      <w:r>
        <w:rPr>
          <w:sz w:val="16"/>
        </w:rPr>
        <w:t>The following canvas is completed specifically for the supplied project description. Where the original project description does not state a customer behavior or constraint explicitly, the entry is a project-specific interpretation rather than a claimed real-world survey result.</w:t>
      </w:r>
    </w:p>
    <w:tbl>
      <w:tblPr>
        <w:tblW w:type="auto" w:w="0"/>
        <w:jc w:val="center"/>
        <w:tblLook w:firstColumn="1" w:firstRow="1" w:lastColumn="0" w:lastRow="0" w:noHBand="0" w:noVBand="1" w:val="04A0"/>
        <w:tblBorders>
          <w:top w:val="single" w:sz="5" w:space="0" w:color="808080"/>
          <w:left w:val="single" w:sz="5" w:space="0" w:color="808080"/>
          <w:bottom w:val="single" w:sz="5" w:space="0" w:color="808080"/>
          <w:right w:val="single" w:sz="5" w:space="0" w:color="808080"/>
          <w:insideH w:val="single" w:sz="5" w:space="0" w:color="808080"/>
          <w:insideV w:val="single" w:sz="5" w:space="0" w:color="808080"/>
        </w:tblBorders>
      </w:tblPr>
      <w:tblGrid>
        <w:gridCol w:w="5328"/>
        <w:gridCol w:w="5328"/>
      </w:tblGrid>
      <w:tr>
        <w:tc>
          <w:tcPr>
            <w:tcW w:type="dxa" w:w="5328"/>
            <w:vAlign w:val="center"/>
            <w:shd w:fill="D9EAF7"/>
          </w:tcPr>
          <w:p>
            <w:r/>
            <w:r>
              <w:rPr>
                <w:b/>
                <w:sz w:val="17"/>
              </w:rPr>
              <w:t>1. CUSTOMER SEGMENT(S) – CS</w:t>
            </w:r>
          </w:p>
        </w:tc>
        <w:tc>
          <w:tcPr>
            <w:tcW w:type="dxa" w:w="5328"/>
            <w:vAlign w:val="center"/>
          </w:tcPr>
          <w:p>
            <w:r/>
            <w:r>
              <w:rPr>
                <w:b w:val="0"/>
                <w:sz w:val="16"/>
              </w:rPr>
              <w:t>Primary users are ServiceNow administrators, implementation trainees, developers, or data-migration teams who need to import bulk employee data into ServiceNow.</w:t>
            </w:r>
          </w:p>
        </w:tc>
      </w:tr>
      <w:tr>
        <w:tc>
          <w:tcPr>
            <w:tcW w:type="dxa" w:w="5328"/>
            <w:vAlign w:val="center"/>
            <w:shd w:fill="D9EAF7"/>
          </w:tcPr>
          <w:p>
            <w:r/>
            <w:r>
              <w:rPr>
                <w:b/>
                <w:sz w:val="17"/>
              </w:rPr>
              <w:t>2. JOBS-TO-BE-DONE / PROBLEMS – J&amp;P</w:t>
            </w:r>
          </w:p>
        </w:tc>
        <w:tc>
          <w:tcPr>
            <w:tcW w:type="dxa" w:w="5328"/>
            <w:vAlign w:val="center"/>
          </w:tcPr>
          <w:p>
            <w:r/>
            <w:r>
              <w:rPr>
                <w:b w:val="0"/>
                <w:sz w:val="16"/>
              </w:rPr>
              <w:t>Import structured employee data from Excel into ServiceNow efficiently and accurately; avoid manual record-by-record entry; map spreadsheet fields to the correct target fields.</w:t>
            </w:r>
          </w:p>
        </w:tc>
      </w:tr>
      <w:tr>
        <w:tc>
          <w:tcPr>
            <w:tcW w:type="dxa" w:w="5328"/>
            <w:vAlign w:val="center"/>
            <w:shd w:fill="D9EAF7"/>
          </w:tcPr>
          <w:p>
            <w:r/>
            <w:r>
              <w:rPr>
                <w:b/>
                <w:sz w:val="17"/>
              </w:rPr>
              <w:t>3. TRIGGERS – TR</w:t>
            </w:r>
          </w:p>
        </w:tc>
        <w:tc>
          <w:tcPr>
            <w:tcW w:type="dxa" w:w="5328"/>
            <w:vAlign w:val="center"/>
          </w:tcPr>
          <w:p>
            <w:r/>
            <w:r>
              <w:rPr>
                <w:b w:val="0"/>
                <w:sz w:val="16"/>
              </w:rPr>
              <w:t>A bulk employee spreadsheet is received and needs to be migrated into ServiceNow. The need to perform the migration accurately and efficiently triggers the import process.</w:t>
            </w:r>
          </w:p>
        </w:tc>
      </w:tr>
      <w:tr>
        <w:tc>
          <w:tcPr>
            <w:tcW w:type="dxa" w:w="5328"/>
            <w:vAlign w:val="center"/>
            <w:shd w:fill="D9EAF7"/>
          </w:tcPr>
          <w:p>
            <w:r/>
            <w:r>
              <w:rPr>
                <w:b/>
                <w:sz w:val="17"/>
              </w:rPr>
              <w:t>4. EMOTIONS: BEFORE / AFTER – EM</w:t>
            </w:r>
          </w:p>
        </w:tc>
        <w:tc>
          <w:tcPr>
            <w:tcW w:type="dxa" w:w="5328"/>
            <w:vAlign w:val="center"/>
          </w:tcPr>
          <w:p>
            <w:r/>
            <w:r>
              <w:rPr>
                <w:b w:val="0"/>
                <w:sz w:val="16"/>
              </w:rPr>
              <w:t>Before: the user may face concern about manual effort, incorrect field mapping, or data-entry errors. After: the user can verify transformed records and gain confidence that the imported data is stored in the intended target table.</w:t>
            </w:r>
          </w:p>
        </w:tc>
      </w:tr>
      <w:tr>
        <w:tc>
          <w:tcPr>
            <w:tcW w:type="dxa" w:w="5328"/>
            <w:vAlign w:val="center"/>
            <w:shd w:fill="D9EAF7"/>
          </w:tcPr>
          <w:p>
            <w:r/>
            <w:r>
              <w:rPr>
                <w:b/>
                <w:sz w:val="17"/>
              </w:rPr>
              <w:t>5. AVAILABLE SOLUTIONS – AS</w:t>
            </w:r>
          </w:p>
        </w:tc>
        <w:tc>
          <w:tcPr>
            <w:tcW w:type="dxa" w:w="5328"/>
            <w:vAlign w:val="center"/>
          </w:tcPr>
          <w:p>
            <w:r/>
            <w:r>
              <w:rPr>
                <w:b w:val="0"/>
                <w:sz w:val="16"/>
              </w:rPr>
              <w:t>A direct alternative is manual data entry into ServiceNow. The project solution is to use an Import Set as a staging area followed by a Transform Map for field mapping and transformation. The automated approach reduces repetitive manual entry.</w:t>
            </w:r>
          </w:p>
        </w:tc>
      </w:tr>
      <w:tr>
        <w:tc>
          <w:tcPr>
            <w:tcW w:type="dxa" w:w="5328"/>
            <w:vAlign w:val="center"/>
            <w:shd w:fill="D9EAF7"/>
          </w:tcPr>
          <w:p>
            <w:r/>
            <w:r>
              <w:rPr>
                <w:b/>
                <w:sz w:val="17"/>
              </w:rPr>
              <w:t>6. CUSTOMER CONSTRAINTS – CC</w:t>
            </w:r>
          </w:p>
        </w:tc>
        <w:tc>
          <w:tcPr>
            <w:tcW w:type="dxa" w:w="5328"/>
            <w:vAlign w:val="center"/>
          </w:tcPr>
          <w:p>
            <w:r/>
            <w:r>
              <w:rPr>
                <w:b w:val="0"/>
                <w:sz w:val="16"/>
              </w:rPr>
              <w:t>The workflow depends on receiving structured spreadsheet data with fields that can be mapped to the target table. Users also need appropriate ServiceNow access/permissions to perform the import and transformation.</w:t>
            </w:r>
          </w:p>
        </w:tc>
      </w:tr>
      <w:tr>
        <w:tc>
          <w:tcPr>
            <w:tcW w:type="dxa" w:w="5328"/>
            <w:vAlign w:val="center"/>
            <w:shd w:fill="D9EAF7"/>
          </w:tcPr>
          <w:p>
            <w:r/>
            <w:r>
              <w:rPr>
                <w:b/>
                <w:sz w:val="17"/>
              </w:rPr>
              <w:t>7. BEHAVIOUR – BE</w:t>
            </w:r>
          </w:p>
        </w:tc>
        <w:tc>
          <w:tcPr>
            <w:tcW w:type="dxa" w:w="5328"/>
            <w:vAlign w:val="center"/>
          </w:tcPr>
          <w:p>
            <w:r/>
            <w:r>
              <w:rPr>
                <w:b w:val="0"/>
                <w:sz w:val="16"/>
              </w:rPr>
              <w:t>The user receives the spreadsheet, prepares/selects the file for import, loads it into ServiceNow, configures or uses the Transform Map, executes the transformation, and checks the resulting records and import status.</w:t>
            </w:r>
          </w:p>
        </w:tc>
      </w:tr>
      <w:tr>
        <w:tc>
          <w:tcPr>
            <w:tcW w:type="dxa" w:w="5328"/>
            <w:vAlign w:val="center"/>
            <w:shd w:fill="D9EAF7"/>
          </w:tcPr>
          <w:p>
            <w:r/>
            <w:r>
              <w:rPr>
                <w:b/>
                <w:sz w:val="17"/>
              </w:rPr>
              <w:t>8. CHANNELS OF BEHAVIOUR – CH</w:t>
            </w:r>
          </w:p>
        </w:tc>
        <w:tc>
          <w:tcPr>
            <w:tcW w:type="dxa" w:w="5328"/>
            <w:vAlign w:val="center"/>
          </w:tcPr>
          <w:p>
            <w:r/>
            <w:r>
              <w:rPr>
                <w:b w:val="0"/>
                <w:sz w:val="16"/>
              </w:rPr>
              <w:t>ONLINE: ServiceNow Web UI, Import Set interface, Transform Map configuration and result/log views. OFFLINE: preparation and receipt of the employee spreadsheet in Excel/CSV format.</w:t>
            </w:r>
          </w:p>
        </w:tc>
      </w:tr>
      <w:tr>
        <w:tc>
          <w:tcPr>
            <w:tcW w:type="dxa" w:w="5328"/>
            <w:vAlign w:val="center"/>
            <w:shd w:fill="D9EAF7"/>
          </w:tcPr>
          <w:p>
            <w:r/>
            <w:r>
              <w:rPr>
                <w:b/>
                <w:sz w:val="17"/>
              </w:rPr>
              <w:t>9. PROBLEM ROOT CAUSE – RC</w:t>
            </w:r>
          </w:p>
        </w:tc>
        <w:tc>
          <w:tcPr>
            <w:tcW w:type="dxa" w:w="5328"/>
            <w:vAlign w:val="center"/>
          </w:tcPr>
          <w:p>
            <w:r/>
            <w:r>
              <w:rPr>
                <w:b w:val="0"/>
                <w:sz w:val="16"/>
              </w:rPr>
              <w:t>Bulk employee information arrives in an external spreadsheet while the required records must exist in ServiceNow. Manual transfer creates repetitive work and increases the opportunity for data-entry or mapping mistakes.</w:t>
            </w:r>
          </w:p>
        </w:tc>
      </w:tr>
      <w:tr>
        <w:tc>
          <w:tcPr>
            <w:tcW w:type="dxa" w:w="5328"/>
            <w:vAlign w:val="center"/>
            <w:shd w:fill="D9EAF7"/>
          </w:tcPr>
          <w:p>
            <w:r/>
            <w:r>
              <w:rPr>
                <w:b/>
                <w:sz w:val="17"/>
              </w:rPr>
              <w:t>10. YOUR SOLUTION</w:t>
            </w:r>
          </w:p>
        </w:tc>
        <w:tc>
          <w:tcPr>
            <w:tcW w:type="dxa" w:w="5328"/>
            <w:vAlign w:val="center"/>
          </w:tcPr>
          <w:p>
            <w:r/>
            <w:r>
              <w:rPr>
                <w:b w:val="0"/>
                <w:sz w:val="16"/>
              </w:rPr>
              <w:t>Use ServiceNow Import Sets to load the spreadsheet into a staging table, configure a Transform Map with source-to-target field mappings, execute the transformation, create target records, and validate the import results.</w:t>
            </w:r>
          </w:p>
        </w:tc>
      </w:tr>
    </w:tbl>
    <w:p>
      <w:r>
        <w:br w:type="page"/>
      </w:r>
    </w:p>
    <w:p>
      <w:pPr>
        <w:jc w:val="center"/>
      </w:pPr>
      <w:r>
        <w:rPr>
          <w:b/>
          <w:sz w:val="26"/>
        </w:rPr>
        <w:t>Project Solution Flow</w:t>
      </w:r>
    </w:p>
    <w:tbl>
      <w:tblPr>
        <w:tblW w:type="auto" w:w="0"/>
        <w:jc w:val="center"/>
        <w:tblLook w:firstColumn="1" w:firstRow="1" w:lastColumn="0" w:lastRow="0" w:noHBand="0" w:noVBand="1" w:val="04A0"/>
        <w:tblBorders>
          <w:top w:val="single" w:sz="5" w:space="0" w:color="808080"/>
          <w:left w:val="single" w:sz="5" w:space="0" w:color="808080"/>
          <w:bottom w:val="single" w:sz="5" w:space="0" w:color="808080"/>
          <w:right w:val="single" w:sz="5" w:space="0" w:color="808080"/>
          <w:insideH w:val="single" w:sz="5" w:space="0" w:color="808080"/>
          <w:insideV w:val="single" w:sz="5" w:space="0" w:color="808080"/>
        </w:tblBorders>
      </w:tblPr>
      <w:tblGrid>
        <w:gridCol w:w="2131"/>
        <w:gridCol w:w="2131"/>
        <w:gridCol w:w="2131"/>
        <w:gridCol w:w="2131"/>
        <w:gridCol w:w="2131"/>
      </w:tblGrid>
      <w:tr>
        <w:tc>
          <w:tcPr>
            <w:tcW w:type="dxa" w:w="2131"/>
            <w:vAlign w:val="center"/>
            <w:shd w:fill="EAF3F8"/>
          </w:tcPr>
          <w:p>
            <w:r/>
            <w:r>
              <w:rPr>
                <w:b/>
                <w:sz w:val="16"/>
              </w:rPr>
              <w:t>Employee</w:t>
              <w:br/>
              <w:t>Spreadsheet</w:t>
            </w:r>
          </w:p>
        </w:tc>
        <w:tc>
          <w:tcPr>
            <w:tcW w:type="dxa" w:w="2131"/>
            <w:vAlign w:val="center"/>
            <w:shd w:fill="EAF3F8"/>
          </w:tcPr>
          <w:p>
            <w:r/>
            <w:r>
              <w:rPr>
                <w:b/>
                <w:sz w:val="16"/>
              </w:rPr>
              <w:t>Import Set</w:t>
              <w:br/>
              <w:t>Upload</w:t>
            </w:r>
          </w:p>
        </w:tc>
        <w:tc>
          <w:tcPr>
            <w:tcW w:type="dxa" w:w="2131"/>
            <w:vAlign w:val="center"/>
            <w:shd w:fill="EAF3F8"/>
          </w:tcPr>
          <w:p>
            <w:r/>
            <w:r>
              <w:rPr>
                <w:b/>
                <w:sz w:val="16"/>
              </w:rPr>
              <w:t>Import Set Table</w:t>
              <w:br/>
              <w:t>(Staging)</w:t>
            </w:r>
          </w:p>
        </w:tc>
        <w:tc>
          <w:tcPr>
            <w:tcW w:type="dxa" w:w="2131"/>
            <w:vAlign w:val="center"/>
            <w:shd w:fill="EAF3F8"/>
          </w:tcPr>
          <w:p>
            <w:r/>
            <w:r>
              <w:rPr>
                <w:b/>
                <w:sz w:val="16"/>
              </w:rPr>
              <w:t>Transform Map</w:t>
              <w:br/>
              <w:t>(Field Mapping)</w:t>
            </w:r>
          </w:p>
        </w:tc>
        <w:tc>
          <w:tcPr>
            <w:tcW w:type="dxa" w:w="2131"/>
            <w:vAlign w:val="center"/>
            <w:shd w:fill="EAF3F8"/>
          </w:tcPr>
          <w:p>
            <w:r/>
            <w:r>
              <w:rPr>
                <w:b/>
                <w:sz w:val="16"/>
              </w:rPr>
              <w:t>Target Table</w:t>
              <w:br/>
              <w:t>+ Validation</w:t>
            </w:r>
          </w:p>
        </w:tc>
      </w:tr>
      <w:tr>
        <w:tc>
          <w:tcPr>
            <w:tcW w:type="dxa" w:w="2131"/>
            <w:vAlign w:val="center"/>
          </w:tcPr>
          <w:p>
            <w:pPr>
              <w:jc w:val="center"/>
            </w:pPr>
            <w:r/>
            <w:r>
              <w:rPr>
                <w:b/>
                <w:sz w:val="28"/>
              </w:rPr>
              <w:t>→</w:t>
            </w:r>
          </w:p>
        </w:tc>
        <w:tc>
          <w:tcPr>
            <w:tcW w:type="dxa" w:w="2131"/>
            <w:vAlign w:val="center"/>
          </w:tcPr>
          <w:p>
            <w:pPr>
              <w:jc w:val="center"/>
            </w:pPr>
            <w:r/>
            <w:r>
              <w:rPr>
                <w:b/>
                <w:sz w:val="28"/>
              </w:rPr>
              <w:t>→</w:t>
            </w:r>
          </w:p>
        </w:tc>
        <w:tc>
          <w:tcPr>
            <w:tcW w:type="dxa" w:w="2131"/>
            <w:vAlign w:val="center"/>
          </w:tcPr>
          <w:p>
            <w:pPr>
              <w:jc w:val="center"/>
            </w:pPr>
            <w:r/>
            <w:r>
              <w:rPr>
                <w:b/>
                <w:sz w:val="28"/>
              </w:rPr>
              <w:t>→</w:t>
            </w:r>
          </w:p>
        </w:tc>
        <w:tc>
          <w:tcPr>
            <w:tcW w:type="dxa" w:w="2131"/>
            <w:vAlign w:val="center"/>
          </w:tcPr>
          <w:p>
            <w:pPr>
              <w:jc w:val="center"/>
            </w:pPr>
            <w:r/>
            <w:r>
              <w:rPr>
                <w:b/>
                <w:sz w:val="28"/>
              </w:rPr>
              <w:t>→</w:t>
            </w:r>
          </w:p>
        </w:tc>
        <w:tc>
          <w:tcPr>
            <w:tcW w:type="dxa" w:w="2131"/>
            <w:vAlign w:val="center"/>
          </w:tcPr>
          <w:p>
            <w:r/>
            <w:r>
              <w:rPr>
                <w:b/>
                <w:sz w:val="16"/>
              </w:rPr>
              <w:t>✓ Verify Records</w:t>
              <w:br/>
              <w:t>&amp; Import Results</w:t>
            </w:r>
          </w:p>
        </w:tc>
      </w:tr>
    </w:tbl>
    <w:p>
      <w:r>
        <w:rPr>
          <w:b/>
          <w:sz w:val="22"/>
        </w:rPr>
        <w:t>Project Fit Summary</w:t>
      </w:r>
    </w:p>
    <w:p>
      <w:r>
        <w:rPr>
          <w:sz w:val="17"/>
        </w:rPr>
        <w:t>The problem-solution fit for this micro project is centered on converting bulk employee data from a spreadsheet into usable ServiceNow records through a controlled, repeatable workflow. Import Sets provide the staging step, while Transform Maps provide the source-to-target mapping and transformation step. The final validation step helps confirm that the resulting records have been created in the intended target table.</w:t>
      </w:r>
    </w:p>
    <w:p>
      <w:r>
        <w:rPr>
          <w:b/>
          <w:sz w:val="20"/>
        </w:rPr>
        <w:t>References:</w:t>
      </w:r>
    </w:p>
    <w:p>
      <w:r>
        <w:rPr>
          <w:sz w:val="16"/>
        </w:rPr>
        <w:t>1. https://www.ideahackers.network/problem-solution-fit-canvas/</w:t>
      </w:r>
    </w:p>
    <w:p>
      <w:r>
        <w:rPr>
          <w:sz w:val="16"/>
        </w:rPr>
        <w:t>2. https://medium.com/@epicantus/problem-solution-fit-canvas-aa3dd59cb4fe</w:t>
      </w:r>
    </w:p>
    <w:sectPr w:rsidR="00FC693F" w:rsidRPr="0006063C" w:rsidSect="00034616">
      <w:footerReference w:type="default" r:id="rId9"/>
      <w:pgSz w:w="12240" w:h="15840"/>
      <w:pgMar w:top="792" w:right="792" w:bottom="792"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Naan Mudhalvan Project – Import Data using Transform Maps (Spreadsheet)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